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A995A" w14:textId="2611C7E7" w:rsidR="00F77F6D" w:rsidRPr="00CB1E53" w:rsidRDefault="00F77F6D" w:rsidP="00E90BA7">
      <w:pPr>
        <w:jc w:val="both"/>
        <w:rPr>
          <w:rStyle w:val="StrongDKB"/>
          <w:sz w:val="56"/>
          <w:szCs w:val="56"/>
        </w:rPr>
      </w:pPr>
      <w:bookmarkStart w:id="0" w:name="_GoBack"/>
      <w:bookmarkEnd w:id="0"/>
    </w:p>
    <w:p w14:paraId="776D06B1" w14:textId="77777777" w:rsidR="00F77F6D" w:rsidRPr="00CB1E53" w:rsidRDefault="00F77F6D" w:rsidP="00E90BA7">
      <w:pPr>
        <w:jc w:val="both"/>
        <w:rPr>
          <w:rStyle w:val="StrongDKB"/>
          <w:sz w:val="56"/>
          <w:szCs w:val="56"/>
        </w:rPr>
      </w:pPr>
    </w:p>
    <w:p w14:paraId="1FF9D848" w14:textId="77777777" w:rsidR="00F77F6D" w:rsidRPr="00CB1E53" w:rsidRDefault="00F77F6D" w:rsidP="00E90BA7">
      <w:pPr>
        <w:jc w:val="both"/>
        <w:rPr>
          <w:rStyle w:val="StrongDKB"/>
          <w:sz w:val="56"/>
          <w:szCs w:val="56"/>
        </w:rPr>
      </w:pPr>
    </w:p>
    <w:p w14:paraId="2779528B" w14:textId="77777777" w:rsidR="00F77F6D" w:rsidRPr="00CB1E53" w:rsidRDefault="00F77F6D" w:rsidP="00E90BA7">
      <w:pPr>
        <w:jc w:val="both"/>
        <w:rPr>
          <w:rStyle w:val="StrongDKB"/>
          <w:sz w:val="56"/>
          <w:szCs w:val="56"/>
        </w:rPr>
      </w:pPr>
    </w:p>
    <w:p w14:paraId="74605929" w14:textId="20BEC9DC" w:rsidR="00F77F6D" w:rsidRPr="00CB1E53" w:rsidRDefault="00F77F6D" w:rsidP="00E90BA7">
      <w:pPr>
        <w:jc w:val="both"/>
        <w:rPr>
          <w:rStyle w:val="StrongDKB"/>
          <w:sz w:val="56"/>
          <w:szCs w:val="56"/>
        </w:rPr>
      </w:pPr>
      <w:r w:rsidRPr="00CB1E53">
        <w:rPr>
          <w:rStyle w:val="StrongDKB"/>
          <w:sz w:val="56"/>
          <w:szCs w:val="56"/>
        </w:rPr>
        <w:t>Tax Expenditure</w:t>
      </w:r>
      <w:r w:rsidR="00DC71E5" w:rsidRPr="00CB1E53">
        <w:rPr>
          <w:rStyle w:val="StrongDKB"/>
          <w:sz w:val="56"/>
          <w:szCs w:val="56"/>
        </w:rPr>
        <w:t>s</w:t>
      </w:r>
      <w:r w:rsidRPr="00CB1E53">
        <w:rPr>
          <w:rStyle w:val="StrongDKB"/>
          <w:sz w:val="56"/>
          <w:szCs w:val="56"/>
        </w:rPr>
        <w:t xml:space="preserve"> Assessment Report</w:t>
      </w:r>
    </w:p>
    <w:p w14:paraId="2F4982B7" w14:textId="77777777" w:rsidR="00F77F6D" w:rsidRPr="00CB1E53" w:rsidRDefault="00F77F6D" w:rsidP="00E90BA7">
      <w:pPr>
        <w:jc w:val="both"/>
        <w:rPr>
          <w:rStyle w:val="StrongDKB"/>
          <w:sz w:val="56"/>
          <w:szCs w:val="56"/>
        </w:rPr>
      </w:pPr>
    </w:p>
    <w:p w14:paraId="32287408" w14:textId="743ED6CF" w:rsidR="00F77F6D" w:rsidRDefault="00F77F6D" w:rsidP="00E90BA7">
      <w:pPr>
        <w:jc w:val="both"/>
        <w:rPr>
          <w:rStyle w:val="StrongDKB"/>
          <w:sz w:val="56"/>
          <w:szCs w:val="56"/>
        </w:rPr>
      </w:pPr>
    </w:p>
    <w:p w14:paraId="29C3B2EB" w14:textId="53B3B49E" w:rsidR="00892254" w:rsidRDefault="00892254" w:rsidP="00E90BA7">
      <w:pPr>
        <w:jc w:val="both"/>
        <w:rPr>
          <w:rStyle w:val="StrongDKB"/>
          <w:sz w:val="56"/>
          <w:szCs w:val="56"/>
        </w:rPr>
      </w:pPr>
    </w:p>
    <w:p w14:paraId="3024E3AC" w14:textId="77777777" w:rsidR="00892254" w:rsidRPr="00CB1E53" w:rsidRDefault="00892254" w:rsidP="00E90BA7">
      <w:pPr>
        <w:jc w:val="both"/>
        <w:rPr>
          <w:rStyle w:val="StrongDKB"/>
          <w:sz w:val="56"/>
          <w:szCs w:val="56"/>
        </w:rPr>
      </w:pPr>
    </w:p>
    <w:p w14:paraId="54F830AB" w14:textId="14FFD466" w:rsidR="00F77F6D" w:rsidRDefault="00EF43FE" w:rsidP="00E90BA7">
      <w:pPr>
        <w:jc w:val="both"/>
        <w:rPr>
          <w:rStyle w:val="StrongDKB"/>
          <w:sz w:val="40"/>
          <w:szCs w:val="40"/>
        </w:rPr>
      </w:pPr>
      <w:r>
        <w:rPr>
          <w:rStyle w:val="StrongDKB"/>
          <w:sz w:val="40"/>
          <w:szCs w:val="40"/>
        </w:rPr>
        <w:t>February 2023</w:t>
      </w:r>
    </w:p>
    <w:p w14:paraId="358400E8" w14:textId="17065576" w:rsidR="00D57564" w:rsidRDefault="00D57564" w:rsidP="00E90BA7">
      <w:pPr>
        <w:jc w:val="both"/>
        <w:rPr>
          <w:rStyle w:val="StrongDKB"/>
          <w:sz w:val="40"/>
          <w:szCs w:val="40"/>
        </w:rPr>
      </w:pPr>
    </w:p>
    <w:p w14:paraId="17E60BDF" w14:textId="1B079D41" w:rsidR="00D57564" w:rsidRPr="00CB1E53" w:rsidRDefault="00D57564" w:rsidP="00E90BA7">
      <w:pPr>
        <w:jc w:val="both"/>
        <w:rPr>
          <w:rStyle w:val="StrongDKB"/>
          <w:sz w:val="40"/>
          <w:szCs w:val="40"/>
        </w:rPr>
      </w:pPr>
    </w:p>
    <w:p w14:paraId="67CFE7F9" w14:textId="072034C3" w:rsidR="00D57564" w:rsidRPr="00D57564" w:rsidRDefault="00D57564" w:rsidP="00E90BA7">
      <w:pPr>
        <w:jc w:val="both"/>
        <w:rPr>
          <w:rFonts w:ascii="Arial Black" w:hAnsi="Arial Black"/>
          <w:bCs/>
          <w:color w:val="004C97" w:themeColor="text2"/>
          <w:sz w:val="18"/>
          <w:szCs w:val="18"/>
        </w:rPr>
      </w:pPr>
      <w:r>
        <w:rPr>
          <w:rStyle w:val="StrongDKB"/>
          <w:sz w:val="18"/>
          <w:szCs w:val="18"/>
        </w:rPr>
        <w:t>Elaborated by Ministry of Finance with International Monetary Fund support</w:t>
      </w:r>
    </w:p>
    <w:p w14:paraId="7C0D6460" w14:textId="3C9C2CCE" w:rsidR="00F77F6D" w:rsidRPr="002F2301" w:rsidRDefault="008C790C" w:rsidP="00E90BA7">
      <w:pPr>
        <w:jc w:val="both"/>
        <w:rPr>
          <w:rStyle w:val="StrongMDB"/>
          <w:rFonts w:ascii="Segoe UI" w:hAnsi="Segoe UI" w:cs="Segoe UI"/>
          <w:color w:val="004C97" w:themeColor="text2"/>
          <w:sz w:val="26"/>
          <w:szCs w:val="26"/>
        </w:rPr>
      </w:pPr>
      <w:bookmarkStart w:id="1" w:name="_Toc96775172"/>
      <w:r w:rsidRPr="00CB1E53">
        <w:rPr>
          <w:rStyle w:val="StrongMDB"/>
          <w:rFonts w:ascii="Segoe UI" w:hAnsi="Segoe UI" w:cs="Segoe UI"/>
          <w:color w:val="004C97" w:themeColor="text2"/>
          <w:sz w:val="26"/>
          <w:szCs w:val="26"/>
        </w:rPr>
        <w:lastRenderedPageBreak/>
        <w:t>Table of Content</w:t>
      </w:r>
      <w:bookmarkEnd w:id="1"/>
    </w:p>
    <w:p w14:paraId="52C4EDEB" w14:textId="0E31548F" w:rsidR="006477B4" w:rsidRDefault="00495C61" w:rsidP="00E90BA7">
      <w:pPr>
        <w:pStyle w:val="TOC2"/>
        <w:tabs>
          <w:tab w:val="right" w:leader="dot" w:pos="9350"/>
        </w:tabs>
        <w:jc w:val="both"/>
        <w:rPr>
          <w:rFonts w:eastAsiaTheme="minorEastAsia"/>
          <w:noProof/>
        </w:rPr>
      </w:pPr>
      <w:r w:rsidRPr="002F2301">
        <w:rPr>
          <w:rFonts w:ascii="Segoe UI" w:hAnsi="Segoe UI" w:cs="Segoe UI"/>
          <w:b/>
          <w:sz w:val="21"/>
          <w:szCs w:val="21"/>
        </w:rPr>
        <w:fldChar w:fldCharType="begin"/>
      </w:r>
      <w:r w:rsidRPr="002F2301">
        <w:rPr>
          <w:rFonts w:ascii="Segoe UI" w:hAnsi="Segoe UI" w:cs="Segoe UI"/>
          <w:b/>
          <w:sz w:val="21"/>
          <w:szCs w:val="21"/>
        </w:rPr>
        <w:instrText xml:space="preserve"> TOC \o "1-3" \h \z \u </w:instrText>
      </w:r>
      <w:r w:rsidRPr="002F2301">
        <w:rPr>
          <w:rFonts w:ascii="Segoe UI" w:hAnsi="Segoe UI" w:cs="Segoe UI"/>
          <w:b/>
          <w:sz w:val="21"/>
          <w:szCs w:val="21"/>
        </w:rPr>
        <w:fldChar w:fldCharType="separate"/>
      </w:r>
      <w:hyperlink w:anchor="_Toc126555808" w:history="1">
        <w:r w:rsidR="006477B4" w:rsidRPr="0058248C">
          <w:rPr>
            <w:rStyle w:val="Hyperlink"/>
            <w:noProof/>
          </w:rPr>
          <w:t>Acronyms</w:t>
        </w:r>
        <w:r w:rsidR="006477B4">
          <w:rPr>
            <w:noProof/>
            <w:webHidden/>
          </w:rPr>
          <w:tab/>
        </w:r>
        <w:r w:rsidR="006477B4">
          <w:rPr>
            <w:noProof/>
            <w:webHidden/>
          </w:rPr>
          <w:fldChar w:fldCharType="begin"/>
        </w:r>
        <w:r w:rsidR="006477B4">
          <w:rPr>
            <w:noProof/>
            <w:webHidden/>
          </w:rPr>
          <w:instrText xml:space="preserve"> PAGEREF _Toc126555808 \h </w:instrText>
        </w:r>
        <w:r w:rsidR="006477B4">
          <w:rPr>
            <w:noProof/>
            <w:webHidden/>
          </w:rPr>
        </w:r>
        <w:r w:rsidR="006477B4">
          <w:rPr>
            <w:noProof/>
            <w:webHidden/>
          </w:rPr>
          <w:fldChar w:fldCharType="separate"/>
        </w:r>
        <w:r w:rsidR="006477B4">
          <w:rPr>
            <w:noProof/>
            <w:webHidden/>
          </w:rPr>
          <w:t>4</w:t>
        </w:r>
        <w:r w:rsidR="006477B4">
          <w:rPr>
            <w:noProof/>
            <w:webHidden/>
          </w:rPr>
          <w:fldChar w:fldCharType="end"/>
        </w:r>
      </w:hyperlink>
    </w:p>
    <w:p w14:paraId="67E8311A" w14:textId="72AE2C9B" w:rsidR="006477B4" w:rsidRDefault="00185F2A" w:rsidP="00E90BA7">
      <w:pPr>
        <w:pStyle w:val="TOC2"/>
        <w:tabs>
          <w:tab w:val="right" w:leader="dot" w:pos="9350"/>
        </w:tabs>
        <w:jc w:val="both"/>
        <w:rPr>
          <w:rFonts w:eastAsiaTheme="minorEastAsia"/>
          <w:noProof/>
        </w:rPr>
      </w:pPr>
      <w:hyperlink w:anchor="_Toc126555809" w:history="1">
        <w:r w:rsidR="006477B4" w:rsidRPr="0058248C">
          <w:rPr>
            <w:rStyle w:val="Hyperlink"/>
            <w:noProof/>
          </w:rPr>
          <w:t>Executive Summary and Key Findings</w:t>
        </w:r>
        <w:r w:rsidR="006477B4">
          <w:rPr>
            <w:noProof/>
            <w:webHidden/>
          </w:rPr>
          <w:tab/>
        </w:r>
        <w:r w:rsidR="006477B4">
          <w:rPr>
            <w:noProof/>
            <w:webHidden/>
          </w:rPr>
          <w:fldChar w:fldCharType="begin"/>
        </w:r>
        <w:r w:rsidR="006477B4">
          <w:rPr>
            <w:noProof/>
            <w:webHidden/>
          </w:rPr>
          <w:instrText xml:space="preserve"> PAGEREF _Toc126555809 \h </w:instrText>
        </w:r>
        <w:r w:rsidR="006477B4">
          <w:rPr>
            <w:noProof/>
            <w:webHidden/>
          </w:rPr>
        </w:r>
        <w:r w:rsidR="006477B4">
          <w:rPr>
            <w:noProof/>
            <w:webHidden/>
          </w:rPr>
          <w:fldChar w:fldCharType="separate"/>
        </w:r>
        <w:r w:rsidR="006477B4">
          <w:rPr>
            <w:noProof/>
            <w:webHidden/>
          </w:rPr>
          <w:t>5</w:t>
        </w:r>
        <w:r w:rsidR="006477B4">
          <w:rPr>
            <w:noProof/>
            <w:webHidden/>
          </w:rPr>
          <w:fldChar w:fldCharType="end"/>
        </w:r>
      </w:hyperlink>
    </w:p>
    <w:p w14:paraId="51B09F64" w14:textId="09A37612" w:rsidR="006477B4" w:rsidRDefault="00185F2A" w:rsidP="00E90BA7">
      <w:pPr>
        <w:pStyle w:val="TOC3"/>
        <w:tabs>
          <w:tab w:val="right" w:leader="dot" w:pos="9350"/>
        </w:tabs>
        <w:jc w:val="both"/>
        <w:rPr>
          <w:rFonts w:eastAsiaTheme="minorEastAsia"/>
          <w:noProof/>
        </w:rPr>
      </w:pPr>
      <w:hyperlink w:anchor="_Toc126555810" w:history="1">
        <w:r w:rsidR="006477B4" w:rsidRPr="0058248C">
          <w:rPr>
            <w:rStyle w:val="Hyperlink"/>
            <w:noProof/>
          </w:rPr>
          <w:t>Tax expenditure assessments, future tax policy changes, and cost-benefit analysis</w:t>
        </w:r>
        <w:r w:rsidR="006477B4">
          <w:rPr>
            <w:noProof/>
            <w:webHidden/>
          </w:rPr>
          <w:tab/>
        </w:r>
        <w:r w:rsidR="006477B4">
          <w:rPr>
            <w:noProof/>
            <w:webHidden/>
          </w:rPr>
          <w:fldChar w:fldCharType="begin"/>
        </w:r>
        <w:r w:rsidR="006477B4">
          <w:rPr>
            <w:noProof/>
            <w:webHidden/>
          </w:rPr>
          <w:instrText xml:space="preserve"> PAGEREF _Toc126555810 \h </w:instrText>
        </w:r>
        <w:r w:rsidR="006477B4">
          <w:rPr>
            <w:noProof/>
            <w:webHidden/>
          </w:rPr>
        </w:r>
        <w:r w:rsidR="006477B4">
          <w:rPr>
            <w:noProof/>
            <w:webHidden/>
          </w:rPr>
          <w:fldChar w:fldCharType="separate"/>
        </w:r>
        <w:r w:rsidR="006477B4">
          <w:rPr>
            <w:noProof/>
            <w:webHidden/>
          </w:rPr>
          <w:t>5</w:t>
        </w:r>
        <w:r w:rsidR="006477B4">
          <w:rPr>
            <w:noProof/>
            <w:webHidden/>
          </w:rPr>
          <w:fldChar w:fldCharType="end"/>
        </w:r>
      </w:hyperlink>
    </w:p>
    <w:p w14:paraId="7FDF9D36" w14:textId="158C9B56" w:rsidR="006477B4" w:rsidRDefault="00185F2A" w:rsidP="00E90BA7">
      <w:pPr>
        <w:pStyle w:val="TOC3"/>
        <w:tabs>
          <w:tab w:val="right" w:leader="dot" w:pos="9350"/>
        </w:tabs>
        <w:jc w:val="both"/>
        <w:rPr>
          <w:rFonts w:eastAsiaTheme="minorEastAsia"/>
          <w:noProof/>
        </w:rPr>
      </w:pPr>
      <w:hyperlink w:anchor="_Toc126555811" w:history="1">
        <w:r w:rsidR="006477B4" w:rsidRPr="0058248C">
          <w:rPr>
            <w:rStyle w:val="Hyperlink"/>
            <w:noProof/>
          </w:rPr>
          <w:t>Challenges with defining a benchmark tax system</w:t>
        </w:r>
        <w:r w:rsidR="006477B4">
          <w:rPr>
            <w:noProof/>
            <w:webHidden/>
          </w:rPr>
          <w:tab/>
        </w:r>
        <w:r w:rsidR="006477B4">
          <w:rPr>
            <w:noProof/>
            <w:webHidden/>
          </w:rPr>
          <w:fldChar w:fldCharType="begin"/>
        </w:r>
        <w:r w:rsidR="006477B4">
          <w:rPr>
            <w:noProof/>
            <w:webHidden/>
          </w:rPr>
          <w:instrText xml:space="preserve"> PAGEREF _Toc126555811 \h </w:instrText>
        </w:r>
        <w:r w:rsidR="006477B4">
          <w:rPr>
            <w:noProof/>
            <w:webHidden/>
          </w:rPr>
        </w:r>
        <w:r w:rsidR="006477B4">
          <w:rPr>
            <w:noProof/>
            <w:webHidden/>
          </w:rPr>
          <w:fldChar w:fldCharType="separate"/>
        </w:r>
        <w:r w:rsidR="006477B4">
          <w:rPr>
            <w:noProof/>
            <w:webHidden/>
          </w:rPr>
          <w:t>5</w:t>
        </w:r>
        <w:r w:rsidR="006477B4">
          <w:rPr>
            <w:noProof/>
            <w:webHidden/>
          </w:rPr>
          <w:fldChar w:fldCharType="end"/>
        </w:r>
      </w:hyperlink>
    </w:p>
    <w:p w14:paraId="409F114F" w14:textId="5B79EB60" w:rsidR="006477B4" w:rsidRDefault="00185F2A" w:rsidP="00E90BA7">
      <w:pPr>
        <w:pStyle w:val="TOC3"/>
        <w:tabs>
          <w:tab w:val="right" w:leader="dot" w:pos="9350"/>
        </w:tabs>
        <w:jc w:val="both"/>
        <w:rPr>
          <w:rFonts w:eastAsiaTheme="minorEastAsia"/>
          <w:noProof/>
        </w:rPr>
      </w:pPr>
      <w:hyperlink w:anchor="_Toc126555812" w:history="1">
        <w:r w:rsidR="006477B4" w:rsidRPr="0058248C">
          <w:rPr>
            <w:rStyle w:val="Hyperlink"/>
            <w:noProof/>
          </w:rPr>
          <w:t>Tax expenditures and estimation methodologies</w:t>
        </w:r>
        <w:r w:rsidR="006477B4">
          <w:rPr>
            <w:noProof/>
            <w:webHidden/>
          </w:rPr>
          <w:tab/>
        </w:r>
        <w:r w:rsidR="006477B4">
          <w:rPr>
            <w:noProof/>
            <w:webHidden/>
          </w:rPr>
          <w:fldChar w:fldCharType="begin"/>
        </w:r>
        <w:r w:rsidR="006477B4">
          <w:rPr>
            <w:noProof/>
            <w:webHidden/>
          </w:rPr>
          <w:instrText xml:space="preserve"> PAGEREF _Toc126555812 \h </w:instrText>
        </w:r>
        <w:r w:rsidR="006477B4">
          <w:rPr>
            <w:noProof/>
            <w:webHidden/>
          </w:rPr>
        </w:r>
        <w:r w:rsidR="006477B4">
          <w:rPr>
            <w:noProof/>
            <w:webHidden/>
          </w:rPr>
          <w:fldChar w:fldCharType="separate"/>
        </w:r>
        <w:r w:rsidR="006477B4">
          <w:rPr>
            <w:noProof/>
            <w:webHidden/>
          </w:rPr>
          <w:t>7</w:t>
        </w:r>
        <w:r w:rsidR="006477B4">
          <w:rPr>
            <w:noProof/>
            <w:webHidden/>
          </w:rPr>
          <w:fldChar w:fldCharType="end"/>
        </w:r>
      </w:hyperlink>
    </w:p>
    <w:p w14:paraId="3167E4BC" w14:textId="7B00BB0C" w:rsidR="006477B4" w:rsidRDefault="00185F2A" w:rsidP="00E90BA7">
      <w:pPr>
        <w:pStyle w:val="TOC3"/>
        <w:tabs>
          <w:tab w:val="right" w:leader="dot" w:pos="9350"/>
        </w:tabs>
        <w:jc w:val="both"/>
        <w:rPr>
          <w:rFonts w:eastAsiaTheme="minorEastAsia"/>
          <w:noProof/>
        </w:rPr>
      </w:pPr>
      <w:hyperlink w:anchor="_Toc126555813" w:history="1">
        <w:r w:rsidR="006477B4" w:rsidRPr="0058248C">
          <w:rPr>
            <w:rStyle w:val="Hyperlink"/>
            <w:noProof/>
          </w:rPr>
          <w:t>Tax expenditure assessment responsibility</w:t>
        </w:r>
        <w:r w:rsidR="006477B4">
          <w:rPr>
            <w:noProof/>
            <w:webHidden/>
          </w:rPr>
          <w:tab/>
        </w:r>
        <w:r w:rsidR="006477B4">
          <w:rPr>
            <w:noProof/>
            <w:webHidden/>
          </w:rPr>
          <w:fldChar w:fldCharType="begin"/>
        </w:r>
        <w:r w:rsidR="006477B4">
          <w:rPr>
            <w:noProof/>
            <w:webHidden/>
          </w:rPr>
          <w:instrText xml:space="preserve"> PAGEREF _Toc126555813 \h </w:instrText>
        </w:r>
        <w:r w:rsidR="006477B4">
          <w:rPr>
            <w:noProof/>
            <w:webHidden/>
          </w:rPr>
        </w:r>
        <w:r w:rsidR="006477B4">
          <w:rPr>
            <w:noProof/>
            <w:webHidden/>
          </w:rPr>
          <w:fldChar w:fldCharType="separate"/>
        </w:r>
        <w:r w:rsidR="006477B4">
          <w:rPr>
            <w:noProof/>
            <w:webHidden/>
          </w:rPr>
          <w:t>8</w:t>
        </w:r>
        <w:r w:rsidR="006477B4">
          <w:rPr>
            <w:noProof/>
            <w:webHidden/>
          </w:rPr>
          <w:fldChar w:fldCharType="end"/>
        </w:r>
      </w:hyperlink>
    </w:p>
    <w:p w14:paraId="79BEBC63" w14:textId="1DC11B98" w:rsidR="006477B4" w:rsidRDefault="00185F2A" w:rsidP="00E90BA7">
      <w:pPr>
        <w:pStyle w:val="TOC2"/>
        <w:tabs>
          <w:tab w:val="left" w:pos="720"/>
          <w:tab w:val="right" w:leader="dot" w:pos="9350"/>
        </w:tabs>
        <w:jc w:val="both"/>
        <w:rPr>
          <w:rFonts w:eastAsiaTheme="minorEastAsia"/>
          <w:noProof/>
        </w:rPr>
      </w:pPr>
      <w:hyperlink w:anchor="_Toc126555814" w:history="1">
        <w:r w:rsidR="006477B4" w:rsidRPr="0058248C">
          <w:rPr>
            <w:rStyle w:val="Hyperlink"/>
            <w:noProof/>
          </w:rPr>
          <w:t>I.</w:t>
        </w:r>
        <w:r w:rsidR="006477B4">
          <w:rPr>
            <w:rFonts w:eastAsiaTheme="minorEastAsia"/>
            <w:noProof/>
          </w:rPr>
          <w:tab/>
        </w:r>
        <w:r w:rsidR="006477B4" w:rsidRPr="0058248C">
          <w:rPr>
            <w:rStyle w:val="Hyperlink"/>
            <w:noProof/>
          </w:rPr>
          <w:t>Introduction</w:t>
        </w:r>
        <w:r w:rsidR="006477B4">
          <w:rPr>
            <w:noProof/>
            <w:webHidden/>
          </w:rPr>
          <w:tab/>
        </w:r>
        <w:r w:rsidR="006477B4">
          <w:rPr>
            <w:noProof/>
            <w:webHidden/>
          </w:rPr>
          <w:fldChar w:fldCharType="begin"/>
        </w:r>
        <w:r w:rsidR="006477B4">
          <w:rPr>
            <w:noProof/>
            <w:webHidden/>
          </w:rPr>
          <w:instrText xml:space="preserve"> PAGEREF _Toc126555814 \h </w:instrText>
        </w:r>
        <w:r w:rsidR="006477B4">
          <w:rPr>
            <w:noProof/>
            <w:webHidden/>
          </w:rPr>
        </w:r>
        <w:r w:rsidR="006477B4">
          <w:rPr>
            <w:noProof/>
            <w:webHidden/>
          </w:rPr>
          <w:fldChar w:fldCharType="separate"/>
        </w:r>
        <w:r w:rsidR="006477B4">
          <w:rPr>
            <w:noProof/>
            <w:webHidden/>
          </w:rPr>
          <w:t>10</w:t>
        </w:r>
        <w:r w:rsidR="006477B4">
          <w:rPr>
            <w:noProof/>
            <w:webHidden/>
          </w:rPr>
          <w:fldChar w:fldCharType="end"/>
        </w:r>
      </w:hyperlink>
    </w:p>
    <w:p w14:paraId="254E15BB" w14:textId="3053FA5B" w:rsidR="006477B4" w:rsidRDefault="00185F2A" w:rsidP="00E90BA7">
      <w:pPr>
        <w:pStyle w:val="TOC3"/>
        <w:tabs>
          <w:tab w:val="right" w:leader="dot" w:pos="9350"/>
        </w:tabs>
        <w:jc w:val="both"/>
        <w:rPr>
          <w:rFonts w:eastAsiaTheme="minorEastAsia"/>
          <w:noProof/>
        </w:rPr>
      </w:pPr>
      <w:hyperlink w:anchor="_Toc126555815" w:history="1">
        <w:r w:rsidR="006477B4" w:rsidRPr="0058248C">
          <w:rPr>
            <w:rStyle w:val="Hyperlink"/>
            <w:noProof/>
          </w:rPr>
          <w:t>Tax expenditures reporting and its use in fiscal management</w:t>
        </w:r>
        <w:r w:rsidR="006477B4">
          <w:rPr>
            <w:noProof/>
            <w:webHidden/>
          </w:rPr>
          <w:tab/>
        </w:r>
        <w:r w:rsidR="006477B4">
          <w:rPr>
            <w:noProof/>
            <w:webHidden/>
          </w:rPr>
          <w:fldChar w:fldCharType="begin"/>
        </w:r>
        <w:r w:rsidR="006477B4">
          <w:rPr>
            <w:noProof/>
            <w:webHidden/>
          </w:rPr>
          <w:instrText xml:space="preserve"> PAGEREF _Toc126555815 \h </w:instrText>
        </w:r>
        <w:r w:rsidR="006477B4">
          <w:rPr>
            <w:noProof/>
            <w:webHidden/>
          </w:rPr>
        </w:r>
        <w:r w:rsidR="006477B4">
          <w:rPr>
            <w:noProof/>
            <w:webHidden/>
          </w:rPr>
          <w:fldChar w:fldCharType="separate"/>
        </w:r>
        <w:r w:rsidR="006477B4">
          <w:rPr>
            <w:noProof/>
            <w:webHidden/>
          </w:rPr>
          <w:t>10</w:t>
        </w:r>
        <w:r w:rsidR="006477B4">
          <w:rPr>
            <w:noProof/>
            <w:webHidden/>
          </w:rPr>
          <w:fldChar w:fldCharType="end"/>
        </w:r>
      </w:hyperlink>
    </w:p>
    <w:p w14:paraId="3FA472D6" w14:textId="1D31460B" w:rsidR="006477B4" w:rsidRDefault="00185F2A" w:rsidP="00E90BA7">
      <w:pPr>
        <w:pStyle w:val="TOC3"/>
        <w:tabs>
          <w:tab w:val="right" w:leader="dot" w:pos="9350"/>
        </w:tabs>
        <w:jc w:val="both"/>
        <w:rPr>
          <w:rFonts w:eastAsiaTheme="minorEastAsia"/>
          <w:noProof/>
        </w:rPr>
      </w:pPr>
      <w:hyperlink w:anchor="_Toc126555816" w:history="1">
        <w:r w:rsidR="006477B4" w:rsidRPr="0058248C">
          <w:rPr>
            <w:rStyle w:val="Hyperlink"/>
            <w:noProof/>
          </w:rPr>
          <w:t>Forms of tax relief</w:t>
        </w:r>
        <w:r w:rsidR="006477B4">
          <w:rPr>
            <w:noProof/>
            <w:webHidden/>
          </w:rPr>
          <w:tab/>
        </w:r>
        <w:r w:rsidR="006477B4">
          <w:rPr>
            <w:noProof/>
            <w:webHidden/>
          </w:rPr>
          <w:fldChar w:fldCharType="begin"/>
        </w:r>
        <w:r w:rsidR="006477B4">
          <w:rPr>
            <w:noProof/>
            <w:webHidden/>
          </w:rPr>
          <w:instrText xml:space="preserve"> PAGEREF _Toc126555816 \h </w:instrText>
        </w:r>
        <w:r w:rsidR="006477B4">
          <w:rPr>
            <w:noProof/>
            <w:webHidden/>
          </w:rPr>
        </w:r>
        <w:r w:rsidR="006477B4">
          <w:rPr>
            <w:noProof/>
            <w:webHidden/>
          </w:rPr>
          <w:fldChar w:fldCharType="separate"/>
        </w:r>
        <w:r w:rsidR="006477B4">
          <w:rPr>
            <w:noProof/>
            <w:webHidden/>
          </w:rPr>
          <w:t>10</w:t>
        </w:r>
        <w:r w:rsidR="006477B4">
          <w:rPr>
            <w:noProof/>
            <w:webHidden/>
          </w:rPr>
          <w:fldChar w:fldCharType="end"/>
        </w:r>
      </w:hyperlink>
    </w:p>
    <w:p w14:paraId="22D655A9" w14:textId="563EDCF4" w:rsidR="006477B4" w:rsidRDefault="00185F2A" w:rsidP="00E90BA7">
      <w:pPr>
        <w:pStyle w:val="TOC3"/>
        <w:tabs>
          <w:tab w:val="right" w:leader="dot" w:pos="9350"/>
        </w:tabs>
        <w:jc w:val="both"/>
        <w:rPr>
          <w:rFonts w:eastAsiaTheme="minorEastAsia"/>
          <w:noProof/>
        </w:rPr>
      </w:pPr>
      <w:hyperlink w:anchor="_Toc126555817" w:history="1">
        <w:r w:rsidR="006477B4" w:rsidRPr="0058248C">
          <w:rPr>
            <w:rStyle w:val="Hyperlink"/>
            <w:noProof/>
          </w:rPr>
          <w:t>Tax relief vs. support defrayed from the budget's expenditure side</w:t>
        </w:r>
        <w:r w:rsidR="006477B4">
          <w:rPr>
            <w:noProof/>
            <w:webHidden/>
          </w:rPr>
          <w:tab/>
        </w:r>
        <w:r w:rsidR="006477B4">
          <w:rPr>
            <w:noProof/>
            <w:webHidden/>
          </w:rPr>
          <w:fldChar w:fldCharType="begin"/>
        </w:r>
        <w:r w:rsidR="006477B4">
          <w:rPr>
            <w:noProof/>
            <w:webHidden/>
          </w:rPr>
          <w:instrText xml:space="preserve"> PAGEREF _Toc126555817 \h </w:instrText>
        </w:r>
        <w:r w:rsidR="006477B4">
          <w:rPr>
            <w:noProof/>
            <w:webHidden/>
          </w:rPr>
        </w:r>
        <w:r w:rsidR="006477B4">
          <w:rPr>
            <w:noProof/>
            <w:webHidden/>
          </w:rPr>
          <w:fldChar w:fldCharType="separate"/>
        </w:r>
        <w:r w:rsidR="006477B4">
          <w:rPr>
            <w:noProof/>
            <w:webHidden/>
          </w:rPr>
          <w:t>10</w:t>
        </w:r>
        <w:r w:rsidR="006477B4">
          <w:rPr>
            <w:noProof/>
            <w:webHidden/>
          </w:rPr>
          <w:fldChar w:fldCharType="end"/>
        </w:r>
      </w:hyperlink>
    </w:p>
    <w:p w14:paraId="13A0E6AD" w14:textId="6516516E" w:rsidR="006477B4" w:rsidRDefault="00185F2A" w:rsidP="00E90BA7">
      <w:pPr>
        <w:pStyle w:val="TOC3"/>
        <w:tabs>
          <w:tab w:val="right" w:leader="dot" w:pos="9350"/>
        </w:tabs>
        <w:jc w:val="both"/>
        <w:rPr>
          <w:rFonts w:eastAsiaTheme="minorEastAsia"/>
          <w:noProof/>
        </w:rPr>
      </w:pPr>
      <w:hyperlink w:anchor="_Toc126555818" w:history="1">
        <w:r w:rsidR="006477B4" w:rsidRPr="0058248C">
          <w:rPr>
            <w:rStyle w:val="Hyperlink"/>
            <w:noProof/>
          </w:rPr>
          <w:t>Following global good practice in fiscal transparency</w:t>
        </w:r>
        <w:r w:rsidR="006477B4">
          <w:rPr>
            <w:noProof/>
            <w:webHidden/>
          </w:rPr>
          <w:tab/>
        </w:r>
        <w:r w:rsidR="006477B4">
          <w:rPr>
            <w:noProof/>
            <w:webHidden/>
          </w:rPr>
          <w:fldChar w:fldCharType="begin"/>
        </w:r>
        <w:r w:rsidR="006477B4">
          <w:rPr>
            <w:noProof/>
            <w:webHidden/>
          </w:rPr>
          <w:instrText xml:space="preserve"> PAGEREF _Toc126555818 \h </w:instrText>
        </w:r>
        <w:r w:rsidR="006477B4">
          <w:rPr>
            <w:noProof/>
            <w:webHidden/>
          </w:rPr>
        </w:r>
        <w:r w:rsidR="006477B4">
          <w:rPr>
            <w:noProof/>
            <w:webHidden/>
          </w:rPr>
          <w:fldChar w:fldCharType="separate"/>
        </w:r>
        <w:r w:rsidR="006477B4">
          <w:rPr>
            <w:noProof/>
            <w:webHidden/>
          </w:rPr>
          <w:t>11</w:t>
        </w:r>
        <w:r w:rsidR="006477B4">
          <w:rPr>
            <w:noProof/>
            <w:webHidden/>
          </w:rPr>
          <w:fldChar w:fldCharType="end"/>
        </w:r>
      </w:hyperlink>
    </w:p>
    <w:p w14:paraId="1EBE29C1" w14:textId="2589596B" w:rsidR="006477B4" w:rsidRDefault="00185F2A" w:rsidP="00E90BA7">
      <w:pPr>
        <w:pStyle w:val="TOC3"/>
        <w:tabs>
          <w:tab w:val="right" w:leader="dot" w:pos="9350"/>
        </w:tabs>
        <w:jc w:val="both"/>
        <w:rPr>
          <w:rFonts w:eastAsiaTheme="minorEastAsia"/>
          <w:noProof/>
        </w:rPr>
      </w:pPr>
      <w:hyperlink w:anchor="_Toc126555819" w:history="1">
        <w:r w:rsidR="006477B4" w:rsidRPr="0058248C">
          <w:rPr>
            <w:rStyle w:val="Hyperlink"/>
            <w:noProof/>
          </w:rPr>
          <w:t>The steps of the Moldovan TEs assessment</w:t>
        </w:r>
        <w:r w:rsidR="006477B4">
          <w:rPr>
            <w:noProof/>
            <w:webHidden/>
          </w:rPr>
          <w:tab/>
        </w:r>
        <w:r w:rsidR="006477B4">
          <w:rPr>
            <w:noProof/>
            <w:webHidden/>
          </w:rPr>
          <w:fldChar w:fldCharType="begin"/>
        </w:r>
        <w:r w:rsidR="006477B4">
          <w:rPr>
            <w:noProof/>
            <w:webHidden/>
          </w:rPr>
          <w:instrText xml:space="preserve"> PAGEREF _Toc126555819 \h </w:instrText>
        </w:r>
        <w:r w:rsidR="006477B4">
          <w:rPr>
            <w:noProof/>
            <w:webHidden/>
          </w:rPr>
        </w:r>
        <w:r w:rsidR="006477B4">
          <w:rPr>
            <w:noProof/>
            <w:webHidden/>
          </w:rPr>
          <w:fldChar w:fldCharType="separate"/>
        </w:r>
        <w:r w:rsidR="006477B4">
          <w:rPr>
            <w:noProof/>
            <w:webHidden/>
          </w:rPr>
          <w:t>11</w:t>
        </w:r>
        <w:r w:rsidR="006477B4">
          <w:rPr>
            <w:noProof/>
            <w:webHidden/>
          </w:rPr>
          <w:fldChar w:fldCharType="end"/>
        </w:r>
      </w:hyperlink>
    </w:p>
    <w:p w14:paraId="00549FB8" w14:textId="00A6EFCB" w:rsidR="006477B4" w:rsidRDefault="00185F2A" w:rsidP="00E90BA7">
      <w:pPr>
        <w:pStyle w:val="TOC3"/>
        <w:tabs>
          <w:tab w:val="right" w:leader="dot" w:pos="9350"/>
        </w:tabs>
        <w:jc w:val="both"/>
        <w:rPr>
          <w:rFonts w:eastAsiaTheme="minorEastAsia"/>
          <w:noProof/>
        </w:rPr>
      </w:pPr>
      <w:hyperlink w:anchor="_Toc126555820" w:history="1">
        <w:r w:rsidR="006477B4" w:rsidRPr="0058248C">
          <w:rPr>
            <w:rStyle w:val="Hyperlink"/>
            <w:noProof/>
          </w:rPr>
          <w:t>Tax instrument categories covered</w:t>
        </w:r>
        <w:r w:rsidR="006477B4">
          <w:rPr>
            <w:noProof/>
            <w:webHidden/>
          </w:rPr>
          <w:tab/>
        </w:r>
        <w:r w:rsidR="006477B4">
          <w:rPr>
            <w:noProof/>
            <w:webHidden/>
          </w:rPr>
          <w:fldChar w:fldCharType="begin"/>
        </w:r>
        <w:r w:rsidR="006477B4">
          <w:rPr>
            <w:noProof/>
            <w:webHidden/>
          </w:rPr>
          <w:instrText xml:space="preserve"> PAGEREF _Toc126555820 \h </w:instrText>
        </w:r>
        <w:r w:rsidR="006477B4">
          <w:rPr>
            <w:noProof/>
            <w:webHidden/>
          </w:rPr>
        </w:r>
        <w:r w:rsidR="006477B4">
          <w:rPr>
            <w:noProof/>
            <w:webHidden/>
          </w:rPr>
          <w:fldChar w:fldCharType="separate"/>
        </w:r>
        <w:r w:rsidR="006477B4">
          <w:rPr>
            <w:noProof/>
            <w:webHidden/>
          </w:rPr>
          <w:t>12</w:t>
        </w:r>
        <w:r w:rsidR="006477B4">
          <w:rPr>
            <w:noProof/>
            <w:webHidden/>
          </w:rPr>
          <w:fldChar w:fldCharType="end"/>
        </w:r>
      </w:hyperlink>
    </w:p>
    <w:p w14:paraId="497FF7B6" w14:textId="2AC8B731" w:rsidR="006477B4" w:rsidRDefault="00185F2A" w:rsidP="00E90BA7">
      <w:pPr>
        <w:pStyle w:val="TOC2"/>
        <w:tabs>
          <w:tab w:val="left" w:pos="720"/>
          <w:tab w:val="right" w:leader="dot" w:pos="9350"/>
        </w:tabs>
        <w:jc w:val="both"/>
        <w:rPr>
          <w:rFonts w:eastAsiaTheme="minorEastAsia"/>
          <w:noProof/>
        </w:rPr>
      </w:pPr>
      <w:hyperlink w:anchor="_Toc126555821" w:history="1">
        <w:r w:rsidR="006477B4" w:rsidRPr="0058248C">
          <w:rPr>
            <w:rStyle w:val="Hyperlink"/>
            <w:noProof/>
          </w:rPr>
          <w:t>II.</w:t>
        </w:r>
        <w:r w:rsidR="006477B4">
          <w:rPr>
            <w:rFonts w:eastAsiaTheme="minorEastAsia"/>
            <w:noProof/>
          </w:rPr>
          <w:tab/>
        </w:r>
        <w:r w:rsidR="006477B4" w:rsidRPr="0058248C">
          <w:rPr>
            <w:rStyle w:val="Hyperlink"/>
            <w:noProof/>
          </w:rPr>
          <w:t>Defining a Benchmark Tax System for Moldova</w:t>
        </w:r>
        <w:r w:rsidR="006477B4">
          <w:rPr>
            <w:noProof/>
            <w:webHidden/>
          </w:rPr>
          <w:tab/>
        </w:r>
        <w:r w:rsidR="006477B4">
          <w:rPr>
            <w:noProof/>
            <w:webHidden/>
          </w:rPr>
          <w:fldChar w:fldCharType="begin"/>
        </w:r>
        <w:r w:rsidR="006477B4">
          <w:rPr>
            <w:noProof/>
            <w:webHidden/>
          </w:rPr>
          <w:instrText xml:space="preserve"> PAGEREF _Toc126555821 \h </w:instrText>
        </w:r>
        <w:r w:rsidR="006477B4">
          <w:rPr>
            <w:noProof/>
            <w:webHidden/>
          </w:rPr>
        </w:r>
        <w:r w:rsidR="006477B4">
          <w:rPr>
            <w:noProof/>
            <w:webHidden/>
          </w:rPr>
          <w:fldChar w:fldCharType="separate"/>
        </w:r>
        <w:r w:rsidR="006477B4">
          <w:rPr>
            <w:noProof/>
            <w:webHidden/>
          </w:rPr>
          <w:t>12</w:t>
        </w:r>
        <w:r w:rsidR="006477B4">
          <w:rPr>
            <w:noProof/>
            <w:webHidden/>
          </w:rPr>
          <w:fldChar w:fldCharType="end"/>
        </w:r>
      </w:hyperlink>
    </w:p>
    <w:p w14:paraId="4D4EDEDA" w14:textId="4974820A" w:rsidR="006477B4" w:rsidRDefault="00185F2A" w:rsidP="00E90BA7">
      <w:pPr>
        <w:pStyle w:val="TOC3"/>
        <w:tabs>
          <w:tab w:val="right" w:leader="dot" w:pos="9350"/>
        </w:tabs>
        <w:jc w:val="both"/>
        <w:rPr>
          <w:rFonts w:eastAsiaTheme="minorEastAsia"/>
          <w:noProof/>
        </w:rPr>
      </w:pPr>
      <w:hyperlink w:anchor="_Toc126555822" w:history="1">
        <w:r w:rsidR="006477B4" w:rsidRPr="0058248C">
          <w:rPr>
            <w:rStyle w:val="Hyperlink"/>
            <w:b/>
            <w:bCs/>
            <w:noProof/>
          </w:rPr>
          <w:t>General description and definitional issues</w:t>
        </w:r>
        <w:r w:rsidR="006477B4">
          <w:rPr>
            <w:noProof/>
            <w:webHidden/>
          </w:rPr>
          <w:tab/>
        </w:r>
        <w:r w:rsidR="006477B4">
          <w:rPr>
            <w:noProof/>
            <w:webHidden/>
          </w:rPr>
          <w:fldChar w:fldCharType="begin"/>
        </w:r>
        <w:r w:rsidR="006477B4">
          <w:rPr>
            <w:noProof/>
            <w:webHidden/>
          </w:rPr>
          <w:instrText xml:space="preserve"> PAGEREF _Toc126555822 \h </w:instrText>
        </w:r>
        <w:r w:rsidR="006477B4">
          <w:rPr>
            <w:noProof/>
            <w:webHidden/>
          </w:rPr>
        </w:r>
        <w:r w:rsidR="006477B4">
          <w:rPr>
            <w:noProof/>
            <w:webHidden/>
          </w:rPr>
          <w:fldChar w:fldCharType="separate"/>
        </w:r>
        <w:r w:rsidR="006477B4">
          <w:rPr>
            <w:noProof/>
            <w:webHidden/>
          </w:rPr>
          <w:t>12</w:t>
        </w:r>
        <w:r w:rsidR="006477B4">
          <w:rPr>
            <w:noProof/>
            <w:webHidden/>
          </w:rPr>
          <w:fldChar w:fldCharType="end"/>
        </w:r>
      </w:hyperlink>
    </w:p>
    <w:p w14:paraId="65C84256" w14:textId="303DD4A9" w:rsidR="006477B4" w:rsidRDefault="00185F2A" w:rsidP="00E90BA7">
      <w:pPr>
        <w:pStyle w:val="TOC3"/>
        <w:tabs>
          <w:tab w:val="right" w:leader="dot" w:pos="9350"/>
        </w:tabs>
        <w:jc w:val="both"/>
        <w:rPr>
          <w:rFonts w:eastAsiaTheme="minorEastAsia"/>
          <w:noProof/>
        </w:rPr>
      </w:pPr>
      <w:hyperlink w:anchor="_Toc126555823" w:history="1">
        <w:r w:rsidR="006477B4" w:rsidRPr="0058248C">
          <w:rPr>
            <w:rStyle w:val="Hyperlink"/>
            <w:b/>
            <w:bCs/>
            <w:noProof/>
          </w:rPr>
          <w:t>Personal income tax</w:t>
        </w:r>
        <w:r w:rsidR="006477B4">
          <w:rPr>
            <w:noProof/>
            <w:webHidden/>
          </w:rPr>
          <w:tab/>
        </w:r>
        <w:r w:rsidR="006477B4">
          <w:rPr>
            <w:noProof/>
            <w:webHidden/>
          </w:rPr>
          <w:fldChar w:fldCharType="begin"/>
        </w:r>
        <w:r w:rsidR="006477B4">
          <w:rPr>
            <w:noProof/>
            <w:webHidden/>
          </w:rPr>
          <w:instrText xml:space="preserve"> PAGEREF _Toc126555823 \h </w:instrText>
        </w:r>
        <w:r w:rsidR="006477B4">
          <w:rPr>
            <w:noProof/>
            <w:webHidden/>
          </w:rPr>
        </w:r>
        <w:r w:rsidR="006477B4">
          <w:rPr>
            <w:noProof/>
            <w:webHidden/>
          </w:rPr>
          <w:fldChar w:fldCharType="separate"/>
        </w:r>
        <w:r w:rsidR="006477B4">
          <w:rPr>
            <w:noProof/>
            <w:webHidden/>
          </w:rPr>
          <w:t>14</w:t>
        </w:r>
        <w:r w:rsidR="006477B4">
          <w:rPr>
            <w:noProof/>
            <w:webHidden/>
          </w:rPr>
          <w:fldChar w:fldCharType="end"/>
        </w:r>
      </w:hyperlink>
    </w:p>
    <w:p w14:paraId="4EA5C1B8" w14:textId="23292D8C" w:rsidR="006477B4" w:rsidRDefault="00185F2A" w:rsidP="00E90BA7">
      <w:pPr>
        <w:pStyle w:val="TOC3"/>
        <w:tabs>
          <w:tab w:val="right" w:leader="dot" w:pos="9350"/>
        </w:tabs>
        <w:jc w:val="both"/>
        <w:rPr>
          <w:rFonts w:eastAsiaTheme="minorEastAsia"/>
          <w:noProof/>
        </w:rPr>
      </w:pPr>
      <w:hyperlink w:anchor="_Toc126555824" w:history="1">
        <w:r w:rsidR="006477B4" w:rsidRPr="0058248C">
          <w:rPr>
            <w:rStyle w:val="Hyperlink"/>
            <w:b/>
            <w:bCs/>
            <w:noProof/>
          </w:rPr>
          <w:t>Business income tax</w:t>
        </w:r>
        <w:r w:rsidR="006477B4">
          <w:rPr>
            <w:noProof/>
            <w:webHidden/>
          </w:rPr>
          <w:tab/>
        </w:r>
        <w:r w:rsidR="006477B4">
          <w:rPr>
            <w:noProof/>
            <w:webHidden/>
          </w:rPr>
          <w:fldChar w:fldCharType="begin"/>
        </w:r>
        <w:r w:rsidR="006477B4">
          <w:rPr>
            <w:noProof/>
            <w:webHidden/>
          </w:rPr>
          <w:instrText xml:space="preserve"> PAGEREF _Toc126555824 \h </w:instrText>
        </w:r>
        <w:r w:rsidR="006477B4">
          <w:rPr>
            <w:noProof/>
            <w:webHidden/>
          </w:rPr>
        </w:r>
        <w:r w:rsidR="006477B4">
          <w:rPr>
            <w:noProof/>
            <w:webHidden/>
          </w:rPr>
          <w:fldChar w:fldCharType="separate"/>
        </w:r>
        <w:r w:rsidR="006477B4">
          <w:rPr>
            <w:noProof/>
            <w:webHidden/>
          </w:rPr>
          <w:t>19</w:t>
        </w:r>
        <w:r w:rsidR="006477B4">
          <w:rPr>
            <w:noProof/>
            <w:webHidden/>
          </w:rPr>
          <w:fldChar w:fldCharType="end"/>
        </w:r>
      </w:hyperlink>
    </w:p>
    <w:p w14:paraId="48059FF0" w14:textId="2E257165" w:rsidR="006477B4" w:rsidRDefault="00185F2A" w:rsidP="00E90BA7">
      <w:pPr>
        <w:pStyle w:val="TOC3"/>
        <w:tabs>
          <w:tab w:val="right" w:leader="dot" w:pos="9350"/>
        </w:tabs>
        <w:jc w:val="both"/>
        <w:rPr>
          <w:rFonts w:eastAsiaTheme="minorEastAsia"/>
          <w:noProof/>
        </w:rPr>
      </w:pPr>
      <w:hyperlink w:anchor="_Toc126555825" w:history="1">
        <w:r w:rsidR="006477B4" w:rsidRPr="0058248C">
          <w:rPr>
            <w:rStyle w:val="Hyperlink"/>
            <w:b/>
            <w:bCs/>
            <w:noProof/>
          </w:rPr>
          <w:t>Value-added tax</w:t>
        </w:r>
        <w:r w:rsidR="006477B4">
          <w:rPr>
            <w:noProof/>
            <w:webHidden/>
          </w:rPr>
          <w:tab/>
        </w:r>
        <w:r w:rsidR="006477B4">
          <w:rPr>
            <w:noProof/>
            <w:webHidden/>
          </w:rPr>
          <w:fldChar w:fldCharType="begin"/>
        </w:r>
        <w:r w:rsidR="006477B4">
          <w:rPr>
            <w:noProof/>
            <w:webHidden/>
          </w:rPr>
          <w:instrText xml:space="preserve"> PAGEREF _Toc126555825 \h </w:instrText>
        </w:r>
        <w:r w:rsidR="006477B4">
          <w:rPr>
            <w:noProof/>
            <w:webHidden/>
          </w:rPr>
        </w:r>
        <w:r w:rsidR="006477B4">
          <w:rPr>
            <w:noProof/>
            <w:webHidden/>
          </w:rPr>
          <w:fldChar w:fldCharType="separate"/>
        </w:r>
        <w:r w:rsidR="006477B4">
          <w:rPr>
            <w:noProof/>
            <w:webHidden/>
          </w:rPr>
          <w:t>22</w:t>
        </w:r>
        <w:r w:rsidR="006477B4">
          <w:rPr>
            <w:noProof/>
            <w:webHidden/>
          </w:rPr>
          <w:fldChar w:fldCharType="end"/>
        </w:r>
      </w:hyperlink>
    </w:p>
    <w:p w14:paraId="1AD589D7" w14:textId="50BA4418" w:rsidR="006477B4" w:rsidRDefault="00185F2A" w:rsidP="00E90BA7">
      <w:pPr>
        <w:pStyle w:val="TOC3"/>
        <w:tabs>
          <w:tab w:val="right" w:leader="dot" w:pos="9350"/>
        </w:tabs>
        <w:jc w:val="both"/>
        <w:rPr>
          <w:rFonts w:eastAsiaTheme="minorEastAsia"/>
          <w:noProof/>
        </w:rPr>
      </w:pPr>
      <w:hyperlink w:anchor="_Toc126555826" w:history="1">
        <w:r w:rsidR="006477B4" w:rsidRPr="0058248C">
          <w:rPr>
            <w:rStyle w:val="Hyperlink"/>
            <w:b/>
            <w:bCs/>
            <w:noProof/>
            <w:lang w:val="en-CA"/>
          </w:rPr>
          <w:t>Excise Duties</w:t>
        </w:r>
        <w:r w:rsidR="006477B4">
          <w:rPr>
            <w:noProof/>
            <w:webHidden/>
          </w:rPr>
          <w:tab/>
        </w:r>
        <w:r w:rsidR="006477B4">
          <w:rPr>
            <w:noProof/>
            <w:webHidden/>
          </w:rPr>
          <w:fldChar w:fldCharType="begin"/>
        </w:r>
        <w:r w:rsidR="006477B4">
          <w:rPr>
            <w:noProof/>
            <w:webHidden/>
          </w:rPr>
          <w:instrText xml:space="preserve"> PAGEREF _Toc126555826 \h </w:instrText>
        </w:r>
        <w:r w:rsidR="006477B4">
          <w:rPr>
            <w:noProof/>
            <w:webHidden/>
          </w:rPr>
        </w:r>
        <w:r w:rsidR="006477B4">
          <w:rPr>
            <w:noProof/>
            <w:webHidden/>
          </w:rPr>
          <w:fldChar w:fldCharType="separate"/>
        </w:r>
        <w:r w:rsidR="006477B4">
          <w:rPr>
            <w:noProof/>
            <w:webHidden/>
          </w:rPr>
          <w:t>27</w:t>
        </w:r>
        <w:r w:rsidR="006477B4">
          <w:rPr>
            <w:noProof/>
            <w:webHidden/>
          </w:rPr>
          <w:fldChar w:fldCharType="end"/>
        </w:r>
      </w:hyperlink>
    </w:p>
    <w:p w14:paraId="0D15B3CE" w14:textId="49205502" w:rsidR="006477B4" w:rsidRDefault="00185F2A" w:rsidP="00E90BA7">
      <w:pPr>
        <w:pStyle w:val="TOC3"/>
        <w:tabs>
          <w:tab w:val="right" w:leader="dot" w:pos="9350"/>
        </w:tabs>
        <w:jc w:val="both"/>
        <w:rPr>
          <w:rFonts w:eastAsiaTheme="minorEastAsia"/>
          <w:noProof/>
        </w:rPr>
      </w:pPr>
      <w:hyperlink w:anchor="_Toc126555827" w:history="1">
        <w:r w:rsidR="006477B4" w:rsidRPr="0058248C">
          <w:rPr>
            <w:rStyle w:val="Hyperlink"/>
            <w:rFonts w:asciiTheme="majorHAnsi" w:hAnsiTheme="majorHAnsi" w:cstheme="majorHAnsi"/>
            <w:b/>
            <w:bCs/>
            <w:noProof/>
            <w:lang w:val="en-CA"/>
          </w:rPr>
          <w:t>Road Usage Fees</w:t>
        </w:r>
        <w:r w:rsidR="006477B4">
          <w:rPr>
            <w:noProof/>
            <w:webHidden/>
          </w:rPr>
          <w:tab/>
        </w:r>
        <w:r w:rsidR="006477B4">
          <w:rPr>
            <w:noProof/>
            <w:webHidden/>
          </w:rPr>
          <w:fldChar w:fldCharType="begin"/>
        </w:r>
        <w:r w:rsidR="006477B4">
          <w:rPr>
            <w:noProof/>
            <w:webHidden/>
          </w:rPr>
          <w:instrText xml:space="preserve"> PAGEREF _Toc126555827 \h </w:instrText>
        </w:r>
        <w:r w:rsidR="006477B4">
          <w:rPr>
            <w:noProof/>
            <w:webHidden/>
          </w:rPr>
        </w:r>
        <w:r w:rsidR="006477B4">
          <w:rPr>
            <w:noProof/>
            <w:webHidden/>
          </w:rPr>
          <w:fldChar w:fldCharType="separate"/>
        </w:r>
        <w:r w:rsidR="006477B4">
          <w:rPr>
            <w:noProof/>
            <w:webHidden/>
          </w:rPr>
          <w:t>31</w:t>
        </w:r>
        <w:r w:rsidR="006477B4">
          <w:rPr>
            <w:noProof/>
            <w:webHidden/>
          </w:rPr>
          <w:fldChar w:fldCharType="end"/>
        </w:r>
      </w:hyperlink>
    </w:p>
    <w:p w14:paraId="149FB03E" w14:textId="0BCCF3EF" w:rsidR="006477B4" w:rsidRDefault="00185F2A" w:rsidP="00E90BA7">
      <w:pPr>
        <w:pStyle w:val="TOC3"/>
        <w:tabs>
          <w:tab w:val="right" w:leader="dot" w:pos="9350"/>
        </w:tabs>
        <w:jc w:val="both"/>
        <w:rPr>
          <w:rFonts w:eastAsiaTheme="minorEastAsia"/>
          <w:noProof/>
        </w:rPr>
      </w:pPr>
      <w:hyperlink w:anchor="_Toc126555828" w:history="1">
        <w:r w:rsidR="006477B4" w:rsidRPr="0058248C">
          <w:rPr>
            <w:rStyle w:val="Hyperlink"/>
            <w:rFonts w:asciiTheme="majorHAnsi" w:hAnsiTheme="majorHAnsi" w:cstheme="majorHAnsi"/>
            <w:b/>
            <w:bCs/>
            <w:noProof/>
            <w:lang w:val="en-CA"/>
          </w:rPr>
          <w:t>Import Duties</w:t>
        </w:r>
        <w:r w:rsidR="006477B4">
          <w:rPr>
            <w:noProof/>
            <w:webHidden/>
          </w:rPr>
          <w:tab/>
        </w:r>
        <w:r w:rsidR="006477B4">
          <w:rPr>
            <w:noProof/>
            <w:webHidden/>
          </w:rPr>
          <w:fldChar w:fldCharType="begin"/>
        </w:r>
        <w:r w:rsidR="006477B4">
          <w:rPr>
            <w:noProof/>
            <w:webHidden/>
          </w:rPr>
          <w:instrText xml:space="preserve"> PAGEREF _Toc126555828 \h </w:instrText>
        </w:r>
        <w:r w:rsidR="006477B4">
          <w:rPr>
            <w:noProof/>
            <w:webHidden/>
          </w:rPr>
        </w:r>
        <w:r w:rsidR="006477B4">
          <w:rPr>
            <w:noProof/>
            <w:webHidden/>
          </w:rPr>
          <w:fldChar w:fldCharType="separate"/>
        </w:r>
        <w:r w:rsidR="006477B4">
          <w:rPr>
            <w:noProof/>
            <w:webHidden/>
          </w:rPr>
          <w:t>32</w:t>
        </w:r>
        <w:r w:rsidR="006477B4">
          <w:rPr>
            <w:noProof/>
            <w:webHidden/>
          </w:rPr>
          <w:fldChar w:fldCharType="end"/>
        </w:r>
      </w:hyperlink>
    </w:p>
    <w:p w14:paraId="4D38FC29" w14:textId="4A9B5C3C" w:rsidR="006477B4" w:rsidRDefault="00185F2A" w:rsidP="00E90BA7">
      <w:pPr>
        <w:pStyle w:val="TOC3"/>
        <w:tabs>
          <w:tab w:val="right" w:leader="dot" w:pos="9350"/>
        </w:tabs>
        <w:jc w:val="both"/>
        <w:rPr>
          <w:rFonts w:eastAsiaTheme="minorEastAsia"/>
          <w:noProof/>
        </w:rPr>
      </w:pPr>
      <w:hyperlink w:anchor="_Toc126555829" w:history="1">
        <w:r w:rsidR="006477B4" w:rsidRPr="0058248C">
          <w:rPr>
            <w:rStyle w:val="Hyperlink"/>
            <w:b/>
            <w:bCs/>
            <w:noProof/>
          </w:rPr>
          <w:t>Real Estate Tax</w:t>
        </w:r>
        <w:r w:rsidR="006477B4">
          <w:rPr>
            <w:noProof/>
            <w:webHidden/>
          </w:rPr>
          <w:tab/>
        </w:r>
        <w:r w:rsidR="006477B4">
          <w:rPr>
            <w:noProof/>
            <w:webHidden/>
          </w:rPr>
          <w:fldChar w:fldCharType="begin"/>
        </w:r>
        <w:r w:rsidR="006477B4">
          <w:rPr>
            <w:noProof/>
            <w:webHidden/>
          </w:rPr>
          <w:instrText xml:space="preserve"> PAGEREF _Toc126555829 \h </w:instrText>
        </w:r>
        <w:r w:rsidR="006477B4">
          <w:rPr>
            <w:noProof/>
            <w:webHidden/>
          </w:rPr>
        </w:r>
        <w:r w:rsidR="006477B4">
          <w:rPr>
            <w:noProof/>
            <w:webHidden/>
          </w:rPr>
          <w:fldChar w:fldCharType="separate"/>
        </w:r>
        <w:r w:rsidR="006477B4">
          <w:rPr>
            <w:noProof/>
            <w:webHidden/>
          </w:rPr>
          <w:t>34</w:t>
        </w:r>
        <w:r w:rsidR="006477B4">
          <w:rPr>
            <w:noProof/>
            <w:webHidden/>
          </w:rPr>
          <w:fldChar w:fldCharType="end"/>
        </w:r>
      </w:hyperlink>
    </w:p>
    <w:p w14:paraId="1E2E8F3B" w14:textId="7C8938ED" w:rsidR="006477B4" w:rsidRDefault="00185F2A" w:rsidP="00E90BA7">
      <w:pPr>
        <w:pStyle w:val="TOC3"/>
        <w:tabs>
          <w:tab w:val="right" w:leader="dot" w:pos="9350"/>
        </w:tabs>
        <w:jc w:val="both"/>
        <w:rPr>
          <w:rFonts w:eastAsiaTheme="minorEastAsia"/>
          <w:noProof/>
        </w:rPr>
      </w:pPr>
      <w:hyperlink w:anchor="_Toc126555830" w:history="1">
        <w:r w:rsidR="006477B4" w:rsidRPr="0058248C">
          <w:rPr>
            <w:rStyle w:val="Hyperlink"/>
            <w:b/>
            <w:bCs/>
            <w:noProof/>
          </w:rPr>
          <w:t>Natural Resources Fees</w:t>
        </w:r>
        <w:r w:rsidR="006477B4">
          <w:rPr>
            <w:noProof/>
            <w:webHidden/>
          </w:rPr>
          <w:tab/>
        </w:r>
        <w:r w:rsidR="006477B4">
          <w:rPr>
            <w:noProof/>
            <w:webHidden/>
          </w:rPr>
          <w:fldChar w:fldCharType="begin"/>
        </w:r>
        <w:r w:rsidR="006477B4">
          <w:rPr>
            <w:noProof/>
            <w:webHidden/>
          </w:rPr>
          <w:instrText xml:space="preserve"> PAGEREF _Toc126555830 \h </w:instrText>
        </w:r>
        <w:r w:rsidR="006477B4">
          <w:rPr>
            <w:noProof/>
            <w:webHidden/>
          </w:rPr>
        </w:r>
        <w:r w:rsidR="006477B4">
          <w:rPr>
            <w:noProof/>
            <w:webHidden/>
          </w:rPr>
          <w:fldChar w:fldCharType="separate"/>
        </w:r>
        <w:r w:rsidR="006477B4">
          <w:rPr>
            <w:noProof/>
            <w:webHidden/>
          </w:rPr>
          <w:t>38</w:t>
        </w:r>
        <w:r w:rsidR="006477B4">
          <w:rPr>
            <w:noProof/>
            <w:webHidden/>
          </w:rPr>
          <w:fldChar w:fldCharType="end"/>
        </w:r>
      </w:hyperlink>
    </w:p>
    <w:p w14:paraId="7B399835" w14:textId="596281CA" w:rsidR="006477B4" w:rsidRDefault="00185F2A" w:rsidP="00E90BA7">
      <w:pPr>
        <w:pStyle w:val="TOC2"/>
        <w:tabs>
          <w:tab w:val="left" w:pos="720"/>
          <w:tab w:val="right" w:leader="dot" w:pos="9350"/>
        </w:tabs>
        <w:jc w:val="both"/>
        <w:rPr>
          <w:rFonts w:eastAsiaTheme="minorEastAsia"/>
          <w:noProof/>
        </w:rPr>
      </w:pPr>
      <w:hyperlink w:anchor="_Toc126555831" w:history="1">
        <w:r w:rsidR="006477B4" w:rsidRPr="0058248C">
          <w:rPr>
            <w:rStyle w:val="Hyperlink"/>
            <w:noProof/>
          </w:rPr>
          <w:t>III.</w:t>
        </w:r>
        <w:r w:rsidR="006477B4">
          <w:rPr>
            <w:rFonts w:eastAsiaTheme="minorEastAsia"/>
            <w:noProof/>
          </w:rPr>
          <w:tab/>
        </w:r>
        <w:r w:rsidR="006477B4" w:rsidRPr="0058248C">
          <w:rPr>
            <w:rStyle w:val="Hyperlink"/>
            <w:noProof/>
          </w:rPr>
          <w:t>Inventory of Identified Variations from the Benchmark</w:t>
        </w:r>
        <w:r w:rsidR="006477B4">
          <w:rPr>
            <w:noProof/>
            <w:webHidden/>
          </w:rPr>
          <w:tab/>
        </w:r>
        <w:r w:rsidR="006477B4">
          <w:rPr>
            <w:noProof/>
            <w:webHidden/>
          </w:rPr>
          <w:fldChar w:fldCharType="begin"/>
        </w:r>
        <w:r w:rsidR="006477B4">
          <w:rPr>
            <w:noProof/>
            <w:webHidden/>
          </w:rPr>
          <w:instrText xml:space="preserve"> PAGEREF _Toc126555831 \h </w:instrText>
        </w:r>
        <w:r w:rsidR="006477B4">
          <w:rPr>
            <w:noProof/>
            <w:webHidden/>
          </w:rPr>
        </w:r>
        <w:r w:rsidR="006477B4">
          <w:rPr>
            <w:noProof/>
            <w:webHidden/>
          </w:rPr>
          <w:fldChar w:fldCharType="separate"/>
        </w:r>
        <w:r w:rsidR="006477B4">
          <w:rPr>
            <w:noProof/>
            <w:webHidden/>
          </w:rPr>
          <w:t>39</w:t>
        </w:r>
        <w:r w:rsidR="006477B4">
          <w:rPr>
            <w:noProof/>
            <w:webHidden/>
          </w:rPr>
          <w:fldChar w:fldCharType="end"/>
        </w:r>
      </w:hyperlink>
    </w:p>
    <w:p w14:paraId="6B9117EC" w14:textId="22337E3A" w:rsidR="006477B4" w:rsidRDefault="00185F2A" w:rsidP="00E90BA7">
      <w:pPr>
        <w:pStyle w:val="TOC2"/>
        <w:tabs>
          <w:tab w:val="left" w:pos="720"/>
          <w:tab w:val="right" w:leader="dot" w:pos="9350"/>
        </w:tabs>
        <w:jc w:val="both"/>
        <w:rPr>
          <w:rFonts w:eastAsiaTheme="minorEastAsia"/>
          <w:noProof/>
        </w:rPr>
      </w:pPr>
      <w:hyperlink w:anchor="_Toc126555832" w:history="1">
        <w:r w:rsidR="006477B4" w:rsidRPr="0058248C">
          <w:rPr>
            <w:rStyle w:val="Hyperlink"/>
            <w:noProof/>
          </w:rPr>
          <w:t>IV.</w:t>
        </w:r>
        <w:r w:rsidR="006477B4">
          <w:rPr>
            <w:rFonts w:eastAsiaTheme="minorEastAsia"/>
            <w:noProof/>
          </w:rPr>
          <w:tab/>
        </w:r>
        <w:r w:rsidR="006477B4" w:rsidRPr="0058248C">
          <w:rPr>
            <w:rStyle w:val="Hyperlink"/>
            <w:noProof/>
          </w:rPr>
          <w:t>Estimation of the Cost of Tax Expenditures</w:t>
        </w:r>
        <w:r w:rsidR="006477B4">
          <w:rPr>
            <w:noProof/>
            <w:webHidden/>
          </w:rPr>
          <w:tab/>
        </w:r>
        <w:r w:rsidR="006477B4">
          <w:rPr>
            <w:noProof/>
            <w:webHidden/>
          </w:rPr>
          <w:fldChar w:fldCharType="begin"/>
        </w:r>
        <w:r w:rsidR="006477B4">
          <w:rPr>
            <w:noProof/>
            <w:webHidden/>
          </w:rPr>
          <w:instrText xml:space="preserve"> PAGEREF _Toc126555832 \h </w:instrText>
        </w:r>
        <w:r w:rsidR="006477B4">
          <w:rPr>
            <w:noProof/>
            <w:webHidden/>
          </w:rPr>
        </w:r>
        <w:r w:rsidR="006477B4">
          <w:rPr>
            <w:noProof/>
            <w:webHidden/>
          </w:rPr>
          <w:fldChar w:fldCharType="separate"/>
        </w:r>
        <w:r w:rsidR="006477B4">
          <w:rPr>
            <w:noProof/>
            <w:webHidden/>
          </w:rPr>
          <w:t>39</w:t>
        </w:r>
        <w:r w:rsidR="006477B4">
          <w:rPr>
            <w:noProof/>
            <w:webHidden/>
          </w:rPr>
          <w:fldChar w:fldCharType="end"/>
        </w:r>
      </w:hyperlink>
    </w:p>
    <w:p w14:paraId="384F9D84" w14:textId="4A018FE1" w:rsidR="006477B4" w:rsidRDefault="00185F2A" w:rsidP="00E90BA7">
      <w:pPr>
        <w:pStyle w:val="TOC3"/>
        <w:tabs>
          <w:tab w:val="right" w:leader="dot" w:pos="9350"/>
        </w:tabs>
        <w:jc w:val="both"/>
        <w:rPr>
          <w:rFonts w:eastAsiaTheme="minorEastAsia"/>
          <w:noProof/>
        </w:rPr>
      </w:pPr>
      <w:hyperlink w:anchor="_Toc126555833" w:history="1">
        <w:r w:rsidR="006477B4" w:rsidRPr="0058248C">
          <w:rPr>
            <w:rStyle w:val="Hyperlink"/>
            <w:noProof/>
          </w:rPr>
          <w:t>Tax Expenditures Methodology for PIT</w:t>
        </w:r>
        <w:r w:rsidR="006477B4">
          <w:rPr>
            <w:noProof/>
            <w:webHidden/>
          </w:rPr>
          <w:tab/>
        </w:r>
        <w:r w:rsidR="006477B4">
          <w:rPr>
            <w:noProof/>
            <w:webHidden/>
          </w:rPr>
          <w:fldChar w:fldCharType="begin"/>
        </w:r>
        <w:r w:rsidR="006477B4">
          <w:rPr>
            <w:noProof/>
            <w:webHidden/>
          </w:rPr>
          <w:instrText xml:space="preserve"> PAGEREF _Toc126555833 \h </w:instrText>
        </w:r>
        <w:r w:rsidR="006477B4">
          <w:rPr>
            <w:noProof/>
            <w:webHidden/>
          </w:rPr>
        </w:r>
        <w:r w:rsidR="006477B4">
          <w:rPr>
            <w:noProof/>
            <w:webHidden/>
          </w:rPr>
          <w:fldChar w:fldCharType="separate"/>
        </w:r>
        <w:r w:rsidR="006477B4">
          <w:rPr>
            <w:noProof/>
            <w:webHidden/>
          </w:rPr>
          <w:t>40</w:t>
        </w:r>
        <w:r w:rsidR="006477B4">
          <w:rPr>
            <w:noProof/>
            <w:webHidden/>
          </w:rPr>
          <w:fldChar w:fldCharType="end"/>
        </w:r>
      </w:hyperlink>
    </w:p>
    <w:p w14:paraId="615A9044" w14:textId="63B1D7AF" w:rsidR="006477B4" w:rsidRDefault="00185F2A" w:rsidP="00E90BA7">
      <w:pPr>
        <w:pStyle w:val="TOC3"/>
        <w:tabs>
          <w:tab w:val="right" w:leader="dot" w:pos="9350"/>
        </w:tabs>
        <w:jc w:val="both"/>
        <w:rPr>
          <w:rFonts w:eastAsiaTheme="minorEastAsia"/>
          <w:noProof/>
        </w:rPr>
      </w:pPr>
      <w:hyperlink w:anchor="_Toc126555834" w:history="1">
        <w:r w:rsidR="006477B4" w:rsidRPr="0058248C">
          <w:rPr>
            <w:rStyle w:val="Hyperlink"/>
            <w:noProof/>
          </w:rPr>
          <w:t>Tax Expenditures Methodology for BIT</w:t>
        </w:r>
        <w:r w:rsidR="006477B4">
          <w:rPr>
            <w:noProof/>
            <w:webHidden/>
          </w:rPr>
          <w:tab/>
        </w:r>
        <w:r w:rsidR="006477B4">
          <w:rPr>
            <w:noProof/>
            <w:webHidden/>
          </w:rPr>
          <w:fldChar w:fldCharType="begin"/>
        </w:r>
        <w:r w:rsidR="006477B4">
          <w:rPr>
            <w:noProof/>
            <w:webHidden/>
          </w:rPr>
          <w:instrText xml:space="preserve"> PAGEREF _Toc126555834 \h </w:instrText>
        </w:r>
        <w:r w:rsidR="006477B4">
          <w:rPr>
            <w:noProof/>
            <w:webHidden/>
          </w:rPr>
        </w:r>
        <w:r w:rsidR="006477B4">
          <w:rPr>
            <w:noProof/>
            <w:webHidden/>
          </w:rPr>
          <w:fldChar w:fldCharType="separate"/>
        </w:r>
        <w:r w:rsidR="006477B4">
          <w:rPr>
            <w:noProof/>
            <w:webHidden/>
          </w:rPr>
          <w:t>41</w:t>
        </w:r>
        <w:r w:rsidR="006477B4">
          <w:rPr>
            <w:noProof/>
            <w:webHidden/>
          </w:rPr>
          <w:fldChar w:fldCharType="end"/>
        </w:r>
      </w:hyperlink>
    </w:p>
    <w:p w14:paraId="6A5D6D32" w14:textId="0081D5FE" w:rsidR="006477B4" w:rsidRDefault="00185F2A" w:rsidP="00E90BA7">
      <w:pPr>
        <w:pStyle w:val="TOC3"/>
        <w:tabs>
          <w:tab w:val="right" w:leader="dot" w:pos="9350"/>
        </w:tabs>
        <w:jc w:val="both"/>
        <w:rPr>
          <w:rFonts w:eastAsiaTheme="minorEastAsia"/>
          <w:noProof/>
        </w:rPr>
      </w:pPr>
      <w:hyperlink w:anchor="_Toc126555835" w:history="1">
        <w:r w:rsidR="006477B4" w:rsidRPr="0058248C">
          <w:rPr>
            <w:rStyle w:val="Hyperlink"/>
            <w:noProof/>
          </w:rPr>
          <w:t>Tax Expenditures Methodology for VAT</w:t>
        </w:r>
        <w:r w:rsidR="006477B4">
          <w:rPr>
            <w:noProof/>
            <w:webHidden/>
          </w:rPr>
          <w:tab/>
        </w:r>
        <w:r w:rsidR="006477B4">
          <w:rPr>
            <w:noProof/>
            <w:webHidden/>
          </w:rPr>
          <w:fldChar w:fldCharType="begin"/>
        </w:r>
        <w:r w:rsidR="006477B4">
          <w:rPr>
            <w:noProof/>
            <w:webHidden/>
          </w:rPr>
          <w:instrText xml:space="preserve"> PAGEREF _Toc126555835 \h </w:instrText>
        </w:r>
        <w:r w:rsidR="006477B4">
          <w:rPr>
            <w:noProof/>
            <w:webHidden/>
          </w:rPr>
        </w:r>
        <w:r w:rsidR="006477B4">
          <w:rPr>
            <w:noProof/>
            <w:webHidden/>
          </w:rPr>
          <w:fldChar w:fldCharType="separate"/>
        </w:r>
        <w:r w:rsidR="006477B4">
          <w:rPr>
            <w:noProof/>
            <w:webHidden/>
          </w:rPr>
          <w:t>43</w:t>
        </w:r>
        <w:r w:rsidR="006477B4">
          <w:rPr>
            <w:noProof/>
            <w:webHidden/>
          </w:rPr>
          <w:fldChar w:fldCharType="end"/>
        </w:r>
      </w:hyperlink>
    </w:p>
    <w:p w14:paraId="1D3317F8" w14:textId="3F9C8F93" w:rsidR="006477B4" w:rsidRDefault="00185F2A" w:rsidP="00E90BA7">
      <w:pPr>
        <w:pStyle w:val="TOC3"/>
        <w:tabs>
          <w:tab w:val="right" w:leader="dot" w:pos="9350"/>
        </w:tabs>
        <w:jc w:val="both"/>
        <w:rPr>
          <w:rFonts w:eastAsiaTheme="minorEastAsia"/>
          <w:noProof/>
        </w:rPr>
      </w:pPr>
      <w:hyperlink w:anchor="_Toc126555836" w:history="1">
        <w:r w:rsidR="006477B4" w:rsidRPr="0058248C">
          <w:rPr>
            <w:rStyle w:val="Hyperlink"/>
            <w:noProof/>
          </w:rPr>
          <w:t>Tax Expenditures Methodology for Excise Duties, Road Usage Fees and Import Duties</w:t>
        </w:r>
        <w:r w:rsidR="006477B4">
          <w:rPr>
            <w:noProof/>
            <w:webHidden/>
          </w:rPr>
          <w:tab/>
        </w:r>
        <w:r w:rsidR="006477B4">
          <w:rPr>
            <w:noProof/>
            <w:webHidden/>
          </w:rPr>
          <w:fldChar w:fldCharType="begin"/>
        </w:r>
        <w:r w:rsidR="006477B4">
          <w:rPr>
            <w:noProof/>
            <w:webHidden/>
          </w:rPr>
          <w:instrText xml:space="preserve"> PAGEREF _Toc126555836 \h </w:instrText>
        </w:r>
        <w:r w:rsidR="006477B4">
          <w:rPr>
            <w:noProof/>
            <w:webHidden/>
          </w:rPr>
        </w:r>
        <w:r w:rsidR="006477B4">
          <w:rPr>
            <w:noProof/>
            <w:webHidden/>
          </w:rPr>
          <w:fldChar w:fldCharType="separate"/>
        </w:r>
        <w:r w:rsidR="006477B4">
          <w:rPr>
            <w:noProof/>
            <w:webHidden/>
          </w:rPr>
          <w:t>45</w:t>
        </w:r>
        <w:r w:rsidR="006477B4">
          <w:rPr>
            <w:noProof/>
            <w:webHidden/>
          </w:rPr>
          <w:fldChar w:fldCharType="end"/>
        </w:r>
      </w:hyperlink>
    </w:p>
    <w:p w14:paraId="4C2B41C9" w14:textId="0243AC05" w:rsidR="006477B4" w:rsidRDefault="00185F2A" w:rsidP="00E90BA7">
      <w:pPr>
        <w:pStyle w:val="TOC3"/>
        <w:tabs>
          <w:tab w:val="right" w:leader="dot" w:pos="9350"/>
        </w:tabs>
        <w:jc w:val="both"/>
        <w:rPr>
          <w:rFonts w:eastAsiaTheme="minorEastAsia"/>
          <w:noProof/>
        </w:rPr>
      </w:pPr>
      <w:hyperlink w:anchor="_Toc126555837" w:history="1">
        <w:r w:rsidR="006477B4" w:rsidRPr="0058248C">
          <w:rPr>
            <w:rStyle w:val="Hyperlink"/>
            <w:noProof/>
          </w:rPr>
          <w:t>Tax Expenditures Methodology for Real Estate Tax and Resource Fees</w:t>
        </w:r>
        <w:r w:rsidR="006477B4">
          <w:rPr>
            <w:noProof/>
            <w:webHidden/>
          </w:rPr>
          <w:tab/>
        </w:r>
        <w:r w:rsidR="006477B4">
          <w:rPr>
            <w:noProof/>
            <w:webHidden/>
          </w:rPr>
          <w:fldChar w:fldCharType="begin"/>
        </w:r>
        <w:r w:rsidR="006477B4">
          <w:rPr>
            <w:noProof/>
            <w:webHidden/>
          </w:rPr>
          <w:instrText xml:space="preserve"> PAGEREF _Toc126555837 \h </w:instrText>
        </w:r>
        <w:r w:rsidR="006477B4">
          <w:rPr>
            <w:noProof/>
            <w:webHidden/>
          </w:rPr>
        </w:r>
        <w:r w:rsidR="006477B4">
          <w:rPr>
            <w:noProof/>
            <w:webHidden/>
          </w:rPr>
          <w:fldChar w:fldCharType="separate"/>
        </w:r>
        <w:r w:rsidR="006477B4">
          <w:rPr>
            <w:noProof/>
            <w:webHidden/>
          </w:rPr>
          <w:t>46</w:t>
        </w:r>
        <w:r w:rsidR="006477B4">
          <w:rPr>
            <w:noProof/>
            <w:webHidden/>
          </w:rPr>
          <w:fldChar w:fldCharType="end"/>
        </w:r>
      </w:hyperlink>
    </w:p>
    <w:p w14:paraId="32879ACE" w14:textId="207A4610" w:rsidR="006477B4" w:rsidRDefault="00185F2A" w:rsidP="00E90BA7">
      <w:pPr>
        <w:pStyle w:val="TOC3"/>
        <w:tabs>
          <w:tab w:val="right" w:leader="dot" w:pos="9350"/>
        </w:tabs>
        <w:jc w:val="both"/>
        <w:rPr>
          <w:rFonts w:eastAsiaTheme="minorEastAsia"/>
          <w:noProof/>
        </w:rPr>
      </w:pPr>
      <w:hyperlink w:anchor="_Toc126555838" w:history="1">
        <w:r w:rsidR="006477B4" w:rsidRPr="0058248C">
          <w:rPr>
            <w:rStyle w:val="Hyperlink"/>
            <w:noProof/>
          </w:rPr>
          <w:t>Costing of Tax Expenditures, 2018-2021</w:t>
        </w:r>
        <w:r w:rsidR="006477B4">
          <w:rPr>
            <w:noProof/>
            <w:webHidden/>
          </w:rPr>
          <w:tab/>
        </w:r>
        <w:r w:rsidR="006477B4">
          <w:rPr>
            <w:noProof/>
            <w:webHidden/>
          </w:rPr>
          <w:fldChar w:fldCharType="begin"/>
        </w:r>
        <w:r w:rsidR="006477B4">
          <w:rPr>
            <w:noProof/>
            <w:webHidden/>
          </w:rPr>
          <w:instrText xml:space="preserve"> PAGEREF _Toc126555838 \h </w:instrText>
        </w:r>
        <w:r w:rsidR="006477B4">
          <w:rPr>
            <w:noProof/>
            <w:webHidden/>
          </w:rPr>
        </w:r>
        <w:r w:rsidR="006477B4">
          <w:rPr>
            <w:noProof/>
            <w:webHidden/>
          </w:rPr>
          <w:fldChar w:fldCharType="separate"/>
        </w:r>
        <w:r w:rsidR="006477B4">
          <w:rPr>
            <w:noProof/>
            <w:webHidden/>
          </w:rPr>
          <w:t>47</w:t>
        </w:r>
        <w:r w:rsidR="006477B4">
          <w:rPr>
            <w:noProof/>
            <w:webHidden/>
          </w:rPr>
          <w:fldChar w:fldCharType="end"/>
        </w:r>
      </w:hyperlink>
    </w:p>
    <w:p w14:paraId="174AA210" w14:textId="72510EF5" w:rsidR="006477B4" w:rsidRDefault="00185F2A" w:rsidP="00E90BA7">
      <w:pPr>
        <w:pStyle w:val="TOC2"/>
        <w:tabs>
          <w:tab w:val="left" w:pos="720"/>
          <w:tab w:val="right" w:leader="dot" w:pos="9350"/>
        </w:tabs>
        <w:jc w:val="both"/>
        <w:rPr>
          <w:rFonts w:eastAsiaTheme="minorEastAsia"/>
          <w:noProof/>
        </w:rPr>
      </w:pPr>
      <w:hyperlink w:anchor="_Toc126555839" w:history="1">
        <w:r w:rsidR="006477B4" w:rsidRPr="0058248C">
          <w:rPr>
            <w:rStyle w:val="Hyperlink"/>
            <w:noProof/>
          </w:rPr>
          <w:t>V.</w:t>
        </w:r>
        <w:r w:rsidR="006477B4">
          <w:rPr>
            <w:rFonts w:eastAsiaTheme="minorEastAsia"/>
            <w:noProof/>
          </w:rPr>
          <w:tab/>
        </w:r>
        <w:r w:rsidR="006477B4" w:rsidRPr="0058248C">
          <w:rPr>
            <w:rStyle w:val="Hyperlink"/>
            <w:noProof/>
          </w:rPr>
          <w:t>The Way forward</w:t>
        </w:r>
        <w:r w:rsidR="006477B4">
          <w:rPr>
            <w:noProof/>
            <w:webHidden/>
          </w:rPr>
          <w:tab/>
        </w:r>
        <w:r w:rsidR="006477B4">
          <w:rPr>
            <w:noProof/>
            <w:webHidden/>
          </w:rPr>
          <w:fldChar w:fldCharType="begin"/>
        </w:r>
        <w:r w:rsidR="006477B4">
          <w:rPr>
            <w:noProof/>
            <w:webHidden/>
          </w:rPr>
          <w:instrText xml:space="preserve"> PAGEREF _Toc126555839 \h </w:instrText>
        </w:r>
        <w:r w:rsidR="006477B4">
          <w:rPr>
            <w:noProof/>
            <w:webHidden/>
          </w:rPr>
        </w:r>
        <w:r w:rsidR="006477B4">
          <w:rPr>
            <w:noProof/>
            <w:webHidden/>
          </w:rPr>
          <w:fldChar w:fldCharType="separate"/>
        </w:r>
        <w:r w:rsidR="006477B4">
          <w:rPr>
            <w:noProof/>
            <w:webHidden/>
          </w:rPr>
          <w:t>51</w:t>
        </w:r>
        <w:r w:rsidR="006477B4">
          <w:rPr>
            <w:noProof/>
            <w:webHidden/>
          </w:rPr>
          <w:fldChar w:fldCharType="end"/>
        </w:r>
      </w:hyperlink>
    </w:p>
    <w:p w14:paraId="2537EF65" w14:textId="413A4F91" w:rsidR="006477B4" w:rsidRDefault="00185F2A" w:rsidP="00E90BA7">
      <w:pPr>
        <w:pStyle w:val="TOC2"/>
        <w:tabs>
          <w:tab w:val="right" w:leader="dot" w:pos="9350"/>
        </w:tabs>
        <w:jc w:val="both"/>
        <w:rPr>
          <w:rFonts w:eastAsiaTheme="minorEastAsia"/>
          <w:noProof/>
        </w:rPr>
      </w:pPr>
      <w:hyperlink w:anchor="_Toc126555840" w:history="1">
        <w:r w:rsidR="006477B4" w:rsidRPr="0058248C">
          <w:rPr>
            <w:rStyle w:val="Hyperlink"/>
            <w:noProof/>
          </w:rPr>
          <w:t>References</w:t>
        </w:r>
        <w:r w:rsidR="006477B4">
          <w:rPr>
            <w:noProof/>
            <w:webHidden/>
          </w:rPr>
          <w:tab/>
        </w:r>
        <w:r w:rsidR="006477B4">
          <w:rPr>
            <w:noProof/>
            <w:webHidden/>
          </w:rPr>
          <w:fldChar w:fldCharType="begin"/>
        </w:r>
        <w:r w:rsidR="006477B4">
          <w:rPr>
            <w:noProof/>
            <w:webHidden/>
          </w:rPr>
          <w:instrText xml:space="preserve"> PAGEREF _Toc126555840 \h </w:instrText>
        </w:r>
        <w:r w:rsidR="006477B4">
          <w:rPr>
            <w:noProof/>
            <w:webHidden/>
          </w:rPr>
        </w:r>
        <w:r w:rsidR="006477B4">
          <w:rPr>
            <w:noProof/>
            <w:webHidden/>
          </w:rPr>
          <w:fldChar w:fldCharType="separate"/>
        </w:r>
        <w:r w:rsidR="006477B4">
          <w:rPr>
            <w:noProof/>
            <w:webHidden/>
          </w:rPr>
          <w:t>52</w:t>
        </w:r>
        <w:r w:rsidR="006477B4">
          <w:rPr>
            <w:noProof/>
            <w:webHidden/>
          </w:rPr>
          <w:fldChar w:fldCharType="end"/>
        </w:r>
      </w:hyperlink>
    </w:p>
    <w:p w14:paraId="6DE7B647" w14:textId="38589592" w:rsidR="006477B4" w:rsidRDefault="00185F2A" w:rsidP="00E90BA7">
      <w:pPr>
        <w:pStyle w:val="TOC2"/>
        <w:tabs>
          <w:tab w:val="left" w:pos="1680"/>
          <w:tab w:val="right" w:leader="dot" w:pos="9350"/>
        </w:tabs>
        <w:jc w:val="both"/>
        <w:rPr>
          <w:rFonts w:eastAsiaTheme="minorEastAsia"/>
          <w:noProof/>
        </w:rPr>
      </w:pPr>
      <w:hyperlink w:anchor="_Toc126555841" w:history="1">
        <w:r w:rsidR="006477B4" w:rsidRPr="0058248C">
          <w:rPr>
            <w:rStyle w:val="Hyperlink"/>
            <w:rFonts w:ascii="Segoe UI" w:hAnsi="Segoe UI" w:cs="Segoe UI"/>
            <w:noProof/>
          </w:rPr>
          <w:t>Appendix 1:</w:t>
        </w:r>
        <w:r w:rsidR="006477B4">
          <w:rPr>
            <w:rFonts w:eastAsiaTheme="minorEastAsia"/>
            <w:noProof/>
          </w:rPr>
          <w:tab/>
        </w:r>
        <w:r w:rsidR="006477B4" w:rsidRPr="0058248C">
          <w:rPr>
            <w:rStyle w:val="Hyperlink"/>
            <w:rFonts w:ascii="Segoe UI" w:hAnsi="Segoe UI" w:cs="Segoe UI"/>
            <w:noProof/>
          </w:rPr>
          <w:t>PIT Tax Expenditures Summary Sheets</w:t>
        </w:r>
        <w:r w:rsidR="006477B4">
          <w:rPr>
            <w:noProof/>
            <w:webHidden/>
          </w:rPr>
          <w:tab/>
        </w:r>
        <w:r w:rsidR="006477B4">
          <w:rPr>
            <w:noProof/>
            <w:webHidden/>
          </w:rPr>
          <w:fldChar w:fldCharType="begin"/>
        </w:r>
        <w:r w:rsidR="006477B4">
          <w:rPr>
            <w:noProof/>
            <w:webHidden/>
          </w:rPr>
          <w:instrText xml:space="preserve"> PAGEREF _Toc126555841 \h </w:instrText>
        </w:r>
        <w:r w:rsidR="006477B4">
          <w:rPr>
            <w:noProof/>
            <w:webHidden/>
          </w:rPr>
        </w:r>
        <w:r w:rsidR="006477B4">
          <w:rPr>
            <w:noProof/>
            <w:webHidden/>
          </w:rPr>
          <w:fldChar w:fldCharType="separate"/>
        </w:r>
        <w:r w:rsidR="006477B4">
          <w:rPr>
            <w:noProof/>
            <w:webHidden/>
          </w:rPr>
          <w:t>53</w:t>
        </w:r>
        <w:r w:rsidR="006477B4">
          <w:rPr>
            <w:noProof/>
            <w:webHidden/>
          </w:rPr>
          <w:fldChar w:fldCharType="end"/>
        </w:r>
      </w:hyperlink>
    </w:p>
    <w:p w14:paraId="6D48B1A9" w14:textId="748D348B" w:rsidR="006477B4" w:rsidRDefault="00185F2A" w:rsidP="00E90BA7">
      <w:pPr>
        <w:pStyle w:val="TOC2"/>
        <w:tabs>
          <w:tab w:val="left" w:pos="1680"/>
          <w:tab w:val="right" w:leader="dot" w:pos="9350"/>
        </w:tabs>
        <w:jc w:val="both"/>
        <w:rPr>
          <w:rFonts w:eastAsiaTheme="minorEastAsia"/>
          <w:noProof/>
        </w:rPr>
      </w:pPr>
      <w:hyperlink w:anchor="_Toc126555842" w:history="1">
        <w:r w:rsidR="006477B4" w:rsidRPr="0058248C">
          <w:rPr>
            <w:rStyle w:val="Hyperlink"/>
            <w:rFonts w:ascii="Segoe UI" w:hAnsi="Segoe UI" w:cs="Segoe UI"/>
            <w:noProof/>
          </w:rPr>
          <w:t>Appendix 2:</w:t>
        </w:r>
        <w:r w:rsidR="006477B4">
          <w:rPr>
            <w:rFonts w:eastAsiaTheme="minorEastAsia"/>
            <w:noProof/>
          </w:rPr>
          <w:tab/>
        </w:r>
        <w:r w:rsidR="006477B4" w:rsidRPr="0058248C">
          <w:rPr>
            <w:rStyle w:val="Hyperlink"/>
            <w:rFonts w:ascii="Segoe UI" w:hAnsi="Segoe UI" w:cs="Segoe UI"/>
            <w:noProof/>
          </w:rPr>
          <w:t>BIT Tax Expenditures Summary Sheets</w:t>
        </w:r>
        <w:r w:rsidR="006477B4">
          <w:rPr>
            <w:noProof/>
            <w:webHidden/>
          </w:rPr>
          <w:tab/>
        </w:r>
        <w:r w:rsidR="006477B4">
          <w:rPr>
            <w:noProof/>
            <w:webHidden/>
          </w:rPr>
          <w:fldChar w:fldCharType="begin"/>
        </w:r>
        <w:r w:rsidR="006477B4">
          <w:rPr>
            <w:noProof/>
            <w:webHidden/>
          </w:rPr>
          <w:instrText xml:space="preserve"> PAGEREF _Toc126555842 \h </w:instrText>
        </w:r>
        <w:r w:rsidR="006477B4">
          <w:rPr>
            <w:noProof/>
            <w:webHidden/>
          </w:rPr>
        </w:r>
        <w:r w:rsidR="006477B4">
          <w:rPr>
            <w:noProof/>
            <w:webHidden/>
          </w:rPr>
          <w:fldChar w:fldCharType="separate"/>
        </w:r>
        <w:r w:rsidR="006477B4">
          <w:rPr>
            <w:noProof/>
            <w:webHidden/>
          </w:rPr>
          <w:t>70</w:t>
        </w:r>
        <w:r w:rsidR="006477B4">
          <w:rPr>
            <w:noProof/>
            <w:webHidden/>
          </w:rPr>
          <w:fldChar w:fldCharType="end"/>
        </w:r>
      </w:hyperlink>
    </w:p>
    <w:p w14:paraId="18D48194" w14:textId="7EAB82B8" w:rsidR="006477B4" w:rsidRDefault="00185F2A" w:rsidP="00E90BA7">
      <w:pPr>
        <w:pStyle w:val="TOC2"/>
        <w:tabs>
          <w:tab w:val="left" w:pos="1680"/>
          <w:tab w:val="right" w:leader="dot" w:pos="9350"/>
        </w:tabs>
        <w:jc w:val="both"/>
        <w:rPr>
          <w:rFonts w:eastAsiaTheme="minorEastAsia"/>
          <w:noProof/>
        </w:rPr>
      </w:pPr>
      <w:hyperlink w:anchor="_Toc126555843" w:history="1">
        <w:r w:rsidR="006477B4" w:rsidRPr="0058248C">
          <w:rPr>
            <w:rStyle w:val="Hyperlink"/>
            <w:rFonts w:ascii="Segoe UI" w:hAnsi="Segoe UI" w:cs="Segoe UI"/>
            <w:noProof/>
          </w:rPr>
          <w:t>Appendix 3:</w:t>
        </w:r>
        <w:r w:rsidR="006477B4">
          <w:rPr>
            <w:rFonts w:eastAsiaTheme="minorEastAsia"/>
            <w:noProof/>
          </w:rPr>
          <w:tab/>
        </w:r>
        <w:r w:rsidR="006477B4" w:rsidRPr="0058248C">
          <w:rPr>
            <w:rStyle w:val="Hyperlink"/>
            <w:rFonts w:ascii="Segoe UI" w:hAnsi="Segoe UI" w:cs="Segoe UI"/>
            <w:noProof/>
          </w:rPr>
          <w:t>VAT Tax Expenditures Summary Sheets</w:t>
        </w:r>
        <w:r w:rsidR="006477B4">
          <w:rPr>
            <w:noProof/>
            <w:webHidden/>
          </w:rPr>
          <w:tab/>
        </w:r>
        <w:r w:rsidR="006477B4">
          <w:rPr>
            <w:noProof/>
            <w:webHidden/>
          </w:rPr>
          <w:fldChar w:fldCharType="begin"/>
        </w:r>
        <w:r w:rsidR="006477B4">
          <w:rPr>
            <w:noProof/>
            <w:webHidden/>
          </w:rPr>
          <w:instrText xml:space="preserve"> PAGEREF _Toc126555843 \h </w:instrText>
        </w:r>
        <w:r w:rsidR="006477B4">
          <w:rPr>
            <w:noProof/>
            <w:webHidden/>
          </w:rPr>
        </w:r>
        <w:r w:rsidR="006477B4">
          <w:rPr>
            <w:noProof/>
            <w:webHidden/>
          </w:rPr>
          <w:fldChar w:fldCharType="separate"/>
        </w:r>
        <w:r w:rsidR="006477B4">
          <w:rPr>
            <w:noProof/>
            <w:webHidden/>
          </w:rPr>
          <w:t>82</w:t>
        </w:r>
        <w:r w:rsidR="006477B4">
          <w:rPr>
            <w:noProof/>
            <w:webHidden/>
          </w:rPr>
          <w:fldChar w:fldCharType="end"/>
        </w:r>
      </w:hyperlink>
    </w:p>
    <w:p w14:paraId="2B7BD4DF" w14:textId="058316C5" w:rsidR="006477B4" w:rsidRDefault="00185F2A" w:rsidP="00E90BA7">
      <w:pPr>
        <w:pStyle w:val="TOC2"/>
        <w:tabs>
          <w:tab w:val="left" w:pos="1680"/>
          <w:tab w:val="right" w:leader="dot" w:pos="9350"/>
        </w:tabs>
        <w:jc w:val="both"/>
        <w:rPr>
          <w:rFonts w:eastAsiaTheme="minorEastAsia"/>
          <w:noProof/>
        </w:rPr>
      </w:pPr>
      <w:hyperlink w:anchor="_Toc126555844" w:history="1">
        <w:r w:rsidR="006477B4" w:rsidRPr="0058248C">
          <w:rPr>
            <w:rStyle w:val="Hyperlink"/>
            <w:rFonts w:ascii="Segoe UI" w:hAnsi="Segoe UI" w:cs="Segoe UI"/>
            <w:noProof/>
          </w:rPr>
          <w:t>Appendix 4:</w:t>
        </w:r>
        <w:r w:rsidR="006477B4">
          <w:rPr>
            <w:rFonts w:eastAsiaTheme="minorEastAsia"/>
            <w:noProof/>
          </w:rPr>
          <w:tab/>
        </w:r>
        <w:r w:rsidR="006477B4" w:rsidRPr="0058248C">
          <w:rPr>
            <w:rStyle w:val="Hyperlink"/>
            <w:rFonts w:ascii="Segoe UI" w:hAnsi="Segoe UI" w:cs="Segoe UI"/>
            <w:noProof/>
          </w:rPr>
          <w:t>Excise Duties—Tax Expenditures Summary Sheets</w:t>
        </w:r>
        <w:r w:rsidR="006477B4">
          <w:rPr>
            <w:noProof/>
            <w:webHidden/>
          </w:rPr>
          <w:tab/>
        </w:r>
        <w:r w:rsidR="006477B4">
          <w:rPr>
            <w:noProof/>
            <w:webHidden/>
          </w:rPr>
          <w:fldChar w:fldCharType="begin"/>
        </w:r>
        <w:r w:rsidR="006477B4">
          <w:rPr>
            <w:noProof/>
            <w:webHidden/>
          </w:rPr>
          <w:instrText xml:space="preserve"> PAGEREF _Toc126555844 \h </w:instrText>
        </w:r>
        <w:r w:rsidR="006477B4">
          <w:rPr>
            <w:noProof/>
            <w:webHidden/>
          </w:rPr>
        </w:r>
        <w:r w:rsidR="006477B4">
          <w:rPr>
            <w:noProof/>
            <w:webHidden/>
          </w:rPr>
          <w:fldChar w:fldCharType="separate"/>
        </w:r>
        <w:r w:rsidR="006477B4">
          <w:rPr>
            <w:noProof/>
            <w:webHidden/>
          </w:rPr>
          <w:t>108</w:t>
        </w:r>
        <w:r w:rsidR="006477B4">
          <w:rPr>
            <w:noProof/>
            <w:webHidden/>
          </w:rPr>
          <w:fldChar w:fldCharType="end"/>
        </w:r>
      </w:hyperlink>
    </w:p>
    <w:p w14:paraId="48A23B23" w14:textId="0B9E6F99" w:rsidR="006477B4" w:rsidRDefault="00185F2A" w:rsidP="00E90BA7">
      <w:pPr>
        <w:pStyle w:val="TOC2"/>
        <w:tabs>
          <w:tab w:val="left" w:pos="1680"/>
          <w:tab w:val="right" w:leader="dot" w:pos="9350"/>
        </w:tabs>
        <w:jc w:val="both"/>
        <w:rPr>
          <w:rFonts w:eastAsiaTheme="minorEastAsia"/>
          <w:noProof/>
        </w:rPr>
      </w:pPr>
      <w:hyperlink w:anchor="_Toc126555845" w:history="1">
        <w:r w:rsidR="006477B4" w:rsidRPr="0058248C">
          <w:rPr>
            <w:rStyle w:val="Hyperlink"/>
            <w:rFonts w:ascii="Segoe UI" w:hAnsi="Segoe UI" w:cs="Segoe UI"/>
            <w:noProof/>
          </w:rPr>
          <w:t>Appendix 5:</w:t>
        </w:r>
        <w:r w:rsidR="006477B4">
          <w:rPr>
            <w:rFonts w:eastAsiaTheme="minorEastAsia"/>
            <w:noProof/>
          </w:rPr>
          <w:tab/>
        </w:r>
        <w:r w:rsidR="006477B4" w:rsidRPr="0058248C">
          <w:rPr>
            <w:rStyle w:val="Hyperlink"/>
            <w:rFonts w:ascii="Segoe UI" w:hAnsi="Segoe UI" w:cs="Segoe UI"/>
            <w:noProof/>
          </w:rPr>
          <w:t>Road Usage Fees—Tax Expenditures Summary Sheets</w:t>
        </w:r>
        <w:r w:rsidR="006477B4">
          <w:rPr>
            <w:noProof/>
            <w:webHidden/>
          </w:rPr>
          <w:tab/>
        </w:r>
        <w:r w:rsidR="006477B4">
          <w:rPr>
            <w:noProof/>
            <w:webHidden/>
          </w:rPr>
          <w:fldChar w:fldCharType="begin"/>
        </w:r>
        <w:r w:rsidR="006477B4">
          <w:rPr>
            <w:noProof/>
            <w:webHidden/>
          </w:rPr>
          <w:instrText xml:space="preserve"> PAGEREF _Toc126555845 \h </w:instrText>
        </w:r>
        <w:r w:rsidR="006477B4">
          <w:rPr>
            <w:noProof/>
            <w:webHidden/>
          </w:rPr>
        </w:r>
        <w:r w:rsidR="006477B4">
          <w:rPr>
            <w:noProof/>
            <w:webHidden/>
          </w:rPr>
          <w:fldChar w:fldCharType="separate"/>
        </w:r>
        <w:r w:rsidR="006477B4">
          <w:rPr>
            <w:noProof/>
            <w:webHidden/>
          </w:rPr>
          <w:t>123</w:t>
        </w:r>
        <w:r w:rsidR="006477B4">
          <w:rPr>
            <w:noProof/>
            <w:webHidden/>
          </w:rPr>
          <w:fldChar w:fldCharType="end"/>
        </w:r>
      </w:hyperlink>
    </w:p>
    <w:p w14:paraId="12C39C89" w14:textId="0B950E97" w:rsidR="006477B4" w:rsidRDefault="00185F2A" w:rsidP="00E90BA7">
      <w:pPr>
        <w:pStyle w:val="TOC2"/>
        <w:tabs>
          <w:tab w:val="left" w:pos="1680"/>
          <w:tab w:val="right" w:leader="dot" w:pos="9350"/>
        </w:tabs>
        <w:jc w:val="both"/>
        <w:rPr>
          <w:rFonts w:eastAsiaTheme="minorEastAsia"/>
          <w:noProof/>
        </w:rPr>
      </w:pPr>
      <w:hyperlink w:anchor="_Toc126555846" w:history="1">
        <w:r w:rsidR="006477B4" w:rsidRPr="0058248C">
          <w:rPr>
            <w:rStyle w:val="Hyperlink"/>
            <w:rFonts w:ascii="Segoe UI" w:hAnsi="Segoe UI" w:cs="Segoe UI"/>
            <w:noProof/>
          </w:rPr>
          <w:t>Appendix 6:</w:t>
        </w:r>
        <w:r w:rsidR="006477B4">
          <w:rPr>
            <w:rFonts w:eastAsiaTheme="minorEastAsia"/>
            <w:noProof/>
          </w:rPr>
          <w:tab/>
        </w:r>
        <w:r w:rsidR="006477B4" w:rsidRPr="0058248C">
          <w:rPr>
            <w:rStyle w:val="Hyperlink"/>
            <w:rFonts w:ascii="Segoe UI" w:hAnsi="Segoe UI" w:cs="Segoe UI"/>
            <w:noProof/>
          </w:rPr>
          <w:t>Import duties—Tax Expenditures Summary Sheets</w:t>
        </w:r>
        <w:r w:rsidR="006477B4">
          <w:rPr>
            <w:noProof/>
            <w:webHidden/>
          </w:rPr>
          <w:tab/>
        </w:r>
        <w:r w:rsidR="006477B4">
          <w:rPr>
            <w:noProof/>
            <w:webHidden/>
          </w:rPr>
          <w:fldChar w:fldCharType="begin"/>
        </w:r>
        <w:r w:rsidR="006477B4">
          <w:rPr>
            <w:noProof/>
            <w:webHidden/>
          </w:rPr>
          <w:instrText xml:space="preserve"> PAGEREF _Toc126555846 \h </w:instrText>
        </w:r>
        <w:r w:rsidR="006477B4">
          <w:rPr>
            <w:noProof/>
            <w:webHidden/>
          </w:rPr>
        </w:r>
        <w:r w:rsidR="006477B4">
          <w:rPr>
            <w:noProof/>
            <w:webHidden/>
          </w:rPr>
          <w:fldChar w:fldCharType="separate"/>
        </w:r>
        <w:r w:rsidR="006477B4">
          <w:rPr>
            <w:noProof/>
            <w:webHidden/>
          </w:rPr>
          <w:t>128</w:t>
        </w:r>
        <w:r w:rsidR="006477B4">
          <w:rPr>
            <w:noProof/>
            <w:webHidden/>
          </w:rPr>
          <w:fldChar w:fldCharType="end"/>
        </w:r>
      </w:hyperlink>
    </w:p>
    <w:p w14:paraId="7559000B" w14:textId="46F1F93E" w:rsidR="006477B4" w:rsidRDefault="00185F2A" w:rsidP="00E90BA7">
      <w:pPr>
        <w:pStyle w:val="TOC2"/>
        <w:tabs>
          <w:tab w:val="left" w:pos="1680"/>
          <w:tab w:val="right" w:leader="dot" w:pos="9350"/>
        </w:tabs>
        <w:jc w:val="both"/>
        <w:rPr>
          <w:rFonts w:eastAsiaTheme="minorEastAsia"/>
          <w:noProof/>
        </w:rPr>
      </w:pPr>
      <w:hyperlink w:anchor="_Toc126555847" w:history="1">
        <w:r w:rsidR="006477B4" w:rsidRPr="0058248C">
          <w:rPr>
            <w:rStyle w:val="Hyperlink"/>
            <w:rFonts w:ascii="Segoe UI" w:hAnsi="Segoe UI" w:cs="Segoe UI"/>
            <w:noProof/>
          </w:rPr>
          <w:t>Appendix 7:</w:t>
        </w:r>
        <w:r w:rsidR="006477B4">
          <w:rPr>
            <w:rFonts w:eastAsiaTheme="minorEastAsia"/>
            <w:noProof/>
          </w:rPr>
          <w:tab/>
        </w:r>
        <w:r w:rsidR="006477B4" w:rsidRPr="0058248C">
          <w:rPr>
            <w:rStyle w:val="Hyperlink"/>
            <w:rFonts w:ascii="Segoe UI" w:hAnsi="Segoe UI" w:cs="Segoe UI"/>
            <w:noProof/>
          </w:rPr>
          <w:t>RET Tax Expenditures Summary Sheets</w:t>
        </w:r>
        <w:r w:rsidR="006477B4">
          <w:rPr>
            <w:noProof/>
            <w:webHidden/>
          </w:rPr>
          <w:tab/>
        </w:r>
        <w:r w:rsidR="006477B4">
          <w:rPr>
            <w:noProof/>
            <w:webHidden/>
          </w:rPr>
          <w:fldChar w:fldCharType="begin"/>
        </w:r>
        <w:r w:rsidR="006477B4">
          <w:rPr>
            <w:noProof/>
            <w:webHidden/>
          </w:rPr>
          <w:instrText xml:space="preserve"> PAGEREF _Toc126555847 \h </w:instrText>
        </w:r>
        <w:r w:rsidR="006477B4">
          <w:rPr>
            <w:noProof/>
            <w:webHidden/>
          </w:rPr>
        </w:r>
        <w:r w:rsidR="006477B4">
          <w:rPr>
            <w:noProof/>
            <w:webHidden/>
          </w:rPr>
          <w:fldChar w:fldCharType="separate"/>
        </w:r>
        <w:r w:rsidR="006477B4">
          <w:rPr>
            <w:noProof/>
            <w:webHidden/>
          </w:rPr>
          <w:t>153</w:t>
        </w:r>
        <w:r w:rsidR="006477B4">
          <w:rPr>
            <w:noProof/>
            <w:webHidden/>
          </w:rPr>
          <w:fldChar w:fldCharType="end"/>
        </w:r>
      </w:hyperlink>
    </w:p>
    <w:p w14:paraId="7263A2C0" w14:textId="70ED5369" w:rsidR="006477B4" w:rsidRDefault="00185F2A" w:rsidP="00E90BA7">
      <w:pPr>
        <w:pStyle w:val="TOC2"/>
        <w:tabs>
          <w:tab w:val="left" w:pos="1680"/>
          <w:tab w:val="right" w:leader="dot" w:pos="9350"/>
        </w:tabs>
        <w:jc w:val="both"/>
        <w:rPr>
          <w:rFonts w:eastAsiaTheme="minorEastAsia"/>
          <w:noProof/>
        </w:rPr>
      </w:pPr>
      <w:hyperlink w:anchor="_Toc126555848" w:history="1">
        <w:r w:rsidR="006477B4" w:rsidRPr="0058248C">
          <w:rPr>
            <w:rStyle w:val="Hyperlink"/>
            <w:rFonts w:ascii="Segoe UI" w:hAnsi="Segoe UI" w:cs="Segoe UI"/>
            <w:noProof/>
          </w:rPr>
          <w:t>Appendix 8:</w:t>
        </w:r>
        <w:r w:rsidR="006477B4">
          <w:rPr>
            <w:rFonts w:eastAsiaTheme="minorEastAsia"/>
            <w:noProof/>
          </w:rPr>
          <w:tab/>
        </w:r>
        <w:r w:rsidR="006477B4" w:rsidRPr="0058248C">
          <w:rPr>
            <w:rStyle w:val="Hyperlink"/>
            <w:rFonts w:ascii="Segoe UI" w:hAnsi="Segoe UI" w:cs="Segoe UI"/>
            <w:noProof/>
          </w:rPr>
          <w:t>Natural resource fees—Tax Expenditures Summary Sheets</w:t>
        </w:r>
        <w:r w:rsidR="006477B4">
          <w:rPr>
            <w:noProof/>
            <w:webHidden/>
          </w:rPr>
          <w:tab/>
        </w:r>
        <w:r w:rsidR="006477B4">
          <w:rPr>
            <w:noProof/>
            <w:webHidden/>
          </w:rPr>
          <w:fldChar w:fldCharType="begin"/>
        </w:r>
        <w:r w:rsidR="006477B4">
          <w:rPr>
            <w:noProof/>
            <w:webHidden/>
          </w:rPr>
          <w:instrText xml:space="preserve"> PAGEREF _Toc126555848 \h </w:instrText>
        </w:r>
        <w:r w:rsidR="006477B4">
          <w:rPr>
            <w:noProof/>
            <w:webHidden/>
          </w:rPr>
        </w:r>
        <w:r w:rsidR="006477B4">
          <w:rPr>
            <w:noProof/>
            <w:webHidden/>
          </w:rPr>
          <w:fldChar w:fldCharType="separate"/>
        </w:r>
        <w:r w:rsidR="006477B4">
          <w:rPr>
            <w:noProof/>
            <w:webHidden/>
          </w:rPr>
          <w:t>171</w:t>
        </w:r>
        <w:r w:rsidR="006477B4">
          <w:rPr>
            <w:noProof/>
            <w:webHidden/>
          </w:rPr>
          <w:fldChar w:fldCharType="end"/>
        </w:r>
      </w:hyperlink>
    </w:p>
    <w:p w14:paraId="0EE4C98C" w14:textId="2E88F772" w:rsidR="00495C61" w:rsidRPr="00CB1E53" w:rsidRDefault="00495C61" w:rsidP="00E90BA7">
      <w:pPr>
        <w:spacing w:after="120" w:line="264" w:lineRule="auto"/>
        <w:jc w:val="both"/>
        <w:rPr>
          <w:rFonts w:ascii="Segoe UI" w:hAnsi="Segoe UI" w:cs="Segoe UI"/>
          <w:b/>
        </w:rPr>
      </w:pPr>
      <w:r w:rsidRPr="002F2301">
        <w:rPr>
          <w:rFonts w:ascii="Segoe UI" w:hAnsi="Segoe UI" w:cs="Segoe UI"/>
          <w:b/>
          <w:sz w:val="21"/>
          <w:szCs w:val="21"/>
        </w:rPr>
        <w:fldChar w:fldCharType="end"/>
      </w:r>
    </w:p>
    <w:p w14:paraId="49711F6B" w14:textId="77777777" w:rsidR="008C790C" w:rsidRPr="00CB1E53" w:rsidRDefault="008C790C" w:rsidP="00E90BA7">
      <w:pPr>
        <w:spacing w:after="120" w:line="264" w:lineRule="auto"/>
        <w:jc w:val="both"/>
        <w:rPr>
          <w:rFonts w:ascii="Segoe UI" w:hAnsi="Segoe UI" w:cs="Segoe UI"/>
          <w:b/>
        </w:rPr>
      </w:pPr>
    </w:p>
    <w:p w14:paraId="5778BD84" w14:textId="184649BC" w:rsidR="00495C61" w:rsidRPr="00CB1E53" w:rsidRDefault="00495C61" w:rsidP="00E90BA7">
      <w:pPr>
        <w:pStyle w:val="Heading2"/>
        <w:jc w:val="both"/>
      </w:pPr>
      <w:bookmarkStart w:id="2" w:name="_Toc96775173"/>
      <w:r w:rsidRPr="00CB1E53">
        <w:br w:type="page"/>
      </w:r>
    </w:p>
    <w:p w14:paraId="28D0C10B" w14:textId="053B8562" w:rsidR="00F77F6D" w:rsidRPr="00CB1E53" w:rsidRDefault="00F77F6D" w:rsidP="00E90BA7">
      <w:pPr>
        <w:pStyle w:val="Heading2"/>
        <w:jc w:val="both"/>
      </w:pPr>
      <w:bookmarkStart w:id="3" w:name="_Toc126555808"/>
      <w:r w:rsidRPr="00CB1E53">
        <w:lastRenderedPageBreak/>
        <w:t>Acronyms</w:t>
      </w:r>
      <w:bookmarkEnd w:id="2"/>
      <w:bookmarkEnd w:id="3"/>
    </w:p>
    <w:p w14:paraId="3D6A1A1C" w14:textId="7DA20A18"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BIT</w:t>
      </w:r>
      <w:r w:rsidRPr="00CB1E53">
        <w:rPr>
          <w:rFonts w:ascii="Segoe UI" w:hAnsi="Segoe UI" w:cs="Segoe UI"/>
          <w:sz w:val="21"/>
          <w:szCs w:val="21"/>
        </w:rPr>
        <w:tab/>
      </w:r>
      <w:r w:rsidRPr="00CB1E53">
        <w:rPr>
          <w:rFonts w:ascii="Segoe UI" w:hAnsi="Segoe UI" w:cs="Segoe UI"/>
          <w:sz w:val="21"/>
          <w:szCs w:val="21"/>
        </w:rPr>
        <w:tab/>
        <w:t>Business Income Tax or Corporate Income Tax</w:t>
      </w:r>
      <w:r w:rsidR="00206468">
        <w:rPr>
          <w:rFonts w:ascii="Segoe UI" w:hAnsi="Segoe UI" w:cs="Segoe UI"/>
          <w:sz w:val="21"/>
          <w:szCs w:val="21"/>
        </w:rPr>
        <w:t xml:space="preserve"> (CIT)</w:t>
      </w:r>
    </w:p>
    <w:p w14:paraId="73A567A1" w14:textId="77777777" w:rsidR="00495C61" w:rsidRPr="00CB1E53" w:rsidRDefault="00495C61" w:rsidP="00E90BA7">
      <w:pPr>
        <w:spacing w:after="120" w:line="264" w:lineRule="auto"/>
        <w:jc w:val="both"/>
        <w:rPr>
          <w:rFonts w:ascii="Segoe UI" w:hAnsi="Segoe UI" w:cs="Segoe UI"/>
          <w:sz w:val="21"/>
          <w:szCs w:val="21"/>
        </w:rPr>
      </w:pPr>
      <w:r w:rsidRPr="00CB1E53">
        <w:rPr>
          <w:rFonts w:ascii="Segoe UI" w:hAnsi="Segoe UI" w:cs="Segoe UI"/>
          <w:sz w:val="21"/>
          <w:szCs w:val="21"/>
        </w:rPr>
        <w:t>CGT</w:t>
      </w:r>
      <w:r w:rsidRPr="00CB1E53">
        <w:rPr>
          <w:rFonts w:ascii="Segoe UI" w:hAnsi="Segoe UI" w:cs="Segoe UI"/>
          <w:sz w:val="21"/>
          <w:szCs w:val="21"/>
        </w:rPr>
        <w:tab/>
      </w:r>
      <w:r w:rsidRPr="00CB1E53">
        <w:rPr>
          <w:rFonts w:ascii="Segoe UI" w:hAnsi="Segoe UI" w:cs="Segoe UI"/>
          <w:sz w:val="21"/>
          <w:szCs w:val="21"/>
        </w:rPr>
        <w:tab/>
        <w:t>Capital Gains Tax</w:t>
      </w:r>
    </w:p>
    <w:p w14:paraId="2A7875D8"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COA</w:t>
      </w:r>
      <w:r w:rsidRPr="00CB1E53">
        <w:rPr>
          <w:rFonts w:ascii="Segoe UI" w:hAnsi="Segoe UI" w:cs="Segoe UI"/>
          <w:sz w:val="21"/>
          <w:szCs w:val="21"/>
        </w:rPr>
        <w:tab/>
      </w:r>
      <w:r w:rsidRPr="00CB1E53">
        <w:rPr>
          <w:rFonts w:ascii="Segoe UI" w:hAnsi="Segoe UI" w:cs="Segoe UI"/>
          <w:sz w:val="21"/>
          <w:szCs w:val="21"/>
        </w:rPr>
        <w:tab/>
        <w:t>Court of Accounts</w:t>
      </w:r>
    </w:p>
    <w:p w14:paraId="42B99E26"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GDP</w:t>
      </w:r>
      <w:r w:rsidRPr="00CB1E53">
        <w:rPr>
          <w:rFonts w:ascii="Segoe UI" w:hAnsi="Segoe UI" w:cs="Segoe UI"/>
          <w:sz w:val="21"/>
          <w:szCs w:val="21"/>
        </w:rPr>
        <w:tab/>
      </w:r>
      <w:r w:rsidRPr="00CB1E53">
        <w:rPr>
          <w:rFonts w:ascii="Segoe UI" w:hAnsi="Segoe UI" w:cs="Segoe UI"/>
          <w:sz w:val="21"/>
          <w:szCs w:val="21"/>
        </w:rPr>
        <w:tab/>
        <w:t>Gross Domestic Product</w:t>
      </w:r>
    </w:p>
    <w:p w14:paraId="65F4E38E"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GFS</w:t>
      </w:r>
      <w:r w:rsidRPr="00CB1E53">
        <w:rPr>
          <w:rFonts w:ascii="Segoe UI" w:hAnsi="Segoe UI" w:cs="Segoe UI"/>
          <w:sz w:val="21"/>
          <w:szCs w:val="21"/>
        </w:rPr>
        <w:tab/>
      </w:r>
      <w:r w:rsidRPr="00CB1E53">
        <w:rPr>
          <w:rFonts w:ascii="Segoe UI" w:hAnsi="Segoe UI" w:cs="Segoe UI"/>
          <w:sz w:val="21"/>
          <w:szCs w:val="21"/>
        </w:rPr>
        <w:tab/>
        <w:t>Government Finance Statistics</w:t>
      </w:r>
    </w:p>
    <w:p w14:paraId="7ECAB0EC"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HBS</w:t>
      </w:r>
      <w:r w:rsidRPr="00CB1E53">
        <w:rPr>
          <w:rFonts w:ascii="Segoe UI" w:hAnsi="Segoe UI" w:cs="Segoe UI"/>
          <w:sz w:val="21"/>
          <w:szCs w:val="21"/>
        </w:rPr>
        <w:tab/>
      </w:r>
      <w:r w:rsidRPr="00CB1E53">
        <w:rPr>
          <w:rFonts w:ascii="Segoe UI" w:hAnsi="Segoe UI" w:cs="Segoe UI"/>
          <w:sz w:val="21"/>
          <w:szCs w:val="21"/>
        </w:rPr>
        <w:tab/>
        <w:t>Household Budget Survey</w:t>
      </w:r>
    </w:p>
    <w:p w14:paraId="40F254FB"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HS</w:t>
      </w:r>
      <w:r w:rsidRPr="00CB1E53">
        <w:rPr>
          <w:rFonts w:ascii="Segoe UI" w:hAnsi="Segoe UI" w:cs="Segoe UI"/>
          <w:sz w:val="21"/>
          <w:szCs w:val="21"/>
        </w:rPr>
        <w:tab/>
      </w:r>
      <w:r w:rsidRPr="00CB1E53">
        <w:rPr>
          <w:rFonts w:ascii="Segoe UI" w:hAnsi="Segoe UI" w:cs="Segoe UI"/>
          <w:sz w:val="21"/>
          <w:szCs w:val="21"/>
        </w:rPr>
        <w:tab/>
        <w:t>Harmonized (Commodity Description and Coding) System</w:t>
      </w:r>
    </w:p>
    <w:p w14:paraId="2BB2F5C7"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IMF</w:t>
      </w:r>
      <w:r w:rsidRPr="00CB1E53">
        <w:rPr>
          <w:rFonts w:ascii="Segoe UI" w:hAnsi="Segoe UI" w:cs="Segoe UI"/>
          <w:sz w:val="21"/>
          <w:szCs w:val="21"/>
        </w:rPr>
        <w:tab/>
      </w:r>
      <w:r w:rsidRPr="00CB1E53">
        <w:rPr>
          <w:rFonts w:ascii="Segoe UI" w:hAnsi="Segoe UI" w:cs="Segoe UI"/>
          <w:sz w:val="21"/>
          <w:szCs w:val="21"/>
        </w:rPr>
        <w:tab/>
        <w:t>International Monetary Fund</w:t>
      </w:r>
    </w:p>
    <w:p w14:paraId="2EC1F387" w14:textId="390354A4" w:rsidR="005272DF" w:rsidRDefault="005272DF" w:rsidP="00E90BA7">
      <w:pPr>
        <w:spacing w:after="120" w:line="264" w:lineRule="auto"/>
        <w:jc w:val="both"/>
        <w:rPr>
          <w:rFonts w:ascii="Segoe UI" w:hAnsi="Segoe UI" w:cs="Segoe UI"/>
          <w:sz w:val="21"/>
          <w:szCs w:val="21"/>
        </w:rPr>
      </w:pPr>
      <w:r>
        <w:rPr>
          <w:rFonts w:ascii="Segoe UI" w:hAnsi="Segoe UI" w:cs="Segoe UI"/>
          <w:sz w:val="21"/>
          <w:szCs w:val="21"/>
        </w:rPr>
        <w:t>IT</w:t>
      </w:r>
      <w:r>
        <w:rPr>
          <w:rFonts w:ascii="Segoe UI" w:hAnsi="Segoe UI" w:cs="Segoe UI"/>
          <w:sz w:val="21"/>
          <w:szCs w:val="21"/>
        </w:rPr>
        <w:tab/>
      </w:r>
      <w:r>
        <w:rPr>
          <w:rFonts w:ascii="Segoe UI" w:hAnsi="Segoe UI" w:cs="Segoe UI"/>
          <w:sz w:val="21"/>
          <w:szCs w:val="21"/>
        </w:rPr>
        <w:tab/>
      </w:r>
      <w:r w:rsidRPr="005272DF">
        <w:rPr>
          <w:rFonts w:ascii="Segoe UI" w:hAnsi="Segoe UI" w:cs="Segoe UI"/>
          <w:color w:val="000000"/>
          <w:sz w:val="21"/>
          <w:szCs w:val="21"/>
        </w:rPr>
        <w:t>Information Technology</w:t>
      </w:r>
    </w:p>
    <w:p w14:paraId="0DCD1077" w14:textId="748F0BBB" w:rsidR="000C2B1D" w:rsidRPr="00CB1E53" w:rsidRDefault="000C2B1D" w:rsidP="00E90BA7">
      <w:pPr>
        <w:spacing w:after="120" w:line="264" w:lineRule="auto"/>
        <w:jc w:val="both"/>
        <w:rPr>
          <w:rFonts w:ascii="Segoe UI" w:hAnsi="Segoe UI" w:cs="Segoe UI"/>
          <w:sz w:val="21"/>
          <w:szCs w:val="21"/>
        </w:rPr>
      </w:pPr>
      <w:r w:rsidRPr="00CB1E53">
        <w:rPr>
          <w:rFonts w:ascii="Segoe UI" w:hAnsi="Segoe UI" w:cs="Segoe UI"/>
          <w:sz w:val="21"/>
          <w:szCs w:val="21"/>
        </w:rPr>
        <w:t>ITC</w:t>
      </w:r>
      <w:r w:rsidRPr="00CB1E53">
        <w:rPr>
          <w:rFonts w:ascii="Segoe UI" w:hAnsi="Segoe UI" w:cs="Segoe UI"/>
          <w:sz w:val="21"/>
          <w:szCs w:val="21"/>
        </w:rPr>
        <w:tab/>
      </w:r>
      <w:r w:rsidRPr="00CB1E53">
        <w:rPr>
          <w:rFonts w:ascii="Segoe UI" w:hAnsi="Segoe UI" w:cs="Segoe UI"/>
          <w:sz w:val="21"/>
          <w:szCs w:val="21"/>
        </w:rPr>
        <w:tab/>
        <w:t>Input Tax Credit</w:t>
      </w:r>
    </w:p>
    <w:p w14:paraId="0B8BAFE8" w14:textId="53BCD1E5"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MCS</w:t>
      </w:r>
      <w:r w:rsidRPr="00CB1E53">
        <w:rPr>
          <w:rFonts w:ascii="Segoe UI" w:hAnsi="Segoe UI" w:cs="Segoe UI"/>
          <w:sz w:val="21"/>
          <w:szCs w:val="21"/>
        </w:rPr>
        <w:tab/>
      </w:r>
      <w:r w:rsidRPr="00CB1E53">
        <w:rPr>
          <w:rFonts w:ascii="Segoe UI" w:hAnsi="Segoe UI" w:cs="Segoe UI"/>
          <w:sz w:val="21"/>
          <w:szCs w:val="21"/>
        </w:rPr>
        <w:tab/>
        <w:t>Moldovan Customs Service</w:t>
      </w:r>
    </w:p>
    <w:p w14:paraId="08E81E3E" w14:textId="2A2B3BAE"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MDL</w:t>
      </w:r>
      <w:r w:rsidRPr="00CB1E53">
        <w:rPr>
          <w:rFonts w:ascii="Segoe UI" w:hAnsi="Segoe UI" w:cs="Segoe UI"/>
          <w:sz w:val="21"/>
          <w:szCs w:val="21"/>
        </w:rPr>
        <w:tab/>
      </w:r>
      <w:r w:rsidRPr="00CB1E53">
        <w:rPr>
          <w:rFonts w:ascii="Segoe UI" w:hAnsi="Segoe UI" w:cs="Segoe UI"/>
          <w:sz w:val="21"/>
          <w:szCs w:val="21"/>
        </w:rPr>
        <w:tab/>
        <w:t xml:space="preserve">Moldovan </w:t>
      </w:r>
      <w:r w:rsidR="00206468">
        <w:rPr>
          <w:rFonts w:ascii="Segoe UI" w:hAnsi="Segoe UI" w:cs="Segoe UI"/>
          <w:sz w:val="21"/>
          <w:szCs w:val="21"/>
        </w:rPr>
        <w:t>Leu</w:t>
      </w:r>
    </w:p>
    <w:p w14:paraId="4BDCE486"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MOF</w:t>
      </w:r>
      <w:r w:rsidRPr="00CB1E53">
        <w:rPr>
          <w:rFonts w:ascii="Segoe UI" w:hAnsi="Segoe UI" w:cs="Segoe UI"/>
          <w:sz w:val="21"/>
          <w:szCs w:val="21"/>
        </w:rPr>
        <w:tab/>
      </w:r>
      <w:r w:rsidRPr="00CB1E53">
        <w:rPr>
          <w:rFonts w:ascii="Segoe UI" w:hAnsi="Segoe UI" w:cs="Segoe UI"/>
          <w:sz w:val="21"/>
          <w:szCs w:val="21"/>
        </w:rPr>
        <w:tab/>
        <w:t>Ministry of Finance</w:t>
      </w:r>
    </w:p>
    <w:p w14:paraId="7437C4C4"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NBS</w:t>
      </w:r>
      <w:r w:rsidRPr="00CB1E53">
        <w:rPr>
          <w:rFonts w:ascii="Segoe UI" w:hAnsi="Segoe UI" w:cs="Segoe UI"/>
          <w:sz w:val="21"/>
          <w:szCs w:val="21"/>
        </w:rPr>
        <w:tab/>
      </w:r>
      <w:r w:rsidRPr="00CB1E53">
        <w:rPr>
          <w:rFonts w:ascii="Segoe UI" w:hAnsi="Segoe UI" w:cs="Segoe UI"/>
          <w:sz w:val="21"/>
          <w:szCs w:val="21"/>
        </w:rPr>
        <w:tab/>
        <w:t>National Bureau of Statistics</w:t>
      </w:r>
    </w:p>
    <w:p w14:paraId="1A84761C"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PFM</w:t>
      </w:r>
      <w:r w:rsidRPr="00CB1E53">
        <w:rPr>
          <w:rFonts w:ascii="Segoe UI" w:hAnsi="Segoe UI" w:cs="Segoe UI"/>
          <w:sz w:val="21"/>
          <w:szCs w:val="21"/>
        </w:rPr>
        <w:tab/>
      </w:r>
      <w:r w:rsidRPr="00CB1E53">
        <w:rPr>
          <w:rFonts w:ascii="Segoe UI" w:hAnsi="Segoe UI" w:cs="Segoe UI"/>
          <w:sz w:val="21"/>
          <w:szCs w:val="21"/>
        </w:rPr>
        <w:tab/>
        <w:t>Public Finance Management</w:t>
      </w:r>
    </w:p>
    <w:p w14:paraId="084FC51F" w14:textId="77777777" w:rsidR="00394915"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PIT</w:t>
      </w:r>
      <w:r w:rsidRPr="00CB1E53">
        <w:rPr>
          <w:rFonts w:ascii="Segoe UI" w:hAnsi="Segoe UI" w:cs="Segoe UI"/>
          <w:sz w:val="21"/>
          <w:szCs w:val="21"/>
        </w:rPr>
        <w:tab/>
      </w:r>
      <w:r w:rsidRPr="00CB1E53">
        <w:rPr>
          <w:rFonts w:ascii="Segoe UI" w:hAnsi="Segoe UI" w:cs="Segoe UI"/>
          <w:sz w:val="21"/>
          <w:szCs w:val="21"/>
        </w:rPr>
        <w:tab/>
        <w:t>Personal Income Tax</w:t>
      </w:r>
    </w:p>
    <w:p w14:paraId="24276548" w14:textId="4061C2AC" w:rsidR="00C34AA9"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R&amp;D</w:t>
      </w:r>
      <w:r w:rsidRPr="00CB1E53">
        <w:rPr>
          <w:rFonts w:ascii="Segoe UI" w:hAnsi="Segoe UI" w:cs="Segoe UI"/>
          <w:sz w:val="21"/>
          <w:szCs w:val="21"/>
        </w:rPr>
        <w:tab/>
      </w:r>
      <w:r w:rsidRPr="00CB1E53">
        <w:rPr>
          <w:rFonts w:ascii="Segoe UI" w:hAnsi="Segoe UI" w:cs="Segoe UI"/>
          <w:sz w:val="21"/>
          <w:szCs w:val="21"/>
        </w:rPr>
        <w:tab/>
        <w:t xml:space="preserve">Research and </w:t>
      </w:r>
      <w:r w:rsidR="001E2663">
        <w:rPr>
          <w:rFonts w:ascii="Segoe UI" w:hAnsi="Segoe UI" w:cs="Segoe UI"/>
          <w:sz w:val="21"/>
          <w:szCs w:val="21"/>
        </w:rPr>
        <w:t>D</w:t>
      </w:r>
      <w:r w:rsidRPr="00CB1E53">
        <w:rPr>
          <w:rFonts w:ascii="Segoe UI" w:hAnsi="Segoe UI" w:cs="Segoe UI"/>
          <w:sz w:val="21"/>
          <w:szCs w:val="21"/>
        </w:rPr>
        <w:t>evelopment</w:t>
      </w:r>
      <w:r w:rsidR="00C34AA9" w:rsidRPr="00C34AA9">
        <w:rPr>
          <w:rFonts w:ascii="Segoe UI" w:hAnsi="Segoe UI" w:cs="Segoe UI"/>
          <w:sz w:val="21"/>
          <w:szCs w:val="21"/>
        </w:rPr>
        <w:t xml:space="preserve"> </w:t>
      </w:r>
    </w:p>
    <w:p w14:paraId="1DCC5648" w14:textId="63B24530" w:rsidR="00F77F6D" w:rsidRPr="00CB1E53" w:rsidRDefault="00C34AA9" w:rsidP="00E90BA7">
      <w:pPr>
        <w:spacing w:after="120" w:line="264" w:lineRule="auto"/>
        <w:jc w:val="both"/>
        <w:rPr>
          <w:rFonts w:ascii="Segoe UI" w:hAnsi="Segoe UI" w:cs="Segoe UI"/>
          <w:sz w:val="21"/>
          <w:szCs w:val="21"/>
        </w:rPr>
      </w:pPr>
      <w:r>
        <w:rPr>
          <w:rFonts w:ascii="Segoe UI" w:hAnsi="Segoe UI" w:cs="Segoe UI"/>
          <w:sz w:val="21"/>
          <w:szCs w:val="21"/>
        </w:rPr>
        <w:t>RET</w:t>
      </w:r>
      <w:r>
        <w:rPr>
          <w:rFonts w:ascii="Segoe UI" w:hAnsi="Segoe UI" w:cs="Segoe UI"/>
          <w:sz w:val="21"/>
          <w:szCs w:val="21"/>
        </w:rPr>
        <w:tab/>
      </w:r>
      <w:r>
        <w:rPr>
          <w:rFonts w:ascii="Segoe UI" w:hAnsi="Segoe UI" w:cs="Segoe UI"/>
          <w:sz w:val="21"/>
          <w:szCs w:val="21"/>
        </w:rPr>
        <w:tab/>
        <w:t>Real Estate (Property) Tax</w:t>
      </w:r>
    </w:p>
    <w:p w14:paraId="4316DD5A"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SME</w:t>
      </w:r>
      <w:r w:rsidRPr="00CB1E53">
        <w:rPr>
          <w:rFonts w:ascii="Segoe UI" w:hAnsi="Segoe UI" w:cs="Segoe UI"/>
          <w:sz w:val="21"/>
          <w:szCs w:val="21"/>
        </w:rPr>
        <w:tab/>
      </w:r>
      <w:r w:rsidRPr="00CB1E53">
        <w:rPr>
          <w:rFonts w:ascii="Segoe UI" w:hAnsi="Segoe UI" w:cs="Segoe UI"/>
          <w:sz w:val="21"/>
          <w:szCs w:val="21"/>
        </w:rPr>
        <w:tab/>
        <w:t>Small and Medium Enterprise(s)</w:t>
      </w:r>
    </w:p>
    <w:p w14:paraId="5F368D53" w14:textId="75A34041"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SSC</w:t>
      </w:r>
      <w:r>
        <w:tab/>
      </w:r>
      <w:r>
        <w:tab/>
      </w:r>
      <w:r w:rsidRPr="00CB1E53">
        <w:rPr>
          <w:rFonts w:ascii="Segoe UI" w:hAnsi="Segoe UI" w:cs="Segoe UI"/>
          <w:sz w:val="21"/>
          <w:szCs w:val="21"/>
        </w:rPr>
        <w:t xml:space="preserve">Social Security </w:t>
      </w:r>
      <w:r w:rsidR="5A621FDA" w:rsidRPr="39DF3741">
        <w:rPr>
          <w:rFonts w:ascii="Segoe UI" w:hAnsi="Segoe UI" w:cs="Segoe UI"/>
          <w:sz w:val="21"/>
          <w:szCs w:val="21"/>
        </w:rPr>
        <w:t>Contribution</w:t>
      </w:r>
      <w:r w:rsidR="405154FB" w:rsidRPr="39DF3741">
        <w:rPr>
          <w:rFonts w:ascii="Segoe UI" w:hAnsi="Segoe UI" w:cs="Segoe UI"/>
          <w:sz w:val="21"/>
          <w:szCs w:val="21"/>
        </w:rPr>
        <w:t>s</w:t>
      </w:r>
    </w:p>
    <w:p w14:paraId="4AD89BDE"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STS</w:t>
      </w:r>
      <w:r w:rsidRPr="00CB1E53">
        <w:rPr>
          <w:rFonts w:ascii="Segoe UI" w:hAnsi="Segoe UI" w:cs="Segoe UI"/>
          <w:sz w:val="21"/>
          <w:szCs w:val="21"/>
        </w:rPr>
        <w:tab/>
      </w:r>
      <w:r w:rsidRPr="00CB1E53">
        <w:rPr>
          <w:rFonts w:ascii="Segoe UI" w:hAnsi="Segoe UI" w:cs="Segoe UI"/>
          <w:sz w:val="21"/>
          <w:szCs w:val="21"/>
        </w:rPr>
        <w:tab/>
        <w:t>State Tax Service</w:t>
      </w:r>
    </w:p>
    <w:p w14:paraId="72E07102"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SUT</w:t>
      </w:r>
      <w:r w:rsidRPr="00CB1E53">
        <w:rPr>
          <w:rFonts w:ascii="Segoe UI" w:hAnsi="Segoe UI" w:cs="Segoe UI"/>
          <w:sz w:val="21"/>
          <w:szCs w:val="21"/>
        </w:rPr>
        <w:tab/>
      </w:r>
      <w:r w:rsidRPr="00CB1E53">
        <w:rPr>
          <w:rFonts w:ascii="Segoe UI" w:hAnsi="Segoe UI" w:cs="Segoe UI"/>
          <w:sz w:val="21"/>
          <w:szCs w:val="21"/>
        </w:rPr>
        <w:tab/>
        <w:t>Supply-Use Table</w:t>
      </w:r>
    </w:p>
    <w:p w14:paraId="275C4001"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TC</w:t>
      </w:r>
      <w:r w:rsidRPr="00CB1E53">
        <w:rPr>
          <w:rFonts w:ascii="Segoe UI" w:hAnsi="Segoe UI" w:cs="Segoe UI"/>
          <w:sz w:val="21"/>
          <w:szCs w:val="21"/>
        </w:rPr>
        <w:tab/>
      </w:r>
      <w:r w:rsidRPr="00CB1E53">
        <w:rPr>
          <w:rFonts w:ascii="Segoe UI" w:hAnsi="Segoe UI" w:cs="Segoe UI"/>
          <w:sz w:val="21"/>
          <w:szCs w:val="21"/>
        </w:rPr>
        <w:tab/>
        <w:t>Tax Code</w:t>
      </w:r>
    </w:p>
    <w:p w14:paraId="19103DF5"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TCPU</w:t>
      </w:r>
      <w:r w:rsidRPr="00CB1E53">
        <w:rPr>
          <w:rFonts w:ascii="Segoe UI" w:hAnsi="Segoe UI" w:cs="Segoe UI"/>
          <w:sz w:val="21"/>
          <w:szCs w:val="21"/>
        </w:rPr>
        <w:tab/>
      </w:r>
      <w:r w:rsidRPr="00CB1E53">
        <w:rPr>
          <w:rFonts w:ascii="Segoe UI" w:hAnsi="Segoe UI" w:cs="Segoe UI"/>
          <w:sz w:val="21"/>
          <w:szCs w:val="21"/>
        </w:rPr>
        <w:tab/>
        <w:t>Tax and Customs Policy Unit</w:t>
      </w:r>
    </w:p>
    <w:p w14:paraId="1F25A072"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TE</w:t>
      </w:r>
      <w:r w:rsidRPr="00CB1E53">
        <w:rPr>
          <w:rFonts w:ascii="Segoe UI" w:hAnsi="Segoe UI" w:cs="Segoe UI"/>
          <w:sz w:val="21"/>
          <w:szCs w:val="21"/>
        </w:rPr>
        <w:tab/>
      </w:r>
      <w:r w:rsidRPr="00CB1E53">
        <w:rPr>
          <w:rFonts w:ascii="Segoe UI" w:hAnsi="Segoe UI" w:cs="Segoe UI"/>
          <w:sz w:val="21"/>
          <w:szCs w:val="21"/>
        </w:rPr>
        <w:tab/>
        <w:t>Tax Expenditure</w:t>
      </w:r>
    </w:p>
    <w:p w14:paraId="382F8D73" w14:textId="2BE46078" w:rsidR="00514AA0" w:rsidRPr="00CB1E53" w:rsidRDefault="00514AA0" w:rsidP="00E90BA7">
      <w:pPr>
        <w:spacing w:after="120" w:line="264" w:lineRule="auto"/>
        <w:jc w:val="both"/>
        <w:rPr>
          <w:rFonts w:ascii="Segoe UI" w:hAnsi="Segoe UI" w:cs="Segoe UI"/>
          <w:sz w:val="21"/>
          <w:szCs w:val="21"/>
        </w:rPr>
      </w:pPr>
      <w:r w:rsidRPr="00CB1E53">
        <w:rPr>
          <w:rFonts w:ascii="Segoe UI" w:hAnsi="Segoe UI" w:cs="Segoe UI"/>
          <w:sz w:val="21"/>
          <w:szCs w:val="21"/>
        </w:rPr>
        <w:t>TEAR</w:t>
      </w:r>
      <w:r w:rsidRPr="00CB1E53">
        <w:rPr>
          <w:rFonts w:ascii="Segoe UI" w:hAnsi="Segoe UI" w:cs="Segoe UI"/>
          <w:sz w:val="21"/>
          <w:szCs w:val="21"/>
        </w:rPr>
        <w:tab/>
      </w:r>
      <w:r w:rsidRPr="00CB1E53">
        <w:rPr>
          <w:rFonts w:ascii="Segoe UI" w:hAnsi="Segoe UI" w:cs="Segoe UI"/>
          <w:sz w:val="21"/>
          <w:szCs w:val="21"/>
        </w:rPr>
        <w:tab/>
        <w:t xml:space="preserve">Tax Expenditure Assessment </w:t>
      </w:r>
      <w:r w:rsidR="00156AA4" w:rsidRPr="00CB1E53">
        <w:rPr>
          <w:rFonts w:ascii="Segoe UI" w:hAnsi="Segoe UI" w:cs="Segoe UI"/>
          <w:sz w:val="21"/>
          <w:szCs w:val="21"/>
        </w:rPr>
        <w:t>R</w:t>
      </w:r>
      <w:r w:rsidRPr="00CB1E53">
        <w:rPr>
          <w:rFonts w:ascii="Segoe UI" w:hAnsi="Segoe UI" w:cs="Segoe UI"/>
          <w:sz w:val="21"/>
          <w:szCs w:val="21"/>
        </w:rPr>
        <w:t>eport</w:t>
      </w:r>
    </w:p>
    <w:p w14:paraId="0188F0FC" w14:textId="637C7208"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VAT</w:t>
      </w:r>
      <w:r w:rsidRPr="00CB1E53">
        <w:rPr>
          <w:rFonts w:ascii="Segoe UI" w:hAnsi="Segoe UI" w:cs="Segoe UI"/>
          <w:sz w:val="21"/>
          <w:szCs w:val="21"/>
        </w:rPr>
        <w:tab/>
      </w:r>
      <w:r w:rsidRPr="00CB1E53">
        <w:rPr>
          <w:rFonts w:ascii="Segoe UI" w:hAnsi="Segoe UI" w:cs="Segoe UI"/>
          <w:sz w:val="21"/>
          <w:szCs w:val="21"/>
        </w:rPr>
        <w:tab/>
        <w:t>Value Added Tax</w:t>
      </w:r>
    </w:p>
    <w:p w14:paraId="5A146815" w14:textId="77777777"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br w:type="page"/>
      </w:r>
    </w:p>
    <w:p w14:paraId="5BE9C991" w14:textId="77777777" w:rsidR="00F77F6D" w:rsidRPr="00CB1E53" w:rsidRDefault="00F77F6D" w:rsidP="00E90BA7">
      <w:pPr>
        <w:pStyle w:val="Heading2"/>
        <w:jc w:val="both"/>
      </w:pPr>
      <w:bookmarkStart w:id="4" w:name="_Toc126555809"/>
      <w:r w:rsidRPr="00CB1E53">
        <w:lastRenderedPageBreak/>
        <w:t>Executive Summary and Key Findings</w:t>
      </w:r>
      <w:bookmarkEnd w:id="4"/>
    </w:p>
    <w:p w14:paraId="1DC19252" w14:textId="04531654" w:rsidR="528461FA" w:rsidRDefault="528461FA" w:rsidP="00E90BA7">
      <w:pPr>
        <w:spacing w:after="240"/>
        <w:jc w:val="both"/>
        <w:rPr>
          <w:rFonts w:ascii="Segoe UI" w:hAnsi="Segoe UI" w:cs="Segoe UI"/>
          <w:sz w:val="21"/>
          <w:szCs w:val="21"/>
        </w:rPr>
      </w:pPr>
      <w:r w:rsidRPr="4056327F">
        <w:rPr>
          <w:rFonts w:ascii="Segoe UI" w:hAnsi="Segoe UI" w:cs="Segoe UI"/>
          <w:sz w:val="21"/>
          <w:szCs w:val="21"/>
        </w:rPr>
        <w:t xml:space="preserve">This report </w:t>
      </w:r>
      <w:r w:rsidR="7B28BB03" w:rsidRPr="4056327F">
        <w:rPr>
          <w:rFonts w:ascii="Segoe UI" w:hAnsi="Segoe UI" w:cs="Segoe UI"/>
          <w:sz w:val="21"/>
          <w:szCs w:val="21"/>
        </w:rPr>
        <w:t xml:space="preserve">identifies tax expenditures </w:t>
      </w:r>
      <w:r w:rsidR="00046C87">
        <w:rPr>
          <w:rFonts w:ascii="Segoe UI" w:hAnsi="Segoe UI" w:cs="Segoe UI"/>
          <w:sz w:val="21"/>
          <w:szCs w:val="21"/>
        </w:rPr>
        <w:t>(TE</w:t>
      </w:r>
      <w:r w:rsidR="00F93435">
        <w:rPr>
          <w:rFonts w:ascii="Segoe UI" w:hAnsi="Segoe UI" w:cs="Segoe UI"/>
          <w:sz w:val="21"/>
          <w:szCs w:val="21"/>
        </w:rPr>
        <w:t>s</w:t>
      </w:r>
      <w:r w:rsidR="00046C87">
        <w:rPr>
          <w:rFonts w:ascii="Segoe UI" w:hAnsi="Segoe UI" w:cs="Segoe UI"/>
          <w:sz w:val="21"/>
          <w:szCs w:val="21"/>
        </w:rPr>
        <w:t xml:space="preserve">) </w:t>
      </w:r>
      <w:r w:rsidR="7B28BB03" w:rsidRPr="4056327F">
        <w:rPr>
          <w:rFonts w:ascii="Segoe UI" w:hAnsi="Segoe UI" w:cs="Segoe UI"/>
          <w:sz w:val="21"/>
          <w:szCs w:val="21"/>
        </w:rPr>
        <w:t xml:space="preserve">that exist in the tax system of the Republic of Moldova, and presents their estimated fiscal costs. The report was prepared by the Ministry of Finance of the Republic of Moldova, </w:t>
      </w:r>
      <w:r w:rsidR="1100189E" w:rsidRPr="4056327F">
        <w:rPr>
          <w:rFonts w:ascii="Segoe UI" w:hAnsi="Segoe UI" w:cs="Segoe UI"/>
          <w:sz w:val="21"/>
          <w:szCs w:val="21"/>
        </w:rPr>
        <w:t>with the su</w:t>
      </w:r>
      <w:r w:rsidR="4904880F" w:rsidRPr="4056327F">
        <w:rPr>
          <w:rFonts w:ascii="Segoe UI" w:hAnsi="Segoe UI" w:cs="Segoe UI"/>
          <w:sz w:val="21"/>
          <w:szCs w:val="21"/>
        </w:rPr>
        <w:t>pport of the International Monetary Fund.</w:t>
      </w:r>
    </w:p>
    <w:p w14:paraId="586DF47A" w14:textId="31950903" w:rsidR="00D25C90" w:rsidRPr="00CB1E53" w:rsidRDefault="00D25C90" w:rsidP="00E90BA7">
      <w:pPr>
        <w:spacing w:after="240"/>
        <w:jc w:val="both"/>
        <w:rPr>
          <w:rFonts w:ascii="Segoe UI" w:hAnsi="Segoe UI" w:cs="Segoe UI"/>
          <w:sz w:val="21"/>
          <w:szCs w:val="21"/>
        </w:rPr>
      </w:pPr>
      <w:r w:rsidRPr="00CB1E53">
        <w:rPr>
          <w:rFonts w:ascii="Segoe UI" w:hAnsi="Segoe UI" w:cs="Segoe UI"/>
          <w:sz w:val="21"/>
          <w:szCs w:val="21"/>
        </w:rPr>
        <w:t xml:space="preserve">The key goal of </w:t>
      </w:r>
      <w:r w:rsidR="00206C5F" w:rsidRPr="00CB1E53">
        <w:rPr>
          <w:rFonts w:ascii="Segoe UI" w:hAnsi="Segoe UI" w:cs="Segoe UI"/>
          <w:sz w:val="21"/>
          <w:szCs w:val="21"/>
        </w:rPr>
        <w:t>any</w:t>
      </w:r>
      <w:r w:rsidRPr="00CB1E53">
        <w:rPr>
          <w:rFonts w:ascii="Segoe UI" w:hAnsi="Segoe UI" w:cs="Segoe UI"/>
          <w:sz w:val="21"/>
          <w:szCs w:val="21"/>
        </w:rPr>
        <w:t xml:space="preserve"> tax system is to generate sufficient revenue for government spending. </w:t>
      </w:r>
      <w:r w:rsidR="00206C5F" w:rsidRPr="00CB1E53">
        <w:rPr>
          <w:rFonts w:ascii="Segoe UI" w:hAnsi="Segoe UI" w:cs="Segoe UI"/>
          <w:sz w:val="21"/>
          <w:szCs w:val="21"/>
        </w:rPr>
        <w:t>I</w:t>
      </w:r>
      <w:r w:rsidRPr="00CB1E53">
        <w:rPr>
          <w:rFonts w:ascii="Segoe UI" w:hAnsi="Segoe UI" w:cs="Segoe UI"/>
          <w:sz w:val="21"/>
          <w:szCs w:val="21"/>
        </w:rPr>
        <w:t xml:space="preserve">t </w:t>
      </w:r>
      <w:r w:rsidR="00206C5F" w:rsidRPr="00CB1E53">
        <w:rPr>
          <w:rFonts w:ascii="Segoe UI" w:hAnsi="Segoe UI" w:cs="Segoe UI"/>
          <w:sz w:val="21"/>
          <w:szCs w:val="21"/>
        </w:rPr>
        <w:t>can</w:t>
      </w:r>
      <w:r w:rsidRPr="00CB1E53">
        <w:rPr>
          <w:rFonts w:ascii="Segoe UI" w:hAnsi="Segoe UI" w:cs="Segoe UI"/>
          <w:sz w:val="21"/>
          <w:szCs w:val="21"/>
        </w:rPr>
        <w:t xml:space="preserve"> </w:t>
      </w:r>
      <w:r w:rsidR="00206C5F" w:rsidRPr="00CB1E53">
        <w:rPr>
          <w:rFonts w:ascii="Segoe UI" w:hAnsi="Segoe UI" w:cs="Segoe UI"/>
          <w:sz w:val="21"/>
          <w:szCs w:val="21"/>
        </w:rPr>
        <w:t xml:space="preserve">be </w:t>
      </w:r>
      <w:r w:rsidRPr="00CB1E53">
        <w:rPr>
          <w:rFonts w:ascii="Segoe UI" w:hAnsi="Segoe UI" w:cs="Segoe UI"/>
          <w:sz w:val="21"/>
          <w:szCs w:val="21"/>
        </w:rPr>
        <w:t>also used to advance certain socioeconomic objectives through targeted tax exemptions, deductions, reduced tax rates, deferrals, or tax credits. T</w:t>
      </w:r>
      <w:r w:rsidR="00206C5F" w:rsidRPr="00CB1E53">
        <w:rPr>
          <w:rFonts w:ascii="Segoe UI" w:hAnsi="Segoe UI" w:cs="Segoe UI"/>
          <w:sz w:val="21"/>
          <w:szCs w:val="21"/>
        </w:rPr>
        <w:t xml:space="preserve">Es </w:t>
      </w:r>
      <w:r w:rsidRPr="00CB1E53">
        <w:rPr>
          <w:rFonts w:ascii="Segoe UI" w:hAnsi="Segoe UI" w:cs="Segoe UI"/>
          <w:sz w:val="21"/>
          <w:szCs w:val="21"/>
        </w:rPr>
        <w:t xml:space="preserve">are estimates of the total revenue forgone as a result of these preferential tax treatments. This </w:t>
      </w:r>
      <w:r w:rsidR="006B117D">
        <w:rPr>
          <w:rFonts w:ascii="Segoe UI" w:hAnsi="Segoe UI" w:cs="Segoe UI"/>
          <w:sz w:val="21"/>
          <w:szCs w:val="21"/>
        </w:rPr>
        <w:t>second</w:t>
      </w:r>
      <w:r w:rsidRPr="00CB1E53">
        <w:rPr>
          <w:rFonts w:ascii="Segoe UI" w:hAnsi="Segoe UI" w:cs="Segoe UI"/>
          <w:sz w:val="21"/>
          <w:szCs w:val="21"/>
        </w:rPr>
        <w:t xml:space="preserve"> Moldovan tax expenditure assessment report (TEAR) presents the revenue forgone costs of identified </w:t>
      </w:r>
      <w:r w:rsidR="002A3174">
        <w:rPr>
          <w:rFonts w:ascii="Segoe UI" w:hAnsi="Segoe UI" w:cs="Segoe UI"/>
          <w:sz w:val="21"/>
          <w:szCs w:val="21"/>
        </w:rPr>
        <w:t>TEs</w:t>
      </w:r>
      <w:r w:rsidRPr="00CB1E53">
        <w:rPr>
          <w:rFonts w:ascii="Segoe UI" w:hAnsi="Segoe UI" w:cs="Segoe UI"/>
          <w:sz w:val="21"/>
          <w:szCs w:val="21"/>
        </w:rPr>
        <w:t xml:space="preserve"> provided for in the </w:t>
      </w:r>
      <w:r w:rsidR="00F47A10">
        <w:rPr>
          <w:rFonts w:ascii="Segoe UI" w:hAnsi="Segoe UI" w:cs="Segoe UI"/>
          <w:sz w:val="21"/>
          <w:szCs w:val="21"/>
        </w:rPr>
        <w:t>p</w:t>
      </w:r>
      <w:r w:rsidR="002F1018" w:rsidRPr="00CB1E53">
        <w:rPr>
          <w:rFonts w:ascii="Segoe UI" w:hAnsi="Segoe UI" w:cs="Segoe UI"/>
          <w:sz w:val="21"/>
          <w:szCs w:val="21"/>
        </w:rPr>
        <w:t xml:space="preserve">ersonal </w:t>
      </w:r>
      <w:r w:rsidR="00F47A10">
        <w:rPr>
          <w:rFonts w:ascii="Segoe UI" w:hAnsi="Segoe UI" w:cs="Segoe UI"/>
          <w:sz w:val="21"/>
          <w:szCs w:val="21"/>
        </w:rPr>
        <w:t>i</w:t>
      </w:r>
      <w:r w:rsidR="002F1018" w:rsidRPr="00CB1E53">
        <w:rPr>
          <w:rFonts w:ascii="Segoe UI" w:hAnsi="Segoe UI" w:cs="Segoe UI"/>
          <w:sz w:val="21"/>
          <w:szCs w:val="21"/>
        </w:rPr>
        <w:t xml:space="preserve">ncome </w:t>
      </w:r>
      <w:r w:rsidR="00F47A10">
        <w:rPr>
          <w:rFonts w:ascii="Segoe UI" w:hAnsi="Segoe UI" w:cs="Segoe UI"/>
          <w:sz w:val="21"/>
          <w:szCs w:val="21"/>
        </w:rPr>
        <w:t>t</w:t>
      </w:r>
      <w:r w:rsidR="002F1018" w:rsidRPr="00CB1E53">
        <w:rPr>
          <w:rFonts w:ascii="Segoe UI" w:hAnsi="Segoe UI" w:cs="Segoe UI"/>
          <w:sz w:val="21"/>
          <w:szCs w:val="21"/>
        </w:rPr>
        <w:t>ax (PIT)</w:t>
      </w:r>
      <w:r w:rsidR="002F1018">
        <w:rPr>
          <w:rFonts w:ascii="Segoe UI" w:hAnsi="Segoe UI" w:cs="Segoe UI"/>
          <w:sz w:val="21"/>
          <w:szCs w:val="21"/>
        </w:rPr>
        <w:t xml:space="preserve">, </w:t>
      </w:r>
      <w:r w:rsidR="00F47A10">
        <w:rPr>
          <w:rFonts w:ascii="Segoe UI" w:hAnsi="Segoe UI" w:cs="Segoe UI"/>
          <w:sz w:val="21"/>
          <w:szCs w:val="21"/>
        </w:rPr>
        <w:t>b</w:t>
      </w:r>
      <w:r w:rsidRPr="00CB1E53">
        <w:rPr>
          <w:rFonts w:ascii="Segoe UI" w:hAnsi="Segoe UI" w:cs="Segoe UI"/>
          <w:sz w:val="21"/>
          <w:szCs w:val="21"/>
        </w:rPr>
        <w:t xml:space="preserve">usiness </w:t>
      </w:r>
      <w:r w:rsidR="00F47A10">
        <w:rPr>
          <w:rFonts w:ascii="Segoe UI" w:hAnsi="Segoe UI" w:cs="Segoe UI"/>
          <w:sz w:val="21"/>
          <w:szCs w:val="21"/>
        </w:rPr>
        <w:t>i</w:t>
      </w:r>
      <w:r w:rsidRPr="00CB1E53">
        <w:rPr>
          <w:rFonts w:ascii="Segoe UI" w:hAnsi="Segoe UI" w:cs="Segoe UI"/>
          <w:sz w:val="21"/>
          <w:szCs w:val="21"/>
        </w:rPr>
        <w:t xml:space="preserve">ncome </w:t>
      </w:r>
      <w:r w:rsidR="00F47A10">
        <w:rPr>
          <w:rFonts w:ascii="Segoe UI" w:hAnsi="Segoe UI" w:cs="Segoe UI"/>
          <w:sz w:val="21"/>
          <w:szCs w:val="21"/>
        </w:rPr>
        <w:t>t</w:t>
      </w:r>
      <w:r w:rsidRPr="00CB1E53">
        <w:rPr>
          <w:rFonts w:ascii="Segoe UI" w:hAnsi="Segoe UI" w:cs="Segoe UI"/>
          <w:sz w:val="21"/>
          <w:szCs w:val="21"/>
        </w:rPr>
        <w:t xml:space="preserve">ax (BIT), </w:t>
      </w:r>
      <w:r w:rsidR="00F47A10">
        <w:rPr>
          <w:rFonts w:ascii="Segoe UI" w:hAnsi="Segoe UI" w:cs="Segoe UI"/>
          <w:sz w:val="21"/>
          <w:szCs w:val="21"/>
        </w:rPr>
        <w:t>v</w:t>
      </w:r>
      <w:r w:rsidRPr="00CB1E53">
        <w:rPr>
          <w:rFonts w:ascii="Segoe UI" w:hAnsi="Segoe UI" w:cs="Segoe UI"/>
          <w:sz w:val="21"/>
          <w:szCs w:val="21"/>
        </w:rPr>
        <w:t xml:space="preserve">alue-added </w:t>
      </w:r>
      <w:r w:rsidR="00F47A10">
        <w:rPr>
          <w:rFonts w:ascii="Segoe UI" w:hAnsi="Segoe UI" w:cs="Segoe UI"/>
          <w:sz w:val="21"/>
          <w:szCs w:val="21"/>
        </w:rPr>
        <w:t>t</w:t>
      </w:r>
      <w:r w:rsidRPr="00CB1E53">
        <w:rPr>
          <w:rFonts w:ascii="Segoe UI" w:hAnsi="Segoe UI" w:cs="Segoe UI"/>
          <w:sz w:val="21"/>
          <w:szCs w:val="21"/>
        </w:rPr>
        <w:t>ax (VAT)</w:t>
      </w:r>
      <w:r w:rsidR="00223A1A">
        <w:rPr>
          <w:rFonts w:ascii="Segoe UI" w:hAnsi="Segoe UI" w:cs="Segoe UI"/>
          <w:sz w:val="21"/>
          <w:szCs w:val="21"/>
        </w:rPr>
        <w:t xml:space="preserve">, </w:t>
      </w:r>
      <w:r w:rsidR="00F47A10">
        <w:rPr>
          <w:rFonts w:ascii="Segoe UI" w:hAnsi="Segoe UI" w:cs="Segoe UI"/>
          <w:sz w:val="21"/>
          <w:szCs w:val="21"/>
        </w:rPr>
        <w:t>e</w:t>
      </w:r>
      <w:r w:rsidR="00223A1A">
        <w:rPr>
          <w:rFonts w:ascii="Segoe UI" w:hAnsi="Segoe UI" w:cs="Segoe UI"/>
          <w:sz w:val="21"/>
          <w:szCs w:val="21"/>
        </w:rPr>
        <w:t xml:space="preserve">xcise </w:t>
      </w:r>
      <w:r w:rsidR="5F8C70E1" w:rsidRPr="39DF3741">
        <w:rPr>
          <w:rFonts w:ascii="Segoe UI" w:hAnsi="Segoe UI" w:cs="Segoe UI"/>
          <w:sz w:val="21"/>
          <w:szCs w:val="21"/>
        </w:rPr>
        <w:t>duties</w:t>
      </w:r>
      <w:r w:rsidR="00223A1A">
        <w:rPr>
          <w:rFonts w:ascii="Segoe UI" w:hAnsi="Segoe UI" w:cs="Segoe UI"/>
          <w:sz w:val="21"/>
          <w:szCs w:val="21"/>
        </w:rPr>
        <w:t xml:space="preserve">, </w:t>
      </w:r>
      <w:r w:rsidR="007C2F46">
        <w:rPr>
          <w:rFonts w:ascii="Segoe UI" w:hAnsi="Segoe UI" w:cs="Segoe UI"/>
          <w:sz w:val="21"/>
          <w:szCs w:val="21"/>
        </w:rPr>
        <w:t xml:space="preserve">road </w:t>
      </w:r>
      <w:r w:rsidR="2050C846" w:rsidRPr="39DF3741">
        <w:rPr>
          <w:rFonts w:ascii="Segoe UI" w:hAnsi="Segoe UI" w:cs="Segoe UI"/>
          <w:sz w:val="21"/>
          <w:szCs w:val="21"/>
        </w:rPr>
        <w:t xml:space="preserve">usage </w:t>
      </w:r>
      <w:r w:rsidR="007C2F46">
        <w:rPr>
          <w:rFonts w:ascii="Segoe UI" w:hAnsi="Segoe UI" w:cs="Segoe UI"/>
          <w:sz w:val="21"/>
          <w:szCs w:val="21"/>
        </w:rPr>
        <w:t xml:space="preserve">fees, </w:t>
      </w:r>
      <w:r w:rsidR="0CBDCB40" w:rsidRPr="39DF3741">
        <w:rPr>
          <w:rFonts w:ascii="Segoe UI" w:hAnsi="Segoe UI" w:cs="Segoe UI"/>
          <w:sz w:val="21"/>
          <w:szCs w:val="21"/>
        </w:rPr>
        <w:t xml:space="preserve">import </w:t>
      </w:r>
      <w:r w:rsidR="00EC40FD">
        <w:rPr>
          <w:rFonts w:ascii="Segoe UI" w:hAnsi="Segoe UI" w:cs="Segoe UI"/>
          <w:sz w:val="21"/>
          <w:szCs w:val="21"/>
        </w:rPr>
        <w:t>d</w:t>
      </w:r>
      <w:r w:rsidR="00223A1A">
        <w:rPr>
          <w:rFonts w:ascii="Segoe UI" w:hAnsi="Segoe UI" w:cs="Segoe UI"/>
          <w:sz w:val="21"/>
          <w:szCs w:val="21"/>
        </w:rPr>
        <w:t xml:space="preserve">uties, </w:t>
      </w:r>
      <w:r w:rsidR="00F47A10">
        <w:rPr>
          <w:rFonts w:ascii="Segoe UI" w:hAnsi="Segoe UI" w:cs="Segoe UI"/>
          <w:sz w:val="21"/>
          <w:szCs w:val="21"/>
        </w:rPr>
        <w:t>r</w:t>
      </w:r>
      <w:r w:rsidR="00223A1A">
        <w:rPr>
          <w:rFonts w:ascii="Segoe UI" w:hAnsi="Segoe UI" w:cs="Segoe UI"/>
          <w:sz w:val="21"/>
          <w:szCs w:val="21"/>
        </w:rPr>
        <w:t xml:space="preserve">eal </w:t>
      </w:r>
      <w:r w:rsidR="00F47A10">
        <w:rPr>
          <w:rFonts w:ascii="Segoe UI" w:hAnsi="Segoe UI" w:cs="Segoe UI"/>
          <w:sz w:val="21"/>
          <w:szCs w:val="21"/>
        </w:rPr>
        <w:t>e</w:t>
      </w:r>
      <w:r w:rsidR="00223A1A">
        <w:rPr>
          <w:rFonts w:ascii="Segoe UI" w:hAnsi="Segoe UI" w:cs="Segoe UI"/>
          <w:sz w:val="21"/>
          <w:szCs w:val="21"/>
        </w:rPr>
        <w:t xml:space="preserve">state </w:t>
      </w:r>
      <w:r w:rsidR="00F47A10">
        <w:rPr>
          <w:rFonts w:ascii="Segoe UI" w:hAnsi="Segoe UI" w:cs="Segoe UI"/>
          <w:sz w:val="21"/>
          <w:szCs w:val="21"/>
        </w:rPr>
        <w:t>t</w:t>
      </w:r>
      <w:r w:rsidR="00223A1A">
        <w:rPr>
          <w:rFonts w:ascii="Segoe UI" w:hAnsi="Segoe UI" w:cs="Segoe UI"/>
          <w:sz w:val="21"/>
          <w:szCs w:val="21"/>
        </w:rPr>
        <w:t xml:space="preserve">ax (RET), and </w:t>
      </w:r>
      <w:r w:rsidR="00F47A10">
        <w:rPr>
          <w:rFonts w:ascii="Segoe UI" w:hAnsi="Segoe UI" w:cs="Segoe UI"/>
          <w:sz w:val="21"/>
          <w:szCs w:val="21"/>
        </w:rPr>
        <w:t>r</w:t>
      </w:r>
      <w:r w:rsidR="00223A1A">
        <w:rPr>
          <w:rFonts w:ascii="Segoe UI" w:hAnsi="Segoe UI" w:cs="Segoe UI"/>
          <w:sz w:val="21"/>
          <w:szCs w:val="21"/>
        </w:rPr>
        <w:t xml:space="preserve">esource </w:t>
      </w:r>
      <w:r w:rsidR="00F47A10">
        <w:rPr>
          <w:rFonts w:ascii="Segoe UI" w:hAnsi="Segoe UI" w:cs="Segoe UI"/>
          <w:sz w:val="21"/>
          <w:szCs w:val="21"/>
        </w:rPr>
        <w:t>e</w:t>
      </w:r>
      <w:r w:rsidR="00223A1A">
        <w:rPr>
          <w:rFonts w:ascii="Segoe UI" w:hAnsi="Segoe UI" w:cs="Segoe UI"/>
          <w:sz w:val="21"/>
          <w:szCs w:val="21"/>
        </w:rPr>
        <w:t xml:space="preserve">xtraction </w:t>
      </w:r>
      <w:r w:rsidR="00F47A10">
        <w:rPr>
          <w:rFonts w:ascii="Segoe UI" w:hAnsi="Segoe UI" w:cs="Segoe UI"/>
          <w:sz w:val="21"/>
          <w:szCs w:val="21"/>
        </w:rPr>
        <w:t>f</w:t>
      </w:r>
      <w:r w:rsidR="00223A1A">
        <w:rPr>
          <w:rFonts w:ascii="Segoe UI" w:hAnsi="Segoe UI" w:cs="Segoe UI"/>
          <w:sz w:val="21"/>
          <w:szCs w:val="21"/>
        </w:rPr>
        <w:t>ees</w:t>
      </w:r>
      <w:r w:rsidRPr="00CB1E53">
        <w:rPr>
          <w:rFonts w:ascii="Segoe UI" w:hAnsi="Segoe UI" w:cs="Segoe UI"/>
          <w:sz w:val="21"/>
          <w:szCs w:val="21"/>
        </w:rPr>
        <w:t xml:space="preserve">. </w:t>
      </w:r>
    </w:p>
    <w:p w14:paraId="0D48DC91" w14:textId="1E3392DB" w:rsidR="00D25C90" w:rsidRPr="00CB1E53" w:rsidRDefault="00D25C90" w:rsidP="00E90BA7">
      <w:pPr>
        <w:spacing w:after="240"/>
        <w:jc w:val="both"/>
        <w:rPr>
          <w:rFonts w:ascii="Segoe UI" w:hAnsi="Segoe UI" w:cs="Segoe UI"/>
          <w:sz w:val="21"/>
          <w:szCs w:val="21"/>
        </w:rPr>
      </w:pPr>
      <w:r w:rsidRPr="00CB1E53">
        <w:rPr>
          <w:rFonts w:ascii="Segoe UI" w:hAnsi="Segoe UI" w:cs="Segoe UI"/>
          <w:sz w:val="21"/>
          <w:szCs w:val="21"/>
        </w:rPr>
        <w:t xml:space="preserve">An illustrative list of </w:t>
      </w:r>
      <w:r w:rsidR="00A3231A">
        <w:rPr>
          <w:rFonts w:ascii="Segoe UI" w:hAnsi="Segoe UI" w:cs="Segoe UI"/>
          <w:sz w:val="21"/>
          <w:szCs w:val="21"/>
        </w:rPr>
        <w:t>TEs</w:t>
      </w:r>
      <w:r w:rsidRPr="00CB1E53">
        <w:rPr>
          <w:rFonts w:ascii="Segoe UI" w:hAnsi="Segoe UI" w:cs="Segoe UI"/>
          <w:sz w:val="21"/>
          <w:szCs w:val="21"/>
        </w:rPr>
        <w:t xml:space="preserve"> for the income tax system could include interest deductions for housing loans, tax-free savings accounts, tax deductions for childcare expenses, reduced tax rates for small and medium enterprises, tax benefits for charitable donations, and tax advantages for employer-funded benefits. Similarly, </w:t>
      </w:r>
      <w:r w:rsidR="00587DD8">
        <w:rPr>
          <w:rFonts w:ascii="Segoe UI" w:hAnsi="Segoe UI" w:cs="Segoe UI"/>
          <w:sz w:val="21"/>
          <w:szCs w:val="21"/>
        </w:rPr>
        <w:t>TEs</w:t>
      </w:r>
      <w:r w:rsidRPr="00CB1E53">
        <w:rPr>
          <w:rFonts w:ascii="Segoe UI" w:hAnsi="Segoe UI" w:cs="Segoe UI"/>
          <w:sz w:val="21"/>
          <w:szCs w:val="21"/>
        </w:rPr>
        <w:t xml:space="preserve"> for VAT could include reduced rates, domestic zero rates, and VAT exemptions. The examples of these tax preferences are not necessarily undesirable as they will yield some social benefit. Nevertheless, the cost of such provisions should be estimated and reported, so that their value can be assessed and compared against similar government spending programs.</w:t>
      </w:r>
    </w:p>
    <w:p w14:paraId="3F425DE6" w14:textId="77777777" w:rsidR="00D25C90" w:rsidRPr="00CB1E53" w:rsidRDefault="00D25C90" w:rsidP="00E90BA7">
      <w:pPr>
        <w:pStyle w:val="Heading3"/>
        <w:jc w:val="both"/>
        <w:rPr>
          <w:rStyle w:val="RegularDKB"/>
          <w:caps w:val="0"/>
        </w:rPr>
      </w:pPr>
      <w:bookmarkStart w:id="5" w:name="_Toc126555810"/>
      <w:r w:rsidRPr="00CB1E53">
        <w:rPr>
          <w:rStyle w:val="RegularDKB"/>
          <w:caps w:val="0"/>
        </w:rPr>
        <w:t>Tax expenditure assessments, future tax policy changes, and cost-benefit analysis</w:t>
      </w:r>
      <w:bookmarkEnd w:id="5"/>
    </w:p>
    <w:p w14:paraId="7019155F" w14:textId="03851AE1" w:rsidR="00D25C90" w:rsidRPr="00CB1E53" w:rsidRDefault="00D25C90" w:rsidP="00E90BA7">
      <w:pPr>
        <w:spacing w:after="240"/>
        <w:jc w:val="both"/>
        <w:rPr>
          <w:rFonts w:ascii="Segoe UI" w:hAnsi="Segoe UI" w:cs="Segoe UI"/>
          <w:sz w:val="21"/>
          <w:szCs w:val="21"/>
        </w:rPr>
      </w:pPr>
      <w:r w:rsidRPr="00CB1E53">
        <w:rPr>
          <w:rFonts w:ascii="Segoe UI" w:hAnsi="Segoe UI" w:cs="Segoe UI"/>
          <w:sz w:val="21"/>
          <w:szCs w:val="21"/>
        </w:rPr>
        <w:t xml:space="preserve">Establishing </w:t>
      </w:r>
      <w:r w:rsidR="00206C5F" w:rsidRPr="00CB1E53">
        <w:rPr>
          <w:rFonts w:ascii="Segoe UI" w:hAnsi="Segoe UI" w:cs="Segoe UI"/>
          <w:sz w:val="21"/>
          <w:szCs w:val="21"/>
        </w:rPr>
        <w:t xml:space="preserve">the </w:t>
      </w:r>
      <w:r w:rsidRPr="00CB1E53">
        <w:rPr>
          <w:rFonts w:ascii="Segoe UI" w:hAnsi="Segoe UI" w:cs="Segoe UI"/>
          <w:sz w:val="21"/>
          <w:szCs w:val="21"/>
        </w:rPr>
        <w:t xml:space="preserve">inventory </w:t>
      </w:r>
      <w:r w:rsidR="00206C5F" w:rsidRPr="00CB1E53">
        <w:rPr>
          <w:rFonts w:ascii="Segoe UI" w:hAnsi="Segoe UI" w:cs="Segoe UI"/>
          <w:sz w:val="21"/>
          <w:szCs w:val="21"/>
        </w:rPr>
        <w:t>of TEs</w:t>
      </w:r>
      <w:r w:rsidRPr="00CB1E53">
        <w:rPr>
          <w:rFonts w:ascii="Segoe UI" w:hAnsi="Segoe UI" w:cs="Segoe UI"/>
          <w:sz w:val="21"/>
          <w:szCs w:val="21"/>
        </w:rPr>
        <w:t xml:space="preserve">, estimating their forgone revenues, monitoring their implementation, and evaluating their cost-effectiveness </w:t>
      </w:r>
      <w:r w:rsidRPr="00B6686B">
        <w:rPr>
          <w:rFonts w:ascii="Segoe UI" w:hAnsi="Segoe UI" w:cs="Segoe UI"/>
          <w:i/>
          <w:sz w:val="21"/>
          <w:szCs w:val="21"/>
        </w:rPr>
        <w:t>ex post</w:t>
      </w:r>
      <w:r w:rsidRPr="00CB1E53">
        <w:rPr>
          <w:rFonts w:ascii="Segoe UI" w:hAnsi="Segoe UI" w:cs="Segoe UI"/>
          <w:sz w:val="21"/>
          <w:szCs w:val="21"/>
        </w:rPr>
        <w:t>, creates a powerful feedback loop if future revenue-raising options need to be identified. Alternatively, it could inform future base broadening initiatives with accompanying downward tax rate adjustment if revenue neutrality is pursued. Consequently, establishing the practice of regularly publishing a TEAR should improve tax policy design in Moldova.</w:t>
      </w:r>
    </w:p>
    <w:p w14:paraId="0D55CF08" w14:textId="0CCA44FF" w:rsidR="00D25C90" w:rsidRPr="00CB1E53" w:rsidRDefault="00D25C90" w:rsidP="00E90BA7">
      <w:pPr>
        <w:spacing w:after="240"/>
        <w:jc w:val="both"/>
        <w:rPr>
          <w:rFonts w:ascii="Segoe UI" w:hAnsi="Segoe UI" w:cs="Segoe UI"/>
          <w:sz w:val="21"/>
          <w:szCs w:val="21"/>
        </w:rPr>
      </w:pPr>
      <w:r w:rsidRPr="00CB1E53">
        <w:rPr>
          <w:rFonts w:ascii="Segoe UI" w:hAnsi="Segoe UI" w:cs="Segoe UI"/>
          <w:sz w:val="21"/>
          <w:szCs w:val="21"/>
        </w:rPr>
        <w:t>It is important to flag at the outset the distinction between costing of TEs and evaluating their cost-effectiveness as a policy tool. Reporting on revenue forgone of TEs in a TEAR and TE evaluations are related, but separate exercises with different institutional requirements. Costing TEs and publishing TE revenue losses is an important step in ensuring fiscal transparency and to allow for a comparison of tax measures with direct spending policies (Heady and Mansour</w:t>
      </w:r>
      <w:r w:rsidR="00206C5F" w:rsidRPr="00CB1E53">
        <w:rPr>
          <w:rFonts w:ascii="Segoe UI" w:hAnsi="Segoe UI" w:cs="Segoe UI"/>
          <w:sz w:val="21"/>
          <w:szCs w:val="21"/>
        </w:rPr>
        <w:t>,</w:t>
      </w:r>
      <w:r w:rsidRPr="00CB1E53">
        <w:rPr>
          <w:rFonts w:ascii="Segoe UI" w:hAnsi="Segoe UI" w:cs="Segoe UI"/>
          <w:sz w:val="21"/>
          <w:szCs w:val="21"/>
        </w:rPr>
        <w:t xml:space="preserve"> 2019). This is the intended output of this first comprehensive TEAR for Moldova. </w:t>
      </w:r>
      <w:r w:rsidR="2F8EE9E7" w:rsidRPr="4056327F">
        <w:rPr>
          <w:rFonts w:ascii="Segoe UI" w:hAnsi="Segoe UI" w:cs="Segoe UI"/>
          <w:sz w:val="21"/>
          <w:szCs w:val="21"/>
        </w:rPr>
        <w:t>Evaluating</w:t>
      </w:r>
      <w:r w:rsidRPr="00CB1E53">
        <w:rPr>
          <w:rFonts w:ascii="Segoe UI" w:hAnsi="Segoe UI" w:cs="Segoe UI"/>
          <w:sz w:val="21"/>
          <w:szCs w:val="21"/>
        </w:rPr>
        <w:t xml:space="preserve"> the cost-effectiveness </w:t>
      </w:r>
      <w:r w:rsidR="009C4317" w:rsidRPr="00CB1E53">
        <w:rPr>
          <w:rFonts w:ascii="Segoe UI" w:hAnsi="Segoe UI" w:cs="Segoe UI"/>
          <w:sz w:val="21"/>
          <w:szCs w:val="21"/>
        </w:rPr>
        <w:t xml:space="preserve">of TEs </w:t>
      </w:r>
      <w:r w:rsidRPr="00CB1E53">
        <w:rPr>
          <w:rFonts w:ascii="Segoe UI" w:hAnsi="Segoe UI" w:cs="Segoe UI"/>
          <w:sz w:val="21"/>
          <w:szCs w:val="21"/>
        </w:rPr>
        <w:t>in pursuing public policy objectives</w:t>
      </w:r>
      <w:r w:rsidR="009C4317" w:rsidRPr="00CB1E53">
        <w:rPr>
          <w:rFonts w:ascii="Segoe UI" w:hAnsi="Segoe UI" w:cs="Segoe UI"/>
          <w:sz w:val="21"/>
          <w:szCs w:val="21"/>
        </w:rPr>
        <w:t xml:space="preserve"> is the next, more ambitious step in policy analysis</w:t>
      </w:r>
      <w:r w:rsidRPr="00CB1E53">
        <w:rPr>
          <w:rFonts w:ascii="Segoe UI" w:hAnsi="Segoe UI" w:cs="Segoe UI"/>
          <w:sz w:val="21"/>
          <w:szCs w:val="21"/>
        </w:rPr>
        <w:t xml:space="preserve">, which requires special analytical skills. </w:t>
      </w:r>
    </w:p>
    <w:p w14:paraId="3A2A5DFB" w14:textId="37154DD3" w:rsidR="00D25C90" w:rsidRPr="00CB1E53" w:rsidRDefault="10EB0F24" w:rsidP="00E90BA7">
      <w:pPr>
        <w:pStyle w:val="Heading3"/>
        <w:jc w:val="both"/>
        <w:rPr>
          <w:rStyle w:val="RegularDKB"/>
          <w:caps w:val="0"/>
        </w:rPr>
      </w:pPr>
      <w:bookmarkStart w:id="6" w:name="_Toc126555811"/>
      <w:r w:rsidRPr="4056327F">
        <w:rPr>
          <w:rStyle w:val="RegularDKB"/>
          <w:caps w:val="0"/>
        </w:rPr>
        <w:t>Challenges</w:t>
      </w:r>
      <w:r w:rsidR="00D25C90" w:rsidRPr="00CB1E53">
        <w:rPr>
          <w:rStyle w:val="RegularDKB"/>
          <w:caps w:val="0"/>
        </w:rPr>
        <w:t xml:space="preserve"> with defining a benchmark tax system</w:t>
      </w:r>
      <w:bookmarkEnd w:id="6"/>
    </w:p>
    <w:p w14:paraId="06643922" w14:textId="689D5CC0" w:rsidR="00D25C90" w:rsidRPr="00CB1E53" w:rsidRDefault="00D25C90" w:rsidP="00E90BA7">
      <w:pPr>
        <w:spacing w:after="240"/>
        <w:jc w:val="both"/>
        <w:rPr>
          <w:rFonts w:ascii="Segoe UI" w:hAnsi="Segoe UI" w:cs="Segoe UI"/>
          <w:sz w:val="21"/>
          <w:szCs w:val="21"/>
        </w:rPr>
      </w:pPr>
      <w:r w:rsidRPr="00CB1E53">
        <w:rPr>
          <w:rFonts w:ascii="Segoe UI" w:hAnsi="Segoe UI" w:cs="Segoe UI"/>
          <w:sz w:val="21"/>
          <w:szCs w:val="21"/>
        </w:rPr>
        <w:t xml:space="preserve">In the fiscal literature, </w:t>
      </w:r>
      <w:r w:rsidR="00061186">
        <w:rPr>
          <w:rFonts w:ascii="Segoe UI" w:hAnsi="Segoe UI" w:cs="Segoe UI"/>
          <w:sz w:val="21"/>
          <w:szCs w:val="21"/>
        </w:rPr>
        <w:t>TEs</w:t>
      </w:r>
      <w:r w:rsidRPr="00CB1E53">
        <w:rPr>
          <w:rFonts w:ascii="Segoe UI" w:hAnsi="Segoe UI" w:cs="Segoe UI"/>
          <w:sz w:val="21"/>
          <w:szCs w:val="21"/>
        </w:rPr>
        <w:t xml:space="preserve"> are generally defined as deviations from some </w:t>
      </w:r>
      <w:r w:rsidR="00206468">
        <w:rPr>
          <w:rFonts w:ascii="Segoe UI" w:hAnsi="Segoe UI" w:cs="Segoe UI"/>
          <w:sz w:val="21"/>
          <w:szCs w:val="21"/>
        </w:rPr>
        <w:t>“</w:t>
      </w:r>
      <w:r w:rsidR="00206468" w:rsidRPr="00CB1E53">
        <w:rPr>
          <w:rFonts w:ascii="Segoe UI" w:hAnsi="Segoe UI" w:cs="Segoe UI"/>
          <w:sz w:val="21"/>
          <w:szCs w:val="21"/>
        </w:rPr>
        <w:t>benchmark</w:t>
      </w:r>
      <w:r w:rsidR="00206468">
        <w:rPr>
          <w:rFonts w:ascii="Segoe UI" w:hAnsi="Segoe UI" w:cs="Segoe UI"/>
          <w:sz w:val="21"/>
          <w:szCs w:val="21"/>
        </w:rPr>
        <w:t xml:space="preserve">” </w:t>
      </w:r>
      <w:r w:rsidRPr="00CB1E53">
        <w:rPr>
          <w:rFonts w:ascii="Segoe UI" w:hAnsi="Segoe UI" w:cs="Segoe UI"/>
          <w:sz w:val="21"/>
          <w:szCs w:val="21"/>
        </w:rPr>
        <w:t xml:space="preserve">tax system although the benchmark is rarely well defined. Considerable effort went therefore into the Ministry of Finance’s preparation of the TEAR to delineate for </w:t>
      </w:r>
      <w:r w:rsidR="633E4832" w:rsidRPr="4056327F">
        <w:rPr>
          <w:rFonts w:ascii="Segoe UI" w:hAnsi="Segoe UI" w:cs="Segoe UI"/>
          <w:sz w:val="21"/>
          <w:szCs w:val="21"/>
        </w:rPr>
        <w:t xml:space="preserve">all the </w:t>
      </w:r>
      <w:r w:rsidR="1A00D269" w:rsidRPr="4056327F">
        <w:rPr>
          <w:rFonts w:ascii="Segoe UI" w:hAnsi="Segoe UI" w:cs="Segoe UI"/>
          <w:sz w:val="21"/>
          <w:szCs w:val="21"/>
        </w:rPr>
        <w:t>main</w:t>
      </w:r>
      <w:r w:rsidR="6A182A05" w:rsidRPr="4056327F">
        <w:rPr>
          <w:rFonts w:ascii="Segoe UI" w:hAnsi="Segoe UI" w:cs="Segoe UI"/>
          <w:sz w:val="21"/>
          <w:szCs w:val="21"/>
        </w:rPr>
        <w:t xml:space="preserve"> taxes </w:t>
      </w:r>
      <w:r w:rsidR="216CF4E1" w:rsidRPr="4056327F">
        <w:rPr>
          <w:rFonts w:ascii="Segoe UI" w:hAnsi="Segoe UI" w:cs="Segoe UI"/>
          <w:sz w:val="21"/>
          <w:szCs w:val="21"/>
        </w:rPr>
        <w:t>applicable in Moldova</w:t>
      </w:r>
      <w:r w:rsidRPr="00CB1E53">
        <w:rPr>
          <w:rFonts w:ascii="Segoe UI" w:hAnsi="Segoe UI" w:cs="Segoe UI"/>
          <w:sz w:val="21"/>
          <w:szCs w:val="21"/>
        </w:rPr>
        <w:t xml:space="preserve"> a commonly accepted benchmark regime (or structure) against which variations (or non-structural provisions in the </w:t>
      </w:r>
      <w:r w:rsidR="39A8D3BC" w:rsidRPr="4056327F">
        <w:rPr>
          <w:rFonts w:ascii="Segoe UI" w:hAnsi="Segoe UI" w:cs="Segoe UI"/>
          <w:sz w:val="21"/>
          <w:szCs w:val="21"/>
        </w:rPr>
        <w:lastRenderedPageBreak/>
        <w:t>applicable legislation</w:t>
      </w:r>
      <w:r w:rsidRPr="00CB1E53">
        <w:rPr>
          <w:rFonts w:ascii="Segoe UI" w:hAnsi="Segoe UI" w:cs="Segoe UI"/>
          <w:sz w:val="21"/>
          <w:szCs w:val="21"/>
        </w:rPr>
        <w:t xml:space="preserve">) could be defined consistently. These carefully identified variations constitute the </w:t>
      </w:r>
      <w:r w:rsidR="00963901">
        <w:rPr>
          <w:rFonts w:ascii="Segoe UI" w:hAnsi="Segoe UI" w:cs="Segoe UI"/>
          <w:sz w:val="21"/>
          <w:szCs w:val="21"/>
        </w:rPr>
        <w:t>TE</w:t>
      </w:r>
      <w:r w:rsidRPr="00CB1E53">
        <w:rPr>
          <w:rFonts w:ascii="Segoe UI" w:hAnsi="Segoe UI" w:cs="Segoe UI"/>
          <w:sz w:val="21"/>
          <w:szCs w:val="21"/>
        </w:rPr>
        <w:t>s</w:t>
      </w:r>
      <w:r w:rsidR="00331756">
        <w:rPr>
          <w:rFonts w:ascii="Segoe UI" w:hAnsi="Segoe UI" w:cs="Segoe UI"/>
          <w:sz w:val="21"/>
          <w:szCs w:val="21"/>
        </w:rPr>
        <w:t xml:space="preserve">. A </w:t>
      </w:r>
      <w:r w:rsidR="00331756" w:rsidRPr="005A7A2A">
        <w:rPr>
          <w:rFonts w:ascii="Segoe UI" w:hAnsi="Segoe UI" w:cs="Segoe UI"/>
          <w:sz w:val="21"/>
          <w:szCs w:val="21"/>
        </w:rPr>
        <w:t xml:space="preserve">total of </w:t>
      </w:r>
      <w:r w:rsidR="005A177B" w:rsidRPr="00940947">
        <w:rPr>
          <w:rFonts w:ascii="Segoe UI" w:hAnsi="Segoe UI" w:cs="Segoe UI"/>
          <w:sz w:val="21"/>
          <w:szCs w:val="21"/>
        </w:rPr>
        <w:t>232</w:t>
      </w:r>
      <w:r w:rsidR="00223A1A" w:rsidRPr="00940947">
        <w:rPr>
          <w:rFonts w:ascii="Segoe UI" w:hAnsi="Segoe UI" w:cs="Segoe UI"/>
          <w:sz w:val="21"/>
          <w:szCs w:val="21"/>
        </w:rPr>
        <w:t xml:space="preserve"> </w:t>
      </w:r>
      <w:r w:rsidR="00331756" w:rsidRPr="00940947">
        <w:rPr>
          <w:rFonts w:ascii="Segoe UI" w:hAnsi="Segoe UI" w:cs="Segoe UI"/>
          <w:sz w:val="21"/>
          <w:szCs w:val="21"/>
        </w:rPr>
        <w:t>TEs</w:t>
      </w:r>
      <w:r w:rsidR="00331756" w:rsidRPr="005A7A2A">
        <w:rPr>
          <w:rFonts w:ascii="Segoe UI" w:hAnsi="Segoe UI" w:cs="Segoe UI"/>
          <w:sz w:val="21"/>
          <w:szCs w:val="21"/>
        </w:rPr>
        <w:t xml:space="preserve"> are identified</w:t>
      </w:r>
      <w:r w:rsidR="00331756">
        <w:rPr>
          <w:rFonts w:ascii="Segoe UI" w:hAnsi="Segoe UI" w:cs="Segoe UI"/>
          <w:sz w:val="21"/>
          <w:szCs w:val="21"/>
        </w:rPr>
        <w:t xml:space="preserve"> </w:t>
      </w:r>
      <w:r w:rsidRPr="00CB1E53">
        <w:rPr>
          <w:rFonts w:ascii="Segoe UI" w:hAnsi="Segoe UI" w:cs="Segoe UI"/>
          <w:sz w:val="21"/>
          <w:szCs w:val="21"/>
        </w:rPr>
        <w:t>in this TEAR</w:t>
      </w:r>
      <w:r w:rsidR="00331756">
        <w:rPr>
          <w:rFonts w:ascii="Segoe UI" w:hAnsi="Segoe UI" w:cs="Segoe UI"/>
          <w:sz w:val="21"/>
          <w:szCs w:val="21"/>
        </w:rPr>
        <w:t xml:space="preserve"> (</w:t>
      </w:r>
      <w:r w:rsidR="00897CC2">
        <w:rPr>
          <w:rFonts w:ascii="Segoe UI" w:hAnsi="Segoe UI" w:cs="Segoe UI"/>
          <w:sz w:val="21"/>
          <w:szCs w:val="21"/>
        </w:rPr>
        <w:t xml:space="preserve">see </w:t>
      </w:r>
      <w:r w:rsidRPr="00CB1E53">
        <w:rPr>
          <w:rFonts w:ascii="Segoe UI" w:hAnsi="Segoe UI" w:cs="Segoe UI"/>
          <w:sz w:val="21"/>
          <w:szCs w:val="21"/>
        </w:rPr>
        <w:t xml:space="preserve">Appendices 1 </w:t>
      </w:r>
      <w:r w:rsidRPr="001A4528">
        <w:rPr>
          <w:rFonts w:ascii="Segoe UI" w:hAnsi="Segoe UI" w:cs="Segoe UI"/>
          <w:sz w:val="21"/>
          <w:szCs w:val="21"/>
        </w:rPr>
        <w:t xml:space="preserve">to </w:t>
      </w:r>
      <w:r w:rsidR="00683E51" w:rsidRPr="00991112">
        <w:rPr>
          <w:rFonts w:ascii="Segoe UI" w:hAnsi="Segoe UI" w:cs="Segoe UI"/>
          <w:sz w:val="21"/>
          <w:szCs w:val="21"/>
        </w:rPr>
        <w:t>8</w:t>
      </w:r>
      <w:r w:rsidRPr="001A4528">
        <w:rPr>
          <w:rFonts w:ascii="Segoe UI" w:hAnsi="Segoe UI" w:cs="Segoe UI"/>
          <w:sz w:val="21"/>
          <w:szCs w:val="21"/>
        </w:rPr>
        <w:t>). As to what constitutes the benchmark design for PIT, BIT</w:t>
      </w:r>
      <w:r w:rsidR="00223A1A" w:rsidRPr="001A4528">
        <w:rPr>
          <w:rFonts w:ascii="Segoe UI" w:hAnsi="Segoe UI" w:cs="Segoe UI"/>
          <w:sz w:val="21"/>
          <w:szCs w:val="21"/>
        </w:rPr>
        <w:t>,</w:t>
      </w:r>
      <w:r w:rsidRPr="001A4528">
        <w:rPr>
          <w:rFonts w:ascii="Segoe UI" w:hAnsi="Segoe UI" w:cs="Segoe UI"/>
          <w:sz w:val="21"/>
          <w:szCs w:val="21"/>
        </w:rPr>
        <w:t xml:space="preserve"> VAT, </w:t>
      </w:r>
      <w:r w:rsidR="7519E2DB" w:rsidRPr="001A4528">
        <w:rPr>
          <w:rFonts w:ascii="Segoe UI" w:hAnsi="Segoe UI" w:cs="Segoe UI"/>
          <w:sz w:val="21"/>
          <w:szCs w:val="21"/>
        </w:rPr>
        <w:t>e</w:t>
      </w:r>
      <w:r w:rsidR="44B0E4B5" w:rsidRPr="001A4528">
        <w:rPr>
          <w:rFonts w:ascii="Segoe UI" w:hAnsi="Segoe UI" w:cs="Segoe UI"/>
          <w:sz w:val="21"/>
          <w:szCs w:val="21"/>
        </w:rPr>
        <w:t>xcise</w:t>
      </w:r>
      <w:r w:rsidR="4D219C0F" w:rsidRPr="001A4528">
        <w:rPr>
          <w:rFonts w:ascii="Segoe UI" w:hAnsi="Segoe UI" w:cs="Segoe UI"/>
          <w:sz w:val="21"/>
          <w:szCs w:val="21"/>
        </w:rPr>
        <w:t xml:space="preserve"> dutie</w:t>
      </w:r>
      <w:r w:rsidR="44B0E4B5" w:rsidRPr="001A4528">
        <w:rPr>
          <w:rFonts w:ascii="Segoe UI" w:hAnsi="Segoe UI" w:cs="Segoe UI"/>
          <w:sz w:val="21"/>
          <w:szCs w:val="21"/>
        </w:rPr>
        <w:t xml:space="preserve">s, </w:t>
      </w:r>
      <w:r w:rsidR="007C2F46" w:rsidRPr="001A4528">
        <w:rPr>
          <w:rFonts w:ascii="Segoe UI" w:hAnsi="Segoe UI" w:cs="Segoe UI"/>
          <w:sz w:val="21"/>
          <w:szCs w:val="21"/>
        </w:rPr>
        <w:t xml:space="preserve">road usage fees, </w:t>
      </w:r>
      <w:r w:rsidR="11FEFBF4" w:rsidRPr="001A4528">
        <w:rPr>
          <w:rFonts w:ascii="Segoe UI" w:hAnsi="Segoe UI" w:cs="Segoe UI"/>
          <w:sz w:val="21"/>
          <w:szCs w:val="21"/>
        </w:rPr>
        <w:t>import</w:t>
      </w:r>
      <w:r w:rsidR="00223A1A" w:rsidRPr="001A4528">
        <w:rPr>
          <w:rFonts w:ascii="Segoe UI" w:hAnsi="Segoe UI" w:cs="Segoe UI"/>
          <w:sz w:val="21"/>
          <w:szCs w:val="21"/>
        </w:rPr>
        <w:t xml:space="preserve"> </w:t>
      </w:r>
      <w:r w:rsidR="0017305C" w:rsidRPr="001A4528">
        <w:rPr>
          <w:rFonts w:ascii="Segoe UI" w:hAnsi="Segoe UI" w:cs="Segoe UI"/>
          <w:sz w:val="21"/>
          <w:szCs w:val="21"/>
        </w:rPr>
        <w:t>d</w:t>
      </w:r>
      <w:r w:rsidR="00223A1A" w:rsidRPr="001A4528">
        <w:rPr>
          <w:rFonts w:ascii="Segoe UI" w:hAnsi="Segoe UI" w:cs="Segoe UI"/>
          <w:sz w:val="21"/>
          <w:szCs w:val="21"/>
        </w:rPr>
        <w:t xml:space="preserve">uties, RET, and </w:t>
      </w:r>
      <w:r w:rsidR="00215AE5" w:rsidRPr="001A4528">
        <w:rPr>
          <w:rFonts w:ascii="Segoe UI" w:hAnsi="Segoe UI" w:cs="Segoe UI"/>
          <w:sz w:val="21"/>
          <w:szCs w:val="21"/>
        </w:rPr>
        <w:t xml:space="preserve">natural </w:t>
      </w:r>
      <w:r w:rsidR="0017305C" w:rsidRPr="001A4528">
        <w:rPr>
          <w:rFonts w:ascii="Segoe UI" w:hAnsi="Segoe UI" w:cs="Segoe UI"/>
          <w:sz w:val="21"/>
          <w:szCs w:val="21"/>
        </w:rPr>
        <w:t>r</w:t>
      </w:r>
      <w:r w:rsidR="00223A1A" w:rsidRPr="001A4528">
        <w:rPr>
          <w:rFonts w:ascii="Segoe UI" w:hAnsi="Segoe UI" w:cs="Segoe UI"/>
          <w:sz w:val="21"/>
          <w:szCs w:val="21"/>
        </w:rPr>
        <w:t xml:space="preserve">esource </w:t>
      </w:r>
      <w:r w:rsidR="0017305C" w:rsidRPr="001A4528">
        <w:rPr>
          <w:rFonts w:ascii="Segoe UI" w:hAnsi="Segoe UI" w:cs="Segoe UI"/>
          <w:sz w:val="21"/>
          <w:szCs w:val="21"/>
        </w:rPr>
        <w:t>f</w:t>
      </w:r>
      <w:r w:rsidR="00223A1A" w:rsidRPr="001A4528">
        <w:rPr>
          <w:rFonts w:ascii="Segoe UI" w:hAnsi="Segoe UI" w:cs="Segoe UI"/>
          <w:sz w:val="21"/>
          <w:szCs w:val="21"/>
        </w:rPr>
        <w:t xml:space="preserve">ees, </w:t>
      </w:r>
      <w:r w:rsidRPr="001A4528">
        <w:rPr>
          <w:rFonts w:ascii="Segoe UI" w:hAnsi="Segoe UI" w:cs="Segoe UI"/>
          <w:sz w:val="21"/>
          <w:szCs w:val="21"/>
        </w:rPr>
        <w:t>needs an agreeable and consistent resolution with the view to properly costing TEs. For this reason, this TEAR—before discussing different and adopted approaches to the costing of TEs—provide</w:t>
      </w:r>
      <w:r w:rsidR="00331756" w:rsidRPr="001A4528">
        <w:rPr>
          <w:rFonts w:ascii="Segoe UI" w:hAnsi="Segoe UI" w:cs="Segoe UI"/>
          <w:sz w:val="21"/>
          <w:szCs w:val="21"/>
        </w:rPr>
        <w:t>s</w:t>
      </w:r>
      <w:r w:rsidRPr="001A4528">
        <w:rPr>
          <w:rFonts w:ascii="Segoe UI" w:hAnsi="Segoe UI" w:cs="Segoe UI"/>
          <w:sz w:val="21"/>
          <w:szCs w:val="21"/>
        </w:rPr>
        <w:t xml:space="preserve"> in section </w:t>
      </w:r>
      <w:r w:rsidR="00711C46" w:rsidRPr="001A4528">
        <w:rPr>
          <w:rFonts w:ascii="Segoe UI" w:hAnsi="Segoe UI" w:cs="Segoe UI"/>
          <w:sz w:val="21"/>
          <w:szCs w:val="21"/>
        </w:rPr>
        <w:t>II</w:t>
      </w:r>
      <w:r w:rsidRPr="001A4528">
        <w:rPr>
          <w:rFonts w:ascii="Segoe UI" w:hAnsi="Segoe UI" w:cs="Segoe UI"/>
          <w:sz w:val="21"/>
          <w:szCs w:val="21"/>
        </w:rPr>
        <w:t xml:space="preserve"> some globally acceptable benchmark delineations for the </w:t>
      </w:r>
      <w:r w:rsidR="004371CB" w:rsidRPr="00B833A9">
        <w:rPr>
          <w:rFonts w:ascii="Segoe UI" w:hAnsi="Segoe UI" w:cs="Segoe UI"/>
          <w:sz w:val="21"/>
          <w:szCs w:val="21"/>
        </w:rPr>
        <w:t>eight</w:t>
      </w:r>
      <w:r w:rsidR="004371CB" w:rsidRPr="00CB1E53">
        <w:rPr>
          <w:rFonts w:ascii="Segoe UI" w:hAnsi="Segoe UI" w:cs="Segoe UI"/>
          <w:sz w:val="21"/>
          <w:szCs w:val="21"/>
        </w:rPr>
        <w:t xml:space="preserve"> </w:t>
      </w:r>
      <w:r w:rsidR="004371CB">
        <w:rPr>
          <w:rFonts w:ascii="Segoe UI" w:hAnsi="Segoe UI" w:cs="Segoe UI"/>
          <w:sz w:val="21"/>
          <w:szCs w:val="21"/>
        </w:rPr>
        <w:t xml:space="preserve">types of </w:t>
      </w:r>
      <w:r w:rsidRPr="00CB1E53">
        <w:rPr>
          <w:rFonts w:ascii="Segoe UI" w:hAnsi="Segoe UI" w:cs="Segoe UI"/>
          <w:sz w:val="21"/>
          <w:szCs w:val="21"/>
        </w:rPr>
        <w:t>tax</w:t>
      </w:r>
      <w:r w:rsidR="00331756">
        <w:rPr>
          <w:rFonts w:ascii="Segoe UI" w:hAnsi="Segoe UI" w:cs="Segoe UI"/>
          <w:sz w:val="21"/>
          <w:szCs w:val="21"/>
        </w:rPr>
        <w:t>es</w:t>
      </w:r>
      <w:r w:rsidR="00444F71">
        <w:rPr>
          <w:rFonts w:ascii="Segoe UI" w:hAnsi="Segoe UI" w:cs="Segoe UI"/>
          <w:sz w:val="21"/>
          <w:szCs w:val="21"/>
        </w:rPr>
        <w:t xml:space="preserve"> or fees</w:t>
      </w:r>
      <w:r w:rsidRPr="00CB1E53">
        <w:rPr>
          <w:rFonts w:ascii="Segoe UI" w:hAnsi="Segoe UI" w:cs="Segoe UI"/>
          <w:sz w:val="21"/>
          <w:szCs w:val="21"/>
        </w:rPr>
        <w:t>.</w:t>
      </w:r>
    </w:p>
    <w:p w14:paraId="4DF083C0" w14:textId="24318A28" w:rsidR="00D25C90" w:rsidRPr="00CB1E53" w:rsidRDefault="00D25C90" w:rsidP="00E90BA7">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b/>
          <w:color w:val="004C97" w:themeColor="text2"/>
          <w:sz w:val="21"/>
          <w:szCs w:val="21"/>
        </w:rPr>
        <w:t>Business income tax:</w:t>
      </w:r>
      <w:r w:rsidRPr="00CB1E53">
        <w:rPr>
          <w:rFonts w:ascii="Segoe UI" w:hAnsi="Segoe UI" w:cs="Segoe UI"/>
          <w:color w:val="004C97" w:themeColor="text2"/>
          <w:sz w:val="21"/>
          <w:szCs w:val="21"/>
        </w:rPr>
        <w:t xml:space="preserve"> </w:t>
      </w:r>
      <w:r w:rsidRPr="00CB1E53">
        <w:rPr>
          <w:rFonts w:ascii="Segoe UI" w:hAnsi="Segoe UI" w:cs="Segoe UI"/>
          <w:sz w:val="21"/>
          <w:szCs w:val="21"/>
        </w:rPr>
        <w:t xml:space="preserve">Under a standard </w:t>
      </w:r>
      <w:r w:rsidR="00812483">
        <w:rPr>
          <w:rFonts w:ascii="Segoe UI" w:hAnsi="Segoe UI" w:cs="Segoe UI"/>
          <w:sz w:val="21"/>
          <w:szCs w:val="21"/>
        </w:rPr>
        <w:t>BIT/</w:t>
      </w:r>
      <w:r w:rsidRPr="00CB1E53">
        <w:rPr>
          <w:rFonts w:ascii="Segoe UI" w:hAnsi="Segoe UI" w:cs="Segoe UI"/>
          <w:sz w:val="21"/>
          <w:szCs w:val="21"/>
        </w:rPr>
        <w:t xml:space="preserve">CIT, the benchmark </w:t>
      </w:r>
      <w:r w:rsidR="00331756">
        <w:rPr>
          <w:rFonts w:ascii="Segoe UI" w:hAnsi="Segoe UI" w:cs="Segoe UI"/>
          <w:sz w:val="21"/>
          <w:szCs w:val="21"/>
        </w:rPr>
        <w:t>is</w:t>
      </w:r>
      <w:r w:rsidRPr="00CB1E53">
        <w:rPr>
          <w:rFonts w:ascii="Segoe UI" w:hAnsi="Segoe UI" w:cs="Segoe UI"/>
          <w:sz w:val="21"/>
          <w:szCs w:val="21"/>
        </w:rPr>
        <w:t xml:space="preserve"> based on the prevailing tax on profits with a single rate of tax and no tax relief, other than for usual business expenses. Certain business expenses pose challenges in defining the benchmark. For example, should depreciation allowances be based on economic depreciation or accelerated (tax) depreciation, which provides a timing advantage? Should financing costs, such as interest expenses, be allowed without limit, or should limits on interest deductibility be accounted for as a “negative </w:t>
      </w:r>
      <w:r w:rsidR="00963901">
        <w:rPr>
          <w:rFonts w:ascii="Segoe UI" w:hAnsi="Segoe UI" w:cs="Segoe UI"/>
          <w:sz w:val="21"/>
          <w:szCs w:val="21"/>
        </w:rPr>
        <w:t>TE</w:t>
      </w:r>
      <w:r w:rsidRPr="00CB1E53">
        <w:rPr>
          <w:rFonts w:ascii="Segoe UI" w:hAnsi="Segoe UI" w:cs="Segoe UI"/>
          <w:sz w:val="21"/>
          <w:szCs w:val="21"/>
        </w:rPr>
        <w:t>”? There is no globally uniform approach, but it is important to be consistent, irrespective of the expenses incurred. Moldova favors a stance whereby all timing benefits regarding deductions are TEs, but all provisions against tax avoidance are part of the benchmark.</w:t>
      </w:r>
    </w:p>
    <w:p w14:paraId="1EFB31A5" w14:textId="12212822" w:rsidR="00D25C90" w:rsidRPr="00CB1E53" w:rsidRDefault="00D25C90" w:rsidP="00E90BA7">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b/>
          <w:color w:val="004C97" w:themeColor="text2"/>
          <w:sz w:val="21"/>
          <w:szCs w:val="21"/>
        </w:rPr>
        <w:t>Personal income tax:</w:t>
      </w:r>
      <w:r w:rsidRPr="00CB1E53">
        <w:rPr>
          <w:rFonts w:ascii="Segoe UI" w:hAnsi="Segoe UI" w:cs="Segoe UI"/>
          <w:color w:val="004C97" w:themeColor="text2"/>
          <w:sz w:val="21"/>
          <w:szCs w:val="21"/>
        </w:rPr>
        <w:t xml:space="preserve"> </w:t>
      </w:r>
      <w:r w:rsidRPr="00CB1E53">
        <w:rPr>
          <w:rFonts w:ascii="Segoe UI" w:hAnsi="Segoe UI" w:cs="Segoe UI"/>
          <w:sz w:val="21"/>
          <w:szCs w:val="21"/>
        </w:rPr>
        <w:t xml:space="preserve">For a comprehensive income tax at progressive rates or the 12 percent single flat rate in Moldova, the benchmark </w:t>
      </w:r>
      <w:r w:rsidR="00331756">
        <w:rPr>
          <w:rFonts w:ascii="Segoe UI" w:hAnsi="Segoe UI" w:cs="Segoe UI"/>
          <w:sz w:val="21"/>
          <w:szCs w:val="21"/>
        </w:rPr>
        <w:t>is</w:t>
      </w:r>
      <w:r w:rsidRPr="00CB1E53">
        <w:rPr>
          <w:rFonts w:ascii="Segoe UI" w:hAnsi="Segoe UI" w:cs="Segoe UI"/>
          <w:sz w:val="21"/>
          <w:szCs w:val="21"/>
        </w:rPr>
        <w:t xml:space="preserve"> based on the prevailing system of income tax with the existing statutory tax schedule. However, it exclude</w:t>
      </w:r>
      <w:r w:rsidR="00331756">
        <w:rPr>
          <w:rFonts w:ascii="Segoe UI" w:hAnsi="Segoe UI" w:cs="Segoe UI"/>
          <w:sz w:val="21"/>
          <w:szCs w:val="21"/>
        </w:rPr>
        <w:t>s</w:t>
      </w:r>
      <w:r w:rsidRPr="00CB1E53">
        <w:rPr>
          <w:rFonts w:ascii="Segoe UI" w:hAnsi="Segoe UI" w:cs="Segoe UI"/>
          <w:sz w:val="21"/>
          <w:szCs w:val="21"/>
        </w:rPr>
        <w:t xml:space="preserve"> any tax relief, other than the basic personal allowance (or the zero-tax income bracket). Under such PIT, any deduction from income (other than genuine business expenses, if the person has income from a business activity), tax credits, and lower rates on certain income (e.g., on capital gains, interest, dividends) are arguably </w:t>
      </w:r>
      <w:r w:rsidR="005909DF">
        <w:rPr>
          <w:rFonts w:ascii="Segoe UI" w:hAnsi="Segoe UI" w:cs="Segoe UI"/>
          <w:sz w:val="21"/>
          <w:szCs w:val="21"/>
        </w:rPr>
        <w:t>TE</w:t>
      </w:r>
      <w:r w:rsidRPr="00CB1E53">
        <w:rPr>
          <w:rFonts w:ascii="Segoe UI" w:hAnsi="Segoe UI" w:cs="Segoe UI"/>
          <w:sz w:val="21"/>
          <w:szCs w:val="21"/>
        </w:rPr>
        <w:t>s.</w:t>
      </w:r>
    </w:p>
    <w:p w14:paraId="25AC5911" w14:textId="441A6CEF" w:rsidR="00D25C90" w:rsidRDefault="00D25C90" w:rsidP="00E90BA7">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b/>
          <w:color w:val="004C97" w:themeColor="text2"/>
          <w:sz w:val="21"/>
          <w:szCs w:val="21"/>
        </w:rPr>
        <w:t>Value-added tax:</w:t>
      </w:r>
      <w:r w:rsidRPr="00CB1E53">
        <w:rPr>
          <w:rFonts w:ascii="Segoe UI" w:hAnsi="Segoe UI" w:cs="Segoe UI"/>
          <w:sz w:val="21"/>
          <w:szCs w:val="21"/>
        </w:rPr>
        <w:t xml:space="preserve"> The VAT ha</w:t>
      </w:r>
      <w:r w:rsidR="00331756">
        <w:rPr>
          <w:rFonts w:ascii="Segoe UI" w:hAnsi="Segoe UI" w:cs="Segoe UI"/>
          <w:sz w:val="21"/>
          <w:szCs w:val="21"/>
        </w:rPr>
        <w:t>s</w:t>
      </w:r>
      <w:r w:rsidRPr="00CB1E53">
        <w:rPr>
          <w:rFonts w:ascii="Segoe UI" w:hAnsi="Segoe UI" w:cs="Segoe UI"/>
          <w:sz w:val="21"/>
          <w:szCs w:val="21"/>
        </w:rPr>
        <w:t xml:space="preserve"> as a benchmark the broadest measure of final consumption (public and private) at a single tax rate. There </w:t>
      </w:r>
      <w:r w:rsidR="00331756">
        <w:rPr>
          <w:rFonts w:ascii="Segoe UI" w:hAnsi="Segoe UI" w:cs="Segoe UI"/>
          <w:sz w:val="21"/>
          <w:szCs w:val="21"/>
        </w:rPr>
        <w:t>are</w:t>
      </w:r>
      <w:r w:rsidRPr="00CB1E53">
        <w:rPr>
          <w:rFonts w:ascii="Segoe UI" w:hAnsi="Segoe UI" w:cs="Segoe UI"/>
          <w:sz w:val="21"/>
          <w:szCs w:val="21"/>
        </w:rPr>
        <w:t xml:space="preserve"> no exemptions in the benchmark system. Low or reduced rates </w:t>
      </w:r>
      <w:r w:rsidR="00331756">
        <w:rPr>
          <w:rFonts w:ascii="Segoe UI" w:hAnsi="Segoe UI" w:cs="Segoe UI"/>
          <w:sz w:val="21"/>
          <w:szCs w:val="21"/>
        </w:rPr>
        <w:t>are</w:t>
      </w:r>
      <w:r w:rsidRPr="00CB1E53">
        <w:rPr>
          <w:rFonts w:ascii="Segoe UI" w:hAnsi="Segoe UI" w:cs="Segoe UI"/>
          <w:sz w:val="21"/>
          <w:szCs w:val="21"/>
        </w:rPr>
        <w:t xml:space="preserve"> also excluded from the benchmark, except for the zero rate on exports, </w:t>
      </w:r>
      <w:r w:rsidR="00897CC2">
        <w:rPr>
          <w:rFonts w:ascii="Segoe UI" w:hAnsi="Segoe UI" w:cs="Segoe UI"/>
          <w:sz w:val="21"/>
          <w:szCs w:val="21"/>
        </w:rPr>
        <w:t>which</w:t>
      </w:r>
      <w:r w:rsidRPr="00CB1E53">
        <w:rPr>
          <w:rFonts w:ascii="Segoe UI" w:hAnsi="Segoe UI" w:cs="Segoe UI"/>
          <w:sz w:val="21"/>
          <w:szCs w:val="21"/>
        </w:rPr>
        <w:t xml:space="preserve"> is the mechanism by which VAT</w:t>
      </w:r>
      <w:r w:rsidR="00331756">
        <w:rPr>
          <w:rFonts w:ascii="Segoe UI" w:hAnsi="Segoe UI" w:cs="Segoe UI"/>
          <w:sz w:val="21"/>
          <w:szCs w:val="21"/>
        </w:rPr>
        <w:t xml:space="preserve"> system is </w:t>
      </w:r>
      <w:r w:rsidRPr="00CB1E53">
        <w:rPr>
          <w:rFonts w:ascii="Segoe UI" w:hAnsi="Segoe UI" w:cs="Segoe UI"/>
          <w:sz w:val="21"/>
          <w:szCs w:val="21"/>
        </w:rPr>
        <w:t xml:space="preserve">designed to be destination-based. </w:t>
      </w:r>
    </w:p>
    <w:p w14:paraId="5E07EB0E" w14:textId="5C10F2FD" w:rsidR="00FF4DB5" w:rsidRPr="00583578" w:rsidRDefault="00567F08" w:rsidP="00E90BA7">
      <w:pPr>
        <w:pStyle w:val="ParagraphNumbering"/>
        <w:numPr>
          <w:ilvl w:val="0"/>
          <w:numId w:val="13"/>
        </w:numPr>
        <w:spacing w:before="240" w:after="120" w:line="264" w:lineRule="auto"/>
        <w:jc w:val="both"/>
        <w:rPr>
          <w:rFonts w:ascii="Segoe UI" w:hAnsi="Segoe UI" w:cs="Segoe UI"/>
          <w:lang w:val="en-CA"/>
        </w:rPr>
      </w:pPr>
      <w:r w:rsidRPr="00597F61">
        <w:rPr>
          <w:rFonts w:ascii="Segoe UI" w:hAnsi="Segoe UI" w:cs="Segoe UI"/>
          <w:b/>
          <w:color w:val="004C97" w:themeColor="text2"/>
          <w:sz w:val="21"/>
          <w:szCs w:val="21"/>
        </w:rPr>
        <w:t xml:space="preserve">Excise </w:t>
      </w:r>
      <w:r w:rsidR="04480561" w:rsidRPr="4056327F">
        <w:rPr>
          <w:rFonts w:ascii="Segoe UI" w:hAnsi="Segoe UI" w:cs="Segoe UI"/>
          <w:b/>
          <w:bCs/>
          <w:color w:val="004C97" w:themeColor="text2"/>
          <w:sz w:val="21"/>
          <w:szCs w:val="21"/>
        </w:rPr>
        <w:t>Duties</w:t>
      </w:r>
      <w:r w:rsidR="00A45258" w:rsidRPr="000B323C">
        <w:rPr>
          <w:rFonts w:ascii="Segoe UI" w:hAnsi="Segoe UI" w:cs="Segoe UI"/>
          <w:b/>
          <w:color w:val="004C97" w:themeColor="text2"/>
          <w:sz w:val="21"/>
          <w:szCs w:val="21"/>
        </w:rPr>
        <w:t>:</w:t>
      </w:r>
      <w:r w:rsidR="00A45258" w:rsidRPr="00597F61">
        <w:rPr>
          <w:rFonts w:ascii="Segoe UI" w:hAnsi="Segoe UI" w:cs="Segoe UI"/>
          <w:b/>
          <w:color w:val="004C97" w:themeColor="text2"/>
          <w:sz w:val="21"/>
          <w:szCs w:val="21"/>
        </w:rPr>
        <w:t xml:space="preserve"> </w:t>
      </w:r>
      <w:r w:rsidR="005E1864">
        <w:rPr>
          <w:rFonts w:ascii="Segoe UI" w:hAnsi="Segoe UI" w:cs="Segoe UI"/>
          <w:lang w:val="en-CA"/>
        </w:rPr>
        <w:t>T</w:t>
      </w:r>
      <w:r w:rsidR="00FF4DB5" w:rsidRPr="00FF4DB5">
        <w:rPr>
          <w:rFonts w:ascii="Segoe UI" w:hAnsi="Segoe UI" w:cs="Segoe UI"/>
          <w:lang w:val="en-CA"/>
        </w:rPr>
        <w:t xml:space="preserve">he benchmark for excise duties should comprise the benchmark tax bases, tax rates and other design aspects that are aligned with the rationale for levying excise duties. </w:t>
      </w:r>
      <w:r w:rsidR="00F70AF4" w:rsidRPr="000B323C">
        <w:rPr>
          <w:rFonts w:ascii="Segoe UI" w:hAnsi="Segoe UI" w:cs="Segoe UI"/>
          <w:lang w:val="en-CA"/>
        </w:rPr>
        <w:t>I</w:t>
      </w:r>
      <w:r w:rsidR="00FF4DB5" w:rsidRPr="000B323C">
        <w:rPr>
          <w:rFonts w:ascii="Segoe UI" w:hAnsi="Segoe UI" w:cs="Segoe UI"/>
          <w:lang w:val="en-CA"/>
        </w:rPr>
        <w:t xml:space="preserve">n </w:t>
      </w:r>
      <w:r w:rsidR="00F02B6B" w:rsidRPr="000B323C">
        <w:rPr>
          <w:rFonts w:ascii="Segoe UI" w:hAnsi="Segoe UI" w:cs="Segoe UI"/>
          <w:lang w:val="en-CA"/>
        </w:rPr>
        <w:t>Moldova,</w:t>
      </w:r>
      <w:r w:rsidR="00FF4DB5" w:rsidRPr="000B323C">
        <w:rPr>
          <w:rFonts w:ascii="Segoe UI" w:hAnsi="Segoe UI" w:cs="Segoe UI"/>
          <w:lang w:val="en-CA"/>
        </w:rPr>
        <w:t xml:space="preserve"> multiple rationales may motivate the levying of an excise duty on a particular good</w:t>
      </w:r>
      <w:r w:rsidR="00E135C0" w:rsidRPr="000B323C">
        <w:rPr>
          <w:rFonts w:ascii="Segoe UI" w:hAnsi="Segoe UI" w:cs="Segoe UI"/>
          <w:lang w:val="en-CA"/>
        </w:rPr>
        <w:t xml:space="preserve">, making it difficult </w:t>
      </w:r>
      <w:r w:rsidR="00322FDF" w:rsidRPr="000B323C">
        <w:rPr>
          <w:rFonts w:ascii="Segoe UI" w:hAnsi="Segoe UI" w:cs="Segoe UI"/>
          <w:lang w:val="en-CA"/>
        </w:rPr>
        <w:t xml:space="preserve">to </w:t>
      </w:r>
      <w:r w:rsidR="0099307B" w:rsidRPr="000B323C">
        <w:rPr>
          <w:rFonts w:ascii="Segoe UI" w:hAnsi="Segoe UI" w:cs="Segoe UI"/>
          <w:lang w:val="en-CA"/>
        </w:rPr>
        <w:t xml:space="preserve">precisely </w:t>
      </w:r>
      <w:r w:rsidR="00FF4DB5" w:rsidRPr="000B323C">
        <w:rPr>
          <w:rFonts w:ascii="Segoe UI" w:hAnsi="Segoe UI" w:cs="Segoe UI"/>
          <w:lang w:val="en-CA"/>
        </w:rPr>
        <w:t xml:space="preserve">translate </w:t>
      </w:r>
      <w:r w:rsidR="00701C0F" w:rsidRPr="000B323C">
        <w:rPr>
          <w:rFonts w:ascii="Segoe UI" w:hAnsi="Segoe UI" w:cs="Segoe UI"/>
          <w:lang w:val="en-CA"/>
        </w:rPr>
        <w:t xml:space="preserve">the rationale for taxing a specific good </w:t>
      </w:r>
      <w:r w:rsidR="00FF4DB5" w:rsidRPr="000B323C">
        <w:rPr>
          <w:rFonts w:ascii="Segoe UI" w:hAnsi="Segoe UI" w:cs="Segoe UI"/>
          <w:lang w:val="en-CA"/>
        </w:rPr>
        <w:t>into a clear benchmark.</w:t>
      </w:r>
      <w:r w:rsidR="0085426D" w:rsidRPr="000B323C">
        <w:rPr>
          <w:rFonts w:ascii="Segoe UI" w:hAnsi="Segoe UI" w:cs="Segoe UI"/>
          <w:lang w:val="en-CA"/>
        </w:rPr>
        <w:t xml:space="preserve"> </w:t>
      </w:r>
      <w:r w:rsidR="00FF4DB5" w:rsidRPr="000B323C">
        <w:rPr>
          <w:rFonts w:ascii="Segoe UI" w:hAnsi="Segoe UI" w:cs="Segoe UI"/>
          <w:lang w:val="en-CA"/>
        </w:rPr>
        <w:t xml:space="preserve">As </w:t>
      </w:r>
      <w:r w:rsidR="00E6349A">
        <w:rPr>
          <w:rFonts w:ascii="Segoe UI" w:hAnsi="Segoe UI" w:cs="Segoe UI"/>
          <w:lang w:val="en-CA"/>
        </w:rPr>
        <w:t xml:space="preserve">such, </w:t>
      </w:r>
      <w:r w:rsidR="006E51EB">
        <w:rPr>
          <w:rFonts w:ascii="Segoe UI" w:hAnsi="Segoe UI" w:cs="Segoe UI"/>
          <w:lang w:val="en-CA"/>
        </w:rPr>
        <w:t xml:space="preserve">a </w:t>
      </w:r>
      <w:r w:rsidR="00FF4DB5" w:rsidRPr="006E51EB">
        <w:rPr>
          <w:rFonts w:ascii="Segoe UI" w:hAnsi="Segoe UI" w:cs="Segoe UI"/>
          <w:lang w:val="en-CA"/>
        </w:rPr>
        <w:t>distinct benchmark for each category of excisable goods</w:t>
      </w:r>
      <w:r w:rsidR="006E51EB">
        <w:rPr>
          <w:rFonts w:ascii="Segoe UI" w:hAnsi="Segoe UI" w:cs="Segoe UI"/>
          <w:lang w:val="en-CA"/>
        </w:rPr>
        <w:t xml:space="preserve"> </w:t>
      </w:r>
      <w:r w:rsidR="000B323C">
        <w:rPr>
          <w:rFonts w:ascii="Segoe UI" w:hAnsi="Segoe UI" w:cs="Segoe UI"/>
          <w:lang w:val="en-CA"/>
        </w:rPr>
        <w:t>is</w:t>
      </w:r>
      <w:r w:rsidR="000B323C" w:rsidRPr="000B323C">
        <w:rPr>
          <w:rFonts w:ascii="Segoe UI" w:hAnsi="Segoe UI" w:cs="Segoe UI"/>
          <w:lang w:val="en-CA"/>
        </w:rPr>
        <w:t xml:space="preserve"> deemed to</w:t>
      </w:r>
      <w:r w:rsidR="006E51EB">
        <w:rPr>
          <w:rFonts w:ascii="Segoe UI" w:hAnsi="Segoe UI" w:cs="Segoe UI"/>
          <w:lang w:val="en-CA"/>
        </w:rPr>
        <w:t xml:space="preserve"> be </w:t>
      </w:r>
      <w:r w:rsidR="00583578">
        <w:rPr>
          <w:rFonts w:ascii="Segoe UI" w:hAnsi="Segoe UI" w:cs="Segoe UI"/>
          <w:lang w:val="en-CA"/>
        </w:rPr>
        <w:t>necessary</w:t>
      </w:r>
      <w:r w:rsidR="00FF4DB5" w:rsidRPr="006E51EB">
        <w:rPr>
          <w:rFonts w:ascii="Segoe UI" w:hAnsi="Segoe UI" w:cs="Segoe UI"/>
          <w:lang w:val="en-CA"/>
        </w:rPr>
        <w:t xml:space="preserve">. </w:t>
      </w:r>
    </w:p>
    <w:p w14:paraId="5B997FB3" w14:textId="5D5E5DFA" w:rsidR="00FF4DB5" w:rsidRPr="006B3377" w:rsidRDefault="004F0A29" w:rsidP="00E90BA7">
      <w:pPr>
        <w:pStyle w:val="ParagraphNumbering"/>
        <w:numPr>
          <w:ilvl w:val="0"/>
          <w:numId w:val="13"/>
        </w:numPr>
        <w:spacing w:before="240" w:after="120" w:line="264" w:lineRule="auto"/>
        <w:jc w:val="both"/>
        <w:rPr>
          <w:rFonts w:ascii="Segoe UI" w:hAnsi="Segoe UI" w:cs="Segoe UI"/>
          <w:sz w:val="21"/>
          <w:szCs w:val="21"/>
        </w:rPr>
      </w:pPr>
      <w:r w:rsidRPr="00FC2E53">
        <w:rPr>
          <w:rFonts w:ascii="Segoe UI" w:hAnsi="Segoe UI" w:cs="Segoe UI"/>
          <w:b/>
          <w:color w:val="004C97" w:themeColor="text2"/>
          <w:sz w:val="21"/>
          <w:szCs w:val="21"/>
        </w:rPr>
        <w:t>Road usage fees</w:t>
      </w:r>
      <w:r w:rsidR="006C65CC" w:rsidRPr="00FC2E53">
        <w:rPr>
          <w:rFonts w:ascii="Segoe UI" w:hAnsi="Segoe UI" w:cs="Segoe UI"/>
          <w:b/>
          <w:color w:val="004C97" w:themeColor="text2"/>
          <w:sz w:val="21"/>
          <w:szCs w:val="21"/>
        </w:rPr>
        <w:t>:</w:t>
      </w:r>
      <w:r w:rsidRPr="000B323C">
        <w:rPr>
          <w:rFonts w:ascii="Segoe UI" w:hAnsi="Segoe UI" w:cs="Segoe UI"/>
          <w:sz w:val="21"/>
          <w:szCs w:val="21"/>
        </w:rPr>
        <w:t xml:space="preserve"> </w:t>
      </w:r>
      <w:r w:rsidR="007E4199">
        <w:rPr>
          <w:rFonts w:ascii="Segoe UI" w:hAnsi="Segoe UI" w:cs="Segoe UI"/>
          <w:sz w:val="21"/>
          <w:szCs w:val="21"/>
        </w:rPr>
        <w:t>Since r</w:t>
      </w:r>
      <w:r w:rsidR="000B323C" w:rsidRPr="000B323C">
        <w:rPr>
          <w:rFonts w:ascii="Segoe UI" w:hAnsi="Segoe UI" w:cs="Segoe UI"/>
          <w:sz w:val="21"/>
          <w:szCs w:val="21"/>
        </w:rPr>
        <w:t>oad usage fees are intended to reflect costs associated with the use of roads</w:t>
      </w:r>
      <w:r w:rsidR="00973821">
        <w:rPr>
          <w:rFonts w:ascii="Segoe UI" w:hAnsi="Segoe UI" w:cs="Segoe UI"/>
          <w:sz w:val="21"/>
          <w:szCs w:val="21"/>
        </w:rPr>
        <w:t>—</w:t>
      </w:r>
      <w:r w:rsidR="00973821" w:rsidRPr="000B323C">
        <w:rPr>
          <w:rFonts w:ascii="Segoe UI" w:hAnsi="Segoe UI" w:cs="Segoe UI"/>
          <w:sz w:val="21"/>
          <w:szCs w:val="21"/>
        </w:rPr>
        <w:t>p</w:t>
      </w:r>
      <w:r w:rsidR="000B323C" w:rsidRPr="000B323C">
        <w:rPr>
          <w:rFonts w:ascii="Segoe UI" w:hAnsi="Segoe UI" w:cs="Segoe UI"/>
          <w:sz w:val="21"/>
          <w:szCs w:val="21"/>
        </w:rPr>
        <w:t>rimarily costs associated with the construction and maintenance of roads in Moldova</w:t>
      </w:r>
      <w:r w:rsidR="000E6D0B">
        <w:rPr>
          <w:rFonts w:ascii="Segoe UI" w:hAnsi="Segoe UI" w:cs="Segoe UI"/>
          <w:sz w:val="21"/>
          <w:szCs w:val="21"/>
        </w:rPr>
        <w:t>—t</w:t>
      </w:r>
      <w:r w:rsidR="000B323C" w:rsidRPr="000B323C">
        <w:rPr>
          <w:rFonts w:ascii="Segoe UI" w:hAnsi="Segoe UI" w:cs="Segoe UI"/>
          <w:sz w:val="21"/>
          <w:szCs w:val="21"/>
        </w:rPr>
        <w:t xml:space="preserve">he benchmark </w:t>
      </w:r>
      <w:r w:rsidR="0041692D">
        <w:rPr>
          <w:rFonts w:ascii="Segoe UI" w:hAnsi="Segoe UI" w:cs="Segoe UI"/>
          <w:sz w:val="21"/>
          <w:szCs w:val="21"/>
        </w:rPr>
        <w:t xml:space="preserve">should </w:t>
      </w:r>
      <w:r w:rsidR="00F87125">
        <w:rPr>
          <w:rFonts w:ascii="Segoe UI" w:hAnsi="Segoe UI" w:cs="Segoe UI"/>
          <w:sz w:val="21"/>
          <w:szCs w:val="21"/>
        </w:rPr>
        <w:t>be</w:t>
      </w:r>
      <w:r w:rsidR="000B323C" w:rsidRPr="000B323C">
        <w:rPr>
          <w:rFonts w:ascii="Segoe UI" w:hAnsi="Segoe UI" w:cs="Segoe UI"/>
          <w:sz w:val="21"/>
          <w:szCs w:val="21"/>
        </w:rPr>
        <w:t xml:space="preserve"> defined to cover all motorized vehicles using roads in Moldova, regardless of their mode of propulsion.</w:t>
      </w:r>
    </w:p>
    <w:p w14:paraId="0DDAB7B2" w14:textId="05C297D6" w:rsidR="00FC0F1B" w:rsidRPr="00F8713E" w:rsidRDefault="578B7B64" w:rsidP="00E90BA7">
      <w:pPr>
        <w:pStyle w:val="ParagraphNumbering"/>
        <w:numPr>
          <w:ilvl w:val="0"/>
          <w:numId w:val="13"/>
        </w:numPr>
        <w:spacing w:before="240" w:after="120" w:line="264" w:lineRule="auto"/>
        <w:jc w:val="both"/>
        <w:rPr>
          <w:rFonts w:ascii="Segoe UI" w:hAnsi="Segoe UI" w:cs="Segoe UI"/>
          <w:sz w:val="21"/>
          <w:szCs w:val="21"/>
        </w:rPr>
      </w:pPr>
      <w:r w:rsidRPr="3E490525">
        <w:rPr>
          <w:rFonts w:ascii="Segoe UI" w:hAnsi="Segoe UI" w:cs="Segoe UI"/>
          <w:b/>
          <w:bCs/>
          <w:color w:val="004C97" w:themeColor="text2"/>
          <w:sz w:val="21"/>
          <w:szCs w:val="21"/>
        </w:rPr>
        <w:lastRenderedPageBreak/>
        <w:t>Import</w:t>
      </w:r>
      <w:r w:rsidR="00567F08" w:rsidRPr="00597F61">
        <w:rPr>
          <w:rFonts w:ascii="Segoe UI" w:hAnsi="Segoe UI" w:cs="Segoe UI"/>
          <w:b/>
          <w:color w:val="004C97" w:themeColor="text2"/>
          <w:sz w:val="21"/>
          <w:szCs w:val="21"/>
        </w:rPr>
        <w:t xml:space="preserve"> Duties</w:t>
      </w:r>
      <w:r w:rsidR="00A45258" w:rsidRPr="00597F61">
        <w:rPr>
          <w:rFonts w:ascii="Segoe UI" w:hAnsi="Segoe UI" w:cs="Segoe UI"/>
          <w:b/>
          <w:color w:val="004C97" w:themeColor="text2"/>
          <w:sz w:val="21"/>
          <w:szCs w:val="21"/>
        </w:rPr>
        <w:t>:</w:t>
      </w:r>
      <w:r w:rsidR="00801F34" w:rsidRPr="00597F61">
        <w:rPr>
          <w:rFonts w:ascii="Segoe UI" w:hAnsi="Segoe UI" w:cs="Segoe UI"/>
          <w:sz w:val="21"/>
          <w:szCs w:val="21"/>
        </w:rPr>
        <w:t xml:space="preserve"> </w:t>
      </w:r>
      <w:r w:rsidR="00D2086A" w:rsidRPr="00CA17C6">
        <w:rPr>
          <w:rFonts w:ascii="Segoe UI" w:hAnsi="Segoe UI" w:cs="Segoe UI"/>
          <w:sz w:val="21"/>
          <w:szCs w:val="21"/>
        </w:rPr>
        <w:t xml:space="preserve"> </w:t>
      </w:r>
      <w:r w:rsidR="004D6E5E" w:rsidRPr="008C5F50">
        <w:rPr>
          <w:rFonts w:ascii="Segoe UI" w:hAnsi="Segoe UI" w:cs="Segoe UI"/>
          <w:sz w:val="21"/>
          <w:szCs w:val="21"/>
          <w:lang w:val="en-CA"/>
        </w:rPr>
        <w:t>I</w:t>
      </w:r>
      <w:r w:rsidR="00FC0F1B" w:rsidRPr="008C5F50">
        <w:rPr>
          <w:rFonts w:ascii="Segoe UI" w:hAnsi="Segoe UI" w:cs="Segoe UI"/>
          <w:sz w:val="21"/>
          <w:szCs w:val="21"/>
          <w:lang w:val="en-CA"/>
        </w:rPr>
        <w:t xml:space="preserve">mport duties </w:t>
      </w:r>
      <w:r w:rsidR="004D6E5E" w:rsidRPr="008C5F50">
        <w:rPr>
          <w:rFonts w:ascii="Segoe UI" w:hAnsi="Segoe UI" w:cs="Segoe UI"/>
          <w:sz w:val="21"/>
          <w:szCs w:val="21"/>
          <w:lang w:val="en-CA"/>
        </w:rPr>
        <w:t>a</w:t>
      </w:r>
      <w:r w:rsidR="004349FD" w:rsidRPr="008C5F50">
        <w:rPr>
          <w:rFonts w:ascii="Segoe UI" w:hAnsi="Segoe UI" w:cs="Segoe UI"/>
          <w:sz w:val="21"/>
          <w:szCs w:val="21"/>
          <w:lang w:val="en-CA"/>
        </w:rPr>
        <w:t xml:space="preserve">im to </w:t>
      </w:r>
      <w:r w:rsidR="00FC0F1B" w:rsidRPr="008C5F50">
        <w:rPr>
          <w:rFonts w:ascii="Segoe UI" w:hAnsi="Segoe UI" w:cs="Segoe UI"/>
          <w:sz w:val="21"/>
          <w:szCs w:val="21"/>
          <w:lang w:val="en-CA"/>
        </w:rPr>
        <w:t xml:space="preserve">raise revenues and to protect domestic producers from foreign competition. </w:t>
      </w:r>
      <w:r w:rsidR="004349FD" w:rsidRPr="008C5F50">
        <w:rPr>
          <w:rFonts w:ascii="Segoe UI" w:hAnsi="Segoe UI" w:cs="Segoe UI"/>
          <w:sz w:val="21"/>
          <w:szCs w:val="21"/>
          <w:lang w:val="en-CA"/>
        </w:rPr>
        <w:t xml:space="preserve">In Moldova, these </w:t>
      </w:r>
      <w:r w:rsidR="00FC0F1B" w:rsidRPr="008C5F50">
        <w:rPr>
          <w:rFonts w:ascii="Segoe UI" w:hAnsi="Segoe UI" w:cs="Segoe UI"/>
          <w:sz w:val="21"/>
          <w:szCs w:val="21"/>
          <w:lang w:val="en-CA"/>
        </w:rPr>
        <w:t>objectives</w:t>
      </w:r>
      <w:r w:rsidR="004349FD" w:rsidRPr="008C5F50">
        <w:rPr>
          <w:rFonts w:ascii="Segoe UI" w:hAnsi="Segoe UI" w:cs="Segoe UI"/>
          <w:sz w:val="21"/>
          <w:szCs w:val="21"/>
          <w:lang w:val="en-CA"/>
        </w:rPr>
        <w:t xml:space="preserve"> are </w:t>
      </w:r>
      <w:r w:rsidR="00FC0F1B" w:rsidRPr="008C5F50">
        <w:rPr>
          <w:rFonts w:ascii="Segoe UI" w:hAnsi="Segoe UI" w:cs="Segoe UI"/>
          <w:sz w:val="21"/>
          <w:szCs w:val="21"/>
          <w:lang w:val="en-CA"/>
        </w:rPr>
        <w:t>of decreasing significance</w:t>
      </w:r>
      <w:r w:rsidR="009A7542" w:rsidRPr="008C5F50">
        <w:rPr>
          <w:rFonts w:ascii="Segoe UI" w:hAnsi="Segoe UI" w:cs="Segoe UI"/>
          <w:sz w:val="21"/>
          <w:szCs w:val="21"/>
          <w:lang w:val="en-CA"/>
        </w:rPr>
        <w:t xml:space="preserve"> since a large and increasing </w:t>
      </w:r>
      <w:r w:rsidR="00FC0F1B" w:rsidRPr="008C5F50">
        <w:rPr>
          <w:rFonts w:ascii="Segoe UI" w:hAnsi="Segoe UI" w:cs="Segoe UI"/>
          <w:sz w:val="21"/>
          <w:szCs w:val="21"/>
          <w:lang w:val="en-CA"/>
        </w:rPr>
        <w:t>share of all imported goods are subject to nil or low tariffs under the existing tariff structure and free trade agreements.</w:t>
      </w:r>
      <w:r w:rsidR="00F25AF5" w:rsidRPr="008C5F50">
        <w:rPr>
          <w:rFonts w:ascii="Segoe UI" w:hAnsi="Segoe UI" w:cs="Segoe UI"/>
          <w:sz w:val="21"/>
          <w:szCs w:val="21"/>
          <w:lang w:val="en-CA"/>
        </w:rPr>
        <w:t xml:space="preserve"> </w:t>
      </w:r>
      <w:r w:rsidR="00F655FC">
        <w:rPr>
          <w:rFonts w:ascii="Segoe UI" w:hAnsi="Segoe UI" w:cs="Segoe UI"/>
          <w:sz w:val="21"/>
          <w:szCs w:val="21"/>
          <w:lang w:val="en-CA"/>
        </w:rPr>
        <w:t>O</w:t>
      </w:r>
      <w:r w:rsidR="00F655FC" w:rsidRPr="008C5F50">
        <w:rPr>
          <w:rFonts w:ascii="Segoe UI" w:hAnsi="Segoe UI" w:cs="Segoe UI"/>
          <w:sz w:val="21"/>
          <w:szCs w:val="21"/>
          <w:lang w:val="en-CA"/>
        </w:rPr>
        <w:t>n the grounds that the existing tariff structure reflects the level of protection desired by the government</w:t>
      </w:r>
      <w:r w:rsidR="00F655FC">
        <w:rPr>
          <w:rFonts w:ascii="Segoe UI" w:hAnsi="Segoe UI" w:cs="Segoe UI"/>
          <w:sz w:val="21"/>
          <w:szCs w:val="21"/>
          <w:lang w:val="en-CA"/>
        </w:rPr>
        <w:t xml:space="preserve">, </w:t>
      </w:r>
      <w:r w:rsidR="00BB1505">
        <w:rPr>
          <w:rFonts w:ascii="Segoe UI" w:hAnsi="Segoe UI" w:cs="Segoe UI"/>
          <w:sz w:val="21"/>
          <w:szCs w:val="21"/>
          <w:lang w:val="en-CA"/>
        </w:rPr>
        <w:t>the</w:t>
      </w:r>
      <w:r w:rsidR="00BB1505" w:rsidRPr="008C5F50">
        <w:rPr>
          <w:rFonts w:ascii="Segoe UI" w:hAnsi="Segoe UI" w:cs="Segoe UI"/>
          <w:sz w:val="21"/>
          <w:szCs w:val="21"/>
          <w:lang w:val="en-CA"/>
        </w:rPr>
        <w:t xml:space="preserve"> </w:t>
      </w:r>
      <w:r w:rsidR="00FD31DD" w:rsidRPr="008C5F50">
        <w:rPr>
          <w:rFonts w:ascii="Segoe UI" w:hAnsi="Segoe UI" w:cs="Segoe UI"/>
          <w:sz w:val="21"/>
          <w:szCs w:val="21"/>
          <w:lang w:val="en-CA"/>
        </w:rPr>
        <w:t>b</w:t>
      </w:r>
      <w:r w:rsidR="00FC0F1B" w:rsidRPr="008C5F50">
        <w:rPr>
          <w:rFonts w:ascii="Segoe UI" w:hAnsi="Segoe UI" w:cs="Segoe UI"/>
          <w:sz w:val="21"/>
          <w:szCs w:val="21"/>
          <w:lang w:val="en-CA"/>
        </w:rPr>
        <w:t xml:space="preserve">enchmark import duty tariffs are assumed to correspond to the applicable tariffs, including </w:t>
      </w:r>
      <w:r w:rsidR="002845B1" w:rsidRPr="008C5F50">
        <w:rPr>
          <w:rFonts w:ascii="Segoe UI" w:hAnsi="Segoe UI" w:cs="Segoe UI"/>
          <w:sz w:val="21"/>
          <w:szCs w:val="21"/>
          <w:lang w:val="en-CA"/>
        </w:rPr>
        <w:t>those</w:t>
      </w:r>
      <w:r w:rsidR="00FC0F1B" w:rsidRPr="008C5F50">
        <w:rPr>
          <w:rFonts w:ascii="Segoe UI" w:hAnsi="Segoe UI" w:cs="Segoe UI"/>
          <w:sz w:val="21"/>
          <w:szCs w:val="21"/>
          <w:lang w:val="en-CA"/>
        </w:rPr>
        <w:t xml:space="preserve"> set under</w:t>
      </w:r>
      <w:r w:rsidR="002845B1" w:rsidRPr="008C5F50">
        <w:rPr>
          <w:rFonts w:ascii="Segoe UI" w:hAnsi="Segoe UI" w:cs="Segoe UI"/>
          <w:sz w:val="21"/>
          <w:szCs w:val="21"/>
          <w:lang w:val="en-CA"/>
        </w:rPr>
        <w:t xml:space="preserve"> </w:t>
      </w:r>
      <w:r w:rsidR="00FC0F1B" w:rsidRPr="008C5F50">
        <w:rPr>
          <w:rFonts w:ascii="Segoe UI" w:hAnsi="Segoe UI" w:cs="Segoe UI"/>
          <w:sz w:val="21"/>
          <w:szCs w:val="21"/>
          <w:lang w:val="en-CA"/>
        </w:rPr>
        <w:t>free trade agreement</w:t>
      </w:r>
      <w:r w:rsidR="002845B1" w:rsidRPr="008C5F50">
        <w:rPr>
          <w:rFonts w:ascii="Segoe UI" w:hAnsi="Segoe UI" w:cs="Segoe UI"/>
          <w:sz w:val="21"/>
          <w:szCs w:val="21"/>
          <w:lang w:val="en-CA"/>
        </w:rPr>
        <w:t>s</w:t>
      </w:r>
      <w:r w:rsidR="006576D1" w:rsidRPr="008C5F50">
        <w:rPr>
          <w:rFonts w:ascii="Segoe UI" w:hAnsi="Segoe UI" w:cs="Segoe UI"/>
          <w:sz w:val="21"/>
          <w:szCs w:val="21"/>
          <w:lang w:val="en-CA"/>
        </w:rPr>
        <w:t>.</w:t>
      </w:r>
      <w:r w:rsidR="7DE9CCFE" w:rsidRPr="3E490525">
        <w:rPr>
          <w:rFonts w:ascii="Segoe UI" w:hAnsi="Segoe UI" w:cs="Segoe UI"/>
          <w:sz w:val="21"/>
          <w:szCs w:val="21"/>
          <w:lang w:val="en-CA"/>
        </w:rPr>
        <w:t xml:space="preserve"> Specific exemptions and refunds are considered </w:t>
      </w:r>
      <w:r w:rsidR="005909DF">
        <w:rPr>
          <w:rFonts w:ascii="Segoe UI" w:hAnsi="Segoe UI" w:cs="Segoe UI"/>
          <w:sz w:val="21"/>
          <w:szCs w:val="21"/>
          <w:lang w:val="en-CA"/>
        </w:rPr>
        <w:t>TE</w:t>
      </w:r>
      <w:r w:rsidR="7DE9CCFE" w:rsidRPr="3E490525">
        <w:rPr>
          <w:rFonts w:ascii="Segoe UI" w:hAnsi="Segoe UI" w:cs="Segoe UI"/>
          <w:sz w:val="21"/>
          <w:szCs w:val="21"/>
          <w:lang w:val="en-CA"/>
        </w:rPr>
        <w:t>s.</w:t>
      </w:r>
    </w:p>
    <w:p w14:paraId="11DBFC17" w14:textId="00B3574B" w:rsidR="00EF43FE" w:rsidRDefault="00A45258" w:rsidP="00E90BA7">
      <w:pPr>
        <w:pStyle w:val="ParagraphNumbering"/>
        <w:numPr>
          <w:ilvl w:val="0"/>
          <w:numId w:val="13"/>
        </w:numPr>
        <w:spacing w:before="240" w:after="120" w:line="264" w:lineRule="auto"/>
        <w:jc w:val="both"/>
        <w:rPr>
          <w:rFonts w:ascii="Segoe UI" w:hAnsi="Segoe UI" w:cs="Segoe UI"/>
          <w:sz w:val="21"/>
          <w:szCs w:val="21"/>
        </w:rPr>
      </w:pPr>
      <w:r w:rsidRPr="00802E8A">
        <w:rPr>
          <w:rFonts w:ascii="Segoe UI" w:hAnsi="Segoe UI" w:cs="Segoe UI"/>
          <w:b/>
          <w:color w:val="004C97" w:themeColor="text2"/>
          <w:sz w:val="21"/>
          <w:szCs w:val="21"/>
        </w:rPr>
        <w:t>Re</w:t>
      </w:r>
      <w:r w:rsidR="004B3C52" w:rsidRPr="00802E8A">
        <w:rPr>
          <w:rFonts w:ascii="Segoe UI" w:hAnsi="Segoe UI" w:cs="Segoe UI"/>
          <w:b/>
          <w:color w:val="004C97" w:themeColor="text2"/>
          <w:sz w:val="21"/>
          <w:szCs w:val="21"/>
        </w:rPr>
        <w:t>al Estate (</w:t>
      </w:r>
      <w:r w:rsidRPr="00802E8A">
        <w:rPr>
          <w:rFonts w:ascii="Segoe UI" w:hAnsi="Segoe UI" w:cs="Segoe UI"/>
          <w:b/>
          <w:color w:val="004C97" w:themeColor="text2"/>
          <w:sz w:val="21"/>
          <w:szCs w:val="21"/>
        </w:rPr>
        <w:t>Immovable Property</w:t>
      </w:r>
      <w:r w:rsidR="004B3C52" w:rsidRPr="00802E8A">
        <w:rPr>
          <w:rFonts w:ascii="Segoe UI" w:hAnsi="Segoe UI" w:cs="Segoe UI"/>
          <w:b/>
          <w:color w:val="004C97" w:themeColor="text2"/>
          <w:sz w:val="21"/>
          <w:szCs w:val="21"/>
        </w:rPr>
        <w:t>)</w:t>
      </w:r>
      <w:r w:rsidRPr="00802E8A">
        <w:rPr>
          <w:rFonts w:ascii="Segoe UI" w:hAnsi="Segoe UI" w:cs="Segoe UI"/>
          <w:b/>
          <w:color w:val="004C97" w:themeColor="text2"/>
          <w:sz w:val="21"/>
          <w:szCs w:val="21"/>
        </w:rPr>
        <w:t xml:space="preserve"> Tax:</w:t>
      </w:r>
      <w:r w:rsidR="00597F61" w:rsidRPr="00802E8A">
        <w:rPr>
          <w:rFonts w:ascii="Segoe UI" w:hAnsi="Segoe UI" w:cs="Segoe UI"/>
          <w:b/>
          <w:color w:val="004C97" w:themeColor="text2"/>
          <w:sz w:val="21"/>
          <w:szCs w:val="21"/>
        </w:rPr>
        <w:t xml:space="preserve"> </w:t>
      </w:r>
      <w:r w:rsidR="00597F61" w:rsidRPr="00C85BF9">
        <w:rPr>
          <w:rFonts w:ascii="Segoe UI" w:hAnsi="Segoe UI" w:cs="Segoe UI"/>
          <w:sz w:val="21"/>
          <w:szCs w:val="21"/>
        </w:rPr>
        <w:t xml:space="preserve">In respect of the </w:t>
      </w:r>
      <w:r w:rsidR="00597F61" w:rsidRPr="00B03A64">
        <w:rPr>
          <w:rFonts w:ascii="Segoe UI" w:hAnsi="Segoe UI" w:cs="Segoe UI"/>
          <w:sz w:val="21"/>
          <w:szCs w:val="21"/>
        </w:rPr>
        <w:t xml:space="preserve">recurrent taxes on property, the benchmark should be the prevailing system with a uniform standard rate. </w:t>
      </w:r>
      <w:r w:rsidR="005909DF">
        <w:rPr>
          <w:rFonts w:ascii="Segoe UI" w:hAnsi="Segoe UI" w:cs="Segoe UI"/>
          <w:sz w:val="21"/>
          <w:szCs w:val="21"/>
        </w:rPr>
        <w:t>TE</w:t>
      </w:r>
      <w:r w:rsidR="00597F61" w:rsidRPr="00B03A64">
        <w:rPr>
          <w:rFonts w:ascii="Segoe UI" w:hAnsi="Segoe UI" w:cs="Segoe UI"/>
          <w:sz w:val="21"/>
          <w:szCs w:val="21"/>
        </w:rPr>
        <w:t xml:space="preserve">s will reflect specific tax deductions, special lower rates, or exemptions of certain types of properties or taxpayers. </w:t>
      </w:r>
    </w:p>
    <w:p w14:paraId="4681813E" w14:textId="7F4B2D71" w:rsidR="00EC1DA2" w:rsidRPr="00EC1DA2" w:rsidRDefault="00EC1DA2" w:rsidP="00E90BA7">
      <w:pPr>
        <w:pStyle w:val="ParagraphNumbering"/>
        <w:numPr>
          <w:ilvl w:val="0"/>
          <w:numId w:val="13"/>
        </w:numPr>
        <w:spacing w:before="240" w:after="120" w:line="264" w:lineRule="auto"/>
        <w:jc w:val="both"/>
        <w:rPr>
          <w:rFonts w:ascii="Segoe UI" w:hAnsi="Segoe UI" w:cs="Segoe UI"/>
          <w:bCs/>
          <w:sz w:val="21"/>
          <w:szCs w:val="21"/>
        </w:rPr>
      </w:pPr>
      <w:r w:rsidRPr="00EC1DA2">
        <w:rPr>
          <w:rFonts w:ascii="Segoe UI" w:hAnsi="Segoe UI" w:cs="Segoe UI"/>
          <w:b/>
          <w:color w:val="004C97" w:themeColor="text2"/>
          <w:sz w:val="21"/>
          <w:szCs w:val="21"/>
        </w:rPr>
        <w:t>Natural Resources Fees:</w:t>
      </w:r>
      <w:r>
        <w:rPr>
          <w:rFonts w:ascii="Segoe UI" w:hAnsi="Segoe UI" w:cs="Segoe UI"/>
          <w:b/>
          <w:sz w:val="21"/>
          <w:szCs w:val="21"/>
        </w:rPr>
        <w:t xml:space="preserve"> </w:t>
      </w:r>
      <w:r w:rsidR="6C25B04B" w:rsidRPr="00875C00">
        <w:rPr>
          <w:rFonts w:ascii="Segoe UI" w:hAnsi="Segoe UI" w:cs="Segoe UI"/>
          <w:sz w:val="21"/>
          <w:szCs w:val="21"/>
        </w:rPr>
        <w:t xml:space="preserve">The </w:t>
      </w:r>
      <w:r>
        <w:rPr>
          <w:rFonts w:ascii="Segoe UI" w:hAnsi="Segoe UI" w:cs="Segoe UI"/>
          <w:bCs/>
          <w:sz w:val="21"/>
          <w:szCs w:val="21"/>
        </w:rPr>
        <w:t xml:space="preserve">Tax Code </w:t>
      </w:r>
      <w:r w:rsidRPr="00EC1DA2">
        <w:rPr>
          <w:rFonts w:ascii="Segoe UI" w:hAnsi="Segoe UI" w:cs="Segoe UI"/>
          <w:bCs/>
          <w:sz w:val="21"/>
          <w:szCs w:val="21"/>
        </w:rPr>
        <w:t>imposes extraction fees for water use</w:t>
      </w:r>
      <w:r w:rsidR="7C319D00" w:rsidRPr="3E490525">
        <w:rPr>
          <w:rFonts w:ascii="Segoe UI" w:hAnsi="Segoe UI" w:cs="Segoe UI"/>
          <w:sz w:val="21"/>
          <w:szCs w:val="21"/>
        </w:rPr>
        <w:t>,</w:t>
      </w:r>
      <w:r w:rsidRPr="00EC1DA2">
        <w:rPr>
          <w:rFonts w:ascii="Segoe UI" w:hAnsi="Segoe UI" w:cs="Segoe UI"/>
          <w:bCs/>
          <w:sz w:val="21"/>
          <w:szCs w:val="21"/>
        </w:rPr>
        <w:t xml:space="preserve"> for useful minerals</w:t>
      </w:r>
      <w:r w:rsidR="5E27DBA5" w:rsidRPr="3E490525">
        <w:rPr>
          <w:rFonts w:ascii="Segoe UI" w:hAnsi="Segoe UI" w:cs="Segoe UI"/>
          <w:sz w:val="21"/>
          <w:szCs w:val="21"/>
        </w:rPr>
        <w:t>,</w:t>
      </w:r>
      <w:r w:rsidRPr="00EC1DA2">
        <w:rPr>
          <w:rFonts w:ascii="Segoe UI" w:hAnsi="Segoe UI" w:cs="Segoe UI"/>
          <w:bCs/>
          <w:sz w:val="21"/>
          <w:szCs w:val="21"/>
        </w:rPr>
        <w:t xml:space="preserve"> and for the use of subsoil resources. This is the benchmark </w:t>
      </w:r>
      <w:r>
        <w:rPr>
          <w:rFonts w:ascii="Segoe UI" w:hAnsi="Segoe UI" w:cs="Segoe UI"/>
          <w:bCs/>
          <w:sz w:val="21"/>
          <w:szCs w:val="21"/>
        </w:rPr>
        <w:t>natural resource</w:t>
      </w:r>
      <w:r w:rsidRPr="00EC1DA2">
        <w:rPr>
          <w:rFonts w:ascii="Segoe UI" w:hAnsi="Segoe UI" w:cs="Segoe UI"/>
          <w:bCs/>
          <w:sz w:val="21"/>
          <w:szCs w:val="21"/>
        </w:rPr>
        <w:t xml:space="preserve"> fee regime against which all exemptions should be measured to calculate the revenue </w:t>
      </w:r>
      <w:r>
        <w:rPr>
          <w:rFonts w:ascii="Segoe UI" w:hAnsi="Segoe UI" w:cs="Segoe UI"/>
          <w:bCs/>
          <w:sz w:val="21"/>
          <w:szCs w:val="21"/>
        </w:rPr>
        <w:t>forgone</w:t>
      </w:r>
      <w:r w:rsidRPr="00EC1DA2">
        <w:rPr>
          <w:rFonts w:ascii="Segoe UI" w:hAnsi="Segoe UI" w:cs="Segoe UI"/>
          <w:bCs/>
          <w:sz w:val="21"/>
          <w:szCs w:val="21"/>
        </w:rPr>
        <w:t>.</w:t>
      </w:r>
    </w:p>
    <w:p w14:paraId="67A6CBA1" w14:textId="7E4FA561" w:rsidR="008F531F" w:rsidRPr="008F531F" w:rsidRDefault="00EC1DA2" w:rsidP="00E90BA7">
      <w:pPr>
        <w:pStyle w:val="ParagraphNumbering"/>
        <w:numPr>
          <w:ilvl w:val="0"/>
          <w:numId w:val="0"/>
        </w:numPr>
        <w:spacing w:before="240" w:after="120" w:line="264" w:lineRule="auto"/>
        <w:jc w:val="both"/>
        <w:rPr>
          <w:rFonts w:ascii="Segoe UI" w:hAnsi="Segoe UI" w:cs="Segoe UI"/>
          <w:sz w:val="21"/>
          <w:szCs w:val="21"/>
        </w:rPr>
      </w:pPr>
      <w:r w:rsidRPr="00EC1DA2">
        <w:rPr>
          <w:rFonts w:ascii="Segoe UI" w:hAnsi="Segoe UI" w:cs="Segoe UI"/>
          <w:bCs/>
          <w:sz w:val="21"/>
          <w:szCs w:val="21"/>
        </w:rPr>
        <w:t xml:space="preserve">With respect to </w:t>
      </w:r>
      <w:r w:rsidRPr="00EC1DA2">
        <w:rPr>
          <w:rFonts w:ascii="Segoe UI" w:hAnsi="Segoe UI" w:cs="Segoe UI"/>
          <w:b/>
          <w:sz w:val="21"/>
          <w:szCs w:val="21"/>
        </w:rPr>
        <w:t>l</w:t>
      </w:r>
      <w:r w:rsidR="000E59EB" w:rsidRPr="00EC1DA2">
        <w:rPr>
          <w:rFonts w:ascii="Segoe UI" w:hAnsi="Segoe UI" w:cs="Segoe UI"/>
          <w:b/>
          <w:sz w:val="21"/>
          <w:szCs w:val="21"/>
        </w:rPr>
        <w:t>ocal fees</w:t>
      </w:r>
      <w:r>
        <w:rPr>
          <w:rFonts w:ascii="Segoe UI" w:hAnsi="Segoe UI" w:cs="Segoe UI"/>
          <w:bCs/>
          <w:sz w:val="21"/>
          <w:szCs w:val="21"/>
        </w:rPr>
        <w:t>, no benchmark could be established. Local fees</w:t>
      </w:r>
      <w:r w:rsidR="000E59EB" w:rsidRPr="000E59EB">
        <w:rPr>
          <w:rFonts w:ascii="Segoe UI" w:hAnsi="Segoe UI" w:cs="Segoe UI"/>
          <w:bCs/>
          <w:sz w:val="21"/>
          <w:szCs w:val="21"/>
        </w:rPr>
        <w:t xml:space="preserve"> are compulsory payments with their collections assigned to </w:t>
      </w:r>
      <w:r w:rsidR="00D740CA">
        <w:rPr>
          <w:rFonts w:ascii="Segoe UI" w:hAnsi="Segoe UI" w:cs="Segoe UI"/>
          <w:bCs/>
          <w:sz w:val="21"/>
          <w:szCs w:val="21"/>
        </w:rPr>
        <w:t>A</w:t>
      </w:r>
      <w:r w:rsidR="00C0009A">
        <w:rPr>
          <w:rFonts w:ascii="Segoe UI" w:hAnsi="Segoe UI" w:cs="Segoe UI"/>
          <w:bCs/>
          <w:sz w:val="21"/>
          <w:szCs w:val="21"/>
        </w:rPr>
        <w:t xml:space="preserve">dministrative </w:t>
      </w:r>
      <w:r w:rsidR="00D740CA">
        <w:rPr>
          <w:rFonts w:ascii="Segoe UI" w:hAnsi="Segoe UI" w:cs="Segoe UI"/>
          <w:bCs/>
          <w:sz w:val="21"/>
          <w:szCs w:val="21"/>
        </w:rPr>
        <w:t>T</w:t>
      </w:r>
      <w:r w:rsidR="00C0009A">
        <w:rPr>
          <w:rFonts w:ascii="Segoe UI" w:hAnsi="Segoe UI" w:cs="Segoe UI"/>
          <w:bCs/>
          <w:sz w:val="21"/>
          <w:szCs w:val="21"/>
        </w:rPr>
        <w:t xml:space="preserve">erritorial </w:t>
      </w:r>
      <w:r w:rsidR="00D740CA">
        <w:rPr>
          <w:rFonts w:ascii="Segoe UI" w:hAnsi="Segoe UI" w:cs="Segoe UI"/>
          <w:bCs/>
          <w:sz w:val="21"/>
          <w:szCs w:val="21"/>
        </w:rPr>
        <w:t>U</w:t>
      </w:r>
      <w:r w:rsidR="00C0009A">
        <w:rPr>
          <w:rFonts w:ascii="Segoe UI" w:hAnsi="Segoe UI" w:cs="Segoe UI"/>
          <w:bCs/>
          <w:sz w:val="21"/>
          <w:szCs w:val="21"/>
        </w:rPr>
        <w:t>nits</w:t>
      </w:r>
      <w:r w:rsidR="00D740CA">
        <w:rPr>
          <w:rFonts w:ascii="Segoe UI" w:hAnsi="Segoe UI" w:cs="Segoe UI"/>
          <w:bCs/>
          <w:sz w:val="21"/>
          <w:szCs w:val="21"/>
        </w:rPr>
        <w:t xml:space="preserve"> (ATUs)</w:t>
      </w:r>
      <w:r w:rsidR="00C0009A">
        <w:rPr>
          <w:rFonts w:ascii="Segoe UI" w:hAnsi="Segoe UI" w:cs="Segoe UI"/>
          <w:bCs/>
          <w:sz w:val="21"/>
          <w:szCs w:val="21"/>
        </w:rPr>
        <w:t xml:space="preserve"> </w:t>
      </w:r>
      <w:r w:rsidR="000E59EB" w:rsidRPr="000E59EB">
        <w:rPr>
          <w:rFonts w:ascii="Segoe UI" w:hAnsi="Segoe UI" w:cs="Segoe UI"/>
          <w:bCs/>
          <w:sz w:val="21"/>
          <w:szCs w:val="21"/>
        </w:rPr>
        <w:t>as own source revenues. According to Art. 289 of T</w:t>
      </w:r>
      <w:r w:rsidR="00E1229A">
        <w:rPr>
          <w:rFonts w:ascii="Segoe UI" w:hAnsi="Segoe UI" w:cs="Segoe UI"/>
          <w:bCs/>
          <w:sz w:val="21"/>
          <w:szCs w:val="21"/>
        </w:rPr>
        <w:t xml:space="preserve">ax </w:t>
      </w:r>
      <w:r w:rsidR="000E59EB" w:rsidRPr="000E59EB">
        <w:rPr>
          <w:rFonts w:ascii="Segoe UI" w:hAnsi="Segoe UI" w:cs="Segoe UI"/>
          <w:bCs/>
          <w:sz w:val="21"/>
          <w:szCs w:val="21"/>
        </w:rPr>
        <w:t>C</w:t>
      </w:r>
      <w:r w:rsidR="00E1229A">
        <w:rPr>
          <w:rFonts w:ascii="Segoe UI" w:hAnsi="Segoe UI" w:cs="Segoe UI"/>
          <w:bCs/>
          <w:sz w:val="21"/>
          <w:szCs w:val="21"/>
        </w:rPr>
        <w:t>ode</w:t>
      </w:r>
      <w:r w:rsidR="000E59EB" w:rsidRPr="000E59EB">
        <w:rPr>
          <w:rFonts w:ascii="Segoe UI" w:hAnsi="Segoe UI" w:cs="Segoe UI"/>
          <w:bCs/>
          <w:sz w:val="21"/>
          <w:szCs w:val="21"/>
        </w:rPr>
        <w:t xml:space="preserve">, local fees are </w:t>
      </w:r>
      <w:r w:rsidR="000E59EB" w:rsidRPr="008F531F">
        <w:rPr>
          <w:rFonts w:ascii="Segoe UI" w:hAnsi="Segoe UI" w:cs="Segoe UI"/>
          <w:bCs/>
          <w:i/>
          <w:iCs/>
          <w:sz w:val="21"/>
          <w:szCs w:val="21"/>
        </w:rPr>
        <w:t>ad valorem</w:t>
      </w:r>
      <w:r w:rsidR="000E59EB" w:rsidRPr="000E59EB">
        <w:rPr>
          <w:rFonts w:ascii="Segoe UI" w:hAnsi="Segoe UI" w:cs="Segoe UI"/>
          <w:bCs/>
          <w:sz w:val="21"/>
          <w:szCs w:val="21"/>
        </w:rPr>
        <w:t xml:space="preserve"> charges, with no uniformity with respect to the range of fees and their applied rates. Hence, it is impossible to establish a benchmark local fees system against which all fee exemptions could be measured as TEs. It</w:t>
      </w:r>
      <w:r w:rsidR="00AE142E">
        <w:rPr>
          <w:rFonts w:ascii="Segoe UI" w:hAnsi="Segoe UI" w:cs="Segoe UI"/>
          <w:bCs/>
          <w:sz w:val="21"/>
          <w:szCs w:val="21"/>
        </w:rPr>
        <w:t xml:space="preserve"> makes</w:t>
      </w:r>
      <w:r w:rsidR="000E59EB" w:rsidRPr="000E59EB">
        <w:rPr>
          <w:rFonts w:ascii="Segoe UI" w:hAnsi="Segoe UI" w:cs="Segoe UI"/>
          <w:bCs/>
          <w:sz w:val="21"/>
          <w:szCs w:val="21"/>
        </w:rPr>
        <w:t xml:space="preserve">, therefore, little sense to assess them in a </w:t>
      </w:r>
      <w:r w:rsidR="005909DF">
        <w:rPr>
          <w:rFonts w:ascii="Segoe UI" w:hAnsi="Segoe UI" w:cs="Segoe UI"/>
          <w:bCs/>
          <w:sz w:val="21"/>
          <w:szCs w:val="21"/>
        </w:rPr>
        <w:t>TE</w:t>
      </w:r>
      <w:r w:rsidR="000E59EB" w:rsidRPr="000E59EB">
        <w:rPr>
          <w:rFonts w:ascii="Segoe UI" w:hAnsi="Segoe UI" w:cs="Segoe UI"/>
          <w:bCs/>
          <w:sz w:val="21"/>
          <w:szCs w:val="21"/>
        </w:rPr>
        <w:t xml:space="preserve"> budget at national level.</w:t>
      </w:r>
      <w:r w:rsidR="000E59EB">
        <w:rPr>
          <w:rFonts w:ascii="Segoe UI" w:hAnsi="Segoe UI" w:cs="Segoe UI"/>
          <w:bCs/>
          <w:sz w:val="21"/>
          <w:szCs w:val="21"/>
        </w:rPr>
        <w:t xml:space="preserve"> </w:t>
      </w:r>
    </w:p>
    <w:p w14:paraId="5FE197A6" w14:textId="3F9B146A" w:rsidR="00D25C90" w:rsidRPr="00CB1E53" w:rsidRDefault="008209C7" w:rsidP="00E90BA7">
      <w:pPr>
        <w:pStyle w:val="Heading3"/>
        <w:jc w:val="both"/>
        <w:rPr>
          <w:rStyle w:val="RegularDKB"/>
          <w:caps w:val="0"/>
        </w:rPr>
      </w:pPr>
      <w:bookmarkStart w:id="7" w:name="_Toc126555812"/>
      <w:r>
        <w:rPr>
          <w:rStyle w:val="RegularDKB"/>
          <w:caps w:val="0"/>
        </w:rPr>
        <w:t xml:space="preserve">Tax </w:t>
      </w:r>
      <w:r w:rsidR="00476BA2">
        <w:rPr>
          <w:rStyle w:val="RegularDKB"/>
          <w:caps w:val="0"/>
        </w:rPr>
        <w:t>e</w:t>
      </w:r>
      <w:r>
        <w:rPr>
          <w:rStyle w:val="RegularDKB"/>
          <w:caps w:val="0"/>
        </w:rPr>
        <w:t>xpenditures and e</w:t>
      </w:r>
      <w:r w:rsidR="00D25C90" w:rsidRPr="00CB1E53">
        <w:rPr>
          <w:rStyle w:val="RegularDKB"/>
          <w:caps w:val="0"/>
        </w:rPr>
        <w:t>stimation methodologies</w:t>
      </w:r>
      <w:bookmarkEnd w:id="7"/>
    </w:p>
    <w:p w14:paraId="69386F46" w14:textId="0AA38900" w:rsidR="00552DCD" w:rsidRDefault="005B044E" w:rsidP="00E90BA7">
      <w:pPr>
        <w:spacing w:after="240"/>
        <w:jc w:val="both"/>
        <w:rPr>
          <w:rFonts w:ascii="Segoe UI" w:hAnsi="Segoe UI" w:cs="Segoe UI"/>
          <w:sz w:val="21"/>
          <w:szCs w:val="21"/>
        </w:rPr>
      </w:pPr>
      <w:r w:rsidRPr="00CB1E53">
        <w:rPr>
          <w:rFonts w:ascii="Segoe UI" w:hAnsi="Segoe UI" w:cs="Segoe UI"/>
          <w:sz w:val="21"/>
          <w:szCs w:val="21"/>
        </w:rPr>
        <w:t>T</w:t>
      </w:r>
      <w:r w:rsidR="00D25C90" w:rsidRPr="00CB1E53">
        <w:rPr>
          <w:rFonts w:ascii="Segoe UI" w:hAnsi="Segoe UI" w:cs="Segoe UI"/>
          <w:sz w:val="21"/>
          <w:szCs w:val="21"/>
        </w:rPr>
        <w:t xml:space="preserve">his TEAR presents the Moldovan government’s first estimates of the fiscal cost of </w:t>
      </w:r>
      <w:r w:rsidR="005909DF">
        <w:rPr>
          <w:rFonts w:ascii="Segoe UI" w:hAnsi="Segoe UI" w:cs="Segoe UI"/>
          <w:sz w:val="21"/>
          <w:szCs w:val="21"/>
        </w:rPr>
        <w:t>TE</w:t>
      </w:r>
      <w:r w:rsidR="00D25C90" w:rsidRPr="00CB1E53">
        <w:rPr>
          <w:rFonts w:ascii="Segoe UI" w:hAnsi="Segoe UI" w:cs="Segoe UI"/>
          <w:sz w:val="21"/>
          <w:szCs w:val="21"/>
        </w:rPr>
        <w:t xml:space="preserve">s, as well as a brief discussion of the methodology used to produce these estimates. The </w:t>
      </w:r>
      <w:r w:rsidR="005909DF">
        <w:rPr>
          <w:rFonts w:ascii="Segoe UI" w:hAnsi="Segoe UI" w:cs="Segoe UI"/>
          <w:sz w:val="21"/>
          <w:szCs w:val="21"/>
        </w:rPr>
        <w:t>TE</w:t>
      </w:r>
      <w:r w:rsidR="00D25C90" w:rsidRPr="00CB1E53">
        <w:rPr>
          <w:rFonts w:ascii="Segoe UI" w:hAnsi="Segoe UI" w:cs="Segoe UI"/>
          <w:sz w:val="21"/>
          <w:szCs w:val="21"/>
        </w:rPr>
        <w:t xml:space="preserve"> estimates are calculated using the revenue forgone method. This entails comparing actual revenue collections with the revenue that would have been collected without the </w:t>
      </w:r>
      <w:r w:rsidR="005909DF">
        <w:rPr>
          <w:rFonts w:ascii="Segoe UI" w:hAnsi="Segoe UI" w:cs="Segoe UI"/>
          <w:sz w:val="21"/>
          <w:szCs w:val="21"/>
        </w:rPr>
        <w:t>TE</w:t>
      </w:r>
      <w:r w:rsidR="16C4AF0F" w:rsidRPr="78364ED8">
        <w:rPr>
          <w:rFonts w:ascii="Segoe UI" w:hAnsi="Segoe UI" w:cs="Segoe UI"/>
          <w:sz w:val="21"/>
          <w:szCs w:val="21"/>
        </w:rPr>
        <w:t>s</w:t>
      </w:r>
      <w:r w:rsidR="00D25C90" w:rsidRPr="00CB1E53">
        <w:rPr>
          <w:rFonts w:ascii="Segoe UI" w:hAnsi="Segoe UI" w:cs="Segoe UI"/>
          <w:sz w:val="21"/>
          <w:szCs w:val="21"/>
        </w:rPr>
        <w:t xml:space="preserve"> in place. The revenue forgone approach assumes that taxpayers do not change their behavior in response to a </w:t>
      </w:r>
      <w:r w:rsidR="00EF3B10">
        <w:rPr>
          <w:rFonts w:ascii="Segoe UI" w:hAnsi="Segoe UI" w:cs="Segoe UI"/>
          <w:sz w:val="21"/>
          <w:szCs w:val="21"/>
        </w:rPr>
        <w:t>TE</w:t>
      </w:r>
      <w:r w:rsidR="00D25C90" w:rsidRPr="00CB1E53">
        <w:rPr>
          <w:rFonts w:ascii="Segoe UI" w:hAnsi="Segoe UI" w:cs="Segoe UI"/>
          <w:sz w:val="21"/>
          <w:szCs w:val="21"/>
        </w:rPr>
        <w:t xml:space="preserve"> being withdrawn. </w:t>
      </w:r>
      <w:r w:rsidR="006D7964">
        <w:rPr>
          <w:rFonts w:ascii="Segoe UI" w:hAnsi="Segoe UI" w:cs="Segoe UI"/>
          <w:sz w:val="21"/>
          <w:szCs w:val="21"/>
        </w:rPr>
        <w:t>Hence, the</w:t>
      </w:r>
      <w:r w:rsidR="00552DCD" w:rsidRPr="00552DCD">
        <w:rPr>
          <w:rFonts w:ascii="Segoe UI" w:hAnsi="Segoe UI" w:cs="Segoe UI"/>
          <w:sz w:val="21"/>
          <w:szCs w:val="21"/>
        </w:rPr>
        <w:t xml:space="preserve"> accuracy in forecasting the additional revenues associated with policy changes depends on the extent to which behavioral responses matter for the targeted </w:t>
      </w:r>
      <w:r w:rsidR="006D7964">
        <w:rPr>
          <w:rFonts w:ascii="Segoe UI" w:hAnsi="Segoe UI" w:cs="Segoe UI"/>
          <w:sz w:val="21"/>
          <w:szCs w:val="21"/>
        </w:rPr>
        <w:t>TEs</w:t>
      </w:r>
      <w:r w:rsidR="00552DCD" w:rsidRPr="00552DCD">
        <w:rPr>
          <w:rFonts w:ascii="Segoe UI" w:hAnsi="Segoe UI" w:cs="Segoe UI"/>
          <w:sz w:val="21"/>
          <w:szCs w:val="21"/>
        </w:rPr>
        <w:t>. In most instances, behavioral responses are relatively small.</w:t>
      </w:r>
    </w:p>
    <w:p w14:paraId="2CA7495A" w14:textId="16E78ED0" w:rsidR="00FC7115" w:rsidRDefault="00C462B1" w:rsidP="00E90BA7">
      <w:pPr>
        <w:spacing w:after="240"/>
        <w:jc w:val="both"/>
        <w:rPr>
          <w:rFonts w:ascii="Segoe UI" w:hAnsi="Segoe UI" w:cs="Segoe UI"/>
          <w:sz w:val="21"/>
          <w:szCs w:val="21"/>
        </w:rPr>
      </w:pPr>
      <w:r w:rsidRPr="00CB1E53">
        <w:rPr>
          <w:rFonts w:ascii="Segoe UI" w:hAnsi="Segoe UI" w:cs="Segoe UI"/>
          <w:sz w:val="21"/>
          <w:szCs w:val="21"/>
        </w:rPr>
        <w:t xml:space="preserve">The individually </w:t>
      </w:r>
      <w:r>
        <w:rPr>
          <w:rFonts w:ascii="Segoe UI" w:hAnsi="Segoe UI" w:cs="Segoe UI"/>
          <w:sz w:val="21"/>
          <w:szCs w:val="21"/>
        </w:rPr>
        <w:t xml:space="preserve">estimated </w:t>
      </w:r>
      <w:r w:rsidRPr="00CB1E53">
        <w:rPr>
          <w:rFonts w:ascii="Segoe UI" w:hAnsi="Segoe UI" w:cs="Segoe UI"/>
          <w:sz w:val="21"/>
          <w:szCs w:val="21"/>
        </w:rPr>
        <w:t xml:space="preserve">TEs </w:t>
      </w:r>
      <w:r>
        <w:rPr>
          <w:rFonts w:ascii="Segoe UI" w:hAnsi="Segoe UI" w:cs="Segoe UI"/>
          <w:sz w:val="21"/>
          <w:szCs w:val="21"/>
        </w:rPr>
        <w:t xml:space="preserve">are </w:t>
      </w:r>
      <w:r w:rsidRPr="00CB1E53">
        <w:rPr>
          <w:rFonts w:ascii="Segoe UI" w:hAnsi="Segoe UI" w:cs="Segoe UI"/>
          <w:sz w:val="21"/>
          <w:szCs w:val="21"/>
        </w:rPr>
        <w:t xml:space="preserve">aggregated and summarized by tax instrument in Table 1. </w:t>
      </w:r>
      <w:r>
        <w:rPr>
          <w:rFonts w:ascii="Segoe UI" w:hAnsi="Segoe UI" w:cs="Segoe UI"/>
          <w:sz w:val="21"/>
          <w:szCs w:val="21"/>
        </w:rPr>
        <w:t>The total TEs</w:t>
      </w:r>
      <w:r w:rsidR="00D25C90" w:rsidRPr="00CB1E53">
        <w:rPr>
          <w:rFonts w:ascii="Segoe UI" w:hAnsi="Segoe UI" w:cs="Segoe UI"/>
          <w:sz w:val="21"/>
          <w:szCs w:val="21"/>
        </w:rPr>
        <w:t xml:space="preserve"> for PIT</w:t>
      </w:r>
      <w:r w:rsidR="001D25BF">
        <w:rPr>
          <w:rFonts w:ascii="Segoe UI" w:hAnsi="Segoe UI" w:cs="Segoe UI"/>
          <w:sz w:val="21"/>
          <w:szCs w:val="21"/>
        </w:rPr>
        <w:t>, BIT</w:t>
      </w:r>
      <w:r w:rsidR="00444F71">
        <w:rPr>
          <w:rFonts w:ascii="Segoe UI" w:hAnsi="Segoe UI" w:cs="Segoe UI"/>
          <w:sz w:val="21"/>
          <w:szCs w:val="21"/>
        </w:rPr>
        <w:t>,</w:t>
      </w:r>
      <w:r w:rsidR="00D25C90" w:rsidRPr="005A7A2A">
        <w:rPr>
          <w:rFonts w:ascii="Segoe UI" w:hAnsi="Segoe UI" w:cs="Segoe UI"/>
          <w:sz w:val="21"/>
          <w:szCs w:val="21"/>
        </w:rPr>
        <w:t xml:space="preserve"> VAT</w:t>
      </w:r>
      <w:r w:rsidR="00444F71">
        <w:rPr>
          <w:rFonts w:ascii="Segoe UI" w:hAnsi="Segoe UI" w:cs="Segoe UI"/>
          <w:sz w:val="21"/>
          <w:szCs w:val="21"/>
        </w:rPr>
        <w:t xml:space="preserve">, </w:t>
      </w:r>
      <w:r w:rsidR="4A6280E8" w:rsidRPr="649E3688">
        <w:rPr>
          <w:rFonts w:ascii="Segoe UI" w:hAnsi="Segoe UI" w:cs="Segoe UI"/>
          <w:sz w:val="21"/>
          <w:szCs w:val="21"/>
        </w:rPr>
        <w:t>e</w:t>
      </w:r>
      <w:r w:rsidR="3D14865C" w:rsidRPr="649E3688">
        <w:rPr>
          <w:rFonts w:ascii="Segoe UI" w:hAnsi="Segoe UI" w:cs="Segoe UI"/>
          <w:sz w:val="21"/>
          <w:szCs w:val="21"/>
        </w:rPr>
        <w:t>xcise</w:t>
      </w:r>
      <w:r w:rsidR="07D1D9CC" w:rsidRPr="649E3688">
        <w:rPr>
          <w:rFonts w:ascii="Segoe UI" w:hAnsi="Segoe UI" w:cs="Segoe UI"/>
          <w:sz w:val="21"/>
          <w:szCs w:val="21"/>
        </w:rPr>
        <w:t xml:space="preserve"> </w:t>
      </w:r>
      <w:r w:rsidR="07D1D9CC" w:rsidRPr="002761EC">
        <w:rPr>
          <w:rFonts w:ascii="Segoe UI" w:hAnsi="Segoe UI" w:cs="Segoe UI"/>
          <w:sz w:val="21"/>
          <w:szCs w:val="21"/>
        </w:rPr>
        <w:t>dutie</w:t>
      </w:r>
      <w:r w:rsidR="3D14865C" w:rsidRPr="002761EC">
        <w:rPr>
          <w:rFonts w:ascii="Segoe UI" w:hAnsi="Segoe UI" w:cs="Segoe UI"/>
          <w:sz w:val="21"/>
          <w:szCs w:val="21"/>
        </w:rPr>
        <w:t>s</w:t>
      </w:r>
      <w:r w:rsidR="00444F71" w:rsidRPr="002761EC">
        <w:rPr>
          <w:rFonts w:ascii="Segoe UI" w:hAnsi="Segoe UI" w:cs="Segoe UI"/>
          <w:sz w:val="21"/>
          <w:szCs w:val="21"/>
        </w:rPr>
        <w:t xml:space="preserve">, </w:t>
      </w:r>
      <w:r w:rsidR="00B57BD4" w:rsidRPr="002761EC">
        <w:rPr>
          <w:rFonts w:ascii="Segoe UI" w:hAnsi="Segoe UI" w:cs="Segoe UI"/>
          <w:sz w:val="21"/>
          <w:szCs w:val="21"/>
        </w:rPr>
        <w:t>r</w:t>
      </w:r>
      <w:r w:rsidR="006C0391" w:rsidRPr="002761EC">
        <w:rPr>
          <w:rFonts w:ascii="Segoe UI" w:hAnsi="Segoe UI" w:cs="Segoe UI"/>
          <w:sz w:val="21"/>
          <w:szCs w:val="21"/>
        </w:rPr>
        <w:t xml:space="preserve">oad </w:t>
      </w:r>
      <w:r w:rsidR="00B57BD4" w:rsidRPr="002761EC">
        <w:rPr>
          <w:rFonts w:ascii="Segoe UI" w:hAnsi="Segoe UI" w:cs="Segoe UI"/>
          <w:sz w:val="21"/>
          <w:szCs w:val="21"/>
        </w:rPr>
        <w:t>u</w:t>
      </w:r>
      <w:r w:rsidR="006C0391" w:rsidRPr="002761EC">
        <w:rPr>
          <w:rFonts w:ascii="Segoe UI" w:hAnsi="Segoe UI" w:cs="Segoe UI"/>
          <w:sz w:val="21"/>
          <w:szCs w:val="21"/>
        </w:rPr>
        <w:t xml:space="preserve">sage </w:t>
      </w:r>
      <w:r w:rsidR="00B57BD4" w:rsidRPr="002761EC">
        <w:rPr>
          <w:rFonts w:ascii="Segoe UI" w:hAnsi="Segoe UI" w:cs="Segoe UI"/>
          <w:sz w:val="21"/>
          <w:szCs w:val="21"/>
        </w:rPr>
        <w:t>f</w:t>
      </w:r>
      <w:r w:rsidR="006C0391" w:rsidRPr="002761EC">
        <w:rPr>
          <w:rFonts w:ascii="Segoe UI" w:hAnsi="Segoe UI" w:cs="Segoe UI"/>
          <w:sz w:val="21"/>
          <w:szCs w:val="21"/>
        </w:rPr>
        <w:t xml:space="preserve">ees, </w:t>
      </w:r>
      <w:r w:rsidR="0F4DD9CD" w:rsidRPr="002761EC">
        <w:rPr>
          <w:rFonts w:ascii="Segoe UI" w:hAnsi="Segoe UI" w:cs="Segoe UI"/>
          <w:sz w:val="21"/>
          <w:szCs w:val="21"/>
        </w:rPr>
        <w:t>import</w:t>
      </w:r>
      <w:r w:rsidR="00444F71" w:rsidRPr="002761EC">
        <w:rPr>
          <w:rFonts w:ascii="Segoe UI" w:hAnsi="Segoe UI" w:cs="Segoe UI"/>
          <w:sz w:val="21"/>
          <w:szCs w:val="21"/>
        </w:rPr>
        <w:t xml:space="preserve"> </w:t>
      </w:r>
      <w:r w:rsidR="00B57BD4" w:rsidRPr="002761EC">
        <w:rPr>
          <w:rFonts w:ascii="Segoe UI" w:hAnsi="Segoe UI" w:cs="Segoe UI"/>
          <w:sz w:val="21"/>
          <w:szCs w:val="21"/>
        </w:rPr>
        <w:t>d</w:t>
      </w:r>
      <w:r w:rsidR="00444F71" w:rsidRPr="002761EC">
        <w:rPr>
          <w:rFonts w:ascii="Segoe UI" w:hAnsi="Segoe UI" w:cs="Segoe UI"/>
          <w:sz w:val="21"/>
          <w:szCs w:val="21"/>
        </w:rPr>
        <w:t xml:space="preserve">uties, RET, and </w:t>
      </w:r>
      <w:r w:rsidR="006C0391" w:rsidRPr="002761EC">
        <w:rPr>
          <w:rFonts w:ascii="Segoe UI" w:hAnsi="Segoe UI" w:cs="Segoe UI"/>
          <w:sz w:val="21"/>
          <w:szCs w:val="21"/>
        </w:rPr>
        <w:t xml:space="preserve">natural resource </w:t>
      </w:r>
      <w:r w:rsidR="00444F71" w:rsidRPr="002761EC">
        <w:rPr>
          <w:rFonts w:ascii="Segoe UI" w:hAnsi="Segoe UI" w:cs="Segoe UI"/>
          <w:sz w:val="21"/>
          <w:szCs w:val="21"/>
        </w:rPr>
        <w:t>fees</w:t>
      </w:r>
      <w:r w:rsidR="00D25C90" w:rsidRPr="002761EC">
        <w:rPr>
          <w:rFonts w:ascii="Segoe UI" w:hAnsi="Segoe UI" w:cs="Segoe UI"/>
          <w:sz w:val="21"/>
          <w:szCs w:val="21"/>
        </w:rPr>
        <w:t xml:space="preserve"> were estimated at MDL </w:t>
      </w:r>
      <w:r w:rsidR="00860125" w:rsidRPr="002761EC">
        <w:rPr>
          <w:rFonts w:ascii="Segoe UI" w:hAnsi="Segoe UI" w:cs="Segoe UI"/>
          <w:sz w:val="21"/>
          <w:szCs w:val="21"/>
        </w:rPr>
        <w:t>14,625</w:t>
      </w:r>
      <w:r w:rsidR="00D25C90" w:rsidRPr="002761EC">
        <w:rPr>
          <w:rFonts w:ascii="Segoe UI" w:hAnsi="Segoe UI" w:cs="Segoe UI"/>
          <w:sz w:val="21"/>
          <w:szCs w:val="21"/>
        </w:rPr>
        <w:t xml:space="preserve"> </w:t>
      </w:r>
      <w:r w:rsidR="00BE61BE" w:rsidRPr="002761EC">
        <w:rPr>
          <w:rFonts w:ascii="Segoe UI" w:hAnsi="Segoe UI" w:cs="Segoe UI"/>
          <w:sz w:val="21"/>
          <w:szCs w:val="21"/>
        </w:rPr>
        <w:t>m</w:t>
      </w:r>
      <w:r w:rsidR="00D25C90" w:rsidRPr="002761EC">
        <w:rPr>
          <w:rFonts w:ascii="Segoe UI" w:hAnsi="Segoe UI" w:cs="Segoe UI"/>
          <w:sz w:val="21"/>
          <w:szCs w:val="21"/>
        </w:rPr>
        <w:t>illion</w:t>
      </w:r>
      <w:r w:rsidR="00D25C90" w:rsidRPr="005A7A2A">
        <w:rPr>
          <w:rFonts w:ascii="Segoe UI" w:hAnsi="Segoe UI" w:cs="Segoe UI"/>
          <w:sz w:val="21"/>
          <w:szCs w:val="21"/>
        </w:rPr>
        <w:t xml:space="preserve"> or </w:t>
      </w:r>
      <w:r w:rsidR="00296AD3" w:rsidRPr="005A7A2A">
        <w:rPr>
          <w:rFonts w:ascii="Segoe UI" w:hAnsi="Segoe UI" w:cs="Segoe UI"/>
          <w:sz w:val="21"/>
          <w:szCs w:val="21"/>
        </w:rPr>
        <w:t>6</w:t>
      </w:r>
      <w:r w:rsidR="002761EC">
        <w:rPr>
          <w:rFonts w:ascii="Segoe UI" w:hAnsi="Segoe UI" w:cs="Segoe UI"/>
          <w:sz w:val="21"/>
          <w:szCs w:val="21"/>
        </w:rPr>
        <w:t>.3</w:t>
      </w:r>
      <w:r w:rsidR="00D25C90" w:rsidRPr="005A7A2A">
        <w:rPr>
          <w:rFonts w:ascii="Segoe UI" w:hAnsi="Segoe UI" w:cs="Segoe UI"/>
          <w:sz w:val="21"/>
          <w:szCs w:val="21"/>
        </w:rPr>
        <w:t xml:space="preserve"> percent of GDP</w:t>
      </w:r>
      <w:r w:rsidR="00812483" w:rsidRPr="005A7A2A">
        <w:rPr>
          <w:rFonts w:ascii="Segoe UI" w:hAnsi="Segoe UI" w:cs="Segoe UI"/>
          <w:sz w:val="21"/>
          <w:szCs w:val="21"/>
        </w:rPr>
        <w:t xml:space="preserve"> for 2021</w:t>
      </w:r>
      <w:r w:rsidR="00D25C90" w:rsidRPr="005A7A2A">
        <w:rPr>
          <w:rFonts w:ascii="Segoe UI" w:hAnsi="Segoe UI" w:cs="Segoe UI"/>
          <w:sz w:val="21"/>
          <w:szCs w:val="21"/>
        </w:rPr>
        <w:t xml:space="preserve">. For that year and for those </w:t>
      </w:r>
      <w:r w:rsidR="768B3BDE" w:rsidRPr="21B20730">
        <w:rPr>
          <w:rFonts w:ascii="Segoe UI" w:hAnsi="Segoe UI" w:cs="Segoe UI"/>
          <w:sz w:val="21"/>
          <w:szCs w:val="21"/>
        </w:rPr>
        <w:t>eight</w:t>
      </w:r>
      <w:r w:rsidR="00D25C90" w:rsidRPr="005A7A2A">
        <w:rPr>
          <w:rFonts w:ascii="Segoe UI" w:hAnsi="Segoe UI" w:cs="Segoe UI"/>
          <w:sz w:val="21"/>
          <w:szCs w:val="21"/>
        </w:rPr>
        <w:t xml:space="preserve"> tax instruments, </w:t>
      </w:r>
      <w:r w:rsidR="002C69A5" w:rsidRPr="00197F11">
        <w:rPr>
          <w:rFonts w:ascii="Segoe UI" w:hAnsi="Segoe UI" w:cs="Segoe UI"/>
          <w:sz w:val="21"/>
          <w:szCs w:val="21"/>
        </w:rPr>
        <w:t>2</w:t>
      </w:r>
      <w:r w:rsidR="006E086A" w:rsidRPr="00197F11">
        <w:rPr>
          <w:rFonts w:ascii="Segoe UI" w:hAnsi="Segoe UI" w:cs="Segoe UI"/>
          <w:sz w:val="21"/>
          <w:szCs w:val="21"/>
        </w:rPr>
        <w:t>3</w:t>
      </w:r>
      <w:r w:rsidR="00197F11" w:rsidRPr="00197F11">
        <w:rPr>
          <w:rFonts w:ascii="Segoe UI" w:hAnsi="Segoe UI" w:cs="Segoe UI"/>
          <w:sz w:val="21"/>
          <w:szCs w:val="21"/>
        </w:rPr>
        <w:t>2</w:t>
      </w:r>
      <w:r w:rsidR="00D25C90" w:rsidRPr="005A7A2A">
        <w:rPr>
          <w:rFonts w:ascii="Segoe UI" w:hAnsi="Segoe UI" w:cs="Segoe UI"/>
          <w:sz w:val="21"/>
          <w:szCs w:val="21"/>
        </w:rPr>
        <w:t xml:space="preserve"> </w:t>
      </w:r>
      <w:r w:rsidR="00EF3B10">
        <w:rPr>
          <w:rFonts w:ascii="Segoe UI" w:hAnsi="Segoe UI" w:cs="Segoe UI"/>
          <w:sz w:val="21"/>
          <w:szCs w:val="21"/>
        </w:rPr>
        <w:t>TE</w:t>
      </w:r>
      <w:r w:rsidR="00D25C90" w:rsidRPr="005A7A2A">
        <w:rPr>
          <w:rFonts w:ascii="Segoe UI" w:hAnsi="Segoe UI" w:cs="Segoe UI"/>
          <w:sz w:val="21"/>
          <w:szCs w:val="21"/>
        </w:rPr>
        <w:t>s</w:t>
      </w:r>
      <w:r w:rsidR="00D25C90" w:rsidRPr="00CB1E53">
        <w:rPr>
          <w:rFonts w:ascii="Segoe UI" w:hAnsi="Segoe UI" w:cs="Segoe UI"/>
          <w:sz w:val="21"/>
          <w:szCs w:val="21"/>
        </w:rPr>
        <w:t xml:space="preserve"> were identified and the forgone revenues</w:t>
      </w:r>
      <w:r w:rsidR="006E086A">
        <w:rPr>
          <w:rFonts w:ascii="Segoe UI" w:hAnsi="Segoe UI" w:cs="Segoe UI"/>
          <w:sz w:val="21"/>
          <w:szCs w:val="21"/>
        </w:rPr>
        <w:t xml:space="preserve"> for </w:t>
      </w:r>
      <w:r w:rsidR="00197F11">
        <w:rPr>
          <w:rFonts w:ascii="Segoe UI" w:hAnsi="Segoe UI" w:cs="Segoe UI"/>
          <w:sz w:val="21"/>
          <w:szCs w:val="21"/>
        </w:rPr>
        <w:t>12</w:t>
      </w:r>
      <w:r w:rsidR="00FC7115" w:rsidRPr="00197F11">
        <w:rPr>
          <w:rFonts w:ascii="Segoe UI" w:hAnsi="Segoe UI" w:cs="Segoe UI"/>
          <w:sz w:val="21"/>
          <w:szCs w:val="21"/>
        </w:rPr>
        <w:t>4</w:t>
      </w:r>
      <w:r w:rsidR="00FC7115">
        <w:rPr>
          <w:rFonts w:ascii="Segoe UI" w:hAnsi="Segoe UI" w:cs="Segoe UI"/>
          <w:sz w:val="21"/>
          <w:szCs w:val="21"/>
        </w:rPr>
        <w:t xml:space="preserve"> of them were</w:t>
      </w:r>
      <w:r w:rsidR="00D25C90" w:rsidRPr="00CB1E53">
        <w:rPr>
          <w:rFonts w:ascii="Segoe UI" w:hAnsi="Segoe UI" w:cs="Segoe UI"/>
          <w:sz w:val="21"/>
          <w:szCs w:val="21"/>
        </w:rPr>
        <w:t xml:space="preserve"> </w:t>
      </w:r>
      <w:r w:rsidR="00FC7115">
        <w:rPr>
          <w:rFonts w:ascii="Segoe UI" w:hAnsi="Segoe UI" w:cs="Segoe UI"/>
          <w:sz w:val="21"/>
          <w:szCs w:val="21"/>
        </w:rPr>
        <w:t>estim</w:t>
      </w:r>
      <w:r w:rsidR="005A7A2A">
        <w:rPr>
          <w:rFonts w:ascii="Segoe UI" w:hAnsi="Segoe UI" w:cs="Segoe UI"/>
          <w:sz w:val="21"/>
          <w:szCs w:val="21"/>
        </w:rPr>
        <w:t>a</w:t>
      </w:r>
      <w:r w:rsidR="00FC7115">
        <w:rPr>
          <w:rFonts w:ascii="Segoe UI" w:hAnsi="Segoe UI" w:cs="Segoe UI"/>
          <w:sz w:val="21"/>
          <w:szCs w:val="21"/>
        </w:rPr>
        <w:t>ted</w:t>
      </w:r>
      <w:r w:rsidR="00D25C90" w:rsidRPr="00CB1E53">
        <w:rPr>
          <w:rFonts w:ascii="Segoe UI" w:hAnsi="Segoe UI" w:cs="Segoe UI"/>
          <w:sz w:val="21"/>
          <w:szCs w:val="21"/>
        </w:rPr>
        <w:t xml:space="preserve">. The largest </w:t>
      </w:r>
      <w:r w:rsidR="00FC7115">
        <w:rPr>
          <w:rFonts w:ascii="Segoe UI" w:hAnsi="Segoe UI" w:cs="Segoe UI"/>
          <w:sz w:val="21"/>
          <w:szCs w:val="21"/>
        </w:rPr>
        <w:t>size</w:t>
      </w:r>
      <w:r w:rsidR="00D25C90" w:rsidRPr="00CB1E53">
        <w:rPr>
          <w:rFonts w:ascii="Segoe UI" w:hAnsi="Segoe UI" w:cs="Segoe UI"/>
          <w:sz w:val="21"/>
          <w:szCs w:val="21"/>
        </w:rPr>
        <w:t xml:space="preserve"> TEs accounted for more than </w:t>
      </w:r>
      <w:r w:rsidR="00FC7115" w:rsidRPr="00197F11">
        <w:rPr>
          <w:rFonts w:ascii="Segoe UI" w:hAnsi="Segoe UI" w:cs="Segoe UI"/>
          <w:sz w:val="21"/>
          <w:szCs w:val="21"/>
        </w:rPr>
        <w:t>6</w:t>
      </w:r>
      <w:r w:rsidR="00197F11" w:rsidRPr="00197F11">
        <w:rPr>
          <w:rFonts w:ascii="Segoe UI" w:hAnsi="Segoe UI" w:cs="Segoe UI"/>
          <w:sz w:val="21"/>
          <w:szCs w:val="21"/>
        </w:rPr>
        <w:t>9</w:t>
      </w:r>
      <w:r w:rsidR="00D25C90" w:rsidRPr="00CB1E53">
        <w:rPr>
          <w:rFonts w:ascii="Segoe UI" w:hAnsi="Segoe UI" w:cs="Segoe UI"/>
          <w:sz w:val="21"/>
          <w:szCs w:val="21"/>
        </w:rPr>
        <w:t xml:space="preserve"> percent of the total</w:t>
      </w:r>
      <w:r w:rsidR="00FC7115">
        <w:rPr>
          <w:rFonts w:ascii="Segoe UI" w:hAnsi="Segoe UI" w:cs="Segoe UI"/>
          <w:sz w:val="21"/>
          <w:szCs w:val="21"/>
        </w:rPr>
        <w:t xml:space="preserve"> in 2021</w:t>
      </w:r>
      <w:r w:rsidR="00D25C90" w:rsidRPr="00CB1E53">
        <w:rPr>
          <w:rFonts w:ascii="Segoe UI" w:hAnsi="Segoe UI" w:cs="Segoe UI"/>
          <w:sz w:val="21"/>
          <w:szCs w:val="21"/>
        </w:rPr>
        <w:t>. These</w:t>
      </w:r>
      <w:r w:rsidR="00FC7115">
        <w:rPr>
          <w:rFonts w:ascii="Segoe UI" w:hAnsi="Segoe UI" w:cs="Segoe UI"/>
          <w:sz w:val="21"/>
          <w:szCs w:val="21"/>
        </w:rPr>
        <w:t xml:space="preserve"> include:</w:t>
      </w:r>
    </w:p>
    <w:p w14:paraId="60472FE2" w14:textId="7F6269DF" w:rsidR="00FC7115" w:rsidRDefault="00FC7115" w:rsidP="00E90BA7">
      <w:pPr>
        <w:pStyle w:val="ListParagraph"/>
        <w:numPr>
          <w:ilvl w:val="0"/>
          <w:numId w:val="18"/>
        </w:numPr>
        <w:spacing w:after="240"/>
        <w:jc w:val="both"/>
        <w:rPr>
          <w:rFonts w:ascii="Segoe UI" w:hAnsi="Segoe UI" w:cs="Segoe UI"/>
          <w:sz w:val="21"/>
          <w:szCs w:val="21"/>
        </w:rPr>
      </w:pPr>
      <w:r w:rsidRPr="00FC7115">
        <w:rPr>
          <w:rFonts w:ascii="Segoe UI" w:hAnsi="Segoe UI" w:cs="Segoe UI"/>
          <w:sz w:val="21"/>
          <w:szCs w:val="21"/>
        </w:rPr>
        <w:t>Tax exemption of state security payments and state subsidies</w:t>
      </w:r>
      <w:r>
        <w:rPr>
          <w:rFonts w:ascii="Segoe UI" w:hAnsi="Segoe UI" w:cs="Segoe UI"/>
          <w:sz w:val="21"/>
          <w:szCs w:val="21"/>
        </w:rPr>
        <w:t xml:space="preserve"> (PIT)</w:t>
      </w:r>
    </w:p>
    <w:p w14:paraId="7D848B0A" w14:textId="4577079F" w:rsidR="00FC7115" w:rsidRDefault="00467703" w:rsidP="00E90BA7">
      <w:pPr>
        <w:pStyle w:val="ListParagraph"/>
        <w:numPr>
          <w:ilvl w:val="0"/>
          <w:numId w:val="18"/>
        </w:numPr>
        <w:spacing w:after="240"/>
        <w:jc w:val="both"/>
        <w:rPr>
          <w:rFonts w:ascii="Segoe UI" w:hAnsi="Segoe UI" w:cs="Segoe UI"/>
          <w:sz w:val="21"/>
          <w:szCs w:val="21"/>
        </w:rPr>
      </w:pPr>
      <w:r>
        <w:rPr>
          <w:rFonts w:ascii="Segoe UI" w:hAnsi="Segoe UI" w:cs="Segoe UI"/>
          <w:sz w:val="21"/>
          <w:szCs w:val="21"/>
        </w:rPr>
        <w:t>8</w:t>
      </w:r>
      <w:r w:rsidR="00AB1167">
        <w:rPr>
          <w:rFonts w:ascii="Segoe UI" w:hAnsi="Segoe UI" w:cs="Segoe UI"/>
          <w:sz w:val="21"/>
          <w:szCs w:val="21"/>
        </w:rPr>
        <w:t xml:space="preserve"> percent</w:t>
      </w:r>
      <w:r>
        <w:rPr>
          <w:rFonts w:ascii="Segoe UI" w:hAnsi="Segoe UI" w:cs="Segoe UI"/>
          <w:sz w:val="21"/>
          <w:szCs w:val="21"/>
        </w:rPr>
        <w:t xml:space="preserve"> reduced</w:t>
      </w:r>
      <w:r w:rsidR="00CF35D9">
        <w:rPr>
          <w:rFonts w:ascii="Segoe UI" w:hAnsi="Segoe UI" w:cs="Segoe UI"/>
          <w:sz w:val="21"/>
          <w:szCs w:val="21"/>
        </w:rPr>
        <w:t xml:space="preserve"> </w:t>
      </w:r>
      <w:r>
        <w:rPr>
          <w:rFonts w:ascii="Segoe UI" w:hAnsi="Segoe UI" w:cs="Segoe UI"/>
          <w:sz w:val="21"/>
          <w:szCs w:val="21"/>
        </w:rPr>
        <w:t>rate for agricultural products</w:t>
      </w:r>
      <w:r w:rsidR="00FC7115">
        <w:rPr>
          <w:rFonts w:ascii="Segoe UI" w:hAnsi="Segoe UI" w:cs="Segoe UI"/>
          <w:sz w:val="21"/>
          <w:szCs w:val="21"/>
        </w:rPr>
        <w:t xml:space="preserve"> (VAT)</w:t>
      </w:r>
    </w:p>
    <w:p w14:paraId="39F5BCE5" w14:textId="77777777" w:rsidR="00467703" w:rsidRDefault="00467703" w:rsidP="00E90BA7">
      <w:pPr>
        <w:pStyle w:val="ListParagraph"/>
        <w:numPr>
          <w:ilvl w:val="0"/>
          <w:numId w:val="18"/>
        </w:numPr>
        <w:spacing w:after="240"/>
        <w:jc w:val="both"/>
        <w:rPr>
          <w:rFonts w:ascii="Segoe UI" w:hAnsi="Segoe UI" w:cs="Segoe UI"/>
          <w:sz w:val="21"/>
          <w:szCs w:val="21"/>
        </w:rPr>
      </w:pPr>
      <w:r>
        <w:rPr>
          <w:rFonts w:ascii="Segoe UI" w:hAnsi="Segoe UI" w:cs="Segoe UI"/>
          <w:sz w:val="21"/>
          <w:szCs w:val="21"/>
        </w:rPr>
        <w:t>Zero-rating of electricity for</w:t>
      </w:r>
      <w:r w:rsidRPr="00467703">
        <w:rPr>
          <w:rFonts w:ascii="Segoe UI" w:hAnsi="Segoe UI" w:cs="Segoe UI"/>
          <w:sz w:val="21"/>
          <w:szCs w:val="21"/>
        </w:rPr>
        <w:t xml:space="preserve"> residential customers</w:t>
      </w:r>
      <w:r>
        <w:rPr>
          <w:rFonts w:ascii="Segoe UI" w:hAnsi="Segoe UI" w:cs="Segoe UI"/>
          <w:sz w:val="21"/>
          <w:szCs w:val="21"/>
        </w:rPr>
        <w:t xml:space="preserve"> (VAT)</w:t>
      </w:r>
    </w:p>
    <w:p w14:paraId="29868B2A" w14:textId="13E05829" w:rsidR="00467703" w:rsidRDefault="00467703" w:rsidP="00E90BA7">
      <w:pPr>
        <w:pStyle w:val="ListParagraph"/>
        <w:numPr>
          <w:ilvl w:val="0"/>
          <w:numId w:val="18"/>
        </w:numPr>
        <w:spacing w:after="240"/>
        <w:jc w:val="both"/>
        <w:rPr>
          <w:rFonts w:ascii="Segoe UI" w:hAnsi="Segoe UI" w:cs="Segoe UI"/>
          <w:sz w:val="21"/>
          <w:szCs w:val="21"/>
        </w:rPr>
      </w:pPr>
      <w:r w:rsidRPr="00467703">
        <w:rPr>
          <w:rFonts w:ascii="Segoe UI" w:hAnsi="Segoe UI" w:cs="Segoe UI"/>
          <w:sz w:val="21"/>
          <w:szCs w:val="21"/>
        </w:rPr>
        <w:lastRenderedPageBreak/>
        <w:t>Exempting the supply of educational services</w:t>
      </w:r>
      <w:r w:rsidR="00D25C90" w:rsidRPr="00467703">
        <w:rPr>
          <w:rFonts w:ascii="Segoe UI" w:hAnsi="Segoe UI" w:cs="Segoe UI"/>
          <w:sz w:val="21"/>
          <w:szCs w:val="21"/>
        </w:rPr>
        <w:t xml:space="preserve"> </w:t>
      </w:r>
      <w:r>
        <w:rPr>
          <w:rFonts w:ascii="Segoe UI" w:hAnsi="Segoe UI" w:cs="Segoe UI"/>
          <w:sz w:val="21"/>
          <w:szCs w:val="21"/>
        </w:rPr>
        <w:t>(VAT)</w:t>
      </w:r>
    </w:p>
    <w:p w14:paraId="681C3A6C" w14:textId="7F395E73" w:rsidR="00467703" w:rsidRDefault="00467703" w:rsidP="00E90BA7">
      <w:pPr>
        <w:pStyle w:val="ListParagraph"/>
        <w:numPr>
          <w:ilvl w:val="0"/>
          <w:numId w:val="18"/>
        </w:numPr>
        <w:spacing w:after="240"/>
        <w:jc w:val="both"/>
        <w:rPr>
          <w:rFonts w:ascii="Segoe UI" w:hAnsi="Segoe UI" w:cs="Segoe UI"/>
          <w:sz w:val="21"/>
          <w:szCs w:val="21"/>
        </w:rPr>
      </w:pPr>
      <w:r w:rsidRPr="00467703">
        <w:rPr>
          <w:rFonts w:ascii="Segoe UI" w:hAnsi="Segoe UI" w:cs="Segoe UI"/>
          <w:sz w:val="21"/>
          <w:szCs w:val="21"/>
        </w:rPr>
        <w:t>Exempting the supply of medical services and associated goods</w:t>
      </w:r>
      <w:r>
        <w:rPr>
          <w:rFonts w:ascii="Segoe UI" w:hAnsi="Segoe UI" w:cs="Segoe UI"/>
          <w:sz w:val="21"/>
          <w:szCs w:val="21"/>
        </w:rPr>
        <w:t xml:space="preserve"> (VAT)</w:t>
      </w:r>
    </w:p>
    <w:p w14:paraId="56E94CC6" w14:textId="54478707" w:rsidR="00467703" w:rsidRDefault="00467703" w:rsidP="00E90BA7">
      <w:pPr>
        <w:pStyle w:val="ListParagraph"/>
        <w:numPr>
          <w:ilvl w:val="0"/>
          <w:numId w:val="18"/>
        </w:numPr>
        <w:spacing w:after="240"/>
        <w:jc w:val="both"/>
        <w:rPr>
          <w:rFonts w:ascii="Segoe UI" w:hAnsi="Segoe UI" w:cs="Segoe UI"/>
          <w:sz w:val="21"/>
          <w:szCs w:val="21"/>
        </w:rPr>
      </w:pPr>
      <w:r w:rsidRPr="00467703">
        <w:rPr>
          <w:rFonts w:ascii="Segoe UI" w:hAnsi="Segoe UI" w:cs="Segoe UI"/>
          <w:sz w:val="21"/>
          <w:szCs w:val="21"/>
        </w:rPr>
        <w:t>Tax exemption of income from international grants for research and development</w:t>
      </w:r>
      <w:r w:rsidR="00272E47">
        <w:rPr>
          <w:rFonts w:ascii="Segoe UI" w:hAnsi="Segoe UI" w:cs="Segoe UI"/>
          <w:sz w:val="21"/>
          <w:szCs w:val="21"/>
        </w:rPr>
        <w:t xml:space="preserve"> (R&amp;D)</w:t>
      </w:r>
      <w:r w:rsidRPr="00467703">
        <w:rPr>
          <w:rFonts w:ascii="Segoe UI" w:hAnsi="Segoe UI" w:cs="Segoe UI"/>
          <w:sz w:val="21"/>
          <w:szCs w:val="21"/>
        </w:rPr>
        <w:t>, and from special funds and grants approved by the government</w:t>
      </w:r>
      <w:r>
        <w:rPr>
          <w:rFonts w:ascii="Segoe UI" w:hAnsi="Segoe UI" w:cs="Segoe UI"/>
          <w:sz w:val="21"/>
          <w:szCs w:val="21"/>
        </w:rPr>
        <w:t xml:space="preserve"> (BIT)</w:t>
      </w:r>
    </w:p>
    <w:p w14:paraId="792823FB" w14:textId="45075433" w:rsidR="5DB2389F" w:rsidRDefault="5DB2389F" w:rsidP="00E90BA7">
      <w:pPr>
        <w:pStyle w:val="ListParagraph"/>
        <w:numPr>
          <w:ilvl w:val="0"/>
          <w:numId w:val="18"/>
        </w:numPr>
        <w:spacing w:after="240"/>
        <w:jc w:val="both"/>
        <w:rPr>
          <w:rFonts w:ascii="Segoe UI" w:hAnsi="Segoe UI" w:cs="Segoe UI"/>
          <w:sz w:val="21"/>
          <w:szCs w:val="21"/>
        </w:rPr>
      </w:pPr>
      <w:r w:rsidRPr="264129A9">
        <w:rPr>
          <w:rFonts w:ascii="Segoe UI" w:hAnsi="Segoe UI" w:cs="Segoe UI"/>
          <w:sz w:val="21"/>
          <w:szCs w:val="21"/>
        </w:rPr>
        <w:t>Exemption for natural gas (excise duties)</w:t>
      </w:r>
      <w:r w:rsidR="00D829BC">
        <w:rPr>
          <w:rFonts w:ascii="Segoe UI" w:hAnsi="Segoe UI" w:cs="Segoe UI"/>
          <w:sz w:val="21"/>
          <w:szCs w:val="21"/>
        </w:rPr>
        <w:t>.</w:t>
      </w:r>
    </w:p>
    <w:p w14:paraId="0614184B" w14:textId="29B7A9D1" w:rsidR="008209C7" w:rsidRPr="00CB1E53" w:rsidRDefault="008209C7" w:rsidP="00E90BA7">
      <w:pPr>
        <w:spacing w:after="240"/>
        <w:jc w:val="both"/>
        <w:rPr>
          <w:rFonts w:ascii="Segoe UI" w:hAnsi="Segoe UI" w:cs="Segoe UI"/>
          <w:sz w:val="21"/>
          <w:szCs w:val="21"/>
        </w:rPr>
      </w:pPr>
      <w:r w:rsidRPr="00CB1E53">
        <w:rPr>
          <w:rFonts w:ascii="Segoe UI" w:hAnsi="Segoe UI" w:cs="Segoe UI"/>
          <w:sz w:val="21"/>
          <w:szCs w:val="21"/>
        </w:rPr>
        <w:t>Most of the personal and business income TEs are estimated based on microsimulation modeling using tax return or administrative data from the State Tax Service (STS).</w:t>
      </w:r>
      <w:r w:rsidRPr="264129A9">
        <w:rPr>
          <w:rStyle w:val="FootnoteReference"/>
          <w:rFonts w:ascii="Segoe UI" w:hAnsi="Segoe UI" w:cs="Segoe UI"/>
        </w:rPr>
        <w:footnoteReference w:id="2"/>
      </w:r>
      <w:r w:rsidRPr="00CB1E53">
        <w:rPr>
          <w:rFonts w:ascii="Segoe UI" w:hAnsi="Segoe UI" w:cs="Segoe UI"/>
          <w:sz w:val="21"/>
          <w:szCs w:val="21"/>
        </w:rPr>
        <w:t xml:space="preserve"> To evaluate VAT TEs, the M</w:t>
      </w:r>
      <w:r w:rsidR="00E34607">
        <w:rPr>
          <w:rFonts w:ascii="Segoe UI" w:hAnsi="Segoe UI" w:cs="Segoe UI"/>
          <w:sz w:val="21"/>
          <w:szCs w:val="21"/>
        </w:rPr>
        <w:t xml:space="preserve">inistry of </w:t>
      </w:r>
      <w:r>
        <w:rPr>
          <w:rFonts w:ascii="Segoe UI" w:hAnsi="Segoe UI" w:cs="Segoe UI"/>
          <w:sz w:val="21"/>
          <w:szCs w:val="21"/>
        </w:rPr>
        <w:t>F</w:t>
      </w:r>
      <w:r w:rsidR="00E34607">
        <w:rPr>
          <w:rFonts w:ascii="Segoe UI" w:hAnsi="Segoe UI" w:cs="Segoe UI"/>
          <w:sz w:val="21"/>
          <w:szCs w:val="21"/>
        </w:rPr>
        <w:t>inance</w:t>
      </w:r>
      <w:r w:rsidR="35EB1AD3">
        <w:rPr>
          <w:rFonts w:ascii="Segoe UI" w:hAnsi="Segoe UI" w:cs="Segoe UI"/>
          <w:sz w:val="21"/>
          <w:szCs w:val="21"/>
        </w:rPr>
        <w:t>,</w:t>
      </w:r>
      <w:r>
        <w:rPr>
          <w:rFonts w:ascii="Segoe UI" w:hAnsi="Segoe UI" w:cs="Segoe UI"/>
          <w:sz w:val="21"/>
          <w:szCs w:val="21"/>
        </w:rPr>
        <w:t xml:space="preserve"> together </w:t>
      </w:r>
      <w:r w:rsidRPr="00CB1E53">
        <w:rPr>
          <w:rFonts w:ascii="Segoe UI" w:hAnsi="Segoe UI" w:cs="Segoe UI"/>
          <w:sz w:val="21"/>
          <w:szCs w:val="21"/>
        </w:rPr>
        <w:t>with the IMF</w:t>
      </w:r>
      <w:r>
        <w:rPr>
          <w:rFonts w:ascii="Segoe UI" w:hAnsi="Segoe UI" w:cs="Segoe UI"/>
          <w:sz w:val="21"/>
          <w:szCs w:val="21"/>
        </w:rPr>
        <w:t>, developed</w:t>
      </w:r>
      <w:r w:rsidRPr="00CB1E53">
        <w:rPr>
          <w:rFonts w:ascii="Segoe UI" w:hAnsi="Segoe UI" w:cs="Segoe UI"/>
          <w:sz w:val="21"/>
          <w:szCs w:val="21"/>
        </w:rPr>
        <w:t xml:space="preserve"> a model </w:t>
      </w:r>
      <w:r>
        <w:rPr>
          <w:rFonts w:ascii="Segoe UI" w:hAnsi="Segoe UI" w:cs="Segoe UI"/>
          <w:sz w:val="21"/>
          <w:szCs w:val="21"/>
        </w:rPr>
        <w:t xml:space="preserve">based on </w:t>
      </w:r>
      <w:r w:rsidRPr="00552DCD">
        <w:rPr>
          <w:rFonts w:ascii="Segoe UI" w:hAnsi="Segoe UI" w:cs="Segoe UI"/>
          <w:sz w:val="21"/>
          <w:szCs w:val="21"/>
        </w:rPr>
        <w:t>the Supply-Use Tables produced by the National Bureau of Statistics</w:t>
      </w:r>
      <w:r>
        <w:rPr>
          <w:rFonts w:ascii="Segoe UI" w:hAnsi="Segoe UI" w:cs="Segoe UI"/>
          <w:sz w:val="21"/>
          <w:szCs w:val="21"/>
        </w:rPr>
        <w:t xml:space="preserve">. Section IV of this TEAR discusses the methodology of TEs estimates for </w:t>
      </w:r>
      <w:r w:rsidR="0128F02B">
        <w:rPr>
          <w:rFonts w:ascii="Segoe UI" w:hAnsi="Segoe UI" w:cs="Segoe UI"/>
          <w:sz w:val="21"/>
          <w:szCs w:val="21"/>
        </w:rPr>
        <w:t>the taxes covered in this report</w:t>
      </w:r>
      <w:r>
        <w:rPr>
          <w:rFonts w:ascii="Segoe UI" w:hAnsi="Segoe UI" w:cs="Segoe UI"/>
          <w:sz w:val="21"/>
          <w:szCs w:val="21"/>
        </w:rPr>
        <w:t>.</w:t>
      </w:r>
    </w:p>
    <w:p w14:paraId="0E551404" w14:textId="77777777" w:rsidR="00D25C90" w:rsidRPr="00544F1B" w:rsidRDefault="00D25C90" w:rsidP="00E90BA7">
      <w:pPr>
        <w:pStyle w:val="Heading3"/>
        <w:jc w:val="both"/>
        <w:rPr>
          <w:rStyle w:val="RegularDKB"/>
          <w:caps w:val="0"/>
        </w:rPr>
      </w:pPr>
      <w:bookmarkStart w:id="8" w:name="_Toc126555813"/>
      <w:r w:rsidRPr="00544F1B">
        <w:rPr>
          <w:rStyle w:val="RegularDKB"/>
          <w:caps w:val="0"/>
        </w:rPr>
        <w:t>Tax expenditure assessment responsibility</w:t>
      </w:r>
      <w:bookmarkEnd w:id="8"/>
    </w:p>
    <w:p w14:paraId="08619EF8" w14:textId="034E47FD" w:rsidR="00D25C90" w:rsidRPr="00CB1E53" w:rsidRDefault="00D25C90" w:rsidP="00E90BA7">
      <w:pPr>
        <w:spacing w:after="240"/>
        <w:jc w:val="both"/>
        <w:rPr>
          <w:rFonts w:ascii="Segoe UI" w:hAnsi="Segoe UI" w:cs="Segoe UI"/>
          <w:sz w:val="21"/>
          <w:szCs w:val="21"/>
          <w:highlight w:val="yellow"/>
        </w:rPr>
      </w:pPr>
      <w:r w:rsidRPr="00CB1E53">
        <w:rPr>
          <w:rFonts w:ascii="Segoe UI" w:hAnsi="Segoe UI" w:cs="Segoe UI"/>
          <w:sz w:val="21"/>
          <w:szCs w:val="21"/>
        </w:rPr>
        <w:t xml:space="preserve">The </w:t>
      </w:r>
      <w:r w:rsidR="0A962F65" w:rsidRPr="264129A9">
        <w:rPr>
          <w:rFonts w:ascii="Segoe UI" w:hAnsi="Segoe UI" w:cs="Segoe UI"/>
          <w:sz w:val="21"/>
          <w:szCs w:val="21"/>
        </w:rPr>
        <w:t>Ministry of Finance</w:t>
      </w:r>
      <w:r w:rsidRPr="00CB1E53">
        <w:rPr>
          <w:rFonts w:ascii="Segoe UI" w:hAnsi="Segoe UI" w:cs="Segoe UI"/>
          <w:sz w:val="21"/>
          <w:szCs w:val="21"/>
        </w:rPr>
        <w:t>, through the Tax and Customs Policy Unit (TCPU), prepared this TEAR as it ensures adequate central coordination over the different agencies involved in TE design, implementation, and administration. Except for the administration of TEs by the STS, all the other TE-related responsibilities are part of the tax policy design functions</w:t>
      </w:r>
      <w:r w:rsidR="0FA68ADF" w:rsidRPr="563E079B">
        <w:rPr>
          <w:rFonts w:ascii="Segoe UI" w:hAnsi="Segoe UI" w:cs="Segoe UI"/>
          <w:sz w:val="21"/>
          <w:szCs w:val="21"/>
        </w:rPr>
        <w:t xml:space="preserve"> of the Ministry of Finance</w:t>
      </w:r>
      <w:r w:rsidRPr="563E079B">
        <w:rPr>
          <w:rFonts w:ascii="Segoe UI" w:hAnsi="Segoe UI" w:cs="Segoe UI"/>
          <w:sz w:val="21"/>
          <w:szCs w:val="21"/>
        </w:rPr>
        <w:t>.</w:t>
      </w:r>
      <w:r w:rsidRPr="00CB1E53">
        <w:rPr>
          <w:rFonts w:ascii="Segoe UI" w:hAnsi="Segoe UI" w:cs="Segoe UI"/>
          <w:sz w:val="21"/>
          <w:szCs w:val="21"/>
        </w:rPr>
        <w:t xml:space="preserve"> The accumulated expertise within the TCPU structure is sufficient </w:t>
      </w:r>
      <w:r w:rsidR="00B209FE">
        <w:rPr>
          <w:rFonts w:ascii="Segoe UI" w:hAnsi="Segoe UI" w:cs="Segoe UI"/>
          <w:sz w:val="21"/>
          <w:szCs w:val="21"/>
        </w:rPr>
        <w:t>to produce this first comprehensive TEAR. The</w:t>
      </w:r>
      <w:r w:rsidRPr="00CB1E53">
        <w:rPr>
          <w:rFonts w:ascii="Segoe UI" w:hAnsi="Segoe UI" w:cs="Segoe UI"/>
          <w:sz w:val="21"/>
          <w:szCs w:val="21"/>
        </w:rPr>
        <w:t xml:space="preserve"> capacity </w:t>
      </w:r>
      <w:r w:rsidR="00B209FE">
        <w:rPr>
          <w:rFonts w:ascii="Segoe UI" w:hAnsi="Segoe UI" w:cs="Segoe UI"/>
          <w:sz w:val="21"/>
          <w:szCs w:val="21"/>
        </w:rPr>
        <w:t xml:space="preserve">of </w:t>
      </w:r>
      <w:r w:rsidR="00812483">
        <w:rPr>
          <w:rFonts w:ascii="Segoe UI" w:hAnsi="Segoe UI" w:cs="Segoe UI"/>
          <w:sz w:val="21"/>
          <w:szCs w:val="21"/>
        </w:rPr>
        <w:t xml:space="preserve">the </w:t>
      </w:r>
      <w:r w:rsidR="00B209FE">
        <w:rPr>
          <w:rFonts w:ascii="Segoe UI" w:hAnsi="Segoe UI" w:cs="Segoe UI"/>
          <w:sz w:val="21"/>
          <w:szCs w:val="21"/>
        </w:rPr>
        <w:t>TCPU will be further</w:t>
      </w:r>
      <w:r w:rsidRPr="00CB1E53">
        <w:rPr>
          <w:rFonts w:ascii="Segoe UI" w:hAnsi="Segoe UI" w:cs="Segoe UI"/>
          <w:sz w:val="21"/>
          <w:szCs w:val="21"/>
        </w:rPr>
        <w:t xml:space="preserve"> enhanced</w:t>
      </w:r>
      <w:r w:rsidR="00B209FE">
        <w:rPr>
          <w:rFonts w:ascii="Segoe UI" w:hAnsi="Segoe UI" w:cs="Segoe UI"/>
          <w:sz w:val="21"/>
          <w:szCs w:val="21"/>
        </w:rPr>
        <w:t xml:space="preserve">, including through external technical assistance, </w:t>
      </w:r>
      <w:r w:rsidRPr="00CB1E53">
        <w:rPr>
          <w:rFonts w:ascii="Segoe UI" w:hAnsi="Segoe UI" w:cs="Segoe UI"/>
          <w:sz w:val="21"/>
          <w:szCs w:val="21"/>
        </w:rPr>
        <w:t>to conduct full and regular TE</w:t>
      </w:r>
      <w:r w:rsidR="00B209FE">
        <w:rPr>
          <w:rFonts w:ascii="Segoe UI" w:hAnsi="Segoe UI" w:cs="Segoe UI"/>
          <w:sz w:val="21"/>
          <w:szCs w:val="21"/>
        </w:rPr>
        <w:t>s</w:t>
      </w:r>
      <w:r w:rsidRPr="00CB1E53">
        <w:rPr>
          <w:rFonts w:ascii="Segoe UI" w:hAnsi="Segoe UI" w:cs="Segoe UI"/>
          <w:sz w:val="21"/>
          <w:szCs w:val="21"/>
        </w:rPr>
        <w:t xml:space="preserve"> analysis and reporting. The function of assessing, quantifying, and publishing </w:t>
      </w:r>
      <w:r w:rsidR="00B209FE">
        <w:rPr>
          <w:rFonts w:ascii="Segoe UI" w:hAnsi="Segoe UI" w:cs="Segoe UI"/>
          <w:sz w:val="21"/>
          <w:szCs w:val="21"/>
        </w:rPr>
        <w:t xml:space="preserve">TEARs </w:t>
      </w:r>
      <w:r w:rsidRPr="00CB1E53">
        <w:rPr>
          <w:rFonts w:ascii="Segoe UI" w:hAnsi="Segoe UI" w:cs="Segoe UI"/>
          <w:sz w:val="21"/>
          <w:szCs w:val="21"/>
        </w:rPr>
        <w:t>creates an important feedback loop to improve tax policy design</w:t>
      </w:r>
      <w:r w:rsidR="00195FF6">
        <w:rPr>
          <w:rFonts w:ascii="Segoe UI" w:hAnsi="Segoe UI" w:cs="Segoe UI"/>
          <w:sz w:val="21"/>
          <w:szCs w:val="21"/>
        </w:rPr>
        <w:t xml:space="preserve"> in Moldova</w:t>
      </w:r>
      <w:r w:rsidRPr="00CB1E53">
        <w:rPr>
          <w:rFonts w:ascii="Segoe UI" w:hAnsi="Segoe UI" w:cs="Segoe UI"/>
          <w:sz w:val="21"/>
          <w:szCs w:val="21"/>
        </w:rPr>
        <w:t>.</w:t>
      </w:r>
    </w:p>
    <w:p w14:paraId="29D4A69F" w14:textId="78404548" w:rsidR="00F77F6D" w:rsidRDefault="00576BB9" w:rsidP="00E90BA7">
      <w:pPr>
        <w:pStyle w:val="Boxfiguretabletitle"/>
        <w:keepNext/>
        <w:keepLines/>
        <w:spacing w:after="120"/>
        <w:jc w:val="both"/>
        <w:rPr>
          <w:color w:val="auto"/>
        </w:rPr>
      </w:pPr>
      <w:r w:rsidRPr="00CB1E53">
        <w:rPr>
          <w:b w:val="0"/>
          <w:bCs w:val="0"/>
          <w:color w:val="auto"/>
        </w:rPr>
        <w:fldChar w:fldCharType="begin"/>
      </w:r>
      <w:r w:rsidRPr="00CB1E53">
        <w:rPr>
          <w:b w:val="0"/>
          <w:bCs w:val="0"/>
          <w:color w:val="auto"/>
        </w:rPr>
        <w:instrText xml:space="preserve"> TC "1. Moldova: Tax Expenditure Estimates, 2018 to 2021"\f B</w:instrText>
      </w:r>
      <w:r w:rsidRPr="00CB1E53">
        <w:rPr>
          <w:b w:val="0"/>
          <w:bCs w:val="0"/>
          <w:color w:val="auto"/>
        </w:rPr>
        <w:fldChar w:fldCharType="end"/>
      </w:r>
      <w:r w:rsidR="00F77F6D" w:rsidRPr="00CB1E53">
        <w:rPr>
          <w:color w:val="auto"/>
        </w:rPr>
        <w:t xml:space="preserve"> </w:t>
      </w:r>
      <w:r w:rsidRPr="00CB1E53">
        <w:rPr>
          <w:color w:val="auto"/>
        </w:rPr>
        <w:t xml:space="preserve">Table </w:t>
      </w:r>
      <w:r w:rsidR="00F77F6D" w:rsidRPr="00CB1E53">
        <w:rPr>
          <w:color w:val="auto"/>
        </w:rPr>
        <w:t xml:space="preserve">1. Moldova: Tax Expenditure Estimates, 2018 to </w:t>
      </w:r>
      <w:r w:rsidR="00812483" w:rsidRPr="00CB1E53">
        <w:rPr>
          <w:color w:val="auto"/>
        </w:rPr>
        <w:t>202</w:t>
      </w:r>
      <w:r w:rsidR="00812483">
        <w:rPr>
          <w:color w:val="auto"/>
        </w:rPr>
        <w:t>2</w:t>
      </w:r>
    </w:p>
    <w:tbl>
      <w:tblPr>
        <w:tblW w:w="9260" w:type="dxa"/>
        <w:tblLook w:val="04A0" w:firstRow="1" w:lastRow="0" w:firstColumn="1" w:lastColumn="0" w:noHBand="0" w:noVBand="1"/>
      </w:tblPr>
      <w:tblGrid>
        <w:gridCol w:w="686"/>
        <w:gridCol w:w="2374"/>
        <w:gridCol w:w="1240"/>
        <w:gridCol w:w="1240"/>
        <w:gridCol w:w="1240"/>
        <w:gridCol w:w="1240"/>
        <w:gridCol w:w="1240"/>
      </w:tblGrid>
      <w:tr w:rsidR="001337C9" w:rsidRPr="001337C9" w14:paraId="42E89F1F" w14:textId="77777777" w:rsidTr="001337C9">
        <w:trPr>
          <w:trHeight w:val="290"/>
        </w:trPr>
        <w:tc>
          <w:tcPr>
            <w:tcW w:w="3060" w:type="dxa"/>
            <w:gridSpan w:val="2"/>
            <w:tcBorders>
              <w:top w:val="single" w:sz="8" w:space="0" w:color="auto"/>
              <w:left w:val="nil"/>
              <w:bottom w:val="double" w:sz="6" w:space="0" w:color="auto"/>
              <w:right w:val="nil"/>
            </w:tcBorders>
            <w:shd w:val="clear" w:color="auto" w:fill="auto"/>
            <w:noWrap/>
            <w:vAlign w:val="center"/>
            <w:hideMark/>
          </w:tcPr>
          <w:p w14:paraId="24C53C87"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 </w:t>
            </w:r>
          </w:p>
        </w:tc>
        <w:tc>
          <w:tcPr>
            <w:tcW w:w="1240" w:type="dxa"/>
            <w:tcBorders>
              <w:top w:val="single" w:sz="8" w:space="0" w:color="auto"/>
              <w:left w:val="nil"/>
              <w:bottom w:val="double" w:sz="6" w:space="0" w:color="auto"/>
              <w:right w:val="nil"/>
            </w:tcBorders>
            <w:shd w:val="clear" w:color="auto" w:fill="auto"/>
            <w:noWrap/>
            <w:vAlign w:val="center"/>
            <w:hideMark/>
          </w:tcPr>
          <w:p w14:paraId="3DAFC9CE"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2018</w:t>
            </w:r>
          </w:p>
        </w:tc>
        <w:tc>
          <w:tcPr>
            <w:tcW w:w="1240" w:type="dxa"/>
            <w:tcBorders>
              <w:top w:val="single" w:sz="8" w:space="0" w:color="auto"/>
              <w:left w:val="nil"/>
              <w:bottom w:val="double" w:sz="6" w:space="0" w:color="auto"/>
              <w:right w:val="nil"/>
            </w:tcBorders>
            <w:shd w:val="clear" w:color="auto" w:fill="auto"/>
            <w:noWrap/>
            <w:vAlign w:val="center"/>
            <w:hideMark/>
          </w:tcPr>
          <w:p w14:paraId="1BDDB79C"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2019</w:t>
            </w:r>
          </w:p>
        </w:tc>
        <w:tc>
          <w:tcPr>
            <w:tcW w:w="1240" w:type="dxa"/>
            <w:tcBorders>
              <w:top w:val="single" w:sz="8" w:space="0" w:color="auto"/>
              <w:left w:val="nil"/>
              <w:bottom w:val="double" w:sz="6" w:space="0" w:color="auto"/>
              <w:right w:val="nil"/>
            </w:tcBorders>
            <w:shd w:val="clear" w:color="auto" w:fill="auto"/>
            <w:noWrap/>
            <w:vAlign w:val="center"/>
            <w:hideMark/>
          </w:tcPr>
          <w:p w14:paraId="23D991FF"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2020</w:t>
            </w:r>
          </w:p>
        </w:tc>
        <w:tc>
          <w:tcPr>
            <w:tcW w:w="1240" w:type="dxa"/>
            <w:tcBorders>
              <w:top w:val="single" w:sz="8" w:space="0" w:color="auto"/>
              <w:left w:val="nil"/>
              <w:bottom w:val="double" w:sz="6" w:space="0" w:color="auto"/>
              <w:right w:val="nil"/>
            </w:tcBorders>
            <w:shd w:val="clear" w:color="auto" w:fill="auto"/>
            <w:noWrap/>
            <w:vAlign w:val="center"/>
            <w:hideMark/>
          </w:tcPr>
          <w:p w14:paraId="6CC2B18F"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2021</w:t>
            </w:r>
          </w:p>
        </w:tc>
        <w:tc>
          <w:tcPr>
            <w:tcW w:w="1240" w:type="dxa"/>
            <w:tcBorders>
              <w:top w:val="single" w:sz="8" w:space="0" w:color="auto"/>
              <w:left w:val="nil"/>
              <w:bottom w:val="double" w:sz="6" w:space="0" w:color="auto"/>
              <w:right w:val="nil"/>
            </w:tcBorders>
            <w:shd w:val="clear" w:color="auto" w:fill="auto"/>
            <w:noWrap/>
            <w:vAlign w:val="center"/>
            <w:hideMark/>
          </w:tcPr>
          <w:p w14:paraId="0422B78F"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2022</w:t>
            </w:r>
          </w:p>
        </w:tc>
      </w:tr>
      <w:tr w:rsidR="001337C9" w:rsidRPr="001337C9" w14:paraId="41ED07EA" w14:textId="77777777" w:rsidTr="001337C9">
        <w:trPr>
          <w:trHeight w:val="300"/>
        </w:trPr>
        <w:tc>
          <w:tcPr>
            <w:tcW w:w="686" w:type="dxa"/>
            <w:tcBorders>
              <w:top w:val="nil"/>
              <w:left w:val="nil"/>
              <w:bottom w:val="nil"/>
              <w:right w:val="nil"/>
            </w:tcBorders>
            <w:shd w:val="clear" w:color="auto" w:fill="auto"/>
            <w:noWrap/>
            <w:vAlign w:val="center"/>
            <w:hideMark/>
          </w:tcPr>
          <w:p w14:paraId="712D4E9C"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p>
        </w:tc>
        <w:tc>
          <w:tcPr>
            <w:tcW w:w="2374" w:type="dxa"/>
            <w:tcBorders>
              <w:top w:val="nil"/>
              <w:left w:val="nil"/>
              <w:bottom w:val="nil"/>
              <w:right w:val="nil"/>
            </w:tcBorders>
            <w:shd w:val="clear" w:color="auto" w:fill="auto"/>
            <w:noWrap/>
            <w:vAlign w:val="center"/>
            <w:hideMark/>
          </w:tcPr>
          <w:p w14:paraId="722DBB84"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c>
          <w:tcPr>
            <w:tcW w:w="6200" w:type="dxa"/>
            <w:gridSpan w:val="5"/>
            <w:tcBorders>
              <w:top w:val="double" w:sz="6" w:space="0" w:color="auto"/>
              <w:left w:val="nil"/>
              <w:bottom w:val="single" w:sz="8" w:space="0" w:color="auto"/>
              <w:right w:val="nil"/>
            </w:tcBorders>
            <w:shd w:val="clear" w:color="auto" w:fill="auto"/>
            <w:noWrap/>
            <w:vAlign w:val="center"/>
            <w:hideMark/>
          </w:tcPr>
          <w:p w14:paraId="5F7FB91A" w14:textId="77777777" w:rsidR="001337C9" w:rsidRPr="001337C9" w:rsidRDefault="001337C9" w:rsidP="00E90BA7">
            <w:pPr>
              <w:spacing w:after="0" w:line="240" w:lineRule="auto"/>
              <w:jc w:val="both"/>
              <w:rPr>
                <w:rFonts w:ascii="Arial Narrow" w:eastAsia="Times New Roman" w:hAnsi="Arial Narrow" w:cs="Calibri"/>
                <w:i/>
                <w:iCs/>
                <w:color w:val="000000"/>
                <w:sz w:val="18"/>
                <w:szCs w:val="18"/>
              </w:rPr>
            </w:pPr>
            <w:r w:rsidRPr="001337C9">
              <w:rPr>
                <w:rFonts w:ascii="Arial Narrow" w:eastAsia="Times New Roman" w:hAnsi="Arial Narrow" w:cs="Calibri"/>
                <w:i/>
                <w:iCs/>
                <w:color w:val="000000"/>
                <w:sz w:val="18"/>
                <w:szCs w:val="18"/>
              </w:rPr>
              <w:t>Thousand MDL</w:t>
            </w:r>
          </w:p>
        </w:tc>
      </w:tr>
      <w:tr w:rsidR="001337C9" w:rsidRPr="001337C9" w14:paraId="14C19E8C"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3D55844F"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Personal Income Tax</w:t>
            </w:r>
          </w:p>
        </w:tc>
      </w:tr>
      <w:tr w:rsidR="001337C9" w:rsidRPr="001337C9" w14:paraId="2B99DF63" w14:textId="77777777" w:rsidTr="001337C9">
        <w:trPr>
          <w:trHeight w:val="280"/>
        </w:trPr>
        <w:tc>
          <w:tcPr>
            <w:tcW w:w="686" w:type="dxa"/>
            <w:tcBorders>
              <w:top w:val="nil"/>
              <w:left w:val="nil"/>
              <w:bottom w:val="nil"/>
              <w:right w:val="nil"/>
            </w:tcBorders>
            <w:shd w:val="clear" w:color="auto" w:fill="auto"/>
            <w:noWrap/>
            <w:vAlign w:val="center"/>
            <w:hideMark/>
          </w:tcPr>
          <w:p w14:paraId="62EC1E26"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 </w:t>
            </w:r>
          </w:p>
        </w:tc>
        <w:tc>
          <w:tcPr>
            <w:tcW w:w="2374" w:type="dxa"/>
            <w:tcBorders>
              <w:top w:val="nil"/>
              <w:left w:val="nil"/>
              <w:bottom w:val="nil"/>
              <w:right w:val="nil"/>
            </w:tcBorders>
            <w:shd w:val="clear" w:color="auto" w:fill="auto"/>
            <w:noWrap/>
            <w:vAlign w:val="center"/>
            <w:hideMark/>
          </w:tcPr>
          <w:p w14:paraId="174D87F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1466321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764,520.0</w:t>
            </w:r>
          </w:p>
        </w:tc>
        <w:tc>
          <w:tcPr>
            <w:tcW w:w="1240" w:type="dxa"/>
            <w:tcBorders>
              <w:top w:val="nil"/>
              <w:left w:val="nil"/>
              <w:bottom w:val="nil"/>
              <w:right w:val="nil"/>
            </w:tcBorders>
            <w:shd w:val="clear" w:color="auto" w:fill="auto"/>
            <w:noWrap/>
            <w:vAlign w:val="center"/>
            <w:hideMark/>
          </w:tcPr>
          <w:p w14:paraId="2F9BDBD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1,390,430.0</w:t>
            </w:r>
          </w:p>
        </w:tc>
        <w:tc>
          <w:tcPr>
            <w:tcW w:w="1240" w:type="dxa"/>
            <w:tcBorders>
              <w:top w:val="nil"/>
              <w:left w:val="nil"/>
              <w:bottom w:val="nil"/>
              <w:right w:val="nil"/>
            </w:tcBorders>
            <w:shd w:val="clear" w:color="auto" w:fill="auto"/>
            <w:noWrap/>
            <w:vAlign w:val="center"/>
            <w:hideMark/>
          </w:tcPr>
          <w:p w14:paraId="094DB84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1,370,820.0</w:t>
            </w:r>
          </w:p>
        </w:tc>
        <w:tc>
          <w:tcPr>
            <w:tcW w:w="1240" w:type="dxa"/>
            <w:tcBorders>
              <w:top w:val="nil"/>
              <w:left w:val="nil"/>
              <w:bottom w:val="nil"/>
              <w:right w:val="nil"/>
            </w:tcBorders>
            <w:shd w:val="clear" w:color="auto" w:fill="auto"/>
            <w:noWrap/>
            <w:vAlign w:val="center"/>
            <w:hideMark/>
          </w:tcPr>
          <w:p w14:paraId="05A22D5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1,553,984.0</w:t>
            </w:r>
          </w:p>
        </w:tc>
        <w:tc>
          <w:tcPr>
            <w:tcW w:w="1240" w:type="dxa"/>
            <w:tcBorders>
              <w:top w:val="nil"/>
              <w:left w:val="nil"/>
              <w:bottom w:val="nil"/>
              <w:right w:val="nil"/>
            </w:tcBorders>
            <w:shd w:val="clear" w:color="auto" w:fill="auto"/>
            <w:noWrap/>
            <w:vAlign w:val="center"/>
            <w:hideMark/>
          </w:tcPr>
          <w:p w14:paraId="39B338E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1,708,300.0</w:t>
            </w:r>
          </w:p>
        </w:tc>
      </w:tr>
      <w:tr w:rsidR="001337C9" w:rsidRPr="001337C9" w14:paraId="429249C7" w14:textId="77777777" w:rsidTr="001337C9">
        <w:trPr>
          <w:trHeight w:val="280"/>
        </w:trPr>
        <w:tc>
          <w:tcPr>
            <w:tcW w:w="686" w:type="dxa"/>
            <w:tcBorders>
              <w:top w:val="nil"/>
              <w:left w:val="nil"/>
              <w:bottom w:val="nil"/>
              <w:right w:val="nil"/>
            </w:tcBorders>
            <w:shd w:val="clear" w:color="auto" w:fill="auto"/>
            <w:noWrap/>
            <w:vAlign w:val="center"/>
            <w:hideMark/>
          </w:tcPr>
          <w:p w14:paraId="491BB60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4722F4F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Allowance</w:t>
            </w:r>
          </w:p>
        </w:tc>
        <w:tc>
          <w:tcPr>
            <w:tcW w:w="1240" w:type="dxa"/>
            <w:tcBorders>
              <w:top w:val="nil"/>
              <w:left w:val="nil"/>
              <w:bottom w:val="nil"/>
              <w:right w:val="nil"/>
            </w:tcBorders>
            <w:shd w:val="clear" w:color="auto" w:fill="auto"/>
            <w:noWrap/>
            <w:vAlign w:val="center"/>
            <w:hideMark/>
          </w:tcPr>
          <w:p w14:paraId="231BCFE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0.0</w:t>
            </w:r>
          </w:p>
        </w:tc>
        <w:tc>
          <w:tcPr>
            <w:tcW w:w="1240" w:type="dxa"/>
            <w:tcBorders>
              <w:top w:val="nil"/>
              <w:left w:val="nil"/>
              <w:bottom w:val="nil"/>
              <w:right w:val="nil"/>
            </w:tcBorders>
            <w:shd w:val="clear" w:color="auto" w:fill="auto"/>
            <w:noWrap/>
            <w:vAlign w:val="center"/>
            <w:hideMark/>
          </w:tcPr>
          <w:p w14:paraId="7D04225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0.0</w:t>
            </w:r>
          </w:p>
        </w:tc>
        <w:tc>
          <w:tcPr>
            <w:tcW w:w="1240" w:type="dxa"/>
            <w:tcBorders>
              <w:top w:val="nil"/>
              <w:left w:val="nil"/>
              <w:bottom w:val="nil"/>
              <w:right w:val="nil"/>
            </w:tcBorders>
            <w:shd w:val="clear" w:color="auto" w:fill="auto"/>
            <w:noWrap/>
            <w:vAlign w:val="center"/>
            <w:hideMark/>
          </w:tcPr>
          <w:p w14:paraId="22A657B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191,500.0</w:t>
            </w:r>
          </w:p>
        </w:tc>
        <w:tc>
          <w:tcPr>
            <w:tcW w:w="1240" w:type="dxa"/>
            <w:tcBorders>
              <w:top w:val="nil"/>
              <w:left w:val="nil"/>
              <w:bottom w:val="nil"/>
              <w:right w:val="nil"/>
            </w:tcBorders>
            <w:shd w:val="clear" w:color="auto" w:fill="auto"/>
            <w:noWrap/>
            <w:vAlign w:val="center"/>
            <w:hideMark/>
          </w:tcPr>
          <w:p w14:paraId="628102D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216,800.0</w:t>
            </w:r>
          </w:p>
        </w:tc>
        <w:tc>
          <w:tcPr>
            <w:tcW w:w="1240" w:type="dxa"/>
            <w:tcBorders>
              <w:top w:val="nil"/>
              <w:left w:val="nil"/>
              <w:bottom w:val="nil"/>
              <w:right w:val="nil"/>
            </w:tcBorders>
            <w:shd w:val="clear" w:color="auto" w:fill="auto"/>
            <w:noWrap/>
            <w:vAlign w:val="center"/>
            <w:hideMark/>
          </w:tcPr>
          <w:p w14:paraId="0A56E4C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238,200.0</w:t>
            </w:r>
          </w:p>
        </w:tc>
      </w:tr>
      <w:tr w:rsidR="001337C9" w:rsidRPr="001337C9" w14:paraId="76C64671" w14:textId="77777777" w:rsidTr="001337C9">
        <w:trPr>
          <w:trHeight w:val="280"/>
        </w:trPr>
        <w:tc>
          <w:tcPr>
            <w:tcW w:w="686" w:type="dxa"/>
            <w:tcBorders>
              <w:top w:val="nil"/>
              <w:left w:val="nil"/>
              <w:bottom w:val="nil"/>
              <w:right w:val="nil"/>
            </w:tcBorders>
            <w:shd w:val="clear" w:color="auto" w:fill="auto"/>
            <w:noWrap/>
            <w:vAlign w:val="center"/>
            <w:hideMark/>
          </w:tcPr>
          <w:p w14:paraId="012541B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0D55FA7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Credit</w:t>
            </w:r>
          </w:p>
        </w:tc>
        <w:tc>
          <w:tcPr>
            <w:tcW w:w="1240" w:type="dxa"/>
            <w:tcBorders>
              <w:top w:val="nil"/>
              <w:left w:val="nil"/>
              <w:bottom w:val="nil"/>
              <w:right w:val="nil"/>
            </w:tcBorders>
            <w:shd w:val="clear" w:color="auto" w:fill="auto"/>
            <w:noWrap/>
            <w:vAlign w:val="center"/>
            <w:hideMark/>
          </w:tcPr>
          <w:p w14:paraId="3675A46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0.0</w:t>
            </w:r>
          </w:p>
        </w:tc>
        <w:tc>
          <w:tcPr>
            <w:tcW w:w="1240" w:type="dxa"/>
            <w:tcBorders>
              <w:top w:val="nil"/>
              <w:left w:val="nil"/>
              <w:bottom w:val="nil"/>
              <w:right w:val="nil"/>
            </w:tcBorders>
            <w:shd w:val="clear" w:color="auto" w:fill="auto"/>
            <w:noWrap/>
            <w:vAlign w:val="center"/>
            <w:hideMark/>
          </w:tcPr>
          <w:p w14:paraId="5A31099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700.0</w:t>
            </w:r>
          </w:p>
        </w:tc>
        <w:tc>
          <w:tcPr>
            <w:tcW w:w="1240" w:type="dxa"/>
            <w:tcBorders>
              <w:top w:val="nil"/>
              <w:left w:val="nil"/>
              <w:bottom w:val="nil"/>
              <w:right w:val="nil"/>
            </w:tcBorders>
            <w:shd w:val="clear" w:color="auto" w:fill="auto"/>
            <w:noWrap/>
            <w:vAlign w:val="center"/>
            <w:hideMark/>
          </w:tcPr>
          <w:p w14:paraId="2649423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5,600.0</w:t>
            </w:r>
          </w:p>
        </w:tc>
        <w:tc>
          <w:tcPr>
            <w:tcW w:w="1240" w:type="dxa"/>
            <w:tcBorders>
              <w:top w:val="nil"/>
              <w:left w:val="nil"/>
              <w:bottom w:val="nil"/>
              <w:right w:val="nil"/>
            </w:tcBorders>
            <w:shd w:val="clear" w:color="auto" w:fill="auto"/>
            <w:noWrap/>
            <w:vAlign w:val="center"/>
            <w:hideMark/>
          </w:tcPr>
          <w:p w14:paraId="637D19F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8,900.0</w:t>
            </w:r>
          </w:p>
        </w:tc>
        <w:tc>
          <w:tcPr>
            <w:tcW w:w="1240" w:type="dxa"/>
            <w:tcBorders>
              <w:top w:val="nil"/>
              <w:left w:val="nil"/>
              <w:bottom w:val="nil"/>
              <w:right w:val="nil"/>
            </w:tcBorders>
            <w:shd w:val="clear" w:color="auto" w:fill="auto"/>
            <w:noWrap/>
            <w:vAlign w:val="center"/>
            <w:hideMark/>
          </w:tcPr>
          <w:p w14:paraId="5159A2C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9,800.0</w:t>
            </w:r>
          </w:p>
        </w:tc>
      </w:tr>
      <w:tr w:rsidR="001337C9" w:rsidRPr="001337C9" w14:paraId="12DACD52" w14:textId="77777777" w:rsidTr="001337C9">
        <w:trPr>
          <w:trHeight w:val="290"/>
        </w:trPr>
        <w:tc>
          <w:tcPr>
            <w:tcW w:w="3060" w:type="dxa"/>
            <w:gridSpan w:val="2"/>
            <w:tcBorders>
              <w:top w:val="nil"/>
              <w:left w:val="nil"/>
              <w:bottom w:val="single" w:sz="8" w:space="0" w:color="auto"/>
              <w:right w:val="nil"/>
            </w:tcBorders>
            <w:shd w:val="clear" w:color="auto" w:fill="auto"/>
            <w:noWrap/>
            <w:vAlign w:val="center"/>
            <w:hideMark/>
          </w:tcPr>
          <w:p w14:paraId="2F8945F4"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Personal Income Tax</w:t>
            </w:r>
          </w:p>
        </w:tc>
        <w:tc>
          <w:tcPr>
            <w:tcW w:w="1240" w:type="dxa"/>
            <w:tcBorders>
              <w:top w:val="nil"/>
              <w:left w:val="nil"/>
              <w:bottom w:val="nil"/>
              <w:right w:val="nil"/>
            </w:tcBorders>
            <w:shd w:val="clear" w:color="auto" w:fill="auto"/>
            <w:noWrap/>
            <w:vAlign w:val="center"/>
            <w:hideMark/>
          </w:tcPr>
          <w:p w14:paraId="404D608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764,520.0</w:t>
            </w:r>
          </w:p>
        </w:tc>
        <w:tc>
          <w:tcPr>
            <w:tcW w:w="1240" w:type="dxa"/>
            <w:tcBorders>
              <w:top w:val="nil"/>
              <w:left w:val="nil"/>
              <w:bottom w:val="nil"/>
              <w:right w:val="nil"/>
            </w:tcBorders>
            <w:shd w:val="clear" w:color="auto" w:fill="auto"/>
            <w:noWrap/>
            <w:vAlign w:val="center"/>
            <w:hideMark/>
          </w:tcPr>
          <w:p w14:paraId="737C1DE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1,391,130.0</w:t>
            </w:r>
          </w:p>
        </w:tc>
        <w:tc>
          <w:tcPr>
            <w:tcW w:w="1240" w:type="dxa"/>
            <w:tcBorders>
              <w:top w:val="nil"/>
              <w:left w:val="nil"/>
              <w:bottom w:val="nil"/>
              <w:right w:val="nil"/>
            </w:tcBorders>
            <w:shd w:val="clear" w:color="auto" w:fill="auto"/>
            <w:noWrap/>
            <w:vAlign w:val="center"/>
            <w:hideMark/>
          </w:tcPr>
          <w:p w14:paraId="7B9466C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1,567,920.0</w:t>
            </w:r>
          </w:p>
        </w:tc>
        <w:tc>
          <w:tcPr>
            <w:tcW w:w="1240" w:type="dxa"/>
            <w:tcBorders>
              <w:top w:val="nil"/>
              <w:left w:val="nil"/>
              <w:bottom w:val="nil"/>
              <w:right w:val="nil"/>
            </w:tcBorders>
            <w:shd w:val="clear" w:color="auto" w:fill="auto"/>
            <w:noWrap/>
            <w:vAlign w:val="center"/>
            <w:hideMark/>
          </w:tcPr>
          <w:p w14:paraId="0738F41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1,779,684.0</w:t>
            </w:r>
          </w:p>
        </w:tc>
        <w:tc>
          <w:tcPr>
            <w:tcW w:w="1240" w:type="dxa"/>
            <w:tcBorders>
              <w:top w:val="nil"/>
              <w:left w:val="nil"/>
              <w:bottom w:val="nil"/>
              <w:right w:val="nil"/>
            </w:tcBorders>
            <w:shd w:val="clear" w:color="auto" w:fill="auto"/>
            <w:noWrap/>
            <w:vAlign w:val="center"/>
            <w:hideMark/>
          </w:tcPr>
          <w:p w14:paraId="2EF89E3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1,956,300.0</w:t>
            </w:r>
          </w:p>
        </w:tc>
      </w:tr>
      <w:tr w:rsidR="001337C9" w:rsidRPr="001337C9" w14:paraId="75C83EBF"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6F0389BE"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Business Income Tax</w:t>
            </w:r>
          </w:p>
        </w:tc>
      </w:tr>
      <w:tr w:rsidR="001337C9" w:rsidRPr="001337C9" w14:paraId="5963397C" w14:textId="77777777" w:rsidTr="001337C9">
        <w:trPr>
          <w:trHeight w:val="280"/>
        </w:trPr>
        <w:tc>
          <w:tcPr>
            <w:tcW w:w="686" w:type="dxa"/>
            <w:tcBorders>
              <w:top w:val="nil"/>
              <w:left w:val="nil"/>
              <w:bottom w:val="nil"/>
              <w:right w:val="nil"/>
            </w:tcBorders>
            <w:shd w:val="clear" w:color="auto" w:fill="auto"/>
            <w:noWrap/>
            <w:vAlign w:val="center"/>
            <w:hideMark/>
          </w:tcPr>
          <w:p w14:paraId="1E1C27F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 </w:t>
            </w:r>
          </w:p>
        </w:tc>
        <w:tc>
          <w:tcPr>
            <w:tcW w:w="2374" w:type="dxa"/>
            <w:tcBorders>
              <w:top w:val="nil"/>
              <w:left w:val="nil"/>
              <w:bottom w:val="nil"/>
              <w:right w:val="nil"/>
            </w:tcBorders>
            <w:shd w:val="clear" w:color="auto" w:fill="auto"/>
            <w:noWrap/>
            <w:vAlign w:val="center"/>
            <w:hideMark/>
          </w:tcPr>
          <w:p w14:paraId="3936DF7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0927A7C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527,347.6</w:t>
            </w:r>
          </w:p>
        </w:tc>
        <w:tc>
          <w:tcPr>
            <w:tcW w:w="1240" w:type="dxa"/>
            <w:tcBorders>
              <w:top w:val="nil"/>
              <w:left w:val="nil"/>
              <w:bottom w:val="nil"/>
              <w:right w:val="nil"/>
            </w:tcBorders>
            <w:shd w:val="clear" w:color="auto" w:fill="auto"/>
            <w:noWrap/>
            <w:vAlign w:val="center"/>
            <w:hideMark/>
          </w:tcPr>
          <w:p w14:paraId="515D5FE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528,135.1</w:t>
            </w:r>
          </w:p>
        </w:tc>
        <w:tc>
          <w:tcPr>
            <w:tcW w:w="1240" w:type="dxa"/>
            <w:tcBorders>
              <w:top w:val="nil"/>
              <w:left w:val="nil"/>
              <w:bottom w:val="nil"/>
              <w:right w:val="nil"/>
            </w:tcBorders>
            <w:shd w:val="clear" w:color="auto" w:fill="auto"/>
            <w:noWrap/>
            <w:vAlign w:val="center"/>
            <w:hideMark/>
          </w:tcPr>
          <w:p w14:paraId="0635FBF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504,301.9</w:t>
            </w:r>
          </w:p>
        </w:tc>
        <w:tc>
          <w:tcPr>
            <w:tcW w:w="1240" w:type="dxa"/>
            <w:tcBorders>
              <w:top w:val="nil"/>
              <w:left w:val="nil"/>
              <w:bottom w:val="nil"/>
              <w:right w:val="nil"/>
            </w:tcBorders>
            <w:shd w:val="clear" w:color="auto" w:fill="auto"/>
            <w:noWrap/>
            <w:vAlign w:val="center"/>
            <w:hideMark/>
          </w:tcPr>
          <w:p w14:paraId="6010DA2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582,451.4</w:t>
            </w:r>
          </w:p>
        </w:tc>
        <w:tc>
          <w:tcPr>
            <w:tcW w:w="1240" w:type="dxa"/>
            <w:tcBorders>
              <w:top w:val="nil"/>
              <w:left w:val="nil"/>
              <w:bottom w:val="nil"/>
              <w:right w:val="nil"/>
            </w:tcBorders>
            <w:shd w:val="clear" w:color="auto" w:fill="auto"/>
            <w:noWrap/>
            <w:vAlign w:val="center"/>
            <w:hideMark/>
          </w:tcPr>
          <w:p w14:paraId="018EABD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647,874.7</w:t>
            </w:r>
          </w:p>
        </w:tc>
      </w:tr>
      <w:tr w:rsidR="001337C9" w:rsidRPr="001337C9" w14:paraId="119FE935" w14:textId="77777777" w:rsidTr="001337C9">
        <w:trPr>
          <w:trHeight w:val="280"/>
        </w:trPr>
        <w:tc>
          <w:tcPr>
            <w:tcW w:w="686" w:type="dxa"/>
            <w:tcBorders>
              <w:top w:val="nil"/>
              <w:left w:val="nil"/>
              <w:bottom w:val="nil"/>
              <w:right w:val="nil"/>
            </w:tcBorders>
            <w:shd w:val="clear" w:color="auto" w:fill="auto"/>
            <w:noWrap/>
            <w:vAlign w:val="center"/>
            <w:hideMark/>
          </w:tcPr>
          <w:p w14:paraId="4EA136D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19C1D7E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Allowance</w:t>
            </w:r>
          </w:p>
        </w:tc>
        <w:tc>
          <w:tcPr>
            <w:tcW w:w="1240" w:type="dxa"/>
            <w:tcBorders>
              <w:top w:val="nil"/>
              <w:left w:val="nil"/>
              <w:bottom w:val="nil"/>
              <w:right w:val="nil"/>
            </w:tcBorders>
            <w:shd w:val="clear" w:color="auto" w:fill="auto"/>
            <w:noWrap/>
            <w:vAlign w:val="center"/>
            <w:hideMark/>
          </w:tcPr>
          <w:p w14:paraId="3C83C3A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13,333.1</w:t>
            </w:r>
          </w:p>
        </w:tc>
        <w:tc>
          <w:tcPr>
            <w:tcW w:w="1240" w:type="dxa"/>
            <w:tcBorders>
              <w:top w:val="nil"/>
              <w:left w:val="nil"/>
              <w:bottom w:val="nil"/>
              <w:right w:val="nil"/>
            </w:tcBorders>
            <w:shd w:val="clear" w:color="auto" w:fill="auto"/>
            <w:noWrap/>
            <w:vAlign w:val="center"/>
            <w:hideMark/>
          </w:tcPr>
          <w:p w14:paraId="25F5D39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13,353.0</w:t>
            </w:r>
          </w:p>
        </w:tc>
        <w:tc>
          <w:tcPr>
            <w:tcW w:w="1240" w:type="dxa"/>
            <w:tcBorders>
              <w:top w:val="nil"/>
              <w:left w:val="nil"/>
              <w:bottom w:val="nil"/>
              <w:right w:val="nil"/>
            </w:tcBorders>
            <w:shd w:val="clear" w:color="auto" w:fill="auto"/>
            <w:noWrap/>
            <w:vAlign w:val="center"/>
            <w:hideMark/>
          </w:tcPr>
          <w:p w14:paraId="62C3B76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12,810.3</w:t>
            </w:r>
          </w:p>
        </w:tc>
        <w:tc>
          <w:tcPr>
            <w:tcW w:w="1240" w:type="dxa"/>
            <w:tcBorders>
              <w:top w:val="nil"/>
              <w:left w:val="nil"/>
              <w:bottom w:val="nil"/>
              <w:right w:val="nil"/>
            </w:tcBorders>
            <w:shd w:val="clear" w:color="auto" w:fill="auto"/>
            <w:noWrap/>
            <w:vAlign w:val="center"/>
            <w:hideMark/>
          </w:tcPr>
          <w:p w14:paraId="095FB8F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14,727.7</w:t>
            </w:r>
          </w:p>
        </w:tc>
        <w:tc>
          <w:tcPr>
            <w:tcW w:w="1240" w:type="dxa"/>
            <w:tcBorders>
              <w:top w:val="nil"/>
              <w:left w:val="nil"/>
              <w:bottom w:val="nil"/>
              <w:right w:val="nil"/>
            </w:tcBorders>
            <w:shd w:val="clear" w:color="auto" w:fill="auto"/>
            <w:noWrap/>
            <w:vAlign w:val="center"/>
            <w:hideMark/>
          </w:tcPr>
          <w:p w14:paraId="3846DD2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16,377.1</w:t>
            </w:r>
          </w:p>
        </w:tc>
      </w:tr>
      <w:tr w:rsidR="001337C9" w:rsidRPr="001337C9" w14:paraId="321BF00E" w14:textId="77777777" w:rsidTr="001337C9">
        <w:trPr>
          <w:trHeight w:val="280"/>
        </w:trPr>
        <w:tc>
          <w:tcPr>
            <w:tcW w:w="686" w:type="dxa"/>
            <w:tcBorders>
              <w:top w:val="nil"/>
              <w:left w:val="nil"/>
              <w:bottom w:val="nil"/>
              <w:right w:val="nil"/>
            </w:tcBorders>
            <w:shd w:val="clear" w:color="auto" w:fill="auto"/>
            <w:noWrap/>
            <w:vAlign w:val="center"/>
            <w:hideMark/>
          </w:tcPr>
          <w:p w14:paraId="3EC2524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3FDB0DD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Reduced rate</w:t>
            </w:r>
          </w:p>
        </w:tc>
        <w:tc>
          <w:tcPr>
            <w:tcW w:w="1240" w:type="dxa"/>
            <w:tcBorders>
              <w:top w:val="nil"/>
              <w:left w:val="nil"/>
              <w:bottom w:val="nil"/>
              <w:right w:val="nil"/>
            </w:tcBorders>
            <w:shd w:val="clear" w:color="auto" w:fill="auto"/>
            <w:noWrap/>
            <w:vAlign w:val="center"/>
            <w:hideMark/>
          </w:tcPr>
          <w:p w14:paraId="51AFA73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31,819.6</w:t>
            </w:r>
          </w:p>
        </w:tc>
        <w:tc>
          <w:tcPr>
            <w:tcW w:w="1240" w:type="dxa"/>
            <w:tcBorders>
              <w:top w:val="nil"/>
              <w:left w:val="nil"/>
              <w:bottom w:val="nil"/>
              <w:right w:val="nil"/>
            </w:tcBorders>
            <w:shd w:val="clear" w:color="auto" w:fill="auto"/>
            <w:noWrap/>
            <w:vAlign w:val="center"/>
            <w:hideMark/>
          </w:tcPr>
          <w:p w14:paraId="5AAF7B5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31,867.1</w:t>
            </w:r>
          </w:p>
        </w:tc>
        <w:tc>
          <w:tcPr>
            <w:tcW w:w="1240" w:type="dxa"/>
            <w:tcBorders>
              <w:top w:val="nil"/>
              <w:left w:val="nil"/>
              <w:bottom w:val="nil"/>
              <w:right w:val="nil"/>
            </w:tcBorders>
            <w:shd w:val="clear" w:color="auto" w:fill="auto"/>
            <w:noWrap/>
            <w:vAlign w:val="center"/>
            <w:hideMark/>
          </w:tcPr>
          <w:p w14:paraId="191CA56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30,429.7</w:t>
            </w:r>
          </w:p>
        </w:tc>
        <w:tc>
          <w:tcPr>
            <w:tcW w:w="1240" w:type="dxa"/>
            <w:tcBorders>
              <w:top w:val="nil"/>
              <w:left w:val="nil"/>
              <w:bottom w:val="nil"/>
              <w:right w:val="nil"/>
            </w:tcBorders>
            <w:shd w:val="clear" w:color="auto" w:fill="auto"/>
            <w:noWrap/>
            <w:vAlign w:val="center"/>
            <w:hideMark/>
          </w:tcPr>
          <w:p w14:paraId="7B03567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35,122.1</w:t>
            </w:r>
          </w:p>
        </w:tc>
        <w:tc>
          <w:tcPr>
            <w:tcW w:w="1240" w:type="dxa"/>
            <w:tcBorders>
              <w:top w:val="nil"/>
              <w:left w:val="nil"/>
              <w:bottom w:val="nil"/>
              <w:right w:val="nil"/>
            </w:tcBorders>
            <w:shd w:val="clear" w:color="auto" w:fill="auto"/>
            <w:noWrap/>
            <w:vAlign w:val="center"/>
            <w:hideMark/>
          </w:tcPr>
          <w:p w14:paraId="4A18BD1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39,143.4</w:t>
            </w:r>
          </w:p>
        </w:tc>
      </w:tr>
      <w:tr w:rsidR="001337C9" w:rsidRPr="001337C9" w14:paraId="51DD28CC" w14:textId="77777777" w:rsidTr="001337C9">
        <w:trPr>
          <w:trHeight w:val="280"/>
        </w:trPr>
        <w:tc>
          <w:tcPr>
            <w:tcW w:w="686" w:type="dxa"/>
            <w:tcBorders>
              <w:top w:val="nil"/>
              <w:left w:val="nil"/>
              <w:bottom w:val="nil"/>
              <w:right w:val="nil"/>
            </w:tcBorders>
            <w:shd w:val="clear" w:color="auto" w:fill="auto"/>
            <w:noWrap/>
            <w:vAlign w:val="center"/>
            <w:hideMark/>
          </w:tcPr>
          <w:p w14:paraId="74D51FD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2F33D51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Tax holiday</w:t>
            </w:r>
          </w:p>
        </w:tc>
        <w:tc>
          <w:tcPr>
            <w:tcW w:w="1240" w:type="dxa"/>
            <w:tcBorders>
              <w:top w:val="nil"/>
              <w:left w:val="nil"/>
              <w:bottom w:val="nil"/>
              <w:right w:val="nil"/>
            </w:tcBorders>
            <w:shd w:val="clear" w:color="auto" w:fill="auto"/>
            <w:noWrap/>
            <w:vAlign w:val="center"/>
            <w:hideMark/>
          </w:tcPr>
          <w:p w14:paraId="7281FC8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7,393.1</w:t>
            </w:r>
          </w:p>
        </w:tc>
        <w:tc>
          <w:tcPr>
            <w:tcW w:w="1240" w:type="dxa"/>
            <w:tcBorders>
              <w:top w:val="nil"/>
              <w:left w:val="nil"/>
              <w:bottom w:val="nil"/>
              <w:right w:val="nil"/>
            </w:tcBorders>
            <w:shd w:val="clear" w:color="auto" w:fill="auto"/>
            <w:noWrap/>
            <w:vAlign w:val="center"/>
            <w:hideMark/>
          </w:tcPr>
          <w:p w14:paraId="7FC119C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7,404.1</w:t>
            </w:r>
          </w:p>
        </w:tc>
        <w:tc>
          <w:tcPr>
            <w:tcW w:w="1240" w:type="dxa"/>
            <w:tcBorders>
              <w:top w:val="nil"/>
              <w:left w:val="nil"/>
              <w:bottom w:val="nil"/>
              <w:right w:val="nil"/>
            </w:tcBorders>
            <w:shd w:val="clear" w:color="auto" w:fill="auto"/>
            <w:noWrap/>
            <w:vAlign w:val="center"/>
            <w:hideMark/>
          </w:tcPr>
          <w:p w14:paraId="2E0718F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7,070.1</w:t>
            </w:r>
          </w:p>
        </w:tc>
        <w:tc>
          <w:tcPr>
            <w:tcW w:w="1240" w:type="dxa"/>
            <w:tcBorders>
              <w:top w:val="nil"/>
              <w:left w:val="nil"/>
              <w:bottom w:val="nil"/>
              <w:right w:val="nil"/>
            </w:tcBorders>
            <w:shd w:val="clear" w:color="auto" w:fill="auto"/>
            <w:noWrap/>
            <w:vAlign w:val="center"/>
            <w:hideMark/>
          </w:tcPr>
          <w:p w14:paraId="6154EF8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8,160.4</w:t>
            </w:r>
          </w:p>
        </w:tc>
        <w:tc>
          <w:tcPr>
            <w:tcW w:w="1240" w:type="dxa"/>
            <w:tcBorders>
              <w:top w:val="nil"/>
              <w:left w:val="nil"/>
              <w:bottom w:val="nil"/>
              <w:right w:val="nil"/>
            </w:tcBorders>
            <w:shd w:val="clear" w:color="auto" w:fill="auto"/>
            <w:noWrap/>
            <w:vAlign w:val="center"/>
            <w:hideMark/>
          </w:tcPr>
          <w:p w14:paraId="1275F24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9,094.7</w:t>
            </w:r>
          </w:p>
        </w:tc>
      </w:tr>
      <w:tr w:rsidR="001337C9" w:rsidRPr="001337C9" w14:paraId="5DECC41C" w14:textId="77777777" w:rsidTr="001337C9">
        <w:trPr>
          <w:trHeight w:val="280"/>
        </w:trPr>
        <w:tc>
          <w:tcPr>
            <w:tcW w:w="686" w:type="dxa"/>
            <w:tcBorders>
              <w:top w:val="nil"/>
              <w:left w:val="nil"/>
              <w:bottom w:val="nil"/>
              <w:right w:val="nil"/>
            </w:tcBorders>
            <w:shd w:val="clear" w:color="auto" w:fill="auto"/>
            <w:noWrap/>
            <w:vAlign w:val="center"/>
            <w:hideMark/>
          </w:tcPr>
          <w:p w14:paraId="2C72F61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5158DF3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Preferential tax regime</w:t>
            </w:r>
          </w:p>
        </w:tc>
        <w:tc>
          <w:tcPr>
            <w:tcW w:w="1240" w:type="dxa"/>
            <w:tcBorders>
              <w:top w:val="nil"/>
              <w:left w:val="nil"/>
              <w:bottom w:val="nil"/>
              <w:right w:val="nil"/>
            </w:tcBorders>
            <w:shd w:val="clear" w:color="auto" w:fill="auto"/>
            <w:noWrap/>
            <w:vAlign w:val="center"/>
            <w:hideMark/>
          </w:tcPr>
          <w:p w14:paraId="59777C7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35,775.8</w:t>
            </w:r>
          </w:p>
        </w:tc>
        <w:tc>
          <w:tcPr>
            <w:tcW w:w="1240" w:type="dxa"/>
            <w:tcBorders>
              <w:top w:val="nil"/>
              <w:left w:val="nil"/>
              <w:bottom w:val="nil"/>
              <w:right w:val="nil"/>
            </w:tcBorders>
            <w:shd w:val="clear" w:color="auto" w:fill="auto"/>
            <w:noWrap/>
            <w:vAlign w:val="center"/>
            <w:hideMark/>
          </w:tcPr>
          <w:p w14:paraId="57EFED3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35,774.7</w:t>
            </w:r>
          </w:p>
        </w:tc>
        <w:tc>
          <w:tcPr>
            <w:tcW w:w="1240" w:type="dxa"/>
            <w:tcBorders>
              <w:top w:val="nil"/>
              <w:left w:val="nil"/>
              <w:bottom w:val="nil"/>
              <w:right w:val="nil"/>
            </w:tcBorders>
            <w:shd w:val="clear" w:color="auto" w:fill="auto"/>
            <w:noWrap/>
            <w:vAlign w:val="center"/>
            <w:hideMark/>
          </w:tcPr>
          <w:p w14:paraId="2A6CA2C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46,653.6</w:t>
            </w:r>
          </w:p>
        </w:tc>
        <w:tc>
          <w:tcPr>
            <w:tcW w:w="1240" w:type="dxa"/>
            <w:tcBorders>
              <w:top w:val="nil"/>
              <w:left w:val="nil"/>
              <w:bottom w:val="nil"/>
              <w:right w:val="nil"/>
            </w:tcBorders>
            <w:shd w:val="clear" w:color="auto" w:fill="auto"/>
            <w:noWrap/>
            <w:vAlign w:val="center"/>
            <w:hideMark/>
          </w:tcPr>
          <w:p w14:paraId="24ADD54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53,847.9</w:t>
            </w:r>
          </w:p>
        </w:tc>
        <w:tc>
          <w:tcPr>
            <w:tcW w:w="1240" w:type="dxa"/>
            <w:tcBorders>
              <w:top w:val="nil"/>
              <w:left w:val="nil"/>
              <w:bottom w:val="nil"/>
              <w:right w:val="nil"/>
            </w:tcBorders>
            <w:shd w:val="clear" w:color="auto" w:fill="auto"/>
            <w:noWrap/>
            <w:vAlign w:val="center"/>
            <w:hideMark/>
          </w:tcPr>
          <w:p w14:paraId="3BDB0F7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60,013.1</w:t>
            </w:r>
          </w:p>
        </w:tc>
      </w:tr>
      <w:tr w:rsidR="001337C9" w:rsidRPr="001337C9" w14:paraId="781E794F" w14:textId="77777777" w:rsidTr="001337C9">
        <w:trPr>
          <w:trHeight w:val="290"/>
        </w:trPr>
        <w:tc>
          <w:tcPr>
            <w:tcW w:w="3060" w:type="dxa"/>
            <w:gridSpan w:val="2"/>
            <w:tcBorders>
              <w:top w:val="nil"/>
              <w:left w:val="nil"/>
              <w:bottom w:val="single" w:sz="8" w:space="0" w:color="auto"/>
              <w:right w:val="nil"/>
            </w:tcBorders>
            <w:shd w:val="clear" w:color="auto" w:fill="auto"/>
            <w:noWrap/>
            <w:vAlign w:val="center"/>
            <w:hideMark/>
          </w:tcPr>
          <w:p w14:paraId="5F2C4062"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Business Income Tax</w:t>
            </w:r>
          </w:p>
        </w:tc>
        <w:tc>
          <w:tcPr>
            <w:tcW w:w="1240" w:type="dxa"/>
            <w:tcBorders>
              <w:top w:val="nil"/>
              <w:left w:val="nil"/>
              <w:bottom w:val="nil"/>
              <w:right w:val="nil"/>
            </w:tcBorders>
            <w:shd w:val="clear" w:color="auto" w:fill="auto"/>
            <w:noWrap/>
            <w:vAlign w:val="center"/>
            <w:hideMark/>
          </w:tcPr>
          <w:p w14:paraId="3FAEE41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615,669.1</w:t>
            </w:r>
          </w:p>
        </w:tc>
        <w:tc>
          <w:tcPr>
            <w:tcW w:w="1240" w:type="dxa"/>
            <w:tcBorders>
              <w:top w:val="nil"/>
              <w:left w:val="nil"/>
              <w:bottom w:val="nil"/>
              <w:right w:val="nil"/>
            </w:tcBorders>
            <w:shd w:val="clear" w:color="auto" w:fill="auto"/>
            <w:noWrap/>
            <w:vAlign w:val="center"/>
            <w:hideMark/>
          </w:tcPr>
          <w:p w14:paraId="337217A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616,533.9</w:t>
            </w:r>
          </w:p>
        </w:tc>
        <w:tc>
          <w:tcPr>
            <w:tcW w:w="1240" w:type="dxa"/>
            <w:tcBorders>
              <w:top w:val="nil"/>
              <w:left w:val="nil"/>
              <w:bottom w:val="nil"/>
              <w:right w:val="nil"/>
            </w:tcBorders>
            <w:shd w:val="clear" w:color="auto" w:fill="auto"/>
            <w:noWrap/>
            <w:vAlign w:val="center"/>
            <w:hideMark/>
          </w:tcPr>
          <w:p w14:paraId="3B0364A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601,265.7</w:t>
            </w:r>
          </w:p>
        </w:tc>
        <w:tc>
          <w:tcPr>
            <w:tcW w:w="1240" w:type="dxa"/>
            <w:tcBorders>
              <w:top w:val="nil"/>
              <w:left w:val="nil"/>
              <w:bottom w:val="nil"/>
              <w:right w:val="nil"/>
            </w:tcBorders>
            <w:shd w:val="clear" w:color="auto" w:fill="auto"/>
            <w:noWrap/>
            <w:vAlign w:val="center"/>
            <w:hideMark/>
          </w:tcPr>
          <w:p w14:paraId="0C39FAF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694,309.4</w:t>
            </w:r>
          </w:p>
        </w:tc>
        <w:tc>
          <w:tcPr>
            <w:tcW w:w="1240" w:type="dxa"/>
            <w:tcBorders>
              <w:top w:val="nil"/>
              <w:left w:val="nil"/>
              <w:bottom w:val="nil"/>
              <w:right w:val="nil"/>
            </w:tcBorders>
            <w:shd w:val="clear" w:color="auto" w:fill="auto"/>
            <w:noWrap/>
            <w:vAlign w:val="center"/>
            <w:hideMark/>
          </w:tcPr>
          <w:p w14:paraId="275EBA5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772,503.0</w:t>
            </w:r>
          </w:p>
        </w:tc>
      </w:tr>
      <w:tr w:rsidR="001337C9" w:rsidRPr="001337C9" w14:paraId="36BD0B60"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4420BB44"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Value Added Tax</w:t>
            </w:r>
          </w:p>
        </w:tc>
      </w:tr>
      <w:tr w:rsidR="001337C9" w:rsidRPr="001337C9" w14:paraId="0BDADCD7" w14:textId="77777777" w:rsidTr="001337C9">
        <w:trPr>
          <w:trHeight w:val="280"/>
        </w:trPr>
        <w:tc>
          <w:tcPr>
            <w:tcW w:w="686" w:type="dxa"/>
            <w:tcBorders>
              <w:top w:val="nil"/>
              <w:left w:val="nil"/>
              <w:bottom w:val="nil"/>
              <w:right w:val="nil"/>
            </w:tcBorders>
            <w:shd w:val="clear" w:color="auto" w:fill="auto"/>
            <w:noWrap/>
            <w:vAlign w:val="center"/>
            <w:hideMark/>
          </w:tcPr>
          <w:p w14:paraId="0D6A3C6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 </w:t>
            </w:r>
          </w:p>
        </w:tc>
        <w:tc>
          <w:tcPr>
            <w:tcW w:w="2374" w:type="dxa"/>
            <w:tcBorders>
              <w:top w:val="nil"/>
              <w:left w:val="nil"/>
              <w:bottom w:val="nil"/>
              <w:right w:val="nil"/>
            </w:tcBorders>
            <w:shd w:val="clear" w:color="auto" w:fill="auto"/>
            <w:noWrap/>
            <w:vAlign w:val="center"/>
            <w:hideMark/>
          </w:tcPr>
          <w:p w14:paraId="3F9B8BF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4D56439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2,732,504.2</w:t>
            </w:r>
          </w:p>
        </w:tc>
        <w:tc>
          <w:tcPr>
            <w:tcW w:w="1240" w:type="dxa"/>
            <w:tcBorders>
              <w:top w:val="nil"/>
              <w:left w:val="nil"/>
              <w:bottom w:val="nil"/>
              <w:right w:val="nil"/>
            </w:tcBorders>
            <w:shd w:val="clear" w:color="auto" w:fill="auto"/>
            <w:noWrap/>
            <w:vAlign w:val="center"/>
            <w:hideMark/>
          </w:tcPr>
          <w:p w14:paraId="016B300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3,003,933.1</w:t>
            </w:r>
          </w:p>
        </w:tc>
        <w:tc>
          <w:tcPr>
            <w:tcW w:w="1240" w:type="dxa"/>
            <w:tcBorders>
              <w:top w:val="nil"/>
              <w:left w:val="nil"/>
              <w:bottom w:val="nil"/>
              <w:right w:val="nil"/>
            </w:tcBorders>
            <w:shd w:val="clear" w:color="auto" w:fill="auto"/>
            <w:noWrap/>
            <w:vAlign w:val="center"/>
            <w:hideMark/>
          </w:tcPr>
          <w:p w14:paraId="081D426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2,916,586.5</w:t>
            </w:r>
          </w:p>
        </w:tc>
        <w:tc>
          <w:tcPr>
            <w:tcW w:w="1240" w:type="dxa"/>
            <w:tcBorders>
              <w:top w:val="nil"/>
              <w:left w:val="nil"/>
              <w:bottom w:val="nil"/>
              <w:right w:val="nil"/>
            </w:tcBorders>
            <w:shd w:val="clear" w:color="auto" w:fill="auto"/>
            <w:noWrap/>
            <w:vAlign w:val="center"/>
            <w:hideMark/>
          </w:tcPr>
          <w:p w14:paraId="6589FB9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3,554,277.9</w:t>
            </w:r>
          </w:p>
        </w:tc>
        <w:tc>
          <w:tcPr>
            <w:tcW w:w="1240" w:type="dxa"/>
            <w:tcBorders>
              <w:top w:val="nil"/>
              <w:left w:val="nil"/>
              <w:bottom w:val="nil"/>
              <w:right w:val="nil"/>
            </w:tcBorders>
            <w:shd w:val="clear" w:color="auto" w:fill="auto"/>
            <w:noWrap/>
            <w:vAlign w:val="center"/>
            <w:hideMark/>
          </w:tcPr>
          <w:p w14:paraId="79855A0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3,923,625.9</w:t>
            </w:r>
          </w:p>
        </w:tc>
      </w:tr>
      <w:tr w:rsidR="001337C9" w:rsidRPr="001337C9" w14:paraId="4F7F7A17" w14:textId="77777777" w:rsidTr="001337C9">
        <w:trPr>
          <w:trHeight w:val="280"/>
        </w:trPr>
        <w:tc>
          <w:tcPr>
            <w:tcW w:w="686" w:type="dxa"/>
            <w:tcBorders>
              <w:top w:val="nil"/>
              <w:left w:val="nil"/>
              <w:bottom w:val="nil"/>
              <w:right w:val="nil"/>
            </w:tcBorders>
            <w:shd w:val="clear" w:color="auto" w:fill="auto"/>
            <w:noWrap/>
            <w:vAlign w:val="center"/>
            <w:hideMark/>
          </w:tcPr>
          <w:p w14:paraId="6656DCF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2D68377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Reduced rate</w:t>
            </w:r>
          </w:p>
        </w:tc>
        <w:tc>
          <w:tcPr>
            <w:tcW w:w="1240" w:type="dxa"/>
            <w:tcBorders>
              <w:top w:val="nil"/>
              <w:left w:val="nil"/>
              <w:bottom w:val="nil"/>
              <w:right w:val="nil"/>
            </w:tcBorders>
            <w:shd w:val="clear" w:color="auto" w:fill="auto"/>
            <w:noWrap/>
            <w:vAlign w:val="center"/>
            <w:hideMark/>
          </w:tcPr>
          <w:p w14:paraId="122599F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1,558,136.2</w:t>
            </w:r>
          </w:p>
        </w:tc>
        <w:tc>
          <w:tcPr>
            <w:tcW w:w="1240" w:type="dxa"/>
            <w:tcBorders>
              <w:top w:val="nil"/>
              <w:left w:val="nil"/>
              <w:bottom w:val="nil"/>
              <w:right w:val="nil"/>
            </w:tcBorders>
            <w:shd w:val="clear" w:color="auto" w:fill="auto"/>
            <w:noWrap/>
            <w:vAlign w:val="center"/>
            <w:hideMark/>
          </w:tcPr>
          <w:p w14:paraId="4791681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1,756,919.2</w:t>
            </w:r>
          </w:p>
        </w:tc>
        <w:tc>
          <w:tcPr>
            <w:tcW w:w="1240" w:type="dxa"/>
            <w:tcBorders>
              <w:top w:val="nil"/>
              <w:left w:val="nil"/>
              <w:bottom w:val="nil"/>
              <w:right w:val="nil"/>
            </w:tcBorders>
            <w:shd w:val="clear" w:color="auto" w:fill="auto"/>
            <w:noWrap/>
            <w:vAlign w:val="center"/>
            <w:hideMark/>
          </w:tcPr>
          <w:p w14:paraId="3053D4E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1,669,720.6</w:t>
            </w:r>
          </w:p>
        </w:tc>
        <w:tc>
          <w:tcPr>
            <w:tcW w:w="1240" w:type="dxa"/>
            <w:tcBorders>
              <w:top w:val="nil"/>
              <w:left w:val="nil"/>
              <w:bottom w:val="nil"/>
              <w:right w:val="nil"/>
            </w:tcBorders>
            <w:shd w:val="clear" w:color="auto" w:fill="auto"/>
            <w:noWrap/>
            <w:vAlign w:val="center"/>
            <w:hideMark/>
          </w:tcPr>
          <w:p w14:paraId="1B1BC73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2,118,235.9</w:t>
            </w:r>
          </w:p>
        </w:tc>
        <w:tc>
          <w:tcPr>
            <w:tcW w:w="1240" w:type="dxa"/>
            <w:tcBorders>
              <w:top w:val="nil"/>
              <w:left w:val="nil"/>
              <w:bottom w:val="nil"/>
              <w:right w:val="nil"/>
            </w:tcBorders>
            <w:shd w:val="clear" w:color="auto" w:fill="auto"/>
            <w:noWrap/>
            <w:vAlign w:val="center"/>
            <w:hideMark/>
          </w:tcPr>
          <w:p w14:paraId="13B630E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2,403,812.8</w:t>
            </w:r>
          </w:p>
        </w:tc>
      </w:tr>
      <w:tr w:rsidR="001337C9" w:rsidRPr="001337C9" w14:paraId="21C09558" w14:textId="77777777" w:rsidTr="001337C9">
        <w:trPr>
          <w:trHeight w:val="290"/>
        </w:trPr>
        <w:tc>
          <w:tcPr>
            <w:tcW w:w="3060" w:type="dxa"/>
            <w:gridSpan w:val="2"/>
            <w:tcBorders>
              <w:top w:val="nil"/>
              <w:left w:val="nil"/>
              <w:bottom w:val="nil"/>
              <w:right w:val="nil"/>
            </w:tcBorders>
            <w:shd w:val="clear" w:color="auto" w:fill="auto"/>
            <w:noWrap/>
            <w:vAlign w:val="center"/>
            <w:hideMark/>
          </w:tcPr>
          <w:p w14:paraId="687BB293"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lastRenderedPageBreak/>
              <w:t>Total Value Added Tax</w:t>
            </w:r>
          </w:p>
        </w:tc>
        <w:tc>
          <w:tcPr>
            <w:tcW w:w="1240" w:type="dxa"/>
            <w:tcBorders>
              <w:top w:val="nil"/>
              <w:left w:val="nil"/>
              <w:bottom w:val="nil"/>
              <w:right w:val="nil"/>
            </w:tcBorders>
            <w:shd w:val="clear" w:color="auto" w:fill="auto"/>
            <w:noWrap/>
            <w:vAlign w:val="center"/>
            <w:hideMark/>
          </w:tcPr>
          <w:p w14:paraId="6C7E92A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4,290,640.3</w:t>
            </w:r>
          </w:p>
        </w:tc>
        <w:tc>
          <w:tcPr>
            <w:tcW w:w="1240" w:type="dxa"/>
            <w:tcBorders>
              <w:top w:val="nil"/>
              <w:left w:val="nil"/>
              <w:bottom w:val="nil"/>
              <w:right w:val="nil"/>
            </w:tcBorders>
            <w:shd w:val="clear" w:color="auto" w:fill="auto"/>
            <w:noWrap/>
            <w:vAlign w:val="center"/>
            <w:hideMark/>
          </w:tcPr>
          <w:p w14:paraId="4ECD2E6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4,760,852.3</w:t>
            </w:r>
          </w:p>
        </w:tc>
        <w:tc>
          <w:tcPr>
            <w:tcW w:w="1240" w:type="dxa"/>
            <w:tcBorders>
              <w:top w:val="nil"/>
              <w:left w:val="nil"/>
              <w:bottom w:val="nil"/>
              <w:right w:val="nil"/>
            </w:tcBorders>
            <w:shd w:val="clear" w:color="auto" w:fill="auto"/>
            <w:noWrap/>
            <w:vAlign w:val="center"/>
            <w:hideMark/>
          </w:tcPr>
          <w:p w14:paraId="307999C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4,586,307.1</w:t>
            </w:r>
          </w:p>
        </w:tc>
        <w:tc>
          <w:tcPr>
            <w:tcW w:w="1240" w:type="dxa"/>
            <w:tcBorders>
              <w:top w:val="nil"/>
              <w:left w:val="nil"/>
              <w:bottom w:val="nil"/>
              <w:right w:val="nil"/>
            </w:tcBorders>
            <w:shd w:val="clear" w:color="auto" w:fill="auto"/>
            <w:noWrap/>
            <w:vAlign w:val="center"/>
            <w:hideMark/>
          </w:tcPr>
          <w:p w14:paraId="440E47C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5,672,513.8</w:t>
            </w:r>
          </w:p>
        </w:tc>
        <w:tc>
          <w:tcPr>
            <w:tcW w:w="1240" w:type="dxa"/>
            <w:tcBorders>
              <w:top w:val="nil"/>
              <w:left w:val="nil"/>
              <w:bottom w:val="nil"/>
              <w:right w:val="nil"/>
            </w:tcBorders>
            <w:shd w:val="clear" w:color="auto" w:fill="auto"/>
            <w:noWrap/>
            <w:vAlign w:val="center"/>
            <w:hideMark/>
          </w:tcPr>
          <w:p w14:paraId="72E3A1B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6,327,438.7</w:t>
            </w:r>
          </w:p>
        </w:tc>
      </w:tr>
      <w:tr w:rsidR="001337C9" w:rsidRPr="001337C9" w14:paraId="29C59D87"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742E281C"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Excise Duties</w:t>
            </w:r>
          </w:p>
        </w:tc>
      </w:tr>
      <w:tr w:rsidR="001337C9" w:rsidRPr="001337C9" w14:paraId="66757C39" w14:textId="77777777" w:rsidTr="001337C9">
        <w:trPr>
          <w:trHeight w:val="280"/>
        </w:trPr>
        <w:tc>
          <w:tcPr>
            <w:tcW w:w="686" w:type="dxa"/>
            <w:tcBorders>
              <w:top w:val="nil"/>
              <w:left w:val="nil"/>
              <w:bottom w:val="nil"/>
              <w:right w:val="nil"/>
            </w:tcBorders>
            <w:shd w:val="clear" w:color="auto" w:fill="auto"/>
            <w:noWrap/>
            <w:vAlign w:val="center"/>
            <w:hideMark/>
          </w:tcPr>
          <w:p w14:paraId="1D39187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 </w:t>
            </w:r>
          </w:p>
        </w:tc>
        <w:tc>
          <w:tcPr>
            <w:tcW w:w="2374" w:type="dxa"/>
            <w:tcBorders>
              <w:top w:val="nil"/>
              <w:left w:val="nil"/>
              <w:bottom w:val="nil"/>
              <w:right w:val="nil"/>
            </w:tcBorders>
            <w:shd w:val="clear" w:color="auto" w:fill="auto"/>
            <w:noWrap/>
            <w:vAlign w:val="center"/>
            <w:hideMark/>
          </w:tcPr>
          <w:p w14:paraId="326D421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248D153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3,705,912.3</w:t>
            </w:r>
          </w:p>
        </w:tc>
        <w:tc>
          <w:tcPr>
            <w:tcW w:w="1240" w:type="dxa"/>
            <w:tcBorders>
              <w:top w:val="nil"/>
              <w:left w:val="nil"/>
              <w:bottom w:val="nil"/>
              <w:right w:val="nil"/>
            </w:tcBorders>
            <w:shd w:val="clear" w:color="auto" w:fill="auto"/>
            <w:noWrap/>
            <w:vAlign w:val="center"/>
            <w:hideMark/>
          </w:tcPr>
          <w:p w14:paraId="5372D26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3,910,739.3</w:t>
            </w:r>
          </w:p>
        </w:tc>
        <w:tc>
          <w:tcPr>
            <w:tcW w:w="1240" w:type="dxa"/>
            <w:tcBorders>
              <w:top w:val="nil"/>
              <w:left w:val="nil"/>
              <w:bottom w:val="nil"/>
              <w:right w:val="nil"/>
            </w:tcBorders>
            <w:shd w:val="clear" w:color="auto" w:fill="auto"/>
            <w:noWrap/>
            <w:vAlign w:val="center"/>
            <w:hideMark/>
          </w:tcPr>
          <w:p w14:paraId="76FF0FA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4,375,216.5</w:t>
            </w:r>
          </w:p>
        </w:tc>
        <w:tc>
          <w:tcPr>
            <w:tcW w:w="1240" w:type="dxa"/>
            <w:tcBorders>
              <w:top w:val="nil"/>
              <w:left w:val="nil"/>
              <w:bottom w:val="nil"/>
              <w:right w:val="nil"/>
            </w:tcBorders>
            <w:shd w:val="clear" w:color="auto" w:fill="auto"/>
            <w:noWrap/>
            <w:vAlign w:val="center"/>
            <w:hideMark/>
          </w:tcPr>
          <w:p w14:paraId="3207C5F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5,840,760.3</w:t>
            </w:r>
          </w:p>
        </w:tc>
        <w:tc>
          <w:tcPr>
            <w:tcW w:w="1240" w:type="dxa"/>
            <w:tcBorders>
              <w:top w:val="nil"/>
              <w:left w:val="nil"/>
              <w:bottom w:val="nil"/>
              <w:right w:val="nil"/>
            </w:tcBorders>
            <w:shd w:val="clear" w:color="auto" w:fill="auto"/>
            <w:noWrap/>
            <w:vAlign w:val="center"/>
            <w:hideMark/>
          </w:tcPr>
          <w:p w14:paraId="6F42885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5,533,181.0</w:t>
            </w:r>
          </w:p>
        </w:tc>
      </w:tr>
      <w:tr w:rsidR="001337C9" w:rsidRPr="001337C9" w14:paraId="45DDC902" w14:textId="77777777" w:rsidTr="001337C9">
        <w:trPr>
          <w:trHeight w:val="290"/>
        </w:trPr>
        <w:tc>
          <w:tcPr>
            <w:tcW w:w="3060" w:type="dxa"/>
            <w:gridSpan w:val="2"/>
            <w:tcBorders>
              <w:top w:val="nil"/>
              <w:left w:val="nil"/>
              <w:bottom w:val="nil"/>
              <w:right w:val="nil"/>
            </w:tcBorders>
            <w:shd w:val="clear" w:color="auto" w:fill="auto"/>
            <w:noWrap/>
            <w:vAlign w:val="center"/>
            <w:hideMark/>
          </w:tcPr>
          <w:p w14:paraId="442B720B"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Excise Duties</w:t>
            </w:r>
          </w:p>
        </w:tc>
        <w:tc>
          <w:tcPr>
            <w:tcW w:w="1240" w:type="dxa"/>
            <w:tcBorders>
              <w:top w:val="nil"/>
              <w:left w:val="nil"/>
              <w:bottom w:val="nil"/>
              <w:right w:val="nil"/>
            </w:tcBorders>
            <w:shd w:val="clear" w:color="auto" w:fill="auto"/>
            <w:noWrap/>
            <w:vAlign w:val="center"/>
            <w:hideMark/>
          </w:tcPr>
          <w:p w14:paraId="51C2F9F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3,705,912.3</w:t>
            </w:r>
          </w:p>
        </w:tc>
        <w:tc>
          <w:tcPr>
            <w:tcW w:w="1240" w:type="dxa"/>
            <w:tcBorders>
              <w:top w:val="nil"/>
              <w:left w:val="nil"/>
              <w:bottom w:val="nil"/>
              <w:right w:val="nil"/>
            </w:tcBorders>
            <w:shd w:val="clear" w:color="auto" w:fill="auto"/>
            <w:noWrap/>
            <w:vAlign w:val="center"/>
            <w:hideMark/>
          </w:tcPr>
          <w:p w14:paraId="3FFB8C9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3,910,739.3</w:t>
            </w:r>
          </w:p>
        </w:tc>
        <w:tc>
          <w:tcPr>
            <w:tcW w:w="1240" w:type="dxa"/>
            <w:tcBorders>
              <w:top w:val="nil"/>
              <w:left w:val="nil"/>
              <w:bottom w:val="nil"/>
              <w:right w:val="nil"/>
            </w:tcBorders>
            <w:shd w:val="clear" w:color="auto" w:fill="auto"/>
            <w:noWrap/>
            <w:vAlign w:val="center"/>
            <w:hideMark/>
          </w:tcPr>
          <w:p w14:paraId="304E126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4,375,216.5</w:t>
            </w:r>
          </w:p>
        </w:tc>
        <w:tc>
          <w:tcPr>
            <w:tcW w:w="1240" w:type="dxa"/>
            <w:tcBorders>
              <w:top w:val="nil"/>
              <w:left w:val="nil"/>
              <w:bottom w:val="nil"/>
              <w:right w:val="nil"/>
            </w:tcBorders>
            <w:shd w:val="clear" w:color="auto" w:fill="auto"/>
            <w:noWrap/>
            <w:vAlign w:val="center"/>
            <w:hideMark/>
          </w:tcPr>
          <w:p w14:paraId="3E24586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5,840,760.3</w:t>
            </w:r>
          </w:p>
        </w:tc>
        <w:tc>
          <w:tcPr>
            <w:tcW w:w="1240" w:type="dxa"/>
            <w:tcBorders>
              <w:top w:val="nil"/>
              <w:left w:val="nil"/>
              <w:bottom w:val="nil"/>
              <w:right w:val="nil"/>
            </w:tcBorders>
            <w:shd w:val="clear" w:color="auto" w:fill="auto"/>
            <w:noWrap/>
            <w:vAlign w:val="center"/>
            <w:hideMark/>
          </w:tcPr>
          <w:p w14:paraId="135F30B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5,533,181.0</w:t>
            </w:r>
          </w:p>
        </w:tc>
      </w:tr>
      <w:tr w:rsidR="001337C9" w:rsidRPr="001337C9" w14:paraId="7040A06D"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68751F5A"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Road Usage Fees</w:t>
            </w:r>
          </w:p>
        </w:tc>
      </w:tr>
      <w:tr w:rsidR="001337C9" w:rsidRPr="001337C9" w14:paraId="7FCA4432" w14:textId="77777777" w:rsidTr="001337C9">
        <w:trPr>
          <w:trHeight w:val="280"/>
        </w:trPr>
        <w:tc>
          <w:tcPr>
            <w:tcW w:w="686" w:type="dxa"/>
            <w:tcBorders>
              <w:top w:val="nil"/>
              <w:left w:val="nil"/>
              <w:bottom w:val="nil"/>
              <w:right w:val="nil"/>
            </w:tcBorders>
            <w:shd w:val="clear" w:color="auto" w:fill="auto"/>
            <w:noWrap/>
            <w:vAlign w:val="center"/>
            <w:hideMark/>
          </w:tcPr>
          <w:p w14:paraId="7A57628A"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p>
        </w:tc>
        <w:tc>
          <w:tcPr>
            <w:tcW w:w="2374" w:type="dxa"/>
            <w:tcBorders>
              <w:top w:val="nil"/>
              <w:left w:val="nil"/>
              <w:bottom w:val="nil"/>
              <w:right w:val="nil"/>
            </w:tcBorders>
            <w:shd w:val="clear" w:color="auto" w:fill="auto"/>
            <w:noWrap/>
            <w:vAlign w:val="center"/>
            <w:hideMark/>
          </w:tcPr>
          <w:p w14:paraId="056C4C8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26C0D5C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8,024.0</w:t>
            </w:r>
          </w:p>
        </w:tc>
        <w:tc>
          <w:tcPr>
            <w:tcW w:w="1240" w:type="dxa"/>
            <w:tcBorders>
              <w:top w:val="nil"/>
              <w:left w:val="nil"/>
              <w:bottom w:val="nil"/>
              <w:right w:val="nil"/>
            </w:tcBorders>
            <w:shd w:val="clear" w:color="auto" w:fill="auto"/>
            <w:noWrap/>
            <w:vAlign w:val="center"/>
            <w:hideMark/>
          </w:tcPr>
          <w:p w14:paraId="4ED4E02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26,161.0</w:t>
            </w:r>
          </w:p>
        </w:tc>
        <w:tc>
          <w:tcPr>
            <w:tcW w:w="1240" w:type="dxa"/>
            <w:tcBorders>
              <w:top w:val="nil"/>
              <w:left w:val="nil"/>
              <w:bottom w:val="nil"/>
              <w:right w:val="nil"/>
            </w:tcBorders>
            <w:shd w:val="clear" w:color="auto" w:fill="auto"/>
            <w:noWrap/>
            <w:vAlign w:val="center"/>
            <w:hideMark/>
          </w:tcPr>
          <w:p w14:paraId="57A7CA8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12,636.2</w:t>
            </w:r>
          </w:p>
        </w:tc>
        <w:tc>
          <w:tcPr>
            <w:tcW w:w="1240" w:type="dxa"/>
            <w:tcBorders>
              <w:top w:val="nil"/>
              <w:left w:val="nil"/>
              <w:bottom w:val="nil"/>
              <w:right w:val="nil"/>
            </w:tcBorders>
            <w:shd w:val="clear" w:color="auto" w:fill="auto"/>
            <w:noWrap/>
            <w:vAlign w:val="center"/>
            <w:hideMark/>
          </w:tcPr>
          <w:p w14:paraId="5B1163C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16,949.7</w:t>
            </w:r>
          </w:p>
        </w:tc>
        <w:tc>
          <w:tcPr>
            <w:tcW w:w="1240" w:type="dxa"/>
            <w:tcBorders>
              <w:top w:val="nil"/>
              <w:left w:val="nil"/>
              <w:bottom w:val="nil"/>
              <w:right w:val="nil"/>
            </w:tcBorders>
            <w:shd w:val="clear" w:color="auto" w:fill="auto"/>
            <w:noWrap/>
            <w:vAlign w:val="center"/>
            <w:hideMark/>
          </w:tcPr>
          <w:p w14:paraId="452D8EC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22,169.2</w:t>
            </w:r>
          </w:p>
        </w:tc>
      </w:tr>
      <w:tr w:rsidR="001337C9" w:rsidRPr="001337C9" w14:paraId="2BECE672" w14:textId="77777777" w:rsidTr="001337C9">
        <w:trPr>
          <w:trHeight w:val="290"/>
        </w:trPr>
        <w:tc>
          <w:tcPr>
            <w:tcW w:w="3060" w:type="dxa"/>
            <w:gridSpan w:val="2"/>
            <w:tcBorders>
              <w:top w:val="nil"/>
              <w:left w:val="nil"/>
              <w:bottom w:val="nil"/>
              <w:right w:val="nil"/>
            </w:tcBorders>
            <w:shd w:val="clear" w:color="auto" w:fill="auto"/>
            <w:noWrap/>
            <w:vAlign w:val="center"/>
            <w:hideMark/>
          </w:tcPr>
          <w:p w14:paraId="0DA73A50"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Road Usage Fees</w:t>
            </w:r>
          </w:p>
        </w:tc>
        <w:tc>
          <w:tcPr>
            <w:tcW w:w="1240" w:type="dxa"/>
            <w:tcBorders>
              <w:top w:val="nil"/>
              <w:left w:val="nil"/>
              <w:bottom w:val="nil"/>
              <w:right w:val="nil"/>
            </w:tcBorders>
            <w:shd w:val="clear" w:color="auto" w:fill="auto"/>
            <w:noWrap/>
            <w:vAlign w:val="center"/>
            <w:hideMark/>
          </w:tcPr>
          <w:p w14:paraId="6374C42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8,024.0</w:t>
            </w:r>
          </w:p>
        </w:tc>
        <w:tc>
          <w:tcPr>
            <w:tcW w:w="1240" w:type="dxa"/>
            <w:tcBorders>
              <w:top w:val="nil"/>
              <w:left w:val="nil"/>
              <w:bottom w:val="nil"/>
              <w:right w:val="nil"/>
            </w:tcBorders>
            <w:shd w:val="clear" w:color="auto" w:fill="auto"/>
            <w:noWrap/>
            <w:vAlign w:val="center"/>
            <w:hideMark/>
          </w:tcPr>
          <w:p w14:paraId="119736F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26,161.0</w:t>
            </w:r>
          </w:p>
        </w:tc>
        <w:tc>
          <w:tcPr>
            <w:tcW w:w="1240" w:type="dxa"/>
            <w:tcBorders>
              <w:top w:val="nil"/>
              <w:left w:val="nil"/>
              <w:bottom w:val="nil"/>
              <w:right w:val="nil"/>
            </w:tcBorders>
            <w:shd w:val="clear" w:color="auto" w:fill="auto"/>
            <w:noWrap/>
            <w:vAlign w:val="center"/>
            <w:hideMark/>
          </w:tcPr>
          <w:p w14:paraId="712446D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12,636.2</w:t>
            </w:r>
          </w:p>
        </w:tc>
        <w:tc>
          <w:tcPr>
            <w:tcW w:w="1240" w:type="dxa"/>
            <w:tcBorders>
              <w:top w:val="nil"/>
              <w:left w:val="nil"/>
              <w:bottom w:val="nil"/>
              <w:right w:val="nil"/>
            </w:tcBorders>
            <w:shd w:val="clear" w:color="auto" w:fill="auto"/>
            <w:noWrap/>
            <w:vAlign w:val="center"/>
            <w:hideMark/>
          </w:tcPr>
          <w:p w14:paraId="17BDBCC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16,949.7</w:t>
            </w:r>
          </w:p>
        </w:tc>
        <w:tc>
          <w:tcPr>
            <w:tcW w:w="1240" w:type="dxa"/>
            <w:tcBorders>
              <w:top w:val="nil"/>
              <w:left w:val="nil"/>
              <w:bottom w:val="nil"/>
              <w:right w:val="nil"/>
            </w:tcBorders>
            <w:shd w:val="clear" w:color="auto" w:fill="auto"/>
            <w:noWrap/>
            <w:vAlign w:val="center"/>
            <w:hideMark/>
          </w:tcPr>
          <w:p w14:paraId="64FF29A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22,169.2</w:t>
            </w:r>
          </w:p>
        </w:tc>
      </w:tr>
      <w:tr w:rsidR="001337C9" w:rsidRPr="001337C9" w14:paraId="637E3570"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3A517EE7"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Import Duties</w:t>
            </w:r>
          </w:p>
        </w:tc>
      </w:tr>
      <w:tr w:rsidR="001337C9" w:rsidRPr="001337C9" w14:paraId="021ACE18" w14:textId="77777777" w:rsidTr="001337C9">
        <w:trPr>
          <w:trHeight w:val="280"/>
        </w:trPr>
        <w:tc>
          <w:tcPr>
            <w:tcW w:w="686" w:type="dxa"/>
            <w:tcBorders>
              <w:top w:val="nil"/>
              <w:left w:val="nil"/>
              <w:bottom w:val="nil"/>
              <w:right w:val="nil"/>
            </w:tcBorders>
            <w:shd w:val="clear" w:color="auto" w:fill="auto"/>
            <w:noWrap/>
            <w:vAlign w:val="center"/>
            <w:hideMark/>
          </w:tcPr>
          <w:p w14:paraId="7BD4FB80"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p>
        </w:tc>
        <w:tc>
          <w:tcPr>
            <w:tcW w:w="2374" w:type="dxa"/>
            <w:tcBorders>
              <w:top w:val="nil"/>
              <w:left w:val="nil"/>
              <w:bottom w:val="nil"/>
              <w:right w:val="nil"/>
            </w:tcBorders>
            <w:shd w:val="clear" w:color="auto" w:fill="auto"/>
            <w:noWrap/>
            <w:vAlign w:val="center"/>
            <w:hideMark/>
          </w:tcPr>
          <w:p w14:paraId="34C15A5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78B33A0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135,909.1</w:t>
            </w:r>
          </w:p>
        </w:tc>
        <w:tc>
          <w:tcPr>
            <w:tcW w:w="1240" w:type="dxa"/>
            <w:tcBorders>
              <w:top w:val="nil"/>
              <w:left w:val="nil"/>
              <w:bottom w:val="nil"/>
              <w:right w:val="nil"/>
            </w:tcBorders>
            <w:shd w:val="clear" w:color="auto" w:fill="auto"/>
            <w:noWrap/>
            <w:vAlign w:val="center"/>
            <w:hideMark/>
          </w:tcPr>
          <w:p w14:paraId="0EC625D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162,457.2</w:t>
            </w:r>
          </w:p>
        </w:tc>
        <w:tc>
          <w:tcPr>
            <w:tcW w:w="1240" w:type="dxa"/>
            <w:tcBorders>
              <w:top w:val="nil"/>
              <w:left w:val="nil"/>
              <w:bottom w:val="nil"/>
              <w:right w:val="nil"/>
            </w:tcBorders>
            <w:shd w:val="clear" w:color="auto" w:fill="auto"/>
            <w:noWrap/>
            <w:vAlign w:val="center"/>
            <w:hideMark/>
          </w:tcPr>
          <w:p w14:paraId="62A76AE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149,314.8</w:t>
            </w:r>
          </w:p>
        </w:tc>
        <w:tc>
          <w:tcPr>
            <w:tcW w:w="1240" w:type="dxa"/>
            <w:tcBorders>
              <w:top w:val="nil"/>
              <w:left w:val="nil"/>
              <w:bottom w:val="nil"/>
              <w:right w:val="nil"/>
            </w:tcBorders>
            <w:shd w:val="clear" w:color="auto" w:fill="auto"/>
            <w:noWrap/>
            <w:vAlign w:val="center"/>
            <w:hideMark/>
          </w:tcPr>
          <w:p w14:paraId="4BBDBF3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234,906.1</w:t>
            </w:r>
          </w:p>
        </w:tc>
        <w:tc>
          <w:tcPr>
            <w:tcW w:w="1240" w:type="dxa"/>
            <w:tcBorders>
              <w:top w:val="nil"/>
              <w:left w:val="nil"/>
              <w:bottom w:val="nil"/>
              <w:right w:val="nil"/>
            </w:tcBorders>
            <w:shd w:val="clear" w:color="auto" w:fill="auto"/>
            <w:noWrap/>
            <w:vAlign w:val="center"/>
            <w:hideMark/>
          </w:tcPr>
          <w:p w14:paraId="495CA46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213,590.5</w:t>
            </w:r>
          </w:p>
        </w:tc>
      </w:tr>
      <w:tr w:rsidR="001337C9" w:rsidRPr="001337C9" w14:paraId="6B6B8471" w14:textId="77777777" w:rsidTr="001337C9">
        <w:trPr>
          <w:trHeight w:val="290"/>
        </w:trPr>
        <w:tc>
          <w:tcPr>
            <w:tcW w:w="3060" w:type="dxa"/>
            <w:gridSpan w:val="2"/>
            <w:tcBorders>
              <w:top w:val="nil"/>
              <w:left w:val="nil"/>
              <w:bottom w:val="nil"/>
              <w:right w:val="nil"/>
            </w:tcBorders>
            <w:shd w:val="clear" w:color="auto" w:fill="auto"/>
            <w:noWrap/>
            <w:vAlign w:val="center"/>
            <w:hideMark/>
          </w:tcPr>
          <w:p w14:paraId="596132AD"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Import Duties</w:t>
            </w:r>
          </w:p>
        </w:tc>
        <w:tc>
          <w:tcPr>
            <w:tcW w:w="1240" w:type="dxa"/>
            <w:tcBorders>
              <w:top w:val="nil"/>
              <w:left w:val="nil"/>
              <w:bottom w:val="nil"/>
              <w:right w:val="nil"/>
            </w:tcBorders>
            <w:shd w:val="clear" w:color="auto" w:fill="auto"/>
            <w:noWrap/>
            <w:vAlign w:val="center"/>
            <w:hideMark/>
          </w:tcPr>
          <w:p w14:paraId="00E20D6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135,909.1</w:t>
            </w:r>
          </w:p>
        </w:tc>
        <w:tc>
          <w:tcPr>
            <w:tcW w:w="1240" w:type="dxa"/>
            <w:tcBorders>
              <w:top w:val="nil"/>
              <w:left w:val="nil"/>
              <w:bottom w:val="nil"/>
              <w:right w:val="nil"/>
            </w:tcBorders>
            <w:shd w:val="clear" w:color="auto" w:fill="auto"/>
            <w:noWrap/>
            <w:vAlign w:val="center"/>
            <w:hideMark/>
          </w:tcPr>
          <w:p w14:paraId="7B28671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162,457.2</w:t>
            </w:r>
          </w:p>
        </w:tc>
        <w:tc>
          <w:tcPr>
            <w:tcW w:w="1240" w:type="dxa"/>
            <w:tcBorders>
              <w:top w:val="nil"/>
              <w:left w:val="nil"/>
              <w:bottom w:val="nil"/>
              <w:right w:val="nil"/>
            </w:tcBorders>
            <w:shd w:val="clear" w:color="auto" w:fill="auto"/>
            <w:noWrap/>
            <w:vAlign w:val="center"/>
            <w:hideMark/>
          </w:tcPr>
          <w:p w14:paraId="58075B7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149,314.8</w:t>
            </w:r>
          </w:p>
        </w:tc>
        <w:tc>
          <w:tcPr>
            <w:tcW w:w="1240" w:type="dxa"/>
            <w:tcBorders>
              <w:top w:val="nil"/>
              <w:left w:val="nil"/>
              <w:bottom w:val="nil"/>
              <w:right w:val="nil"/>
            </w:tcBorders>
            <w:shd w:val="clear" w:color="auto" w:fill="auto"/>
            <w:noWrap/>
            <w:vAlign w:val="center"/>
            <w:hideMark/>
          </w:tcPr>
          <w:p w14:paraId="2D4D74B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234,906.1</w:t>
            </w:r>
          </w:p>
        </w:tc>
        <w:tc>
          <w:tcPr>
            <w:tcW w:w="1240" w:type="dxa"/>
            <w:tcBorders>
              <w:top w:val="nil"/>
              <w:left w:val="nil"/>
              <w:bottom w:val="nil"/>
              <w:right w:val="nil"/>
            </w:tcBorders>
            <w:shd w:val="clear" w:color="auto" w:fill="auto"/>
            <w:noWrap/>
            <w:vAlign w:val="center"/>
            <w:hideMark/>
          </w:tcPr>
          <w:p w14:paraId="0F848EE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213,590.5</w:t>
            </w:r>
          </w:p>
        </w:tc>
      </w:tr>
      <w:tr w:rsidR="001337C9" w:rsidRPr="001337C9" w14:paraId="1777C728"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16C4D04D"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Real Estate Tax</w:t>
            </w:r>
          </w:p>
        </w:tc>
      </w:tr>
      <w:tr w:rsidR="001337C9" w:rsidRPr="001337C9" w14:paraId="7DC86E82" w14:textId="77777777" w:rsidTr="001337C9">
        <w:trPr>
          <w:trHeight w:val="280"/>
        </w:trPr>
        <w:tc>
          <w:tcPr>
            <w:tcW w:w="686" w:type="dxa"/>
            <w:tcBorders>
              <w:top w:val="nil"/>
              <w:left w:val="nil"/>
              <w:bottom w:val="nil"/>
              <w:right w:val="nil"/>
            </w:tcBorders>
            <w:shd w:val="clear" w:color="auto" w:fill="auto"/>
            <w:noWrap/>
            <w:vAlign w:val="center"/>
            <w:hideMark/>
          </w:tcPr>
          <w:p w14:paraId="6920114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 </w:t>
            </w:r>
          </w:p>
        </w:tc>
        <w:tc>
          <w:tcPr>
            <w:tcW w:w="2374" w:type="dxa"/>
            <w:tcBorders>
              <w:top w:val="nil"/>
              <w:left w:val="nil"/>
              <w:bottom w:val="nil"/>
              <w:right w:val="nil"/>
            </w:tcBorders>
            <w:shd w:val="clear" w:color="auto" w:fill="auto"/>
            <w:noWrap/>
            <w:vAlign w:val="center"/>
            <w:hideMark/>
          </w:tcPr>
          <w:p w14:paraId="0E45045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08C4C5D1"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353,332.3</w:t>
            </w:r>
          </w:p>
        </w:tc>
        <w:tc>
          <w:tcPr>
            <w:tcW w:w="1240" w:type="dxa"/>
            <w:tcBorders>
              <w:top w:val="nil"/>
              <w:left w:val="nil"/>
              <w:bottom w:val="nil"/>
              <w:right w:val="nil"/>
            </w:tcBorders>
            <w:shd w:val="clear" w:color="auto" w:fill="auto"/>
            <w:noWrap/>
            <w:vAlign w:val="center"/>
            <w:hideMark/>
          </w:tcPr>
          <w:p w14:paraId="7FE5A39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288,621.5</w:t>
            </w:r>
          </w:p>
        </w:tc>
        <w:tc>
          <w:tcPr>
            <w:tcW w:w="1240" w:type="dxa"/>
            <w:tcBorders>
              <w:top w:val="nil"/>
              <w:left w:val="nil"/>
              <w:bottom w:val="nil"/>
              <w:right w:val="nil"/>
            </w:tcBorders>
            <w:shd w:val="clear" w:color="auto" w:fill="auto"/>
            <w:noWrap/>
            <w:vAlign w:val="center"/>
            <w:hideMark/>
          </w:tcPr>
          <w:p w14:paraId="27C1A85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280,995.2</w:t>
            </w:r>
          </w:p>
        </w:tc>
        <w:tc>
          <w:tcPr>
            <w:tcW w:w="1240" w:type="dxa"/>
            <w:tcBorders>
              <w:top w:val="nil"/>
              <w:left w:val="nil"/>
              <w:bottom w:val="nil"/>
              <w:right w:val="nil"/>
            </w:tcBorders>
            <w:shd w:val="clear" w:color="auto" w:fill="auto"/>
            <w:noWrap/>
            <w:vAlign w:val="center"/>
            <w:hideMark/>
          </w:tcPr>
          <w:p w14:paraId="4B637BA7"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367,138.5</w:t>
            </w:r>
          </w:p>
        </w:tc>
        <w:tc>
          <w:tcPr>
            <w:tcW w:w="1240" w:type="dxa"/>
            <w:tcBorders>
              <w:top w:val="nil"/>
              <w:left w:val="nil"/>
              <w:bottom w:val="nil"/>
              <w:right w:val="nil"/>
            </w:tcBorders>
            <w:shd w:val="clear" w:color="auto" w:fill="auto"/>
            <w:noWrap/>
            <w:vAlign w:val="center"/>
            <w:hideMark/>
          </w:tcPr>
          <w:p w14:paraId="428B870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7389556E" w14:textId="77777777" w:rsidTr="001337C9">
        <w:trPr>
          <w:trHeight w:val="280"/>
        </w:trPr>
        <w:tc>
          <w:tcPr>
            <w:tcW w:w="686" w:type="dxa"/>
            <w:tcBorders>
              <w:top w:val="nil"/>
              <w:left w:val="nil"/>
              <w:bottom w:val="nil"/>
              <w:right w:val="nil"/>
            </w:tcBorders>
            <w:shd w:val="clear" w:color="auto" w:fill="auto"/>
            <w:noWrap/>
            <w:vAlign w:val="center"/>
            <w:hideMark/>
          </w:tcPr>
          <w:p w14:paraId="0D44764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167B323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Exemption/reduced rate</w:t>
            </w:r>
          </w:p>
        </w:tc>
        <w:tc>
          <w:tcPr>
            <w:tcW w:w="1240" w:type="dxa"/>
            <w:tcBorders>
              <w:top w:val="nil"/>
              <w:left w:val="nil"/>
              <w:bottom w:val="nil"/>
              <w:right w:val="nil"/>
            </w:tcBorders>
            <w:shd w:val="clear" w:color="auto" w:fill="auto"/>
            <w:noWrap/>
            <w:vAlign w:val="center"/>
            <w:hideMark/>
          </w:tcPr>
          <w:p w14:paraId="0F42B52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93.5</w:t>
            </w:r>
          </w:p>
        </w:tc>
        <w:tc>
          <w:tcPr>
            <w:tcW w:w="1240" w:type="dxa"/>
            <w:tcBorders>
              <w:top w:val="nil"/>
              <w:left w:val="nil"/>
              <w:bottom w:val="nil"/>
              <w:right w:val="nil"/>
            </w:tcBorders>
            <w:shd w:val="clear" w:color="auto" w:fill="auto"/>
            <w:noWrap/>
            <w:vAlign w:val="center"/>
            <w:hideMark/>
          </w:tcPr>
          <w:p w14:paraId="0D2BBFE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16,275.1</w:t>
            </w:r>
          </w:p>
        </w:tc>
        <w:tc>
          <w:tcPr>
            <w:tcW w:w="1240" w:type="dxa"/>
            <w:tcBorders>
              <w:top w:val="nil"/>
              <w:left w:val="nil"/>
              <w:bottom w:val="nil"/>
              <w:right w:val="nil"/>
            </w:tcBorders>
            <w:shd w:val="clear" w:color="auto" w:fill="auto"/>
            <w:noWrap/>
            <w:vAlign w:val="center"/>
            <w:hideMark/>
          </w:tcPr>
          <w:p w14:paraId="626EDA7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2,206.7</w:t>
            </w:r>
          </w:p>
        </w:tc>
        <w:tc>
          <w:tcPr>
            <w:tcW w:w="1240" w:type="dxa"/>
            <w:tcBorders>
              <w:top w:val="nil"/>
              <w:left w:val="nil"/>
              <w:bottom w:val="nil"/>
              <w:right w:val="nil"/>
            </w:tcBorders>
            <w:shd w:val="clear" w:color="auto" w:fill="auto"/>
            <w:noWrap/>
            <w:vAlign w:val="center"/>
            <w:hideMark/>
          </w:tcPr>
          <w:p w14:paraId="51C0BCC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270.2</w:t>
            </w:r>
          </w:p>
        </w:tc>
        <w:tc>
          <w:tcPr>
            <w:tcW w:w="1240" w:type="dxa"/>
            <w:tcBorders>
              <w:top w:val="nil"/>
              <w:left w:val="nil"/>
              <w:bottom w:val="nil"/>
              <w:right w:val="nil"/>
            </w:tcBorders>
            <w:shd w:val="clear" w:color="auto" w:fill="auto"/>
            <w:noWrap/>
            <w:vAlign w:val="center"/>
            <w:hideMark/>
          </w:tcPr>
          <w:p w14:paraId="6A16460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366EC406" w14:textId="77777777" w:rsidTr="001337C9">
        <w:trPr>
          <w:trHeight w:val="280"/>
        </w:trPr>
        <w:tc>
          <w:tcPr>
            <w:tcW w:w="686" w:type="dxa"/>
            <w:tcBorders>
              <w:top w:val="nil"/>
              <w:left w:val="nil"/>
              <w:bottom w:val="nil"/>
              <w:right w:val="nil"/>
            </w:tcBorders>
            <w:shd w:val="clear" w:color="auto" w:fill="auto"/>
            <w:noWrap/>
            <w:vAlign w:val="bottom"/>
            <w:hideMark/>
          </w:tcPr>
          <w:p w14:paraId="769F4376"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56EBF24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Exemption/deferral</w:t>
            </w:r>
          </w:p>
        </w:tc>
        <w:tc>
          <w:tcPr>
            <w:tcW w:w="1240" w:type="dxa"/>
            <w:tcBorders>
              <w:top w:val="nil"/>
              <w:left w:val="nil"/>
              <w:bottom w:val="nil"/>
              <w:right w:val="nil"/>
            </w:tcBorders>
            <w:shd w:val="clear" w:color="auto" w:fill="auto"/>
            <w:noWrap/>
            <w:vAlign w:val="center"/>
            <w:hideMark/>
          </w:tcPr>
          <w:p w14:paraId="34BAD46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0.0</w:t>
            </w:r>
          </w:p>
        </w:tc>
        <w:tc>
          <w:tcPr>
            <w:tcW w:w="1240" w:type="dxa"/>
            <w:tcBorders>
              <w:top w:val="nil"/>
              <w:left w:val="nil"/>
              <w:bottom w:val="nil"/>
              <w:right w:val="nil"/>
            </w:tcBorders>
            <w:shd w:val="clear" w:color="auto" w:fill="auto"/>
            <w:noWrap/>
            <w:vAlign w:val="center"/>
            <w:hideMark/>
          </w:tcPr>
          <w:p w14:paraId="7E7447B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50.3</w:t>
            </w:r>
          </w:p>
        </w:tc>
        <w:tc>
          <w:tcPr>
            <w:tcW w:w="1240" w:type="dxa"/>
            <w:tcBorders>
              <w:top w:val="nil"/>
              <w:left w:val="nil"/>
              <w:bottom w:val="nil"/>
              <w:right w:val="nil"/>
            </w:tcBorders>
            <w:shd w:val="clear" w:color="auto" w:fill="auto"/>
            <w:noWrap/>
            <w:vAlign w:val="center"/>
            <w:hideMark/>
          </w:tcPr>
          <w:p w14:paraId="4DF11E5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0.0</w:t>
            </w:r>
          </w:p>
        </w:tc>
        <w:tc>
          <w:tcPr>
            <w:tcW w:w="1240" w:type="dxa"/>
            <w:tcBorders>
              <w:top w:val="nil"/>
              <w:left w:val="nil"/>
              <w:bottom w:val="nil"/>
              <w:right w:val="nil"/>
            </w:tcBorders>
            <w:shd w:val="clear" w:color="auto" w:fill="auto"/>
            <w:noWrap/>
            <w:vAlign w:val="center"/>
            <w:hideMark/>
          </w:tcPr>
          <w:p w14:paraId="3624B84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1.0</w:t>
            </w:r>
          </w:p>
        </w:tc>
        <w:tc>
          <w:tcPr>
            <w:tcW w:w="1240" w:type="dxa"/>
            <w:tcBorders>
              <w:top w:val="nil"/>
              <w:left w:val="nil"/>
              <w:bottom w:val="nil"/>
              <w:right w:val="nil"/>
            </w:tcBorders>
            <w:shd w:val="clear" w:color="auto" w:fill="auto"/>
            <w:noWrap/>
            <w:vAlign w:val="center"/>
            <w:hideMark/>
          </w:tcPr>
          <w:p w14:paraId="39BD839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4008CC68" w14:textId="77777777" w:rsidTr="001337C9">
        <w:trPr>
          <w:trHeight w:val="280"/>
        </w:trPr>
        <w:tc>
          <w:tcPr>
            <w:tcW w:w="686" w:type="dxa"/>
            <w:tcBorders>
              <w:top w:val="nil"/>
              <w:left w:val="nil"/>
              <w:bottom w:val="nil"/>
              <w:right w:val="nil"/>
            </w:tcBorders>
            <w:shd w:val="clear" w:color="auto" w:fill="auto"/>
            <w:noWrap/>
            <w:vAlign w:val="bottom"/>
            <w:hideMark/>
          </w:tcPr>
          <w:p w14:paraId="5262F78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39BF4F6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Reduced rate</w:t>
            </w:r>
          </w:p>
        </w:tc>
        <w:tc>
          <w:tcPr>
            <w:tcW w:w="1240" w:type="dxa"/>
            <w:tcBorders>
              <w:top w:val="nil"/>
              <w:left w:val="nil"/>
              <w:bottom w:val="nil"/>
              <w:right w:val="nil"/>
            </w:tcBorders>
            <w:shd w:val="clear" w:color="auto" w:fill="auto"/>
            <w:noWrap/>
            <w:vAlign w:val="center"/>
            <w:hideMark/>
          </w:tcPr>
          <w:p w14:paraId="7B5646A8"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78,132.6</w:t>
            </w:r>
          </w:p>
        </w:tc>
        <w:tc>
          <w:tcPr>
            <w:tcW w:w="1240" w:type="dxa"/>
            <w:tcBorders>
              <w:top w:val="nil"/>
              <w:left w:val="nil"/>
              <w:bottom w:val="nil"/>
              <w:right w:val="nil"/>
            </w:tcBorders>
            <w:shd w:val="clear" w:color="auto" w:fill="auto"/>
            <w:noWrap/>
            <w:vAlign w:val="center"/>
            <w:hideMark/>
          </w:tcPr>
          <w:p w14:paraId="37E1A13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124,369.9</w:t>
            </w:r>
          </w:p>
        </w:tc>
        <w:tc>
          <w:tcPr>
            <w:tcW w:w="1240" w:type="dxa"/>
            <w:tcBorders>
              <w:top w:val="nil"/>
              <w:left w:val="nil"/>
              <w:bottom w:val="nil"/>
              <w:right w:val="nil"/>
            </w:tcBorders>
            <w:shd w:val="clear" w:color="auto" w:fill="auto"/>
            <w:noWrap/>
            <w:vAlign w:val="center"/>
            <w:hideMark/>
          </w:tcPr>
          <w:p w14:paraId="65F3143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48,173.4</w:t>
            </w:r>
          </w:p>
        </w:tc>
        <w:tc>
          <w:tcPr>
            <w:tcW w:w="1240" w:type="dxa"/>
            <w:tcBorders>
              <w:top w:val="nil"/>
              <w:left w:val="nil"/>
              <w:bottom w:val="nil"/>
              <w:right w:val="nil"/>
            </w:tcBorders>
            <w:shd w:val="clear" w:color="auto" w:fill="auto"/>
            <w:noWrap/>
            <w:vAlign w:val="center"/>
            <w:hideMark/>
          </w:tcPr>
          <w:p w14:paraId="395AB21C"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0.0</w:t>
            </w:r>
          </w:p>
        </w:tc>
        <w:tc>
          <w:tcPr>
            <w:tcW w:w="1240" w:type="dxa"/>
            <w:tcBorders>
              <w:top w:val="nil"/>
              <w:left w:val="nil"/>
              <w:bottom w:val="nil"/>
              <w:right w:val="nil"/>
            </w:tcBorders>
            <w:shd w:val="clear" w:color="auto" w:fill="auto"/>
            <w:noWrap/>
            <w:vAlign w:val="center"/>
            <w:hideMark/>
          </w:tcPr>
          <w:p w14:paraId="676F9DE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3C10B969" w14:textId="77777777" w:rsidTr="001337C9">
        <w:trPr>
          <w:trHeight w:val="290"/>
        </w:trPr>
        <w:tc>
          <w:tcPr>
            <w:tcW w:w="3060" w:type="dxa"/>
            <w:gridSpan w:val="2"/>
            <w:tcBorders>
              <w:top w:val="nil"/>
              <w:left w:val="nil"/>
              <w:bottom w:val="nil"/>
              <w:right w:val="nil"/>
            </w:tcBorders>
            <w:shd w:val="clear" w:color="auto" w:fill="auto"/>
            <w:noWrap/>
            <w:vAlign w:val="center"/>
            <w:hideMark/>
          </w:tcPr>
          <w:p w14:paraId="2C967B70"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Real Estate Tax</w:t>
            </w:r>
          </w:p>
        </w:tc>
        <w:tc>
          <w:tcPr>
            <w:tcW w:w="1240" w:type="dxa"/>
            <w:tcBorders>
              <w:top w:val="nil"/>
              <w:left w:val="nil"/>
              <w:bottom w:val="nil"/>
              <w:right w:val="nil"/>
            </w:tcBorders>
            <w:shd w:val="clear" w:color="auto" w:fill="auto"/>
            <w:noWrap/>
            <w:vAlign w:val="center"/>
            <w:hideMark/>
          </w:tcPr>
          <w:p w14:paraId="240A405F"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431,558.4</w:t>
            </w:r>
          </w:p>
        </w:tc>
        <w:tc>
          <w:tcPr>
            <w:tcW w:w="1240" w:type="dxa"/>
            <w:tcBorders>
              <w:top w:val="nil"/>
              <w:left w:val="nil"/>
              <w:bottom w:val="nil"/>
              <w:right w:val="nil"/>
            </w:tcBorders>
            <w:shd w:val="clear" w:color="auto" w:fill="auto"/>
            <w:noWrap/>
            <w:vAlign w:val="center"/>
            <w:hideMark/>
          </w:tcPr>
          <w:p w14:paraId="3854375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429,316.7</w:t>
            </w:r>
          </w:p>
        </w:tc>
        <w:tc>
          <w:tcPr>
            <w:tcW w:w="1240" w:type="dxa"/>
            <w:tcBorders>
              <w:top w:val="nil"/>
              <w:left w:val="nil"/>
              <w:bottom w:val="nil"/>
              <w:right w:val="nil"/>
            </w:tcBorders>
            <w:shd w:val="clear" w:color="auto" w:fill="auto"/>
            <w:noWrap/>
            <w:vAlign w:val="center"/>
            <w:hideMark/>
          </w:tcPr>
          <w:p w14:paraId="11DB81E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331,375.3</w:t>
            </w:r>
          </w:p>
        </w:tc>
        <w:tc>
          <w:tcPr>
            <w:tcW w:w="1240" w:type="dxa"/>
            <w:tcBorders>
              <w:top w:val="nil"/>
              <w:left w:val="nil"/>
              <w:bottom w:val="nil"/>
              <w:right w:val="nil"/>
            </w:tcBorders>
            <w:shd w:val="clear" w:color="auto" w:fill="auto"/>
            <w:noWrap/>
            <w:vAlign w:val="center"/>
            <w:hideMark/>
          </w:tcPr>
          <w:p w14:paraId="2D138CCE"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367,409.8</w:t>
            </w:r>
          </w:p>
        </w:tc>
        <w:tc>
          <w:tcPr>
            <w:tcW w:w="1240" w:type="dxa"/>
            <w:tcBorders>
              <w:top w:val="nil"/>
              <w:left w:val="nil"/>
              <w:bottom w:val="nil"/>
              <w:right w:val="nil"/>
            </w:tcBorders>
            <w:shd w:val="clear" w:color="auto" w:fill="auto"/>
            <w:noWrap/>
            <w:vAlign w:val="center"/>
            <w:hideMark/>
          </w:tcPr>
          <w:p w14:paraId="620D876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3B6BD717" w14:textId="77777777" w:rsidTr="001337C9">
        <w:trPr>
          <w:trHeight w:val="290"/>
        </w:trPr>
        <w:tc>
          <w:tcPr>
            <w:tcW w:w="9260" w:type="dxa"/>
            <w:gridSpan w:val="7"/>
            <w:tcBorders>
              <w:top w:val="single" w:sz="8" w:space="0" w:color="auto"/>
              <w:left w:val="nil"/>
              <w:bottom w:val="single" w:sz="8" w:space="0" w:color="auto"/>
              <w:right w:val="nil"/>
            </w:tcBorders>
            <w:shd w:val="clear" w:color="auto" w:fill="auto"/>
            <w:noWrap/>
            <w:vAlign w:val="center"/>
            <w:hideMark/>
          </w:tcPr>
          <w:p w14:paraId="68A5CB0E"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Natural Resource Fees</w:t>
            </w:r>
          </w:p>
        </w:tc>
      </w:tr>
      <w:tr w:rsidR="001337C9" w:rsidRPr="001337C9" w14:paraId="6D47DE32" w14:textId="77777777" w:rsidTr="001337C9">
        <w:trPr>
          <w:trHeight w:val="280"/>
        </w:trPr>
        <w:tc>
          <w:tcPr>
            <w:tcW w:w="686" w:type="dxa"/>
            <w:tcBorders>
              <w:top w:val="nil"/>
              <w:left w:val="nil"/>
              <w:bottom w:val="nil"/>
              <w:right w:val="nil"/>
            </w:tcBorders>
            <w:shd w:val="clear" w:color="auto" w:fill="auto"/>
            <w:noWrap/>
            <w:vAlign w:val="center"/>
            <w:hideMark/>
          </w:tcPr>
          <w:p w14:paraId="332762A0"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p>
        </w:tc>
        <w:tc>
          <w:tcPr>
            <w:tcW w:w="2374" w:type="dxa"/>
            <w:tcBorders>
              <w:top w:val="nil"/>
              <w:left w:val="nil"/>
              <w:bottom w:val="nil"/>
              <w:right w:val="nil"/>
            </w:tcBorders>
            <w:shd w:val="clear" w:color="auto" w:fill="auto"/>
            <w:noWrap/>
            <w:vAlign w:val="center"/>
            <w:hideMark/>
          </w:tcPr>
          <w:p w14:paraId="08FF62BA"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Exemption</w:t>
            </w:r>
          </w:p>
        </w:tc>
        <w:tc>
          <w:tcPr>
            <w:tcW w:w="1240" w:type="dxa"/>
            <w:tcBorders>
              <w:top w:val="nil"/>
              <w:left w:val="nil"/>
              <w:bottom w:val="nil"/>
              <w:right w:val="nil"/>
            </w:tcBorders>
            <w:shd w:val="clear" w:color="auto" w:fill="auto"/>
            <w:noWrap/>
            <w:vAlign w:val="center"/>
            <w:hideMark/>
          </w:tcPr>
          <w:p w14:paraId="487B41C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8,005.7</w:t>
            </w:r>
          </w:p>
        </w:tc>
        <w:tc>
          <w:tcPr>
            <w:tcW w:w="1240" w:type="dxa"/>
            <w:tcBorders>
              <w:top w:val="nil"/>
              <w:left w:val="nil"/>
              <w:bottom w:val="nil"/>
              <w:right w:val="nil"/>
            </w:tcBorders>
            <w:shd w:val="clear" w:color="auto" w:fill="auto"/>
            <w:noWrap/>
            <w:vAlign w:val="center"/>
            <w:hideMark/>
          </w:tcPr>
          <w:p w14:paraId="3B98333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18,502.8</w:t>
            </w:r>
          </w:p>
        </w:tc>
        <w:tc>
          <w:tcPr>
            <w:tcW w:w="1240" w:type="dxa"/>
            <w:tcBorders>
              <w:top w:val="nil"/>
              <w:left w:val="nil"/>
              <w:bottom w:val="nil"/>
              <w:right w:val="nil"/>
            </w:tcBorders>
            <w:shd w:val="clear" w:color="auto" w:fill="auto"/>
            <w:noWrap/>
            <w:vAlign w:val="center"/>
            <w:hideMark/>
          </w:tcPr>
          <w:p w14:paraId="58F15B02"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19,721.0</w:t>
            </w:r>
          </w:p>
        </w:tc>
        <w:tc>
          <w:tcPr>
            <w:tcW w:w="1240" w:type="dxa"/>
            <w:tcBorders>
              <w:top w:val="nil"/>
              <w:left w:val="nil"/>
              <w:bottom w:val="nil"/>
              <w:right w:val="nil"/>
            </w:tcBorders>
            <w:shd w:val="clear" w:color="auto" w:fill="auto"/>
            <w:noWrap/>
            <w:vAlign w:val="center"/>
            <w:hideMark/>
          </w:tcPr>
          <w:p w14:paraId="3E3D450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19,456.8</w:t>
            </w:r>
          </w:p>
        </w:tc>
        <w:tc>
          <w:tcPr>
            <w:tcW w:w="1240" w:type="dxa"/>
            <w:tcBorders>
              <w:top w:val="nil"/>
              <w:left w:val="nil"/>
              <w:bottom w:val="nil"/>
              <w:right w:val="nil"/>
            </w:tcBorders>
            <w:shd w:val="clear" w:color="auto" w:fill="auto"/>
            <w:noWrap/>
            <w:vAlign w:val="center"/>
            <w:hideMark/>
          </w:tcPr>
          <w:p w14:paraId="4F8CF2B5"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10A935B1" w14:textId="77777777" w:rsidTr="001337C9">
        <w:trPr>
          <w:trHeight w:val="280"/>
        </w:trPr>
        <w:tc>
          <w:tcPr>
            <w:tcW w:w="3060" w:type="dxa"/>
            <w:gridSpan w:val="2"/>
            <w:tcBorders>
              <w:top w:val="nil"/>
              <w:left w:val="nil"/>
              <w:bottom w:val="nil"/>
              <w:right w:val="nil"/>
            </w:tcBorders>
            <w:shd w:val="clear" w:color="auto" w:fill="auto"/>
            <w:noWrap/>
            <w:vAlign w:val="center"/>
            <w:hideMark/>
          </w:tcPr>
          <w:p w14:paraId="79241933" w14:textId="77777777" w:rsidR="001337C9" w:rsidRPr="001337C9" w:rsidRDefault="001337C9" w:rsidP="00E90BA7">
            <w:pPr>
              <w:spacing w:after="0" w:line="240" w:lineRule="auto"/>
              <w:ind w:firstLineChars="100" w:firstLine="180"/>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Total Natural Resource Fees</w:t>
            </w:r>
          </w:p>
        </w:tc>
        <w:tc>
          <w:tcPr>
            <w:tcW w:w="1240" w:type="dxa"/>
            <w:tcBorders>
              <w:top w:val="nil"/>
              <w:left w:val="nil"/>
              <w:bottom w:val="nil"/>
              <w:right w:val="nil"/>
            </w:tcBorders>
            <w:shd w:val="clear" w:color="auto" w:fill="auto"/>
            <w:noWrap/>
            <w:vAlign w:val="center"/>
            <w:hideMark/>
          </w:tcPr>
          <w:p w14:paraId="78E7AF3D"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8,005.7</w:t>
            </w:r>
          </w:p>
        </w:tc>
        <w:tc>
          <w:tcPr>
            <w:tcW w:w="1240" w:type="dxa"/>
            <w:tcBorders>
              <w:top w:val="nil"/>
              <w:left w:val="nil"/>
              <w:bottom w:val="nil"/>
              <w:right w:val="nil"/>
            </w:tcBorders>
            <w:shd w:val="clear" w:color="auto" w:fill="auto"/>
            <w:noWrap/>
            <w:vAlign w:val="center"/>
            <w:hideMark/>
          </w:tcPr>
          <w:p w14:paraId="6B3A9EC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18,502.8</w:t>
            </w:r>
          </w:p>
        </w:tc>
        <w:tc>
          <w:tcPr>
            <w:tcW w:w="1240" w:type="dxa"/>
            <w:tcBorders>
              <w:top w:val="nil"/>
              <w:left w:val="nil"/>
              <w:bottom w:val="nil"/>
              <w:right w:val="nil"/>
            </w:tcBorders>
            <w:shd w:val="clear" w:color="auto" w:fill="auto"/>
            <w:noWrap/>
            <w:vAlign w:val="center"/>
            <w:hideMark/>
          </w:tcPr>
          <w:p w14:paraId="42EA66F3"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19,721.0</w:t>
            </w:r>
          </w:p>
        </w:tc>
        <w:tc>
          <w:tcPr>
            <w:tcW w:w="1240" w:type="dxa"/>
            <w:tcBorders>
              <w:top w:val="nil"/>
              <w:left w:val="nil"/>
              <w:bottom w:val="nil"/>
              <w:right w:val="nil"/>
            </w:tcBorders>
            <w:shd w:val="clear" w:color="auto" w:fill="auto"/>
            <w:noWrap/>
            <w:vAlign w:val="center"/>
            <w:hideMark/>
          </w:tcPr>
          <w:p w14:paraId="357C61B4"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19,456.8</w:t>
            </w:r>
          </w:p>
        </w:tc>
        <w:tc>
          <w:tcPr>
            <w:tcW w:w="1240" w:type="dxa"/>
            <w:tcBorders>
              <w:top w:val="nil"/>
              <w:left w:val="nil"/>
              <w:bottom w:val="nil"/>
              <w:right w:val="nil"/>
            </w:tcBorders>
            <w:shd w:val="clear" w:color="auto" w:fill="auto"/>
            <w:noWrap/>
            <w:vAlign w:val="center"/>
            <w:hideMark/>
          </w:tcPr>
          <w:p w14:paraId="7FBCFFAB"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n.a.</w:t>
            </w:r>
          </w:p>
        </w:tc>
      </w:tr>
      <w:tr w:rsidR="001337C9" w:rsidRPr="001337C9" w14:paraId="1574BB1B" w14:textId="77777777" w:rsidTr="001337C9">
        <w:trPr>
          <w:trHeight w:val="290"/>
        </w:trPr>
        <w:tc>
          <w:tcPr>
            <w:tcW w:w="686" w:type="dxa"/>
            <w:tcBorders>
              <w:top w:val="nil"/>
              <w:left w:val="nil"/>
              <w:bottom w:val="nil"/>
              <w:right w:val="nil"/>
            </w:tcBorders>
            <w:shd w:val="clear" w:color="auto" w:fill="auto"/>
            <w:noWrap/>
            <w:vAlign w:val="center"/>
            <w:hideMark/>
          </w:tcPr>
          <w:p w14:paraId="467D7070"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p>
        </w:tc>
        <w:tc>
          <w:tcPr>
            <w:tcW w:w="2374" w:type="dxa"/>
            <w:tcBorders>
              <w:top w:val="nil"/>
              <w:left w:val="nil"/>
              <w:bottom w:val="nil"/>
              <w:right w:val="nil"/>
            </w:tcBorders>
            <w:shd w:val="clear" w:color="auto" w:fill="auto"/>
            <w:noWrap/>
            <w:vAlign w:val="center"/>
            <w:hideMark/>
          </w:tcPr>
          <w:p w14:paraId="554F47D0"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5D82C935"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7D6DDD80"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7AD7833D"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38D2B239"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060C0050" w14:textId="77777777" w:rsidR="001337C9" w:rsidRPr="001337C9" w:rsidRDefault="001337C9" w:rsidP="00E90BA7">
            <w:pPr>
              <w:spacing w:after="0" w:line="240" w:lineRule="auto"/>
              <w:jc w:val="both"/>
              <w:rPr>
                <w:rFonts w:ascii="Times New Roman" w:eastAsia="Times New Roman" w:hAnsi="Times New Roman" w:cs="Times New Roman"/>
                <w:sz w:val="20"/>
                <w:szCs w:val="20"/>
              </w:rPr>
            </w:pPr>
          </w:p>
        </w:tc>
      </w:tr>
      <w:tr w:rsidR="001337C9" w:rsidRPr="001337C9" w14:paraId="58EBCD16" w14:textId="77777777" w:rsidTr="001337C9">
        <w:trPr>
          <w:trHeight w:val="290"/>
        </w:trPr>
        <w:tc>
          <w:tcPr>
            <w:tcW w:w="3060" w:type="dxa"/>
            <w:gridSpan w:val="2"/>
            <w:tcBorders>
              <w:top w:val="single" w:sz="8" w:space="0" w:color="auto"/>
              <w:left w:val="nil"/>
              <w:bottom w:val="double" w:sz="6" w:space="0" w:color="auto"/>
              <w:right w:val="nil"/>
            </w:tcBorders>
            <w:shd w:val="clear" w:color="auto" w:fill="auto"/>
            <w:noWrap/>
            <w:vAlign w:val="center"/>
            <w:hideMark/>
          </w:tcPr>
          <w:p w14:paraId="3A3ABD92"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Total Tax Expenditures</w:t>
            </w:r>
          </w:p>
        </w:tc>
        <w:tc>
          <w:tcPr>
            <w:tcW w:w="1240" w:type="dxa"/>
            <w:tcBorders>
              <w:top w:val="single" w:sz="8" w:space="0" w:color="auto"/>
              <w:left w:val="nil"/>
              <w:bottom w:val="double" w:sz="6" w:space="0" w:color="auto"/>
              <w:right w:val="nil"/>
            </w:tcBorders>
            <w:shd w:val="clear" w:color="auto" w:fill="auto"/>
            <w:noWrap/>
            <w:vAlign w:val="center"/>
            <w:hideMark/>
          </w:tcPr>
          <w:p w14:paraId="7A875DCE"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9,960,239.0</w:t>
            </w:r>
          </w:p>
        </w:tc>
        <w:tc>
          <w:tcPr>
            <w:tcW w:w="1240" w:type="dxa"/>
            <w:tcBorders>
              <w:top w:val="single" w:sz="8" w:space="0" w:color="auto"/>
              <w:left w:val="nil"/>
              <w:bottom w:val="double" w:sz="6" w:space="0" w:color="auto"/>
              <w:right w:val="nil"/>
            </w:tcBorders>
            <w:shd w:val="clear" w:color="auto" w:fill="auto"/>
            <w:noWrap/>
            <w:vAlign w:val="center"/>
            <w:hideMark/>
          </w:tcPr>
          <w:p w14:paraId="3626AAE3"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11,315,693.3</w:t>
            </w:r>
          </w:p>
        </w:tc>
        <w:tc>
          <w:tcPr>
            <w:tcW w:w="1240" w:type="dxa"/>
            <w:tcBorders>
              <w:top w:val="single" w:sz="8" w:space="0" w:color="auto"/>
              <w:left w:val="nil"/>
              <w:bottom w:val="double" w:sz="6" w:space="0" w:color="auto"/>
              <w:right w:val="nil"/>
            </w:tcBorders>
            <w:shd w:val="clear" w:color="auto" w:fill="auto"/>
            <w:noWrap/>
            <w:vAlign w:val="center"/>
            <w:hideMark/>
          </w:tcPr>
          <w:p w14:paraId="04769478"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11,643,756.7</w:t>
            </w:r>
          </w:p>
        </w:tc>
        <w:tc>
          <w:tcPr>
            <w:tcW w:w="1240" w:type="dxa"/>
            <w:tcBorders>
              <w:top w:val="single" w:sz="8" w:space="0" w:color="auto"/>
              <w:left w:val="nil"/>
              <w:bottom w:val="double" w:sz="6" w:space="0" w:color="auto"/>
              <w:right w:val="nil"/>
            </w:tcBorders>
            <w:shd w:val="clear" w:color="auto" w:fill="auto"/>
            <w:noWrap/>
            <w:vAlign w:val="center"/>
            <w:hideMark/>
          </w:tcPr>
          <w:p w14:paraId="542A7671"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14,625,989.9</w:t>
            </w:r>
          </w:p>
        </w:tc>
        <w:tc>
          <w:tcPr>
            <w:tcW w:w="1240" w:type="dxa"/>
            <w:tcBorders>
              <w:top w:val="single" w:sz="8" w:space="0" w:color="auto"/>
              <w:left w:val="nil"/>
              <w:bottom w:val="double" w:sz="6" w:space="0" w:color="auto"/>
              <w:right w:val="nil"/>
            </w:tcBorders>
            <w:shd w:val="clear" w:color="auto" w:fill="auto"/>
            <w:noWrap/>
            <w:vAlign w:val="center"/>
            <w:hideMark/>
          </w:tcPr>
          <w:p w14:paraId="7C0EA563" w14:textId="77777777" w:rsidR="001337C9" w:rsidRPr="001337C9" w:rsidRDefault="001337C9" w:rsidP="00E90BA7">
            <w:pPr>
              <w:spacing w:after="0" w:line="240" w:lineRule="auto"/>
              <w:jc w:val="both"/>
              <w:rPr>
                <w:rFonts w:ascii="Arial Narrow" w:eastAsia="Times New Roman" w:hAnsi="Arial Narrow" w:cs="Calibri"/>
                <w:b/>
                <w:bCs/>
                <w:color w:val="000000"/>
                <w:sz w:val="18"/>
                <w:szCs w:val="18"/>
              </w:rPr>
            </w:pPr>
            <w:r w:rsidRPr="001337C9">
              <w:rPr>
                <w:rFonts w:ascii="Arial Narrow" w:eastAsia="Times New Roman" w:hAnsi="Arial Narrow" w:cs="Calibri"/>
                <w:b/>
                <w:bCs/>
                <w:color w:val="000000"/>
                <w:sz w:val="18"/>
                <w:szCs w:val="18"/>
              </w:rPr>
              <w:t>14,825,182.4</w:t>
            </w:r>
          </w:p>
        </w:tc>
      </w:tr>
      <w:tr w:rsidR="001337C9" w:rsidRPr="001337C9" w14:paraId="581C9257" w14:textId="77777777" w:rsidTr="001337C9">
        <w:trPr>
          <w:trHeight w:val="300"/>
        </w:trPr>
        <w:tc>
          <w:tcPr>
            <w:tcW w:w="686" w:type="dxa"/>
            <w:tcBorders>
              <w:top w:val="nil"/>
              <w:left w:val="nil"/>
              <w:bottom w:val="double" w:sz="6" w:space="0" w:color="auto"/>
              <w:right w:val="nil"/>
            </w:tcBorders>
            <w:shd w:val="clear" w:color="auto" w:fill="auto"/>
            <w:noWrap/>
            <w:vAlign w:val="center"/>
            <w:hideMark/>
          </w:tcPr>
          <w:p w14:paraId="6927A439" w14:textId="77777777" w:rsidR="001337C9" w:rsidRPr="001337C9" w:rsidRDefault="001337C9" w:rsidP="00E90BA7">
            <w:pPr>
              <w:spacing w:after="0" w:line="240" w:lineRule="auto"/>
              <w:jc w:val="both"/>
              <w:rPr>
                <w:rFonts w:ascii="Arial Narrow" w:eastAsia="Times New Roman" w:hAnsi="Arial Narrow" w:cs="Calibri"/>
                <w:color w:val="000000"/>
                <w:sz w:val="18"/>
                <w:szCs w:val="18"/>
              </w:rPr>
            </w:pPr>
            <w:r w:rsidRPr="001337C9">
              <w:rPr>
                <w:rFonts w:ascii="Arial Narrow" w:eastAsia="Times New Roman" w:hAnsi="Arial Narrow" w:cs="Calibri"/>
                <w:color w:val="000000"/>
                <w:sz w:val="18"/>
                <w:szCs w:val="18"/>
              </w:rPr>
              <w:t> </w:t>
            </w:r>
          </w:p>
        </w:tc>
        <w:tc>
          <w:tcPr>
            <w:tcW w:w="2374" w:type="dxa"/>
            <w:tcBorders>
              <w:top w:val="nil"/>
              <w:left w:val="nil"/>
              <w:bottom w:val="double" w:sz="6" w:space="0" w:color="auto"/>
              <w:right w:val="nil"/>
            </w:tcBorders>
            <w:shd w:val="clear" w:color="auto" w:fill="auto"/>
            <w:noWrap/>
            <w:vAlign w:val="center"/>
            <w:hideMark/>
          </w:tcPr>
          <w:p w14:paraId="30D419BE" w14:textId="77777777" w:rsidR="001337C9" w:rsidRPr="001337C9" w:rsidRDefault="001337C9" w:rsidP="00E90BA7">
            <w:pPr>
              <w:spacing w:after="0" w:line="240" w:lineRule="auto"/>
              <w:jc w:val="both"/>
              <w:rPr>
                <w:rFonts w:ascii="Arial Narrow" w:eastAsia="Times New Roman" w:hAnsi="Arial Narrow" w:cs="Calibri"/>
                <w:b/>
                <w:bCs/>
                <w:i/>
                <w:iCs/>
                <w:color w:val="000000"/>
                <w:sz w:val="18"/>
                <w:szCs w:val="18"/>
              </w:rPr>
            </w:pPr>
            <w:r w:rsidRPr="001337C9">
              <w:rPr>
                <w:rFonts w:ascii="Arial Narrow" w:eastAsia="Times New Roman" w:hAnsi="Arial Narrow" w:cs="Calibri"/>
                <w:b/>
                <w:bCs/>
                <w:i/>
                <w:iCs/>
                <w:color w:val="000000"/>
                <w:sz w:val="18"/>
                <w:szCs w:val="18"/>
              </w:rPr>
              <w:t>as % of GDP</w:t>
            </w:r>
          </w:p>
        </w:tc>
        <w:tc>
          <w:tcPr>
            <w:tcW w:w="1240" w:type="dxa"/>
            <w:tcBorders>
              <w:top w:val="nil"/>
              <w:left w:val="nil"/>
              <w:bottom w:val="double" w:sz="6" w:space="0" w:color="auto"/>
              <w:right w:val="nil"/>
            </w:tcBorders>
            <w:shd w:val="clear" w:color="auto" w:fill="auto"/>
            <w:noWrap/>
            <w:vAlign w:val="center"/>
            <w:hideMark/>
          </w:tcPr>
          <w:p w14:paraId="53EC4B3D" w14:textId="77777777" w:rsidR="001337C9" w:rsidRPr="001337C9" w:rsidRDefault="001337C9" w:rsidP="00E90BA7">
            <w:pPr>
              <w:spacing w:after="0" w:line="240" w:lineRule="auto"/>
              <w:jc w:val="both"/>
              <w:rPr>
                <w:rFonts w:ascii="Arial Narrow" w:eastAsia="Times New Roman" w:hAnsi="Arial Narrow" w:cs="Calibri"/>
                <w:b/>
                <w:bCs/>
                <w:i/>
                <w:iCs/>
                <w:color w:val="000000"/>
                <w:sz w:val="18"/>
                <w:szCs w:val="18"/>
              </w:rPr>
            </w:pPr>
            <w:r w:rsidRPr="001337C9">
              <w:rPr>
                <w:rFonts w:ascii="Arial Narrow" w:eastAsia="Times New Roman" w:hAnsi="Arial Narrow" w:cs="Calibri"/>
                <w:b/>
                <w:bCs/>
                <w:i/>
                <w:iCs/>
                <w:color w:val="000000"/>
                <w:sz w:val="18"/>
                <w:szCs w:val="18"/>
              </w:rPr>
              <w:t>5.2%</w:t>
            </w:r>
          </w:p>
        </w:tc>
        <w:tc>
          <w:tcPr>
            <w:tcW w:w="1240" w:type="dxa"/>
            <w:tcBorders>
              <w:top w:val="nil"/>
              <w:left w:val="nil"/>
              <w:bottom w:val="double" w:sz="6" w:space="0" w:color="auto"/>
              <w:right w:val="nil"/>
            </w:tcBorders>
            <w:shd w:val="clear" w:color="auto" w:fill="auto"/>
            <w:noWrap/>
            <w:vAlign w:val="center"/>
            <w:hideMark/>
          </w:tcPr>
          <w:p w14:paraId="2B0F4C5C" w14:textId="77777777" w:rsidR="001337C9" w:rsidRPr="001337C9" w:rsidRDefault="001337C9" w:rsidP="00E90BA7">
            <w:pPr>
              <w:spacing w:after="0" w:line="240" w:lineRule="auto"/>
              <w:jc w:val="both"/>
              <w:rPr>
                <w:rFonts w:ascii="Arial Narrow" w:eastAsia="Times New Roman" w:hAnsi="Arial Narrow" w:cs="Calibri"/>
                <w:b/>
                <w:bCs/>
                <w:i/>
                <w:iCs/>
                <w:color w:val="000000"/>
                <w:sz w:val="18"/>
                <w:szCs w:val="18"/>
              </w:rPr>
            </w:pPr>
            <w:r w:rsidRPr="001337C9">
              <w:rPr>
                <w:rFonts w:ascii="Arial Narrow" w:eastAsia="Times New Roman" w:hAnsi="Arial Narrow" w:cs="Calibri"/>
                <w:b/>
                <w:bCs/>
                <w:i/>
                <w:iCs/>
                <w:color w:val="000000"/>
                <w:sz w:val="18"/>
                <w:szCs w:val="18"/>
              </w:rPr>
              <w:t>5.4%</w:t>
            </w:r>
          </w:p>
        </w:tc>
        <w:tc>
          <w:tcPr>
            <w:tcW w:w="1240" w:type="dxa"/>
            <w:tcBorders>
              <w:top w:val="nil"/>
              <w:left w:val="nil"/>
              <w:bottom w:val="double" w:sz="6" w:space="0" w:color="auto"/>
              <w:right w:val="nil"/>
            </w:tcBorders>
            <w:shd w:val="clear" w:color="auto" w:fill="auto"/>
            <w:noWrap/>
            <w:vAlign w:val="center"/>
            <w:hideMark/>
          </w:tcPr>
          <w:p w14:paraId="04F1402A" w14:textId="77777777" w:rsidR="001337C9" w:rsidRPr="001337C9" w:rsidRDefault="001337C9" w:rsidP="00E90BA7">
            <w:pPr>
              <w:spacing w:after="0" w:line="240" w:lineRule="auto"/>
              <w:jc w:val="both"/>
              <w:rPr>
                <w:rFonts w:ascii="Arial Narrow" w:eastAsia="Times New Roman" w:hAnsi="Arial Narrow" w:cs="Calibri"/>
                <w:b/>
                <w:bCs/>
                <w:i/>
                <w:iCs/>
                <w:color w:val="000000"/>
                <w:sz w:val="18"/>
                <w:szCs w:val="18"/>
              </w:rPr>
            </w:pPr>
            <w:r w:rsidRPr="001337C9">
              <w:rPr>
                <w:rFonts w:ascii="Arial Narrow" w:eastAsia="Times New Roman" w:hAnsi="Arial Narrow" w:cs="Calibri"/>
                <w:b/>
                <w:bCs/>
                <w:i/>
                <w:iCs/>
                <w:color w:val="000000"/>
                <w:sz w:val="18"/>
                <w:szCs w:val="18"/>
              </w:rPr>
              <w:t>5.7%</w:t>
            </w:r>
          </w:p>
        </w:tc>
        <w:tc>
          <w:tcPr>
            <w:tcW w:w="1240" w:type="dxa"/>
            <w:tcBorders>
              <w:top w:val="nil"/>
              <w:left w:val="nil"/>
              <w:bottom w:val="double" w:sz="6" w:space="0" w:color="auto"/>
              <w:right w:val="nil"/>
            </w:tcBorders>
            <w:shd w:val="clear" w:color="auto" w:fill="auto"/>
            <w:noWrap/>
            <w:vAlign w:val="center"/>
            <w:hideMark/>
          </w:tcPr>
          <w:p w14:paraId="36373D76" w14:textId="77777777" w:rsidR="001337C9" w:rsidRPr="001337C9" w:rsidRDefault="001337C9" w:rsidP="00E90BA7">
            <w:pPr>
              <w:spacing w:after="0" w:line="240" w:lineRule="auto"/>
              <w:jc w:val="both"/>
              <w:rPr>
                <w:rFonts w:ascii="Arial Narrow" w:eastAsia="Times New Roman" w:hAnsi="Arial Narrow" w:cs="Calibri"/>
                <w:b/>
                <w:bCs/>
                <w:i/>
                <w:iCs/>
                <w:color w:val="000000"/>
                <w:sz w:val="18"/>
                <w:szCs w:val="18"/>
              </w:rPr>
            </w:pPr>
            <w:r w:rsidRPr="001337C9">
              <w:rPr>
                <w:rFonts w:ascii="Arial Narrow" w:eastAsia="Times New Roman" w:hAnsi="Arial Narrow" w:cs="Calibri"/>
                <w:b/>
                <w:bCs/>
                <w:i/>
                <w:iCs/>
                <w:color w:val="000000"/>
                <w:sz w:val="18"/>
                <w:szCs w:val="18"/>
              </w:rPr>
              <w:t>6.3%</w:t>
            </w:r>
          </w:p>
        </w:tc>
        <w:tc>
          <w:tcPr>
            <w:tcW w:w="1240" w:type="dxa"/>
            <w:tcBorders>
              <w:top w:val="nil"/>
              <w:left w:val="nil"/>
              <w:bottom w:val="double" w:sz="6" w:space="0" w:color="auto"/>
              <w:right w:val="nil"/>
            </w:tcBorders>
            <w:shd w:val="clear" w:color="auto" w:fill="auto"/>
            <w:noWrap/>
            <w:vAlign w:val="center"/>
            <w:hideMark/>
          </w:tcPr>
          <w:p w14:paraId="003DA62C" w14:textId="77777777" w:rsidR="001337C9" w:rsidRPr="001337C9" w:rsidRDefault="001337C9" w:rsidP="00E90BA7">
            <w:pPr>
              <w:spacing w:after="0" w:line="240" w:lineRule="auto"/>
              <w:jc w:val="both"/>
              <w:rPr>
                <w:rFonts w:ascii="Arial Narrow" w:eastAsia="Times New Roman" w:hAnsi="Arial Narrow" w:cs="Calibri"/>
                <w:b/>
                <w:bCs/>
                <w:i/>
                <w:iCs/>
                <w:color w:val="000000"/>
                <w:sz w:val="18"/>
                <w:szCs w:val="18"/>
              </w:rPr>
            </w:pPr>
            <w:r w:rsidRPr="001337C9">
              <w:rPr>
                <w:rFonts w:ascii="Arial Narrow" w:eastAsia="Times New Roman" w:hAnsi="Arial Narrow" w:cs="Calibri"/>
                <w:b/>
                <w:bCs/>
                <w:i/>
                <w:iCs/>
                <w:color w:val="000000"/>
                <w:sz w:val="18"/>
                <w:szCs w:val="18"/>
              </w:rPr>
              <w:t>5.8%</w:t>
            </w:r>
          </w:p>
        </w:tc>
      </w:tr>
    </w:tbl>
    <w:p w14:paraId="51C939B0" w14:textId="77777777" w:rsidR="00F60684" w:rsidRPr="00F16F75" w:rsidRDefault="00F60684" w:rsidP="00E90BA7">
      <w:pPr>
        <w:pStyle w:val="Boxfiguretabletitle"/>
        <w:spacing w:after="120"/>
        <w:jc w:val="both"/>
        <w:rPr>
          <w:rFonts w:cs="Segoe UI"/>
          <w:b w:val="0"/>
          <w:color w:val="auto"/>
          <w:szCs w:val="21"/>
        </w:rPr>
      </w:pPr>
    </w:p>
    <w:p w14:paraId="1A05107B" w14:textId="439F93C2" w:rsidR="00F77F6D" w:rsidRPr="00F16F75" w:rsidRDefault="00F77F6D" w:rsidP="00E90BA7">
      <w:pPr>
        <w:jc w:val="both"/>
        <w:rPr>
          <w:rFonts w:ascii="Segoe UI" w:hAnsi="Segoe UI" w:cs="Segoe UI"/>
          <w:bCs/>
          <w:sz w:val="20"/>
          <w:szCs w:val="20"/>
        </w:rPr>
      </w:pPr>
      <w:r w:rsidRPr="00F16F75">
        <w:rPr>
          <w:rFonts w:ascii="Segoe UI" w:hAnsi="Segoe UI" w:cs="Segoe UI"/>
          <w:bCs/>
          <w:sz w:val="20"/>
          <w:szCs w:val="20"/>
        </w:rPr>
        <w:br w:type="page"/>
      </w:r>
    </w:p>
    <w:p w14:paraId="4F56074A" w14:textId="49F8623A" w:rsidR="00F77F6D" w:rsidRPr="00F16F75" w:rsidRDefault="00F77F6D" w:rsidP="00E90BA7">
      <w:pPr>
        <w:pStyle w:val="Heading2"/>
        <w:numPr>
          <w:ilvl w:val="0"/>
          <w:numId w:val="14"/>
        </w:numPr>
        <w:ind w:left="720"/>
        <w:jc w:val="both"/>
      </w:pPr>
      <w:bookmarkStart w:id="9" w:name="_Toc126555814"/>
      <w:r w:rsidRPr="00F16F75">
        <w:lastRenderedPageBreak/>
        <w:t>Introduction</w:t>
      </w:r>
      <w:bookmarkEnd w:id="9"/>
    </w:p>
    <w:p w14:paraId="073F993C" w14:textId="3A186BCF" w:rsidR="00F77F6D" w:rsidRPr="00CB1E53" w:rsidRDefault="00E31782" w:rsidP="00E90BA7">
      <w:pPr>
        <w:pStyle w:val="Heading3"/>
        <w:jc w:val="both"/>
        <w:rPr>
          <w:rStyle w:val="RegularDKB"/>
        </w:rPr>
      </w:pPr>
      <w:bookmarkStart w:id="10" w:name="_Toc126555815"/>
      <w:r w:rsidRPr="00CB1E53">
        <w:rPr>
          <w:rStyle w:val="RegularDKB"/>
          <w:caps w:val="0"/>
        </w:rPr>
        <w:t xml:space="preserve">Tax </w:t>
      </w:r>
      <w:r w:rsidR="6FE9088B" w:rsidRPr="02C055C7">
        <w:rPr>
          <w:rStyle w:val="RegularDKB"/>
          <w:caps w:val="0"/>
        </w:rPr>
        <w:t>e</w:t>
      </w:r>
      <w:r w:rsidRPr="02C055C7">
        <w:rPr>
          <w:rStyle w:val="RegularDKB"/>
          <w:caps w:val="0"/>
        </w:rPr>
        <w:t>xpenditure</w:t>
      </w:r>
      <w:r w:rsidR="00DC71E5" w:rsidRPr="02C055C7">
        <w:rPr>
          <w:rStyle w:val="RegularDKB"/>
          <w:caps w:val="0"/>
        </w:rPr>
        <w:t>s</w:t>
      </w:r>
      <w:r w:rsidRPr="00CB1E53">
        <w:rPr>
          <w:rStyle w:val="RegularDKB"/>
          <w:caps w:val="0"/>
        </w:rPr>
        <w:t xml:space="preserve"> </w:t>
      </w:r>
      <w:r w:rsidR="00497C21" w:rsidRPr="00CB1E53">
        <w:rPr>
          <w:rStyle w:val="RegularDKB"/>
          <w:caps w:val="0"/>
        </w:rPr>
        <w:t>r</w:t>
      </w:r>
      <w:r w:rsidRPr="00CB1E53">
        <w:rPr>
          <w:rStyle w:val="RegularDKB"/>
          <w:caps w:val="0"/>
        </w:rPr>
        <w:t xml:space="preserve">eporting and its </w:t>
      </w:r>
      <w:r w:rsidR="00497C21" w:rsidRPr="00CB1E53">
        <w:rPr>
          <w:rStyle w:val="RegularDKB"/>
          <w:caps w:val="0"/>
        </w:rPr>
        <w:t>u</w:t>
      </w:r>
      <w:r w:rsidRPr="00CB1E53">
        <w:rPr>
          <w:rStyle w:val="RegularDKB"/>
          <w:caps w:val="0"/>
        </w:rPr>
        <w:t xml:space="preserve">se in </w:t>
      </w:r>
      <w:r w:rsidR="00497C21" w:rsidRPr="00CB1E53">
        <w:rPr>
          <w:rStyle w:val="RegularDKB"/>
          <w:caps w:val="0"/>
        </w:rPr>
        <w:t>f</w:t>
      </w:r>
      <w:r w:rsidRPr="00CB1E53">
        <w:rPr>
          <w:rStyle w:val="RegularDKB"/>
          <w:caps w:val="0"/>
        </w:rPr>
        <w:t xml:space="preserve">iscal </w:t>
      </w:r>
      <w:r w:rsidR="00497C21" w:rsidRPr="00CB1E53">
        <w:rPr>
          <w:rStyle w:val="RegularDKB"/>
          <w:caps w:val="0"/>
        </w:rPr>
        <w:t>m</w:t>
      </w:r>
      <w:r w:rsidRPr="00CB1E53">
        <w:rPr>
          <w:rStyle w:val="RegularDKB"/>
          <w:caps w:val="0"/>
        </w:rPr>
        <w:t>anagement</w:t>
      </w:r>
      <w:bookmarkEnd w:id="10"/>
    </w:p>
    <w:p w14:paraId="2DE65795" w14:textId="100E6C3E" w:rsidR="00F77F6D" w:rsidRPr="00CB1E53" w:rsidRDefault="00F310A8" w:rsidP="00E90BA7">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sz w:val="21"/>
          <w:szCs w:val="21"/>
        </w:rPr>
        <w:t xml:space="preserve">TEs </w:t>
      </w:r>
      <w:r w:rsidR="00F77F6D" w:rsidRPr="00CB1E53">
        <w:rPr>
          <w:rFonts w:ascii="Segoe UI" w:hAnsi="Segoe UI" w:cs="Segoe UI"/>
          <w:sz w:val="21"/>
          <w:szCs w:val="21"/>
        </w:rPr>
        <w:t>are reductions in government revenue through preferential tax treatment of specific groups of taxpayers</w:t>
      </w:r>
      <w:r w:rsidR="120653F4" w:rsidRPr="00CB1E53">
        <w:rPr>
          <w:rFonts w:ascii="Segoe UI" w:hAnsi="Segoe UI" w:cs="Segoe UI"/>
          <w:sz w:val="21"/>
          <w:szCs w:val="21"/>
        </w:rPr>
        <w:t>, specific types of income</w:t>
      </w:r>
      <w:r w:rsidR="00F77F6D" w:rsidRPr="00CB1E53">
        <w:rPr>
          <w:rFonts w:ascii="Segoe UI" w:hAnsi="Segoe UI" w:cs="Segoe UI"/>
          <w:sz w:val="21"/>
          <w:szCs w:val="21"/>
        </w:rPr>
        <w:t xml:space="preserve"> or specific activities.</w:t>
      </w:r>
      <w:r w:rsidR="00F77F6D" w:rsidRPr="00CB1E53">
        <w:rPr>
          <w:rStyle w:val="FootnoteReference"/>
          <w:rFonts w:ascii="Segoe UI" w:hAnsi="Segoe UI" w:cs="Segoe UI"/>
          <w:sz w:val="21"/>
          <w:szCs w:val="21"/>
        </w:rPr>
        <w:footnoteReference w:id="3"/>
      </w:r>
      <w:r w:rsidR="00F77F6D" w:rsidRPr="00CB1E53">
        <w:rPr>
          <w:rFonts w:ascii="Segoe UI" w:hAnsi="Segoe UI" w:cs="Segoe UI"/>
          <w:sz w:val="21"/>
          <w:szCs w:val="21"/>
        </w:rPr>
        <w:t xml:space="preserve"> In the literature, </w:t>
      </w:r>
      <w:r w:rsidRPr="00CB1E53">
        <w:rPr>
          <w:rFonts w:ascii="Segoe UI" w:hAnsi="Segoe UI" w:cs="Segoe UI"/>
          <w:sz w:val="21"/>
          <w:szCs w:val="21"/>
        </w:rPr>
        <w:t>TEs</w:t>
      </w:r>
      <w:r w:rsidR="00F77F6D" w:rsidRPr="00CB1E53">
        <w:rPr>
          <w:rFonts w:ascii="Segoe UI" w:hAnsi="Segoe UI" w:cs="Segoe UI"/>
          <w:sz w:val="21"/>
          <w:szCs w:val="21"/>
        </w:rPr>
        <w:t xml:space="preserve"> are generally defined as deviations from some </w:t>
      </w:r>
      <w:r w:rsidR="001A66E8">
        <w:rPr>
          <w:rFonts w:ascii="Segoe UI" w:hAnsi="Segoe UI" w:cs="Segoe UI"/>
          <w:sz w:val="21"/>
          <w:szCs w:val="21"/>
        </w:rPr>
        <w:t>“</w:t>
      </w:r>
      <w:r w:rsidR="001A66E8" w:rsidRPr="00CB1E53">
        <w:rPr>
          <w:rFonts w:ascii="Segoe UI" w:hAnsi="Segoe UI" w:cs="Segoe UI"/>
          <w:sz w:val="21"/>
          <w:szCs w:val="21"/>
        </w:rPr>
        <w:t>benchmark</w:t>
      </w:r>
      <w:r w:rsidR="001A66E8">
        <w:rPr>
          <w:rFonts w:ascii="Segoe UI" w:hAnsi="Segoe UI" w:cs="Segoe UI"/>
          <w:sz w:val="21"/>
          <w:szCs w:val="21"/>
        </w:rPr>
        <w:t>”</w:t>
      </w:r>
      <w:r w:rsidR="001A66E8" w:rsidRPr="00CB1E53">
        <w:rPr>
          <w:rFonts w:ascii="Segoe UI" w:hAnsi="Segoe UI" w:cs="Segoe UI"/>
          <w:sz w:val="21"/>
          <w:szCs w:val="21"/>
        </w:rPr>
        <w:t xml:space="preserve"> </w:t>
      </w:r>
      <w:r w:rsidR="00F77F6D" w:rsidRPr="00CB1E53">
        <w:rPr>
          <w:rFonts w:ascii="Segoe UI" w:hAnsi="Segoe UI" w:cs="Segoe UI"/>
          <w:sz w:val="21"/>
          <w:szCs w:val="21"/>
        </w:rPr>
        <w:t xml:space="preserve">tax system although the benchmark, as discussed below, is rarely well defined. Many countries, including EU countries, make ample use of </w:t>
      </w:r>
      <w:r w:rsidRPr="00CB1E53">
        <w:rPr>
          <w:rFonts w:ascii="Segoe UI" w:hAnsi="Segoe UI" w:cs="Segoe UI"/>
          <w:sz w:val="21"/>
          <w:szCs w:val="21"/>
        </w:rPr>
        <w:t xml:space="preserve">TEs </w:t>
      </w:r>
      <w:r w:rsidR="00F77F6D" w:rsidRPr="00CB1E53">
        <w:rPr>
          <w:rFonts w:ascii="Segoe UI" w:hAnsi="Segoe UI" w:cs="Segoe UI"/>
          <w:sz w:val="21"/>
          <w:szCs w:val="21"/>
        </w:rPr>
        <w:t>with a wide variety of policy objectives including employment creation, higher investment, innovation, education, entrepreneurship, home ownership, regional development, and income redistribution.</w:t>
      </w:r>
      <w:r w:rsidR="00F77F6D" w:rsidRPr="00CB1E53">
        <w:rPr>
          <w:rStyle w:val="FootnoteReference"/>
          <w:rFonts w:ascii="Segoe UI" w:hAnsi="Segoe UI" w:cs="Segoe UI"/>
          <w:sz w:val="21"/>
          <w:szCs w:val="21"/>
        </w:rPr>
        <w:footnoteReference w:id="4"/>
      </w:r>
    </w:p>
    <w:p w14:paraId="78BABF39" w14:textId="77777777" w:rsidR="00F77F6D" w:rsidRPr="00CB1E53" w:rsidRDefault="00F77F6D" w:rsidP="00E90BA7">
      <w:pPr>
        <w:pStyle w:val="Heading3"/>
        <w:jc w:val="both"/>
        <w:rPr>
          <w:rStyle w:val="RegularDKB"/>
          <w:caps w:val="0"/>
        </w:rPr>
      </w:pPr>
      <w:bookmarkStart w:id="11" w:name="_Toc126555816"/>
      <w:r w:rsidRPr="00CB1E53">
        <w:rPr>
          <w:rStyle w:val="RegularDKB"/>
          <w:caps w:val="0"/>
        </w:rPr>
        <w:t>Forms of tax relief</w:t>
      </w:r>
      <w:bookmarkEnd w:id="11"/>
    </w:p>
    <w:p w14:paraId="2F46F494" w14:textId="38DDC38F" w:rsidR="00F77F6D" w:rsidRPr="00CB1E53" w:rsidRDefault="00F77F6D" w:rsidP="00E90BA7">
      <w:pPr>
        <w:pStyle w:val="ParagraphNumbering"/>
        <w:numPr>
          <w:ilvl w:val="0"/>
          <w:numId w:val="0"/>
        </w:numPr>
        <w:spacing w:after="120" w:line="264" w:lineRule="auto"/>
        <w:jc w:val="both"/>
        <w:rPr>
          <w:rFonts w:ascii="Segoe UI" w:hAnsi="Segoe UI" w:cs="Segoe UI"/>
          <w:sz w:val="21"/>
          <w:szCs w:val="21"/>
        </w:rPr>
      </w:pPr>
      <w:r w:rsidRPr="4C0052BE">
        <w:rPr>
          <w:rFonts w:ascii="Segoe UI" w:hAnsi="Segoe UI" w:cs="Segoe UI"/>
          <w:sz w:val="21"/>
          <w:szCs w:val="21"/>
        </w:rPr>
        <w:t>T</w:t>
      </w:r>
      <w:r w:rsidR="00967360" w:rsidRPr="4C0052BE">
        <w:rPr>
          <w:rFonts w:ascii="Segoe UI" w:hAnsi="Segoe UI" w:cs="Segoe UI"/>
          <w:sz w:val="21"/>
          <w:szCs w:val="21"/>
        </w:rPr>
        <w:t>Es</w:t>
      </w:r>
      <w:r w:rsidRPr="4C0052BE">
        <w:rPr>
          <w:rFonts w:ascii="Segoe UI" w:hAnsi="Segoe UI" w:cs="Segoe UI"/>
          <w:sz w:val="21"/>
          <w:szCs w:val="21"/>
        </w:rPr>
        <w:t xml:space="preserve"> </w:t>
      </w:r>
      <w:r w:rsidR="282A4711" w:rsidRPr="4C0052BE">
        <w:rPr>
          <w:rFonts w:ascii="Segoe UI" w:hAnsi="Segoe UI" w:cs="Segoe UI"/>
          <w:sz w:val="21"/>
          <w:szCs w:val="21"/>
        </w:rPr>
        <w:t>can be either temporary or permanent</w:t>
      </w:r>
      <w:r w:rsidRPr="00CB1E53">
        <w:rPr>
          <w:rFonts w:ascii="Segoe UI" w:hAnsi="Segoe UI" w:cs="Segoe UI"/>
          <w:sz w:val="21"/>
          <w:szCs w:val="21"/>
        </w:rPr>
        <w:t xml:space="preserve"> </w:t>
      </w:r>
      <w:r w:rsidR="347916D4" w:rsidRPr="69334C16">
        <w:rPr>
          <w:rFonts w:ascii="Segoe UI" w:hAnsi="Segoe UI" w:cs="Segoe UI"/>
          <w:sz w:val="21"/>
          <w:szCs w:val="21"/>
        </w:rPr>
        <w:t xml:space="preserve">and </w:t>
      </w:r>
      <w:r w:rsidRPr="00CB1E53">
        <w:rPr>
          <w:rFonts w:ascii="Segoe UI" w:hAnsi="Segoe UI" w:cs="Segoe UI"/>
          <w:sz w:val="21"/>
          <w:szCs w:val="21"/>
        </w:rPr>
        <w:t xml:space="preserve">can take different forms </w:t>
      </w:r>
      <w:r w:rsidR="64E04AB1" w:rsidRPr="69334C16">
        <w:rPr>
          <w:rFonts w:ascii="Segoe UI" w:hAnsi="Segoe UI" w:cs="Segoe UI"/>
          <w:sz w:val="21"/>
          <w:szCs w:val="21"/>
        </w:rPr>
        <w:t>of</w:t>
      </w:r>
      <w:r w:rsidRPr="69334C16">
        <w:rPr>
          <w:rFonts w:ascii="Segoe UI" w:hAnsi="Segoe UI" w:cs="Segoe UI"/>
          <w:sz w:val="21"/>
          <w:szCs w:val="21"/>
        </w:rPr>
        <w:t xml:space="preserve"> </w:t>
      </w:r>
      <w:r w:rsidRPr="00CB1E53">
        <w:rPr>
          <w:rFonts w:ascii="Segoe UI" w:hAnsi="Segoe UI" w:cs="Segoe UI"/>
          <w:sz w:val="21"/>
          <w:szCs w:val="21"/>
        </w:rPr>
        <w:t xml:space="preserve">policy interventions such as </w:t>
      </w:r>
      <w:r w:rsidRPr="00CB1E53">
        <w:rPr>
          <w:rFonts w:ascii="Segoe UI" w:hAnsi="Segoe UI" w:cs="Segoe UI"/>
          <w:i/>
          <w:sz w:val="21"/>
          <w:szCs w:val="21"/>
        </w:rPr>
        <w:t>exemptions</w:t>
      </w:r>
      <w:r w:rsidRPr="00CB1E53">
        <w:rPr>
          <w:rFonts w:ascii="Segoe UI" w:hAnsi="Segoe UI" w:cs="Segoe UI"/>
          <w:sz w:val="21"/>
          <w:szCs w:val="21"/>
        </w:rPr>
        <w:t xml:space="preserve"> (or exclusions from the tax base</w:t>
      </w:r>
      <w:r w:rsidRPr="401C0E63">
        <w:rPr>
          <w:rFonts w:ascii="Segoe UI" w:hAnsi="Segoe UI" w:cs="Segoe UI"/>
          <w:sz w:val="21"/>
          <w:szCs w:val="21"/>
        </w:rPr>
        <w:t>)</w:t>
      </w:r>
      <w:r w:rsidR="20928678" w:rsidRPr="401C0E63">
        <w:rPr>
          <w:rFonts w:ascii="Segoe UI" w:hAnsi="Segoe UI" w:cs="Segoe UI"/>
          <w:sz w:val="21"/>
          <w:szCs w:val="21"/>
        </w:rPr>
        <w:t>,</w:t>
      </w:r>
      <w:r w:rsidRPr="00CB1E53">
        <w:rPr>
          <w:rFonts w:ascii="Segoe UI" w:hAnsi="Segoe UI" w:cs="Segoe UI"/>
          <w:sz w:val="21"/>
          <w:szCs w:val="21"/>
        </w:rPr>
        <w:t xml:space="preserve"> </w:t>
      </w:r>
      <w:r w:rsidRPr="00CB1E53">
        <w:rPr>
          <w:rFonts w:ascii="Segoe UI" w:hAnsi="Segoe UI" w:cs="Segoe UI"/>
          <w:i/>
          <w:sz w:val="21"/>
          <w:szCs w:val="21"/>
        </w:rPr>
        <w:t>allowances</w:t>
      </w:r>
      <w:r w:rsidRPr="00CB1E53">
        <w:rPr>
          <w:rFonts w:ascii="Segoe UI" w:hAnsi="Segoe UI" w:cs="Segoe UI"/>
          <w:sz w:val="21"/>
          <w:szCs w:val="21"/>
        </w:rPr>
        <w:t xml:space="preserve"> (i.e., amounts deducted from the tax base before applying the tax rate(s</w:t>
      </w:r>
      <w:r w:rsidRPr="401C0E63">
        <w:rPr>
          <w:rFonts w:ascii="Segoe UI" w:hAnsi="Segoe UI" w:cs="Segoe UI"/>
          <w:sz w:val="21"/>
          <w:szCs w:val="21"/>
        </w:rPr>
        <w:t>)</w:t>
      </w:r>
      <w:r w:rsidR="4A8827EA" w:rsidRPr="401C0E63">
        <w:rPr>
          <w:rFonts w:ascii="Segoe UI" w:hAnsi="Segoe UI" w:cs="Segoe UI"/>
          <w:sz w:val="21"/>
          <w:szCs w:val="21"/>
        </w:rPr>
        <w:t>,</w:t>
      </w:r>
      <w:r w:rsidRPr="00CB1E53">
        <w:rPr>
          <w:rFonts w:ascii="Segoe UI" w:hAnsi="Segoe UI" w:cs="Segoe UI"/>
          <w:sz w:val="21"/>
          <w:szCs w:val="21"/>
        </w:rPr>
        <w:t xml:space="preserve"> </w:t>
      </w:r>
      <w:r w:rsidRPr="00CB1E53">
        <w:rPr>
          <w:rFonts w:ascii="Segoe UI" w:hAnsi="Segoe UI" w:cs="Segoe UI"/>
          <w:i/>
          <w:sz w:val="21"/>
          <w:szCs w:val="21"/>
        </w:rPr>
        <w:t>credits</w:t>
      </w:r>
      <w:r w:rsidRPr="00CB1E53">
        <w:rPr>
          <w:rFonts w:ascii="Segoe UI" w:hAnsi="Segoe UI" w:cs="Segoe UI"/>
          <w:sz w:val="21"/>
          <w:szCs w:val="21"/>
        </w:rPr>
        <w:t xml:space="preserve"> (amounts deducted from tax liability)</w:t>
      </w:r>
      <w:r w:rsidR="6479BD09" w:rsidRPr="67FEC19E">
        <w:rPr>
          <w:rFonts w:ascii="Segoe UI" w:hAnsi="Segoe UI" w:cs="Segoe UI"/>
          <w:sz w:val="21"/>
          <w:szCs w:val="21"/>
        </w:rPr>
        <w:t>,</w:t>
      </w:r>
      <w:r w:rsidRPr="00CB1E53">
        <w:rPr>
          <w:rFonts w:ascii="Segoe UI" w:hAnsi="Segoe UI" w:cs="Segoe UI"/>
          <w:sz w:val="21"/>
          <w:szCs w:val="21"/>
        </w:rPr>
        <w:t xml:space="preserve"> </w:t>
      </w:r>
      <w:r w:rsidRPr="00CB1E53">
        <w:rPr>
          <w:rFonts w:ascii="Segoe UI" w:hAnsi="Segoe UI" w:cs="Segoe UI"/>
          <w:i/>
          <w:sz w:val="21"/>
          <w:szCs w:val="21"/>
        </w:rPr>
        <w:t>rate reliefs</w:t>
      </w:r>
      <w:r w:rsidRPr="00CB1E53">
        <w:rPr>
          <w:rFonts w:ascii="Segoe UI" w:hAnsi="Segoe UI" w:cs="Segoe UI"/>
          <w:sz w:val="21"/>
          <w:szCs w:val="21"/>
        </w:rPr>
        <w:t xml:space="preserve"> (reduced rates)</w:t>
      </w:r>
      <w:r w:rsidR="7F0D29F7" w:rsidRPr="67FEC19E">
        <w:rPr>
          <w:rFonts w:ascii="Segoe UI" w:hAnsi="Segoe UI" w:cs="Segoe UI"/>
          <w:sz w:val="21"/>
          <w:szCs w:val="21"/>
        </w:rPr>
        <w:t>,</w:t>
      </w:r>
      <w:r w:rsidRPr="00CB1E53">
        <w:rPr>
          <w:rFonts w:ascii="Segoe UI" w:hAnsi="Segoe UI" w:cs="Segoe UI"/>
          <w:sz w:val="21"/>
          <w:szCs w:val="21"/>
        </w:rPr>
        <w:t xml:space="preserve"> or tax </w:t>
      </w:r>
      <w:r w:rsidRPr="00CB1E53">
        <w:rPr>
          <w:rFonts w:ascii="Segoe UI" w:hAnsi="Segoe UI" w:cs="Segoe UI"/>
          <w:i/>
          <w:sz w:val="21"/>
          <w:szCs w:val="21"/>
        </w:rPr>
        <w:t>deferrals</w:t>
      </w:r>
      <w:r w:rsidRPr="00CB1E53">
        <w:rPr>
          <w:rFonts w:ascii="Segoe UI" w:hAnsi="Segoe UI" w:cs="Segoe UI"/>
          <w:sz w:val="21"/>
          <w:szCs w:val="21"/>
        </w:rPr>
        <w:t>. They may be included in many laws, such as tax laws, economic zone laws, investment codes, etc.</w:t>
      </w:r>
    </w:p>
    <w:p w14:paraId="5021A9CE" w14:textId="77777777" w:rsidR="00F77F6D" w:rsidRPr="00CB1E53" w:rsidRDefault="00F77F6D" w:rsidP="00E90BA7">
      <w:pPr>
        <w:pStyle w:val="Heading3"/>
        <w:jc w:val="both"/>
        <w:rPr>
          <w:rStyle w:val="RegularDKB"/>
          <w:caps w:val="0"/>
        </w:rPr>
      </w:pPr>
      <w:bookmarkStart w:id="12" w:name="_Toc126555817"/>
      <w:r w:rsidRPr="00CB1E53">
        <w:rPr>
          <w:rStyle w:val="RegularDKB"/>
          <w:caps w:val="0"/>
        </w:rPr>
        <w:t>Tax relief vs. support defrayed from the budget's expenditure side</w:t>
      </w:r>
      <w:bookmarkEnd w:id="12"/>
    </w:p>
    <w:p w14:paraId="367C2E16" w14:textId="5E266EBA" w:rsidR="00F77F6D" w:rsidRPr="00CB1E53" w:rsidRDefault="56D03AE0" w:rsidP="00E90BA7">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sz w:val="21"/>
          <w:szCs w:val="21"/>
        </w:rPr>
        <w:t>P</w:t>
      </w:r>
      <w:r w:rsidR="00F77F6D" w:rsidRPr="00CB1E53">
        <w:rPr>
          <w:rFonts w:ascii="Segoe UI" w:hAnsi="Segoe UI" w:cs="Segoe UI"/>
          <w:sz w:val="21"/>
          <w:szCs w:val="21"/>
        </w:rPr>
        <w:t xml:space="preserve">olicy objectives could be achieved through direct </w:t>
      </w:r>
      <w:r w:rsidR="415CC3E0" w:rsidRPr="00CB1E53">
        <w:rPr>
          <w:rFonts w:ascii="Segoe UI" w:hAnsi="Segoe UI" w:cs="Segoe UI"/>
          <w:sz w:val="21"/>
          <w:szCs w:val="21"/>
        </w:rPr>
        <w:t xml:space="preserve">or </w:t>
      </w:r>
      <w:r w:rsidR="00902471">
        <w:rPr>
          <w:rFonts w:ascii="Segoe UI" w:hAnsi="Segoe UI" w:cs="Segoe UI"/>
          <w:sz w:val="21"/>
          <w:szCs w:val="21"/>
        </w:rPr>
        <w:t>TE</w:t>
      </w:r>
      <w:r w:rsidR="00F77F6D" w:rsidRPr="00CB1E53">
        <w:rPr>
          <w:rFonts w:ascii="Segoe UI" w:hAnsi="Segoe UI" w:cs="Segoe UI"/>
          <w:sz w:val="21"/>
          <w:szCs w:val="21"/>
        </w:rPr>
        <w:t xml:space="preserve"> programs</w:t>
      </w:r>
      <w:r w:rsidR="28A8C74C" w:rsidRPr="4F56DD59">
        <w:rPr>
          <w:rFonts w:ascii="Segoe UI" w:hAnsi="Segoe UI" w:cs="Segoe UI"/>
          <w:sz w:val="21"/>
          <w:szCs w:val="21"/>
        </w:rPr>
        <w:t xml:space="preserve">; </w:t>
      </w:r>
      <w:r w:rsidR="559DE53E" w:rsidRPr="4F56DD59">
        <w:rPr>
          <w:rFonts w:ascii="Segoe UI" w:hAnsi="Segoe UI" w:cs="Segoe UI"/>
          <w:sz w:val="21"/>
          <w:szCs w:val="21"/>
        </w:rPr>
        <w:t>however,</w:t>
      </w:r>
      <w:r w:rsidR="00F77F6D" w:rsidRPr="00CB1E53">
        <w:rPr>
          <w:rFonts w:ascii="Segoe UI" w:hAnsi="Segoe UI" w:cs="Segoe UI"/>
          <w:sz w:val="21"/>
          <w:szCs w:val="21"/>
        </w:rPr>
        <w:t xml:space="preserve"> </w:t>
      </w:r>
      <w:r w:rsidR="00F310A8" w:rsidRPr="00CB1E53">
        <w:rPr>
          <w:rFonts w:ascii="Segoe UI" w:hAnsi="Segoe UI" w:cs="Segoe UI"/>
          <w:sz w:val="21"/>
          <w:szCs w:val="21"/>
        </w:rPr>
        <w:t>TEs</w:t>
      </w:r>
      <w:r w:rsidR="00F77F6D" w:rsidRPr="00CB1E53">
        <w:rPr>
          <w:rFonts w:ascii="Segoe UI" w:hAnsi="Segoe UI" w:cs="Segoe UI"/>
          <w:sz w:val="21"/>
          <w:szCs w:val="21"/>
        </w:rPr>
        <w:t xml:space="preserve"> are typically exposed to less scrutiny by governments and their agencies than direct expenditure programs—unless specific provisions are in place for their identification, quantification, and estimation of their economic consequences</w:t>
      </w:r>
      <w:r w:rsidR="00EF7CD0" w:rsidRPr="00CB1E53">
        <w:rPr>
          <w:rFonts w:ascii="Segoe UI" w:hAnsi="Segoe UI" w:cs="Segoe UI"/>
          <w:sz w:val="21"/>
          <w:szCs w:val="21"/>
        </w:rPr>
        <w:t>. The lat</w:t>
      </w:r>
      <w:r w:rsidR="001A66E8">
        <w:rPr>
          <w:rFonts w:ascii="Segoe UI" w:hAnsi="Segoe UI" w:cs="Segoe UI"/>
          <w:sz w:val="21"/>
          <w:szCs w:val="21"/>
        </w:rPr>
        <w:t>t</w:t>
      </w:r>
      <w:r w:rsidR="00EF7CD0" w:rsidRPr="00CB1E53">
        <w:rPr>
          <w:rFonts w:ascii="Segoe UI" w:hAnsi="Segoe UI" w:cs="Segoe UI"/>
          <w:sz w:val="21"/>
          <w:szCs w:val="21"/>
        </w:rPr>
        <w:t xml:space="preserve">er </w:t>
      </w:r>
      <w:r w:rsidR="00F77F6D" w:rsidRPr="00CB1E53">
        <w:rPr>
          <w:rFonts w:ascii="Segoe UI" w:hAnsi="Segoe UI" w:cs="Segoe UI"/>
          <w:sz w:val="21"/>
          <w:szCs w:val="21"/>
        </w:rPr>
        <w:t xml:space="preserve">is the functional objective of a TEAR. In the context of constrained public finances, it is important to better conceptually integrate the budgetary and economic impact of </w:t>
      </w:r>
      <w:r w:rsidR="00F310A8" w:rsidRPr="00CB1E53">
        <w:rPr>
          <w:rFonts w:ascii="Segoe UI" w:hAnsi="Segoe UI" w:cs="Segoe UI"/>
          <w:sz w:val="21"/>
          <w:szCs w:val="21"/>
        </w:rPr>
        <w:t xml:space="preserve">TEs </w:t>
      </w:r>
      <w:r w:rsidR="00F77F6D" w:rsidRPr="00CB1E53">
        <w:rPr>
          <w:rFonts w:ascii="Segoe UI" w:hAnsi="Segoe UI" w:cs="Segoe UI"/>
          <w:sz w:val="21"/>
          <w:szCs w:val="21"/>
        </w:rPr>
        <w:t xml:space="preserve">into the annual budgetary process and accountability framework. The core objective of </w:t>
      </w:r>
      <w:r w:rsidR="005B416B" w:rsidRPr="00CB1E53">
        <w:rPr>
          <w:rFonts w:ascii="Segoe UI" w:hAnsi="Segoe UI" w:cs="Segoe UI"/>
          <w:sz w:val="21"/>
          <w:szCs w:val="21"/>
        </w:rPr>
        <w:t>TEs</w:t>
      </w:r>
      <w:r w:rsidR="00F77F6D" w:rsidRPr="00CB1E53">
        <w:rPr>
          <w:rFonts w:ascii="Segoe UI" w:hAnsi="Segoe UI" w:cs="Segoe UI"/>
          <w:sz w:val="21"/>
          <w:szCs w:val="21"/>
        </w:rPr>
        <w:t xml:space="preserve"> assessment is, therefore, to </w:t>
      </w:r>
      <w:r w:rsidR="00F77F6D" w:rsidRPr="00CB1E53">
        <w:rPr>
          <w:rFonts w:ascii="Segoe UI" w:hAnsi="Segoe UI" w:cs="Segoe UI"/>
          <w:i/>
          <w:sz w:val="21"/>
          <w:szCs w:val="21"/>
        </w:rPr>
        <w:t>improve transparency and accountability</w:t>
      </w:r>
      <w:r w:rsidR="00F77F6D" w:rsidRPr="00CB1E53">
        <w:rPr>
          <w:rFonts w:ascii="Segoe UI" w:hAnsi="Segoe UI" w:cs="Segoe UI"/>
          <w:sz w:val="21"/>
          <w:szCs w:val="21"/>
        </w:rPr>
        <w:t xml:space="preserve"> in public finance, by identifying all budgetary reliefs given through tax reductions, and expose them to the same scrutiny as expenditure programs. This would include an evaluation of whether the underlying policy purposes could best be achieved through tax reliefs or direct expenditures. It follows that </w:t>
      </w:r>
      <w:r w:rsidR="00F310A8" w:rsidRPr="00CB1E53">
        <w:rPr>
          <w:rFonts w:ascii="Segoe UI" w:hAnsi="Segoe UI" w:cs="Segoe UI"/>
          <w:sz w:val="21"/>
          <w:szCs w:val="21"/>
        </w:rPr>
        <w:t xml:space="preserve">TEs </w:t>
      </w:r>
      <w:r w:rsidR="00F77F6D" w:rsidRPr="00CB1E53">
        <w:rPr>
          <w:rFonts w:ascii="Segoe UI" w:hAnsi="Segoe UI" w:cs="Segoe UI"/>
          <w:sz w:val="21"/>
          <w:szCs w:val="21"/>
        </w:rPr>
        <w:t xml:space="preserve">are not necessarily </w:t>
      </w:r>
      <w:r w:rsidR="5096EC4E" w:rsidRPr="00CB1E53">
        <w:rPr>
          <w:rFonts w:ascii="Segoe UI" w:hAnsi="Segoe UI" w:cs="Segoe UI"/>
          <w:sz w:val="21"/>
          <w:szCs w:val="21"/>
        </w:rPr>
        <w:t>to be criticized from a policy standpoint</w:t>
      </w:r>
      <w:r w:rsidR="00F77F6D" w:rsidRPr="00CB1E53">
        <w:rPr>
          <w:rFonts w:ascii="Segoe UI" w:hAnsi="Segoe UI" w:cs="Segoe UI"/>
          <w:sz w:val="21"/>
          <w:szCs w:val="21"/>
        </w:rPr>
        <w:t>, and there are situations where they can be preferred to direct expenditure programs.</w:t>
      </w:r>
      <w:r w:rsidR="00F77F6D" w:rsidRPr="00CB1E53">
        <w:rPr>
          <w:rStyle w:val="FootnoteReference"/>
          <w:rFonts w:ascii="Segoe UI" w:hAnsi="Segoe UI" w:cs="Segoe UI"/>
          <w:sz w:val="21"/>
          <w:szCs w:val="21"/>
        </w:rPr>
        <w:footnoteReference w:id="5"/>
      </w:r>
    </w:p>
    <w:p w14:paraId="5500CB32" w14:textId="77777777" w:rsidR="00F77F6D" w:rsidRPr="00CB1E53" w:rsidRDefault="00F77F6D" w:rsidP="00E90BA7">
      <w:pPr>
        <w:pStyle w:val="Heading3"/>
        <w:keepNext/>
        <w:keepLines/>
        <w:jc w:val="both"/>
        <w:rPr>
          <w:rStyle w:val="RegularDKB"/>
          <w:caps w:val="0"/>
        </w:rPr>
      </w:pPr>
      <w:bookmarkStart w:id="13" w:name="_Toc126555818"/>
      <w:r w:rsidRPr="00CB1E53">
        <w:rPr>
          <w:rStyle w:val="RegularDKB"/>
          <w:caps w:val="0"/>
        </w:rPr>
        <w:lastRenderedPageBreak/>
        <w:t>Following global good practice in fiscal transparency</w:t>
      </w:r>
      <w:bookmarkEnd w:id="13"/>
    </w:p>
    <w:p w14:paraId="1A8028C4" w14:textId="476B3F53" w:rsidR="00F77F6D" w:rsidRPr="00CB1E53" w:rsidRDefault="00F77F6D" w:rsidP="00E90BA7">
      <w:pPr>
        <w:pStyle w:val="ParagraphNumbering"/>
        <w:keepNext/>
        <w:keepLines/>
        <w:numPr>
          <w:ilvl w:val="0"/>
          <w:numId w:val="0"/>
        </w:numPr>
        <w:spacing w:after="120" w:line="264" w:lineRule="auto"/>
        <w:jc w:val="both"/>
        <w:rPr>
          <w:rFonts w:ascii="Segoe UI" w:hAnsi="Segoe UI" w:cs="Segoe UI"/>
          <w:sz w:val="21"/>
          <w:szCs w:val="21"/>
        </w:rPr>
      </w:pPr>
      <w:r w:rsidRPr="00CB1E53">
        <w:rPr>
          <w:rFonts w:ascii="Segoe UI" w:hAnsi="Segoe UI" w:cs="Segoe UI"/>
          <w:sz w:val="21"/>
          <w:szCs w:val="21"/>
        </w:rPr>
        <w:t xml:space="preserve">With the release of </w:t>
      </w:r>
      <w:r w:rsidR="78B54A66" w:rsidRPr="65964F99">
        <w:rPr>
          <w:rFonts w:ascii="Segoe UI" w:hAnsi="Segoe UI" w:cs="Segoe UI"/>
          <w:sz w:val="21"/>
          <w:szCs w:val="21"/>
        </w:rPr>
        <w:t>a</w:t>
      </w:r>
      <w:r w:rsidRPr="00CB1E53">
        <w:rPr>
          <w:rFonts w:ascii="Segoe UI" w:hAnsi="Segoe UI" w:cs="Segoe UI"/>
          <w:sz w:val="21"/>
          <w:szCs w:val="21"/>
        </w:rPr>
        <w:t xml:space="preserve"> comprehensive TEAR, Moldova follows an international trend since the emergence of </w:t>
      </w:r>
      <w:r w:rsidR="00F310A8" w:rsidRPr="00CB1E53">
        <w:rPr>
          <w:rFonts w:ascii="Segoe UI" w:hAnsi="Segoe UI" w:cs="Segoe UI"/>
          <w:sz w:val="21"/>
          <w:szCs w:val="21"/>
        </w:rPr>
        <w:t xml:space="preserve">TEs </w:t>
      </w:r>
      <w:r w:rsidRPr="00CB1E53">
        <w:rPr>
          <w:rFonts w:ascii="Segoe UI" w:hAnsi="Segoe UI" w:cs="Segoe UI"/>
          <w:sz w:val="21"/>
          <w:szCs w:val="21"/>
        </w:rPr>
        <w:t xml:space="preserve">accounting in the US and Germany in the 1960s. The concept has seen wide acceptance and wider application across a growing number of countries, covering a larger range of taxes. </w:t>
      </w:r>
      <w:r w:rsidR="00EF7CD0" w:rsidRPr="00CB1E53">
        <w:rPr>
          <w:rFonts w:ascii="Segoe UI" w:hAnsi="Segoe UI" w:cs="Segoe UI"/>
          <w:sz w:val="21"/>
          <w:szCs w:val="21"/>
        </w:rPr>
        <w:t>T</w:t>
      </w:r>
      <w:r w:rsidRPr="00CB1E53">
        <w:rPr>
          <w:rFonts w:ascii="Segoe UI" w:hAnsi="Segoe UI" w:cs="Segoe UI"/>
          <w:sz w:val="21"/>
          <w:szCs w:val="21"/>
        </w:rPr>
        <w:t xml:space="preserve">he legal basis for </w:t>
      </w:r>
      <w:r w:rsidR="005B416B" w:rsidRPr="00CB1E53">
        <w:rPr>
          <w:rFonts w:ascii="Segoe UI" w:hAnsi="Segoe UI" w:cs="Segoe UI"/>
          <w:sz w:val="21"/>
          <w:szCs w:val="21"/>
        </w:rPr>
        <w:t>TEs</w:t>
      </w:r>
      <w:r w:rsidRPr="00CB1E53">
        <w:rPr>
          <w:rFonts w:ascii="Segoe UI" w:hAnsi="Segoe UI" w:cs="Segoe UI"/>
          <w:sz w:val="21"/>
          <w:szCs w:val="21"/>
        </w:rPr>
        <w:t xml:space="preserve"> accounting differs across countries, with some countries having a legal requirement to conduct regular</w:t>
      </w:r>
      <w:r w:rsidR="00542C46" w:rsidRPr="00CB1E53">
        <w:rPr>
          <w:rFonts w:ascii="Segoe UI" w:hAnsi="Segoe UI" w:cs="Segoe UI"/>
          <w:sz w:val="21"/>
          <w:szCs w:val="21"/>
        </w:rPr>
        <w:t>—</w:t>
      </w:r>
      <w:r w:rsidRPr="00CB1E53">
        <w:rPr>
          <w:rFonts w:ascii="Segoe UI" w:hAnsi="Segoe UI" w:cs="Segoe UI"/>
          <w:sz w:val="21"/>
          <w:szCs w:val="21"/>
        </w:rPr>
        <w:t>typically annual</w:t>
      </w:r>
      <w:r w:rsidR="00542C46" w:rsidRPr="00CB1E53">
        <w:rPr>
          <w:rFonts w:ascii="Segoe UI" w:hAnsi="Segoe UI" w:cs="Segoe UI"/>
          <w:sz w:val="21"/>
          <w:szCs w:val="21"/>
        </w:rPr>
        <w:t>—</w:t>
      </w:r>
      <w:r w:rsidR="00F310A8" w:rsidRPr="00CB1E53">
        <w:rPr>
          <w:rFonts w:ascii="Segoe UI" w:hAnsi="Segoe UI" w:cs="Segoe UI"/>
          <w:sz w:val="21"/>
          <w:szCs w:val="21"/>
        </w:rPr>
        <w:t xml:space="preserve">TEs </w:t>
      </w:r>
      <w:r w:rsidRPr="00CB1E53">
        <w:rPr>
          <w:rFonts w:ascii="Segoe UI" w:hAnsi="Segoe UI" w:cs="Segoe UI"/>
          <w:sz w:val="21"/>
          <w:szCs w:val="21"/>
        </w:rPr>
        <w:t>assessment, while others</w:t>
      </w:r>
      <w:r w:rsidR="00542C46" w:rsidRPr="00CB1E53">
        <w:rPr>
          <w:rFonts w:ascii="Segoe UI" w:hAnsi="Segoe UI" w:cs="Segoe UI"/>
          <w:sz w:val="21"/>
          <w:szCs w:val="21"/>
        </w:rPr>
        <w:t xml:space="preserve">, </w:t>
      </w:r>
      <w:r w:rsidRPr="00CB1E53">
        <w:rPr>
          <w:rFonts w:ascii="Segoe UI" w:hAnsi="Segoe UI" w:cs="Segoe UI"/>
          <w:sz w:val="21"/>
          <w:szCs w:val="21"/>
        </w:rPr>
        <w:t>including Moldova</w:t>
      </w:r>
      <w:r w:rsidR="00542C46" w:rsidRPr="00CB1E53">
        <w:rPr>
          <w:rFonts w:ascii="Segoe UI" w:hAnsi="Segoe UI" w:cs="Segoe UI"/>
          <w:sz w:val="21"/>
          <w:szCs w:val="21"/>
        </w:rPr>
        <w:t>,</w:t>
      </w:r>
      <w:r w:rsidRPr="00CB1E53">
        <w:rPr>
          <w:rFonts w:ascii="Segoe UI" w:hAnsi="Segoe UI" w:cs="Segoe UI"/>
          <w:sz w:val="21"/>
          <w:szCs w:val="21"/>
        </w:rPr>
        <w:t xml:space="preserve"> do not have such a legal requirement.</w:t>
      </w:r>
    </w:p>
    <w:p w14:paraId="41A89463" w14:textId="1302B5EC" w:rsidR="00F77F6D" w:rsidRPr="00CB1E53" w:rsidRDefault="00F77F6D" w:rsidP="00E90BA7">
      <w:pPr>
        <w:pStyle w:val="Heading3"/>
        <w:jc w:val="both"/>
        <w:rPr>
          <w:rStyle w:val="RegularDKB"/>
          <w:caps w:val="0"/>
        </w:rPr>
      </w:pPr>
      <w:bookmarkStart w:id="14" w:name="_Toc126555819"/>
      <w:r w:rsidRPr="00CB1E53">
        <w:rPr>
          <w:rStyle w:val="RegularDKB"/>
          <w:caps w:val="0"/>
        </w:rPr>
        <w:t xml:space="preserve">The steps of the Moldovan </w:t>
      </w:r>
      <w:r w:rsidR="005B416B" w:rsidRPr="00CB1E53">
        <w:rPr>
          <w:rStyle w:val="RegularDKB"/>
          <w:caps w:val="0"/>
        </w:rPr>
        <w:t>TEs</w:t>
      </w:r>
      <w:r w:rsidRPr="00CB1E53">
        <w:rPr>
          <w:rStyle w:val="RegularDKB"/>
          <w:caps w:val="0"/>
        </w:rPr>
        <w:t xml:space="preserve"> assessment</w:t>
      </w:r>
      <w:bookmarkEnd w:id="14"/>
    </w:p>
    <w:p w14:paraId="7B5161BE" w14:textId="07CA4945" w:rsidR="00F77F6D" w:rsidRPr="00CB1E53" w:rsidRDefault="00F77F6D" w:rsidP="00E90BA7">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sz w:val="21"/>
          <w:szCs w:val="21"/>
        </w:rPr>
        <w:t xml:space="preserve">Four different phases in the preparation of </w:t>
      </w:r>
      <w:r w:rsidR="00902471">
        <w:rPr>
          <w:rFonts w:ascii="Segoe UI" w:hAnsi="Segoe UI" w:cs="Segoe UI"/>
          <w:sz w:val="21"/>
          <w:szCs w:val="21"/>
        </w:rPr>
        <w:t>TE</w:t>
      </w:r>
      <w:r w:rsidRPr="00CB1E53">
        <w:rPr>
          <w:rFonts w:ascii="Segoe UI" w:hAnsi="Segoe UI" w:cs="Segoe UI"/>
          <w:sz w:val="21"/>
          <w:szCs w:val="21"/>
        </w:rPr>
        <w:t xml:space="preserve"> </w:t>
      </w:r>
      <w:r w:rsidR="00902471">
        <w:rPr>
          <w:rFonts w:ascii="Segoe UI" w:hAnsi="Segoe UI" w:cs="Segoe UI"/>
          <w:sz w:val="21"/>
          <w:szCs w:val="21"/>
        </w:rPr>
        <w:t>r</w:t>
      </w:r>
      <w:r w:rsidRPr="00CB1E53">
        <w:rPr>
          <w:rFonts w:ascii="Segoe UI" w:hAnsi="Segoe UI" w:cs="Segoe UI"/>
          <w:sz w:val="21"/>
          <w:szCs w:val="21"/>
        </w:rPr>
        <w:t>eports can clearly be identified</w:t>
      </w:r>
      <w:r w:rsidR="00372EE6" w:rsidRPr="00CB1E53">
        <w:rPr>
          <w:rFonts w:ascii="Segoe UI" w:hAnsi="Segoe UI" w:cs="Segoe UI"/>
          <w:sz w:val="21"/>
          <w:szCs w:val="21"/>
        </w:rPr>
        <w:t xml:space="preserve"> </w:t>
      </w:r>
      <w:r w:rsidRPr="00CB1E53">
        <w:rPr>
          <w:rFonts w:ascii="Segoe UI" w:hAnsi="Segoe UI" w:cs="Segoe UI"/>
          <w:sz w:val="21"/>
          <w:szCs w:val="21"/>
        </w:rPr>
        <w:t xml:space="preserve">(Figure 1). </w:t>
      </w:r>
    </w:p>
    <w:p w14:paraId="7C1FB6AC" w14:textId="77777777" w:rsidR="00F77F6D" w:rsidRPr="00CB1E53" w:rsidRDefault="00F77F6D" w:rsidP="00E90BA7">
      <w:pPr>
        <w:pStyle w:val="Boxfiguretabletitle"/>
        <w:spacing w:after="120"/>
        <w:jc w:val="both"/>
        <w:rPr>
          <w:color w:val="auto"/>
        </w:rPr>
      </w:pPr>
      <w:r w:rsidRPr="00CB1E53">
        <w:rPr>
          <w:b w:val="0"/>
          <w:bCs w:val="0"/>
          <w:color w:val="auto"/>
        </w:rPr>
        <w:fldChar w:fldCharType="begin"/>
      </w:r>
      <w:r w:rsidRPr="00CB1E53">
        <w:rPr>
          <w:b w:val="0"/>
          <w:bCs w:val="0"/>
          <w:color w:val="auto"/>
        </w:rPr>
        <w:instrText xml:space="preserve"> TC "</w:instrText>
      </w:r>
      <w:bookmarkStart w:id="15" w:name="_Toc8398748"/>
      <w:bookmarkStart w:id="16" w:name="_Toc8398785"/>
      <w:r w:rsidRPr="00CB1E53">
        <w:rPr>
          <w:b w:val="0"/>
          <w:bCs w:val="0"/>
          <w:color w:val="auto"/>
        </w:rPr>
        <w:instrText>1. Steps in the Preparation of Tax Expenditure Reports</w:instrText>
      </w:r>
      <w:bookmarkEnd w:id="15"/>
      <w:bookmarkEnd w:id="16"/>
      <w:r w:rsidRPr="00CB1E53">
        <w:rPr>
          <w:b w:val="0"/>
          <w:bCs w:val="0"/>
          <w:color w:val="auto"/>
        </w:rPr>
        <w:instrText xml:space="preserve">"\f C </w:instrText>
      </w:r>
      <w:r w:rsidRPr="00CB1E53">
        <w:rPr>
          <w:b w:val="0"/>
          <w:bCs w:val="0"/>
          <w:color w:val="auto"/>
        </w:rPr>
        <w:fldChar w:fldCharType="end"/>
      </w:r>
      <w:r w:rsidRPr="00CB1E53">
        <w:rPr>
          <w:color w:val="auto"/>
        </w:rPr>
        <w:t>Figure 1. Steps in the Preparation of Tax Expenditure Reports</w:t>
      </w:r>
    </w:p>
    <w:p w14:paraId="67AFE00A" w14:textId="77777777" w:rsidR="00F77F6D" w:rsidRPr="00CB1E53" w:rsidRDefault="00F77F6D" w:rsidP="00E90BA7">
      <w:pPr>
        <w:pStyle w:val="ParagraphNumbering"/>
        <w:numPr>
          <w:ilvl w:val="0"/>
          <w:numId w:val="0"/>
        </w:numPr>
        <w:tabs>
          <w:tab w:val="left" w:pos="720"/>
        </w:tabs>
        <w:spacing w:after="120"/>
        <w:jc w:val="both"/>
      </w:pPr>
      <w:r w:rsidRPr="00CB1E53">
        <w:rPr>
          <w:noProof/>
        </w:rPr>
        <w:drawing>
          <wp:inline distT="0" distB="0" distL="0" distR="0" wp14:anchorId="3C6725DD" wp14:editId="5C247290">
            <wp:extent cx="5549265" cy="179070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265" cy="1790700"/>
                    </a:xfrm>
                    <a:prstGeom prst="rect">
                      <a:avLst/>
                    </a:prstGeom>
                    <a:noFill/>
                    <a:ln>
                      <a:noFill/>
                    </a:ln>
                  </pic:spPr>
                </pic:pic>
              </a:graphicData>
            </a:graphic>
          </wp:inline>
        </w:drawing>
      </w:r>
    </w:p>
    <w:p w14:paraId="6132CDB3" w14:textId="34F09D17" w:rsidR="00F77F6D" w:rsidRPr="00CB1E53" w:rsidRDefault="00F77F6D" w:rsidP="00E90BA7">
      <w:pPr>
        <w:pStyle w:val="ParagraphNumbering"/>
        <w:numPr>
          <w:ilvl w:val="0"/>
          <w:numId w:val="0"/>
        </w:numPr>
        <w:tabs>
          <w:tab w:val="left" w:pos="720"/>
        </w:tabs>
        <w:spacing w:after="0"/>
        <w:jc w:val="both"/>
        <w:rPr>
          <w:sz w:val="14"/>
          <w:szCs w:val="14"/>
        </w:rPr>
      </w:pPr>
      <w:r w:rsidRPr="00CB1E53">
        <w:rPr>
          <w:sz w:val="14"/>
          <w:szCs w:val="14"/>
        </w:rPr>
        <w:t>Source: Heady and Mansour</w:t>
      </w:r>
      <w:r w:rsidR="008A71EE">
        <w:rPr>
          <w:sz w:val="14"/>
          <w:szCs w:val="14"/>
        </w:rPr>
        <w:t xml:space="preserve"> (2019).</w:t>
      </w:r>
    </w:p>
    <w:p w14:paraId="22F84FF2" w14:textId="1D00B017" w:rsidR="00514AA0" w:rsidRPr="00CB1E53" w:rsidRDefault="00F77F6D" w:rsidP="00E90BA7">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sz w:val="21"/>
          <w:szCs w:val="21"/>
        </w:rPr>
        <w:t xml:space="preserve">The </w:t>
      </w:r>
      <w:r w:rsidRPr="002E2BB5">
        <w:rPr>
          <w:rFonts w:ascii="Segoe UI" w:hAnsi="Segoe UI" w:cs="Segoe UI"/>
          <w:sz w:val="21"/>
          <w:szCs w:val="21"/>
        </w:rPr>
        <w:t>first phase</w:t>
      </w:r>
      <w:r w:rsidRPr="00CB1E53">
        <w:rPr>
          <w:rFonts w:ascii="Segoe UI" w:hAnsi="Segoe UI" w:cs="Segoe UI"/>
          <w:sz w:val="21"/>
          <w:szCs w:val="21"/>
        </w:rPr>
        <w:t xml:space="preserve"> involves definition of the </w:t>
      </w:r>
      <w:r w:rsidR="5448A0DD" w:rsidRPr="0B6EF5B6">
        <w:rPr>
          <w:rFonts w:ascii="Segoe UI" w:hAnsi="Segoe UI" w:cs="Segoe UI"/>
          <w:sz w:val="21"/>
          <w:szCs w:val="21"/>
        </w:rPr>
        <w:t>"</w:t>
      </w:r>
      <w:r w:rsidRPr="0B6EF5B6">
        <w:rPr>
          <w:rFonts w:ascii="Segoe UI" w:hAnsi="Segoe UI" w:cs="Segoe UI"/>
          <w:sz w:val="21"/>
          <w:szCs w:val="21"/>
        </w:rPr>
        <w:t>benchmark</w:t>
      </w:r>
      <w:r w:rsidR="5629682D" w:rsidRPr="40BE6965">
        <w:rPr>
          <w:rFonts w:ascii="Segoe UI" w:hAnsi="Segoe UI" w:cs="Segoe UI"/>
          <w:sz w:val="21"/>
          <w:szCs w:val="21"/>
        </w:rPr>
        <w:t>"</w:t>
      </w:r>
      <w:r w:rsidRPr="00CB1E53">
        <w:rPr>
          <w:rFonts w:ascii="Segoe UI" w:hAnsi="Segoe UI" w:cs="Segoe UI"/>
          <w:sz w:val="21"/>
          <w:szCs w:val="21"/>
        </w:rPr>
        <w:t xml:space="preserve"> tax system (see section </w:t>
      </w:r>
      <w:r w:rsidR="00542C46" w:rsidRPr="00CB1E53">
        <w:rPr>
          <w:rFonts w:ascii="Segoe UI" w:hAnsi="Segoe UI" w:cs="Segoe UI"/>
          <w:sz w:val="21"/>
          <w:szCs w:val="21"/>
        </w:rPr>
        <w:t>II</w:t>
      </w:r>
      <w:r w:rsidRPr="00CB1E53">
        <w:rPr>
          <w:rFonts w:ascii="Segoe UI" w:hAnsi="Segoe UI" w:cs="Segoe UI"/>
          <w:sz w:val="21"/>
          <w:szCs w:val="21"/>
        </w:rPr>
        <w:t xml:space="preserve"> of this TEAR). This refers to a description of the core structural elements of Moldova's tax system excluding all special reliefs or provisions that aim at specific groups of taxpayers or activities. </w:t>
      </w:r>
    </w:p>
    <w:p w14:paraId="5AA65E95" w14:textId="7581923B" w:rsidR="00514AA0" w:rsidRPr="00CB1E53" w:rsidRDefault="00F77F6D" w:rsidP="00E90BA7">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sz w:val="21"/>
          <w:szCs w:val="21"/>
        </w:rPr>
        <w:t xml:space="preserve">The </w:t>
      </w:r>
      <w:r w:rsidRPr="002E2BB5">
        <w:rPr>
          <w:rFonts w:ascii="Segoe UI" w:hAnsi="Segoe UI" w:cs="Segoe UI"/>
          <w:sz w:val="21"/>
          <w:szCs w:val="21"/>
        </w:rPr>
        <w:t>second phase</w:t>
      </w:r>
      <w:r w:rsidRPr="00CB1E53">
        <w:rPr>
          <w:rFonts w:ascii="Segoe UI" w:hAnsi="Segoe UI" w:cs="Segoe UI"/>
          <w:sz w:val="21"/>
          <w:szCs w:val="21"/>
        </w:rPr>
        <w:t xml:space="preserve"> will identify, tax by tax</w:t>
      </w:r>
      <w:r w:rsidR="00542C46" w:rsidRPr="00CB1E53">
        <w:rPr>
          <w:rFonts w:ascii="Segoe UI" w:hAnsi="Segoe UI" w:cs="Segoe UI"/>
          <w:sz w:val="21"/>
          <w:szCs w:val="21"/>
        </w:rPr>
        <w:t>,</w:t>
      </w:r>
      <w:r w:rsidRPr="00CB1E53">
        <w:rPr>
          <w:rFonts w:ascii="Segoe UI" w:hAnsi="Segoe UI" w:cs="Segoe UI"/>
          <w:sz w:val="21"/>
          <w:szCs w:val="21"/>
        </w:rPr>
        <w:t xml:space="preserve"> all deviations from the described benchmark tax system and thereby produce an inventory of currently provided </w:t>
      </w:r>
      <w:r w:rsidR="00F310A8" w:rsidRPr="00CB1E53">
        <w:rPr>
          <w:rFonts w:ascii="Segoe UI" w:hAnsi="Segoe UI" w:cs="Segoe UI"/>
          <w:sz w:val="21"/>
          <w:szCs w:val="21"/>
        </w:rPr>
        <w:t xml:space="preserve">TEs </w:t>
      </w:r>
      <w:r w:rsidRPr="00CB1E53">
        <w:rPr>
          <w:rFonts w:ascii="Segoe UI" w:hAnsi="Segoe UI" w:cs="Segoe UI"/>
          <w:sz w:val="21"/>
          <w:szCs w:val="21"/>
        </w:rPr>
        <w:t xml:space="preserve">(section </w:t>
      </w:r>
      <w:r w:rsidR="00542C46" w:rsidRPr="00CB1E53">
        <w:rPr>
          <w:rFonts w:ascii="Segoe UI" w:hAnsi="Segoe UI" w:cs="Segoe UI"/>
          <w:sz w:val="21"/>
          <w:szCs w:val="21"/>
        </w:rPr>
        <w:t>III</w:t>
      </w:r>
      <w:r w:rsidRPr="00CB1E53">
        <w:rPr>
          <w:rFonts w:ascii="Segoe UI" w:hAnsi="Segoe UI" w:cs="Segoe UI"/>
          <w:sz w:val="21"/>
          <w:szCs w:val="21"/>
        </w:rPr>
        <w:t xml:space="preserve"> and Appendices 1 to </w:t>
      </w:r>
      <w:r w:rsidR="5A712B63" w:rsidRPr="40BE6965">
        <w:rPr>
          <w:rFonts w:ascii="Segoe UI" w:hAnsi="Segoe UI" w:cs="Segoe UI"/>
          <w:sz w:val="21"/>
          <w:szCs w:val="21"/>
        </w:rPr>
        <w:t>8</w:t>
      </w:r>
      <w:r w:rsidRPr="00CB1E53">
        <w:rPr>
          <w:rFonts w:ascii="Segoe UI" w:hAnsi="Segoe UI" w:cs="Segoe UI"/>
          <w:sz w:val="21"/>
          <w:szCs w:val="21"/>
        </w:rPr>
        <w:t xml:space="preserve"> of this TEAR).</w:t>
      </w:r>
    </w:p>
    <w:p w14:paraId="3BC74570" w14:textId="2F9DB4F2" w:rsidR="00514AA0" w:rsidRPr="00CB1E53" w:rsidRDefault="00F77F6D" w:rsidP="00E90BA7">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sz w:val="21"/>
          <w:szCs w:val="21"/>
        </w:rPr>
        <w:t xml:space="preserve">In a </w:t>
      </w:r>
      <w:r w:rsidRPr="002E2BB5">
        <w:rPr>
          <w:rFonts w:ascii="Segoe UI" w:hAnsi="Segoe UI" w:cs="Segoe UI"/>
          <w:sz w:val="21"/>
          <w:szCs w:val="21"/>
        </w:rPr>
        <w:t>third phase</w:t>
      </w:r>
      <w:r w:rsidRPr="00CB1E53">
        <w:rPr>
          <w:rFonts w:ascii="Segoe UI" w:hAnsi="Segoe UI" w:cs="Segoe UI"/>
          <w:sz w:val="21"/>
          <w:szCs w:val="21"/>
        </w:rPr>
        <w:t xml:space="preserve">, and again tax by tax, data required for the estimation of </w:t>
      </w:r>
      <w:r w:rsidR="009430CA" w:rsidRPr="00CB1E53">
        <w:rPr>
          <w:rFonts w:ascii="Segoe UI" w:hAnsi="Segoe UI" w:cs="Segoe UI"/>
          <w:sz w:val="21"/>
          <w:szCs w:val="21"/>
        </w:rPr>
        <w:t>TEs</w:t>
      </w:r>
      <w:r w:rsidRPr="00CB1E53">
        <w:rPr>
          <w:rFonts w:ascii="Segoe UI" w:hAnsi="Segoe UI" w:cs="Segoe UI"/>
          <w:sz w:val="21"/>
          <w:szCs w:val="21"/>
        </w:rPr>
        <w:t xml:space="preserve"> will be compiled, and estimation methods developed for the estimation of the costs of all </w:t>
      </w:r>
      <w:r w:rsidR="00F310A8" w:rsidRPr="00CB1E53">
        <w:rPr>
          <w:rFonts w:ascii="Segoe UI" w:hAnsi="Segoe UI" w:cs="Segoe UI"/>
          <w:sz w:val="21"/>
          <w:szCs w:val="21"/>
        </w:rPr>
        <w:t xml:space="preserve">TEs </w:t>
      </w:r>
      <w:r w:rsidRPr="00CB1E53">
        <w:rPr>
          <w:rFonts w:ascii="Segoe UI" w:hAnsi="Segoe UI" w:cs="Segoe UI"/>
          <w:sz w:val="21"/>
          <w:szCs w:val="21"/>
        </w:rPr>
        <w:t xml:space="preserve">identified (section </w:t>
      </w:r>
      <w:r w:rsidR="00542C46" w:rsidRPr="00CB1E53">
        <w:rPr>
          <w:rFonts w:ascii="Segoe UI" w:hAnsi="Segoe UI" w:cs="Segoe UI"/>
          <w:sz w:val="21"/>
          <w:szCs w:val="21"/>
        </w:rPr>
        <w:t>IV</w:t>
      </w:r>
      <w:r w:rsidRPr="00CB1E53">
        <w:rPr>
          <w:rFonts w:ascii="Segoe UI" w:hAnsi="Segoe UI" w:cs="Segoe UI"/>
          <w:sz w:val="21"/>
          <w:szCs w:val="21"/>
        </w:rPr>
        <w:t xml:space="preserve"> of </w:t>
      </w:r>
      <w:r w:rsidR="00542C46" w:rsidRPr="00CB1E53">
        <w:rPr>
          <w:rFonts w:ascii="Segoe UI" w:hAnsi="Segoe UI" w:cs="Segoe UI"/>
          <w:sz w:val="21"/>
          <w:szCs w:val="21"/>
        </w:rPr>
        <w:t xml:space="preserve">this </w:t>
      </w:r>
      <w:r w:rsidRPr="00CB1E53">
        <w:rPr>
          <w:rFonts w:ascii="Segoe UI" w:hAnsi="Segoe UI" w:cs="Segoe UI"/>
          <w:sz w:val="21"/>
          <w:szCs w:val="21"/>
        </w:rPr>
        <w:t>TEAR). Estimation methods may be model-based using micro-simulation models, macro-econometric models, or Input-Ou</w:t>
      </w:r>
      <w:r w:rsidR="000F4F88">
        <w:rPr>
          <w:rFonts w:ascii="Segoe UI" w:hAnsi="Segoe UI" w:cs="Segoe UI"/>
          <w:sz w:val="21"/>
          <w:szCs w:val="21"/>
        </w:rPr>
        <w:t>t</w:t>
      </w:r>
      <w:r w:rsidRPr="00CB1E53">
        <w:rPr>
          <w:rFonts w:ascii="Segoe UI" w:hAnsi="Segoe UI" w:cs="Segoe UI"/>
          <w:sz w:val="21"/>
          <w:szCs w:val="21"/>
        </w:rPr>
        <w:t>put models</w:t>
      </w:r>
      <w:r w:rsidR="000F4F88">
        <w:rPr>
          <w:rFonts w:ascii="Segoe UI" w:hAnsi="Segoe UI" w:cs="Segoe UI"/>
          <w:sz w:val="21"/>
          <w:szCs w:val="21"/>
        </w:rPr>
        <w:t>.</w:t>
      </w:r>
    </w:p>
    <w:p w14:paraId="24A36EFC" w14:textId="031486EF" w:rsidR="00F77F6D" w:rsidRPr="00CB1E53" w:rsidRDefault="00F77F6D" w:rsidP="00E90BA7">
      <w:pPr>
        <w:pStyle w:val="ParagraphNumbering"/>
        <w:numPr>
          <w:ilvl w:val="0"/>
          <w:numId w:val="13"/>
        </w:numPr>
        <w:spacing w:before="240" w:after="120" w:line="264" w:lineRule="auto"/>
        <w:jc w:val="both"/>
        <w:rPr>
          <w:rFonts w:ascii="Segoe UI" w:hAnsi="Segoe UI" w:cs="Segoe UI"/>
          <w:b/>
          <w:sz w:val="21"/>
          <w:szCs w:val="21"/>
        </w:rPr>
      </w:pPr>
      <w:r w:rsidRPr="002E2BB5">
        <w:rPr>
          <w:rFonts w:ascii="Segoe UI" w:hAnsi="Segoe UI" w:cs="Segoe UI"/>
          <w:sz w:val="21"/>
          <w:szCs w:val="21"/>
        </w:rPr>
        <w:t>Fourth</w:t>
      </w:r>
      <w:r w:rsidRPr="00CB1E53">
        <w:rPr>
          <w:rFonts w:ascii="Segoe UI" w:hAnsi="Segoe UI" w:cs="Segoe UI"/>
          <w:sz w:val="21"/>
          <w:szCs w:val="21"/>
        </w:rPr>
        <w:t>, this comprehensive TEA</w:t>
      </w:r>
      <w:r w:rsidR="00F310A8" w:rsidRPr="00CB1E53">
        <w:rPr>
          <w:rFonts w:ascii="Segoe UI" w:hAnsi="Segoe UI" w:cs="Segoe UI"/>
          <w:sz w:val="21"/>
          <w:szCs w:val="21"/>
        </w:rPr>
        <w:t>R</w:t>
      </w:r>
      <w:r w:rsidRPr="00CB1E53">
        <w:rPr>
          <w:rFonts w:ascii="Segoe UI" w:hAnsi="Segoe UI" w:cs="Segoe UI"/>
          <w:sz w:val="21"/>
          <w:szCs w:val="21"/>
        </w:rPr>
        <w:t xml:space="preserve"> is being released containing the overall findings on revenues forgone due to the provided </w:t>
      </w:r>
      <w:r w:rsidR="00190352">
        <w:rPr>
          <w:rFonts w:ascii="Segoe UI" w:hAnsi="Segoe UI" w:cs="Segoe UI"/>
          <w:sz w:val="21"/>
          <w:szCs w:val="21"/>
        </w:rPr>
        <w:t>TE</w:t>
      </w:r>
      <w:r w:rsidR="00F310A8" w:rsidRPr="00CB1E53">
        <w:rPr>
          <w:rFonts w:ascii="Segoe UI" w:hAnsi="Segoe UI" w:cs="Segoe UI"/>
          <w:sz w:val="21"/>
          <w:szCs w:val="21"/>
        </w:rPr>
        <w:t>s</w:t>
      </w:r>
      <w:r w:rsidRPr="00CB1E53">
        <w:rPr>
          <w:rFonts w:ascii="Segoe UI" w:hAnsi="Segoe UI" w:cs="Segoe UI"/>
          <w:sz w:val="21"/>
          <w:szCs w:val="21"/>
        </w:rPr>
        <w:t xml:space="preserve">. This </w:t>
      </w:r>
      <w:r w:rsidR="47F507D2" w:rsidRPr="00CB1E53">
        <w:rPr>
          <w:rFonts w:ascii="Segoe UI" w:hAnsi="Segoe UI" w:cs="Segoe UI"/>
          <w:sz w:val="21"/>
          <w:szCs w:val="21"/>
        </w:rPr>
        <w:t>r</w:t>
      </w:r>
      <w:r w:rsidRPr="00CB1E53">
        <w:rPr>
          <w:rFonts w:ascii="Segoe UI" w:hAnsi="Segoe UI" w:cs="Segoe UI"/>
          <w:sz w:val="21"/>
          <w:szCs w:val="21"/>
        </w:rPr>
        <w:t xml:space="preserve">eport </w:t>
      </w:r>
      <w:r w:rsidR="62D19F67" w:rsidRPr="00CB1E53">
        <w:rPr>
          <w:rFonts w:ascii="Segoe UI" w:hAnsi="Segoe UI" w:cs="Segoe UI"/>
          <w:sz w:val="21"/>
          <w:szCs w:val="21"/>
        </w:rPr>
        <w:t>is being</w:t>
      </w:r>
      <w:r w:rsidRPr="00CB1E53">
        <w:rPr>
          <w:rFonts w:ascii="Segoe UI" w:hAnsi="Segoe UI" w:cs="Segoe UI"/>
          <w:sz w:val="21"/>
          <w:szCs w:val="21"/>
        </w:rPr>
        <w:t xml:space="preserve"> </w:t>
      </w:r>
      <w:r w:rsidR="005A6DC4" w:rsidRPr="00CB1E53">
        <w:rPr>
          <w:rFonts w:ascii="Segoe UI" w:hAnsi="Segoe UI" w:cs="Segoe UI"/>
          <w:sz w:val="21"/>
          <w:szCs w:val="21"/>
        </w:rPr>
        <w:t>published</w:t>
      </w:r>
      <w:r w:rsidR="009876A4" w:rsidRPr="00CB1E53">
        <w:rPr>
          <w:rFonts w:ascii="Segoe UI" w:hAnsi="Segoe UI" w:cs="Segoe UI"/>
          <w:sz w:val="21"/>
          <w:szCs w:val="21"/>
        </w:rPr>
        <w:t xml:space="preserve"> on the website</w:t>
      </w:r>
      <w:r w:rsidR="67FEF992" w:rsidRPr="00CB1E53">
        <w:rPr>
          <w:rFonts w:ascii="Segoe UI" w:hAnsi="Segoe UI" w:cs="Segoe UI"/>
          <w:sz w:val="21"/>
          <w:szCs w:val="21"/>
        </w:rPr>
        <w:t xml:space="preserve"> of the Ministry of Finance</w:t>
      </w:r>
      <w:r w:rsidRPr="00CB1E53">
        <w:rPr>
          <w:rFonts w:ascii="Segoe UI" w:hAnsi="Segoe UI" w:cs="Segoe UI"/>
          <w:sz w:val="21"/>
          <w:szCs w:val="21"/>
        </w:rPr>
        <w:t xml:space="preserve">. The </w:t>
      </w:r>
      <w:r w:rsidR="005A6DC4" w:rsidRPr="00CB1E53">
        <w:rPr>
          <w:rFonts w:ascii="Segoe UI" w:hAnsi="Segoe UI" w:cs="Segoe UI"/>
          <w:sz w:val="21"/>
          <w:szCs w:val="21"/>
        </w:rPr>
        <w:t>M</w:t>
      </w:r>
      <w:r w:rsidR="51A2A7A3" w:rsidRPr="00CB1E53">
        <w:rPr>
          <w:rFonts w:ascii="Segoe UI" w:hAnsi="Segoe UI" w:cs="Segoe UI"/>
          <w:sz w:val="21"/>
          <w:szCs w:val="21"/>
        </w:rPr>
        <w:t>inistry</w:t>
      </w:r>
      <w:r w:rsidRPr="00CB1E53">
        <w:rPr>
          <w:rFonts w:ascii="Segoe UI" w:hAnsi="Segoe UI" w:cs="Segoe UI"/>
          <w:sz w:val="21"/>
          <w:szCs w:val="21"/>
        </w:rPr>
        <w:t xml:space="preserve"> intends to update </w:t>
      </w:r>
      <w:r w:rsidR="005A6DC4" w:rsidRPr="00CB1E53">
        <w:rPr>
          <w:rFonts w:ascii="Segoe UI" w:hAnsi="Segoe UI" w:cs="Segoe UI"/>
          <w:sz w:val="21"/>
          <w:szCs w:val="21"/>
        </w:rPr>
        <w:t xml:space="preserve">and publish </w:t>
      </w:r>
      <w:r w:rsidRPr="00CB1E53">
        <w:rPr>
          <w:rFonts w:ascii="Segoe UI" w:hAnsi="Segoe UI" w:cs="Segoe UI"/>
          <w:sz w:val="21"/>
          <w:szCs w:val="21"/>
        </w:rPr>
        <w:t>the TEAR annually</w:t>
      </w:r>
      <w:r w:rsidR="005A6DC4" w:rsidRPr="00CB1E53">
        <w:rPr>
          <w:rFonts w:ascii="Segoe UI" w:hAnsi="Segoe UI" w:cs="Segoe UI"/>
          <w:sz w:val="21"/>
          <w:szCs w:val="21"/>
        </w:rPr>
        <w:t xml:space="preserve">, and in line with </w:t>
      </w:r>
      <w:r w:rsidR="005A6DC4" w:rsidRPr="00CB1E53">
        <w:rPr>
          <w:rFonts w:ascii="Segoe UI" w:hAnsi="Segoe UI" w:cs="Segoe UI"/>
          <w:sz w:val="21"/>
          <w:szCs w:val="21"/>
        </w:rPr>
        <w:lastRenderedPageBreak/>
        <w:t>international trends.</w:t>
      </w:r>
      <w:r w:rsidR="005A6DC4" w:rsidRPr="00CB1E53">
        <w:rPr>
          <w:rFonts w:ascii="Segoe UI" w:hAnsi="Segoe UI" w:cs="Segoe UI"/>
          <w:b/>
          <w:sz w:val="21"/>
          <w:szCs w:val="21"/>
        </w:rPr>
        <w:t xml:space="preserve"> </w:t>
      </w:r>
      <w:r w:rsidRPr="00CB1E53">
        <w:rPr>
          <w:rFonts w:ascii="Segoe UI" w:hAnsi="Segoe UI" w:cs="Segoe UI"/>
          <w:sz w:val="21"/>
          <w:szCs w:val="21"/>
        </w:rPr>
        <w:t>International experiences in this field point to the need and potential for gradual improvements in coverage and quality of estimations over time.</w:t>
      </w:r>
      <w:r w:rsidRPr="00CB1E53">
        <w:rPr>
          <w:rStyle w:val="FootnoteReference"/>
          <w:rFonts w:ascii="Segoe UI" w:hAnsi="Segoe UI" w:cs="Segoe UI"/>
          <w:sz w:val="21"/>
          <w:szCs w:val="21"/>
        </w:rPr>
        <w:footnoteReference w:id="6"/>
      </w:r>
    </w:p>
    <w:p w14:paraId="2CE580A8" w14:textId="6C1D8E8D" w:rsidR="00F77F6D" w:rsidRPr="00CB1E53" w:rsidRDefault="00F77F6D" w:rsidP="00E90BA7">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sz w:val="21"/>
          <w:szCs w:val="21"/>
        </w:rPr>
        <w:t xml:space="preserve">The general objectives of a </w:t>
      </w:r>
      <w:r w:rsidR="005B416B" w:rsidRPr="00CB1E53">
        <w:rPr>
          <w:rFonts w:ascii="Segoe UI" w:hAnsi="Segoe UI" w:cs="Segoe UI"/>
          <w:sz w:val="21"/>
          <w:szCs w:val="21"/>
        </w:rPr>
        <w:t>TE</w:t>
      </w:r>
      <w:r w:rsidRPr="00CB1E53">
        <w:rPr>
          <w:rFonts w:ascii="Segoe UI" w:hAnsi="Segoe UI" w:cs="Segoe UI"/>
          <w:sz w:val="21"/>
          <w:szCs w:val="21"/>
        </w:rPr>
        <w:t xml:space="preserve"> assessment are many-fold:</w:t>
      </w:r>
    </w:p>
    <w:p w14:paraId="7B856EF7" w14:textId="77777777" w:rsidR="00F77F6D" w:rsidRPr="00CB1E53" w:rsidRDefault="00F77F6D" w:rsidP="00E90BA7">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To improve transparency on the budgetary impact of social, industrial and other policies implemented through tax measures, similar to those provided through expenditure programs;</w:t>
      </w:r>
    </w:p>
    <w:p w14:paraId="48FEF3F0" w14:textId="1F95C813" w:rsidR="00F77F6D" w:rsidRPr="00CB1E53" w:rsidRDefault="00F77F6D" w:rsidP="00E90BA7">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 xml:space="preserve">To identify exactly which tax measures could and should be classified as </w:t>
      </w:r>
      <w:r w:rsidR="009430CA" w:rsidRPr="00CB1E53">
        <w:rPr>
          <w:rFonts w:ascii="Segoe UI" w:hAnsi="Segoe UI" w:cs="Segoe UI"/>
          <w:sz w:val="21"/>
          <w:szCs w:val="21"/>
        </w:rPr>
        <w:t>TEs</w:t>
      </w:r>
      <w:r w:rsidRPr="00CB1E53">
        <w:rPr>
          <w:rFonts w:ascii="Segoe UI" w:hAnsi="Segoe UI" w:cs="Segoe UI"/>
          <w:sz w:val="21"/>
          <w:szCs w:val="21"/>
        </w:rPr>
        <w:t>;</w:t>
      </w:r>
    </w:p>
    <w:p w14:paraId="77E121EA" w14:textId="77777777" w:rsidR="00F77F6D" w:rsidRPr="00CB1E53" w:rsidRDefault="00F77F6D" w:rsidP="00E90BA7">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To present estimates of the loss of tax revenues that may otherwise, and with similar effects, have been provided through expenditure programs;</w:t>
      </w:r>
    </w:p>
    <w:p w14:paraId="12DF0526" w14:textId="1A811490" w:rsidR="00F77F6D" w:rsidRPr="00CB1E53" w:rsidRDefault="00F77F6D" w:rsidP="00E90BA7">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To identify the particular group of citizens, companies, and geographical regions that benefit from these tax measures;</w:t>
      </w:r>
      <w:r w:rsidR="00EF7CD0" w:rsidRPr="00CB1E53">
        <w:rPr>
          <w:rFonts w:ascii="Segoe UI" w:hAnsi="Segoe UI" w:cs="Segoe UI"/>
          <w:sz w:val="21"/>
          <w:szCs w:val="21"/>
        </w:rPr>
        <w:t xml:space="preserve"> </w:t>
      </w:r>
      <w:r w:rsidR="001A66E8">
        <w:rPr>
          <w:rFonts w:ascii="Segoe UI" w:hAnsi="Segoe UI" w:cs="Segoe UI"/>
          <w:sz w:val="21"/>
          <w:szCs w:val="21"/>
        </w:rPr>
        <w:t>and</w:t>
      </w:r>
    </w:p>
    <w:p w14:paraId="10D52F17" w14:textId="48FFD00D" w:rsidR="00F77F6D" w:rsidRPr="00CB1E53" w:rsidRDefault="00EF7CD0" w:rsidP="00E90BA7">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w:t>
      </w:r>
      <w:r w:rsidR="00F77F6D" w:rsidRPr="00CB1E53">
        <w:rPr>
          <w:rFonts w:ascii="Segoe UI" w:hAnsi="Segoe UI" w:cs="Segoe UI"/>
          <w:sz w:val="21"/>
          <w:szCs w:val="21"/>
        </w:rPr>
        <w:t>o attempt to provide the basis for model-based quantifications of the broader macro-economic effects of these tax measures.</w:t>
      </w:r>
    </w:p>
    <w:p w14:paraId="5D7C463E" w14:textId="53BB1DF7" w:rsidR="00F77F6D" w:rsidRPr="00CB1E53" w:rsidRDefault="00F77F6D" w:rsidP="00E90BA7">
      <w:pPr>
        <w:pStyle w:val="Heading3"/>
        <w:jc w:val="both"/>
        <w:rPr>
          <w:rStyle w:val="RegularDKB"/>
          <w:caps w:val="0"/>
        </w:rPr>
      </w:pPr>
      <w:bookmarkStart w:id="17" w:name="_Toc126555820"/>
      <w:r w:rsidRPr="00CB1E53">
        <w:rPr>
          <w:rStyle w:val="RegularDKB"/>
          <w:caps w:val="0"/>
        </w:rPr>
        <w:t xml:space="preserve">Tax </w:t>
      </w:r>
      <w:r w:rsidR="00497C21" w:rsidRPr="00CB1E53">
        <w:rPr>
          <w:rStyle w:val="RegularDKB"/>
          <w:caps w:val="0"/>
        </w:rPr>
        <w:t>i</w:t>
      </w:r>
      <w:r w:rsidRPr="00CB1E53">
        <w:rPr>
          <w:rStyle w:val="RegularDKB"/>
          <w:caps w:val="0"/>
        </w:rPr>
        <w:t xml:space="preserve">nstrument </w:t>
      </w:r>
      <w:r w:rsidR="00497C21" w:rsidRPr="00CB1E53">
        <w:rPr>
          <w:rStyle w:val="RegularDKB"/>
          <w:caps w:val="0"/>
        </w:rPr>
        <w:t>c</w:t>
      </w:r>
      <w:r w:rsidRPr="00CB1E53">
        <w:rPr>
          <w:rStyle w:val="RegularDKB"/>
          <w:caps w:val="0"/>
        </w:rPr>
        <w:t xml:space="preserve">ategories </w:t>
      </w:r>
      <w:r w:rsidR="00497C21" w:rsidRPr="00CB1E53">
        <w:rPr>
          <w:rStyle w:val="RegularDKB"/>
          <w:caps w:val="0"/>
        </w:rPr>
        <w:t>c</w:t>
      </w:r>
      <w:r w:rsidRPr="00CB1E53">
        <w:rPr>
          <w:rStyle w:val="RegularDKB"/>
          <w:caps w:val="0"/>
        </w:rPr>
        <w:t>overed</w:t>
      </w:r>
      <w:bookmarkEnd w:id="17"/>
    </w:p>
    <w:p w14:paraId="57EBD40E" w14:textId="565D1ED2" w:rsidR="00F77F6D" w:rsidRPr="00CB1E53" w:rsidRDefault="005844C6" w:rsidP="00E90BA7">
      <w:pPr>
        <w:spacing w:after="120" w:line="264" w:lineRule="auto"/>
        <w:jc w:val="both"/>
        <w:rPr>
          <w:rFonts w:ascii="Segoe UI" w:hAnsi="Segoe UI" w:cs="Segoe UI"/>
          <w:sz w:val="21"/>
          <w:szCs w:val="21"/>
        </w:rPr>
      </w:pPr>
      <w:r w:rsidRPr="00CB1E53">
        <w:rPr>
          <w:rFonts w:ascii="Segoe UI" w:hAnsi="Segoe UI" w:cs="Segoe UI"/>
          <w:sz w:val="21"/>
          <w:szCs w:val="21"/>
        </w:rPr>
        <w:t xml:space="preserve">This </w:t>
      </w:r>
      <w:r w:rsidR="003D14AD" w:rsidRPr="00CB1E53">
        <w:rPr>
          <w:rFonts w:ascii="Segoe UI" w:hAnsi="Segoe UI" w:cs="Segoe UI"/>
          <w:sz w:val="21"/>
          <w:szCs w:val="21"/>
        </w:rPr>
        <w:t xml:space="preserve">TEAR </w:t>
      </w:r>
      <w:r w:rsidRPr="00CB1E53">
        <w:rPr>
          <w:rFonts w:ascii="Segoe UI" w:hAnsi="Segoe UI" w:cs="Segoe UI"/>
          <w:sz w:val="21"/>
          <w:szCs w:val="21"/>
        </w:rPr>
        <w:t xml:space="preserve">covers </w:t>
      </w:r>
      <w:r w:rsidR="00F310A8" w:rsidRPr="00CB1E53">
        <w:rPr>
          <w:rFonts w:ascii="Segoe UI" w:hAnsi="Segoe UI" w:cs="Segoe UI"/>
          <w:sz w:val="21"/>
          <w:szCs w:val="21"/>
        </w:rPr>
        <w:t xml:space="preserve">TEs </w:t>
      </w:r>
      <w:r w:rsidRPr="00CB1E53">
        <w:rPr>
          <w:rFonts w:ascii="Segoe UI" w:hAnsi="Segoe UI" w:cs="Segoe UI"/>
          <w:sz w:val="21"/>
          <w:szCs w:val="21"/>
        </w:rPr>
        <w:t xml:space="preserve">identified in </w:t>
      </w:r>
      <w:r w:rsidR="00C9472B">
        <w:rPr>
          <w:rFonts w:ascii="Segoe UI" w:hAnsi="Segoe UI" w:cs="Segoe UI"/>
          <w:sz w:val="21"/>
          <w:szCs w:val="21"/>
        </w:rPr>
        <w:t xml:space="preserve">the following </w:t>
      </w:r>
      <w:r w:rsidRPr="00CB1E53">
        <w:rPr>
          <w:rFonts w:ascii="Segoe UI" w:hAnsi="Segoe UI" w:cs="Segoe UI"/>
          <w:sz w:val="21"/>
          <w:szCs w:val="21"/>
        </w:rPr>
        <w:t xml:space="preserve">tax instruments: </w:t>
      </w:r>
      <w:r w:rsidR="00C9472B" w:rsidRPr="00CB1E53">
        <w:rPr>
          <w:rFonts w:ascii="Segoe UI" w:hAnsi="Segoe UI" w:cs="Segoe UI"/>
          <w:sz w:val="21"/>
          <w:szCs w:val="21"/>
        </w:rPr>
        <w:t>PIT</w:t>
      </w:r>
      <w:r w:rsidR="00C9472B">
        <w:rPr>
          <w:rFonts w:ascii="Segoe UI" w:hAnsi="Segoe UI" w:cs="Segoe UI"/>
          <w:sz w:val="21"/>
          <w:szCs w:val="21"/>
        </w:rPr>
        <w:t xml:space="preserve">, </w:t>
      </w:r>
      <w:r w:rsidR="00C9472B" w:rsidRPr="00CB1E53">
        <w:rPr>
          <w:rFonts w:ascii="Segoe UI" w:hAnsi="Segoe UI" w:cs="Segoe UI"/>
          <w:sz w:val="21"/>
          <w:szCs w:val="21"/>
        </w:rPr>
        <w:t>BIT</w:t>
      </w:r>
      <w:r w:rsidR="00C9472B">
        <w:rPr>
          <w:rFonts w:ascii="Segoe UI" w:hAnsi="Segoe UI" w:cs="Segoe UI"/>
          <w:sz w:val="21"/>
          <w:szCs w:val="21"/>
        </w:rPr>
        <w:t xml:space="preserve">, </w:t>
      </w:r>
      <w:r w:rsidR="00C9472B" w:rsidRPr="00CB1E53">
        <w:rPr>
          <w:rFonts w:ascii="Segoe UI" w:hAnsi="Segoe UI" w:cs="Segoe UI"/>
          <w:sz w:val="21"/>
          <w:szCs w:val="21"/>
        </w:rPr>
        <w:t>VAT</w:t>
      </w:r>
      <w:r w:rsidR="00C9472B">
        <w:rPr>
          <w:rFonts w:ascii="Segoe UI" w:hAnsi="Segoe UI" w:cs="Segoe UI"/>
          <w:sz w:val="21"/>
          <w:szCs w:val="21"/>
        </w:rPr>
        <w:t xml:space="preserve">, excise </w:t>
      </w:r>
      <w:r w:rsidR="2D79C054" w:rsidRPr="2FEEC676">
        <w:rPr>
          <w:rFonts w:ascii="Segoe UI" w:hAnsi="Segoe UI" w:cs="Segoe UI"/>
          <w:sz w:val="21"/>
          <w:szCs w:val="21"/>
        </w:rPr>
        <w:t>duties</w:t>
      </w:r>
      <w:r w:rsidR="00C9472B">
        <w:rPr>
          <w:rFonts w:ascii="Segoe UI" w:hAnsi="Segoe UI" w:cs="Segoe UI"/>
          <w:sz w:val="21"/>
          <w:szCs w:val="21"/>
        </w:rPr>
        <w:t>,</w:t>
      </w:r>
      <w:r w:rsidR="002B4587">
        <w:rPr>
          <w:rFonts w:ascii="Segoe UI" w:hAnsi="Segoe UI" w:cs="Segoe UI"/>
          <w:sz w:val="21"/>
          <w:szCs w:val="21"/>
        </w:rPr>
        <w:t xml:space="preserve"> road usage fees,</w:t>
      </w:r>
      <w:r w:rsidR="00C9472B">
        <w:rPr>
          <w:rFonts w:ascii="Segoe UI" w:hAnsi="Segoe UI" w:cs="Segoe UI"/>
          <w:sz w:val="21"/>
          <w:szCs w:val="21"/>
        </w:rPr>
        <w:t xml:space="preserve"> </w:t>
      </w:r>
      <w:r w:rsidR="29E00532" w:rsidRPr="7858F757">
        <w:rPr>
          <w:rFonts w:ascii="Segoe UI" w:hAnsi="Segoe UI" w:cs="Segoe UI"/>
          <w:sz w:val="21"/>
          <w:szCs w:val="21"/>
        </w:rPr>
        <w:t xml:space="preserve">import </w:t>
      </w:r>
      <w:r w:rsidR="00C9472B">
        <w:rPr>
          <w:rFonts w:ascii="Segoe UI" w:hAnsi="Segoe UI" w:cs="Segoe UI"/>
          <w:sz w:val="21"/>
          <w:szCs w:val="21"/>
        </w:rPr>
        <w:t>duties, RET, and resource extraction fees</w:t>
      </w:r>
      <w:r w:rsidR="00C9472B" w:rsidRPr="00CB1E53">
        <w:rPr>
          <w:rFonts w:ascii="Segoe UI" w:hAnsi="Segoe UI" w:cs="Segoe UI"/>
          <w:sz w:val="21"/>
          <w:szCs w:val="21"/>
        </w:rPr>
        <w:t>.</w:t>
      </w:r>
      <w:r w:rsidRPr="00CB1E53">
        <w:rPr>
          <w:rFonts w:ascii="Segoe UI" w:hAnsi="Segoe UI" w:cs="Segoe UI"/>
          <w:sz w:val="21"/>
          <w:szCs w:val="21"/>
        </w:rPr>
        <w:t xml:space="preserve"> </w:t>
      </w:r>
      <w:r w:rsidR="00F77F6D" w:rsidRPr="00CB1E53">
        <w:rPr>
          <w:rFonts w:ascii="Segoe UI" w:hAnsi="Segoe UI" w:cs="Segoe UI"/>
          <w:sz w:val="21"/>
          <w:szCs w:val="21"/>
        </w:rPr>
        <w:t xml:space="preserve">Ongoing capacity development and resources will be committed with the view to properly identifying and assessing quality of data required for </w:t>
      </w:r>
      <w:r w:rsidR="005B416B" w:rsidRPr="00CB1E53">
        <w:rPr>
          <w:rFonts w:ascii="Segoe UI" w:hAnsi="Segoe UI" w:cs="Segoe UI"/>
          <w:sz w:val="21"/>
          <w:szCs w:val="21"/>
        </w:rPr>
        <w:t>TEs</w:t>
      </w:r>
      <w:r w:rsidR="00F77F6D" w:rsidRPr="00CB1E53">
        <w:rPr>
          <w:rFonts w:ascii="Segoe UI" w:hAnsi="Segoe UI" w:cs="Segoe UI"/>
          <w:sz w:val="21"/>
          <w:szCs w:val="21"/>
        </w:rPr>
        <w:t xml:space="preserve"> costing and estimation methodology and techniques</w:t>
      </w:r>
      <w:r w:rsidR="004259B7" w:rsidRPr="00CB1E53">
        <w:rPr>
          <w:rFonts w:ascii="Segoe UI" w:hAnsi="Segoe UI" w:cs="Segoe UI"/>
          <w:sz w:val="21"/>
          <w:szCs w:val="21"/>
        </w:rPr>
        <w:t>.</w:t>
      </w:r>
    </w:p>
    <w:p w14:paraId="14357CA8" w14:textId="463DE09A" w:rsidR="00F77F6D" w:rsidRPr="00CB1E53" w:rsidRDefault="00F77F6D" w:rsidP="00E90BA7">
      <w:pPr>
        <w:pStyle w:val="Heading2"/>
        <w:numPr>
          <w:ilvl w:val="0"/>
          <w:numId w:val="14"/>
        </w:numPr>
        <w:ind w:left="720"/>
        <w:jc w:val="both"/>
      </w:pPr>
      <w:bookmarkStart w:id="18" w:name="_Toc126555821"/>
      <w:r w:rsidRPr="00CB1E53">
        <w:t>Defining a Benchmark Tax System for Moldova</w:t>
      </w:r>
      <w:bookmarkEnd w:id="18"/>
    </w:p>
    <w:p w14:paraId="62FBE35D" w14:textId="77777777" w:rsidR="00F77F6D" w:rsidRPr="00255CEB" w:rsidRDefault="00F77F6D" w:rsidP="00E90BA7">
      <w:pPr>
        <w:pStyle w:val="Heading3"/>
        <w:jc w:val="both"/>
        <w:rPr>
          <w:rStyle w:val="RegularDKB"/>
          <w:b/>
          <w:bCs/>
          <w:caps w:val="0"/>
        </w:rPr>
      </w:pPr>
      <w:bookmarkStart w:id="19" w:name="_Toc126555822"/>
      <w:r w:rsidRPr="00255CEB">
        <w:rPr>
          <w:rStyle w:val="RegularDKB"/>
          <w:b/>
          <w:bCs/>
          <w:caps w:val="0"/>
        </w:rPr>
        <w:t>General description and definitional issues</w:t>
      </w:r>
      <w:bookmarkEnd w:id="19"/>
    </w:p>
    <w:p w14:paraId="744E58AC" w14:textId="34C8DDC8" w:rsidR="00F77F6D" w:rsidRPr="00CB1E53" w:rsidRDefault="00B82A64"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The definition of </w:t>
      </w:r>
      <w:r w:rsidR="00F77F6D" w:rsidRPr="00CB1E53">
        <w:rPr>
          <w:rFonts w:ascii="Segoe UI" w:hAnsi="Segoe UI" w:cs="Segoe UI"/>
          <w:sz w:val="21"/>
          <w:szCs w:val="21"/>
        </w:rPr>
        <w:t>the benchmark</w:t>
      </w:r>
      <w:r w:rsidRPr="00CB1E53">
        <w:rPr>
          <w:rFonts w:ascii="Segoe UI" w:hAnsi="Segoe UI" w:cs="Segoe UI"/>
          <w:sz w:val="21"/>
          <w:szCs w:val="21"/>
        </w:rPr>
        <w:t xml:space="preserve"> tax system</w:t>
      </w:r>
      <w:r w:rsidR="00F77F6D" w:rsidRPr="00CB1E53">
        <w:rPr>
          <w:rFonts w:ascii="Segoe UI" w:hAnsi="Segoe UI" w:cs="Segoe UI"/>
          <w:sz w:val="21"/>
          <w:szCs w:val="21"/>
        </w:rPr>
        <w:t xml:space="preserve"> </w:t>
      </w:r>
      <w:r w:rsidR="00F3733E" w:rsidRPr="00CB1E53">
        <w:rPr>
          <w:rFonts w:ascii="Segoe UI" w:hAnsi="Segoe UI" w:cs="Segoe UI"/>
          <w:sz w:val="21"/>
          <w:szCs w:val="21"/>
        </w:rPr>
        <w:t xml:space="preserve">is critical </w:t>
      </w:r>
      <w:r w:rsidRPr="00CB1E53">
        <w:rPr>
          <w:rFonts w:ascii="Segoe UI" w:hAnsi="Segoe UI" w:cs="Segoe UI"/>
          <w:sz w:val="21"/>
          <w:szCs w:val="21"/>
        </w:rPr>
        <w:t>i</w:t>
      </w:r>
      <w:r w:rsidR="00F3733E" w:rsidRPr="00CB1E53">
        <w:rPr>
          <w:rFonts w:ascii="Segoe UI" w:hAnsi="Segoe UI" w:cs="Segoe UI"/>
          <w:sz w:val="21"/>
          <w:szCs w:val="21"/>
        </w:rPr>
        <w:t xml:space="preserve">n the identification and costing of </w:t>
      </w:r>
      <w:r w:rsidR="00F77F6D" w:rsidRPr="00CB1E53">
        <w:rPr>
          <w:rFonts w:ascii="Segoe UI" w:hAnsi="Segoe UI" w:cs="Segoe UI"/>
          <w:sz w:val="21"/>
          <w:szCs w:val="21"/>
        </w:rPr>
        <w:t>TEs.</w:t>
      </w:r>
      <w:r w:rsidR="00F77F6D" w:rsidRPr="00CB1E53">
        <w:rPr>
          <w:rFonts w:ascii="Segoe UI" w:hAnsi="Segoe UI" w:cs="Segoe UI"/>
          <w:b/>
          <w:sz w:val="21"/>
          <w:szCs w:val="21"/>
        </w:rPr>
        <w:t xml:space="preserve"> </w:t>
      </w:r>
      <w:r w:rsidR="00F77F6D" w:rsidRPr="00CB1E53">
        <w:rPr>
          <w:rFonts w:ascii="Segoe UI" w:hAnsi="Segoe UI" w:cs="Segoe UI"/>
          <w:sz w:val="21"/>
          <w:szCs w:val="21"/>
        </w:rPr>
        <w:t>For this reason, this TEAR</w:t>
      </w:r>
      <w:r w:rsidR="00F3733E" w:rsidRPr="00CB1E53">
        <w:rPr>
          <w:rFonts w:ascii="Segoe UI" w:hAnsi="Segoe UI" w:cs="Segoe UI"/>
          <w:sz w:val="21"/>
          <w:szCs w:val="21"/>
        </w:rPr>
        <w:t xml:space="preserve"> starts by </w:t>
      </w:r>
      <w:r w:rsidR="00F77F6D" w:rsidRPr="00CB1E53">
        <w:rPr>
          <w:rFonts w:ascii="Segoe UI" w:hAnsi="Segoe UI" w:cs="Segoe UI"/>
          <w:sz w:val="21"/>
          <w:szCs w:val="21"/>
        </w:rPr>
        <w:t>discuss</w:t>
      </w:r>
      <w:r w:rsidR="00F3733E" w:rsidRPr="00CB1E53">
        <w:rPr>
          <w:rFonts w:ascii="Segoe UI" w:hAnsi="Segoe UI" w:cs="Segoe UI"/>
          <w:sz w:val="21"/>
          <w:szCs w:val="21"/>
        </w:rPr>
        <w:t xml:space="preserve">ing </w:t>
      </w:r>
      <w:r w:rsidR="00F77F6D" w:rsidRPr="00CB1E53">
        <w:rPr>
          <w:rFonts w:ascii="Segoe UI" w:hAnsi="Segoe UI" w:cs="Segoe UI"/>
          <w:sz w:val="21"/>
          <w:szCs w:val="21"/>
        </w:rPr>
        <w:t>globally acceptable benchmark delineations.</w:t>
      </w:r>
      <w:r w:rsidR="00F77F6D" w:rsidRPr="00CB1E53">
        <w:rPr>
          <w:rStyle w:val="FootnoteReference"/>
          <w:rFonts w:ascii="Segoe UI" w:hAnsi="Segoe UI" w:cs="Segoe UI"/>
          <w:sz w:val="21"/>
          <w:szCs w:val="21"/>
        </w:rPr>
        <w:footnoteReference w:id="7"/>
      </w:r>
      <w:r w:rsidR="00F77F6D" w:rsidRPr="00CB1E53">
        <w:rPr>
          <w:rFonts w:ascii="Segoe UI" w:hAnsi="Segoe UI" w:cs="Segoe UI"/>
          <w:sz w:val="21"/>
          <w:szCs w:val="21"/>
        </w:rPr>
        <w:t xml:space="preserve"> </w:t>
      </w:r>
    </w:p>
    <w:p w14:paraId="7CACC248" w14:textId="38AF646D"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From the perspective of the tax authorities, a TE is a loss in revenue, whereas a taxpayer benefits from a reduction in tax liability. T</w:t>
      </w:r>
      <w:r w:rsidR="00190352">
        <w:rPr>
          <w:rFonts w:ascii="Segoe UI" w:hAnsi="Segoe UI" w:cs="Segoe UI"/>
          <w:sz w:val="21"/>
          <w:szCs w:val="21"/>
        </w:rPr>
        <w:t>E</w:t>
      </w:r>
      <w:r w:rsidRPr="00CB1E53">
        <w:rPr>
          <w:rFonts w:ascii="Segoe UI" w:hAnsi="Segoe UI" w:cs="Segoe UI"/>
          <w:sz w:val="21"/>
          <w:szCs w:val="21"/>
        </w:rPr>
        <w:t xml:space="preserve">s are also labeled as tax reliefs, tax subsidies and tax aids. However, defining TEs is not straightforward as some tax measures may not be readily classified as part of the benchmark tax system. Generally, fiscal experts concur that structural elements of a tax system should not be recorded as </w:t>
      </w:r>
      <w:r w:rsidR="009430CA" w:rsidRPr="00CB1E53">
        <w:rPr>
          <w:rFonts w:ascii="Segoe UI" w:hAnsi="Segoe UI" w:cs="Segoe UI"/>
          <w:sz w:val="21"/>
          <w:szCs w:val="21"/>
        </w:rPr>
        <w:t>TEs</w:t>
      </w:r>
      <w:r w:rsidRPr="00CB1E53">
        <w:rPr>
          <w:rFonts w:ascii="Segoe UI" w:hAnsi="Segoe UI" w:cs="Segoe UI"/>
          <w:sz w:val="21"/>
          <w:szCs w:val="21"/>
        </w:rPr>
        <w:t xml:space="preserve">, while “programmatic” or temporary adjustment should be. According to the OECD (2010), the benchmark tax includes: the rate structure, accounting conventions, the deductibility of compulsory payments, provisions to facilitate administration, and provisions relating to international fiscal obligations. TEs are not actual outlays—they are just notional amounts spent. The forgone </w:t>
      </w:r>
      <w:r w:rsidRPr="00CB1E53">
        <w:rPr>
          <w:rFonts w:ascii="Segoe UI" w:hAnsi="Segoe UI" w:cs="Segoe UI"/>
          <w:sz w:val="21"/>
          <w:szCs w:val="21"/>
        </w:rPr>
        <w:lastRenderedPageBreak/>
        <w:t>revenue cost is based on assumptions and estimates as to how taxpayers would behave under particular conditions.</w:t>
      </w:r>
    </w:p>
    <w:p w14:paraId="0AA6317B" w14:textId="0FE9CE98"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Consequently, the benchmark tax system serves as a basis for identifying </w:t>
      </w:r>
      <w:r w:rsidR="009430CA" w:rsidRPr="00CB1E53">
        <w:rPr>
          <w:rFonts w:ascii="Segoe UI" w:hAnsi="Segoe UI" w:cs="Segoe UI"/>
          <w:sz w:val="21"/>
          <w:szCs w:val="21"/>
        </w:rPr>
        <w:t>TEs</w:t>
      </w:r>
      <w:r w:rsidRPr="00CB1E53">
        <w:rPr>
          <w:rFonts w:ascii="Segoe UI" w:hAnsi="Segoe UI" w:cs="Segoe UI"/>
          <w:sz w:val="21"/>
          <w:szCs w:val="21"/>
        </w:rPr>
        <w:t xml:space="preserve">. A standard benchmark tax system should be based on the principles of neutrality, efficiency, and equity. The benchmark framework should be limited to the key features of the main taxes, including the general personal and business income tax rates, a simple and modern consumption tax (such as a single-rate VAT), excise </w:t>
      </w:r>
      <w:r w:rsidR="4D053030" w:rsidRPr="00CB1E53">
        <w:rPr>
          <w:rFonts w:ascii="Segoe UI" w:hAnsi="Segoe UI" w:cs="Segoe UI"/>
          <w:sz w:val="21"/>
          <w:szCs w:val="21"/>
        </w:rPr>
        <w:t>duties</w:t>
      </w:r>
      <w:r w:rsidRPr="00CB1E53">
        <w:rPr>
          <w:rFonts w:ascii="Segoe UI" w:hAnsi="Segoe UI" w:cs="Segoe UI"/>
          <w:sz w:val="21"/>
          <w:szCs w:val="21"/>
        </w:rPr>
        <w:t xml:space="preserve"> consistent with the objectives </w:t>
      </w:r>
      <w:r w:rsidR="00C66290" w:rsidRPr="00CB1E53">
        <w:rPr>
          <w:rFonts w:ascii="Segoe UI" w:hAnsi="Segoe UI" w:cs="Segoe UI"/>
          <w:sz w:val="21"/>
          <w:szCs w:val="21"/>
        </w:rPr>
        <w:t>pursued by levying these taxes</w:t>
      </w:r>
      <w:r w:rsidRPr="00CB1E53">
        <w:rPr>
          <w:rFonts w:ascii="Segoe UI" w:hAnsi="Segoe UI" w:cs="Segoe UI"/>
          <w:sz w:val="21"/>
          <w:szCs w:val="21"/>
        </w:rPr>
        <w:t>, tariffs, and other more minor taxes such as immovable property taxes. Benchmark tax systems typically include such aspects as the actual rate structure of taxes and the concept of income or spending that is used in the actual law. However, some countries and analysts use a different type of benchmark that corresponds to a theoretical tax system, such as a comprehensive income tax.</w:t>
      </w:r>
      <w:r w:rsidRPr="00CB1E53">
        <w:rPr>
          <w:rStyle w:val="FootnoteReference"/>
          <w:rFonts w:ascii="Segoe UI" w:hAnsi="Segoe UI" w:cs="Segoe UI"/>
          <w:sz w:val="21"/>
          <w:szCs w:val="21"/>
        </w:rPr>
        <w:footnoteReference w:id="8"/>
      </w:r>
      <w:r w:rsidRPr="00CB1E53">
        <w:rPr>
          <w:rFonts w:ascii="Segoe UI" w:hAnsi="Segoe UI" w:cs="Segoe UI"/>
          <w:sz w:val="21"/>
          <w:szCs w:val="21"/>
        </w:rPr>
        <w:t xml:space="preserve"> The numbers of </w:t>
      </w:r>
      <w:r w:rsidR="00190352">
        <w:rPr>
          <w:rFonts w:ascii="Segoe UI" w:hAnsi="Segoe UI" w:cs="Segoe UI"/>
          <w:sz w:val="21"/>
          <w:szCs w:val="21"/>
        </w:rPr>
        <w:t>TE</w:t>
      </w:r>
      <w:r w:rsidR="73DCFF30" w:rsidRPr="00CB1E53">
        <w:rPr>
          <w:rFonts w:ascii="Segoe UI" w:hAnsi="Segoe UI" w:cs="Segoe UI"/>
          <w:sz w:val="21"/>
          <w:szCs w:val="21"/>
        </w:rPr>
        <w:t>s</w:t>
      </w:r>
      <w:r w:rsidRPr="00CB1E53">
        <w:rPr>
          <w:rFonts w:ascii="Segoe UI" w:hAnsi="Segoe UI" w:cs="Segoe UI"/>
          <w:sz w:val="21"/>
          <w:szCs w:val="21"/>
        </w:rPr>
        <w:t xml:space="preserve"> in that case can be markedly different from those for a benchmark closer to the actual tax system.</w:t>
      </w:r>
    </w:p>
    <w:p w14:paraId="24C4EFC3" w14:textId="2561E621"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The benchmark tax system should be chosen to exclude tax provisions that favor (or disfavor) particular </w:t>
      </w:r>
      <w:r w:rsidR="40E941CE" w:rsidRPr="05686959">
        <w:rPr>
          <w:rFonts w:ascii="Segoe UI" w:hAnsi="Segoe UI" w:cs="Segoe UI"/>
          <w:sz w:val="21"/>
          <w:szCs w:val="21"/>
        </w:rPr>
        <w:t>or</w:t>
      </w:r>
      <w:r w:rsidRPr="00CB1E53">
        <w:rPr>
          <w:rFonts w:ascii="Segoe UI" w:hAnsi="Segoe UI" w:cs="Segoe UI"/>
          <w:sz w:val="21"/>
          <w:szCs w:val="21"/>
        </w:rPr>
        <w:t xml:space="preserve"> narrow groups of people (such as homeowners) or business activities (such as profits from exports). </w:t>
      </w:r>
      <w:r w:rsidR="00373696" w:rsidRPr="00CB1E53">
        <w:rPr>
          <w:rFonts w:ascii="Segoe UI" w:hAnsi="Segoe UI" w:cs="Segoe UI"/>
          <w:sz w:val="21"/>
          <w:szCs w:val="21"/>
        </w:rPr>
        <w:t>E</w:t>
      </w:r>
      <w:r w:rsidRPr="00CB1E53">
        <w:rPr>
          <w:rFonts w:ascii="Segoe UI" w:hAnsi="Segoe UI" w:cs="Segoe UI"/>
          <w:sz w:val="21"/>
          <w:szCs w:val="21"/>
        </w:rPr>
        <w:t xml:space="preserve">xcluding such narrow </w:t>
      </w:r>
      <w:r w:rsidR="598FE73C" w:rsidRPr="05686959">
        <w:rPr>
          <w:rFonts w:ascii="Segoe UI" w:hAnsi="Segoe UI" w:cs="Segoe UI"/>
          <w:sz w:val="21"/>
          <w:szCs w:val="21"/>
        </w:rPr>
        <w:t>provision</w:t>
      </w:r>
      <w:r w:rsidR="332AE2FD" w:rsidRPr="05686959">
        <w:rPr>
          <w:rFonts w:ascii="Segoe UI" w:hAnsi="Segoe UI" w:cs="Segoe UI"/>
          <w:sz w:val="21"/>
          <w:szCs w:val="21"/>
        </w:rPr>
        <w:t>s</w:t>
      </w:r>
      <w:r w:rsidRPr="00CB1E53">
        <w:rPr>
          <w:rFonts w:ascii="Segoe UI" w:hAnsi="Segoe UI" w:cs="Segoe UI"/>
          <w:sz w:val="21"/>
          <w:szCs w:val="21"/>
        </w:rPr>
        <w:t xml:space="preserve"> from the benchmark tax system will ensure that the cost of such provisions is calculated and included in decisions on budgetary priorities. Ideally, the benchmark should also exclude tax features designed to promote particular actions by taxpayers, even if such actions are in the public interest. For example, many countries provide tax relief to encourage saving for retirement, but this should not be included in the benchmark, because including it into the benchmark would prevent its cost from being reported to the legislature—which is necessary to evaluate whether it provides good value for money. </w:t>
      </w:r>
    </w:p>
    <w:p w14:paraId="322EC888" w14:textId="04090845"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An illustrative list of </w:t>
      </w:r>
      <w:r w:rsidR="00F310A8" w:rsidRPr="00CB1E53">
        <w:rPr>
          <w:rFonts w:ascii="Segoe UI" w:hAnsi="Segoe UI" w:cs="Segoe UI"/>
          <w:sz w:val="21"/>
          <w:szCs w:val="21"/>
        </w:rPr>
        <w:t xml:space="preserve">TEs </w:t>
      </w:r>
      <w:r w:rsidRPr="00CB1E53">
        <w:rPr>
          <w:rFonts w:ascii="Segoe UI" w:hAnsi="Segoe UI" w:cs="Segoe UI"/>
          <w:sz w:val="21"/>
          <w:szCs w:val="21"/>
        </w:rPr>
        <w:t>for the income tax system could include the following:</w:t>
      </w:r>
      <w:r w:rsidRPr="00CB1E53">
        <w:rPr>
          <w:rFonts w:ascii="Segoe UI" w:hAnsi="Segoe UI" w:cs="Segoe UI"/>
          <w:b/>
          <w:sz w:val="21"/>
          <w:szCs w:val="21"/>
        </w:rPr>
        <w:t xml:space="preserve"> </w:t>
      </w:r>
      <w:r w:rsidRPr="00CB1E53">
        <w:rPr>
          <w:rFonts w:ascii="Segoe UI" w:hAnsi="Segoe UI" w:cs="Segoe UI"/>
          <w:sz w:val="21"/>
          <w:szCs w:val="21"/>
        </w:rPr>
        <w:t xml:space="preserve">interest deductions for housing loans, tax-free savings accounts, tax deductions for childcare expenses, reduced tax rates for small and medium enterprises, tax benefits for charitable donations, tax benefits for energy-saving measures, and tax advantages for employer-funded benefits. Similarly, </w:t>
      </w:r>
      <w:r w:rsidR="00F310A8" w:rsidRPr="00CB1E53">
        <w:rPr>
          <w:rFonts w:ascii="Segoe UI" w:hAnsi="Segoe UI" w:cs="Segoe UI"/>
          <w:sz w:val="21"/>
          <w:szCs w:val="21"/>
        </w:rPr>
        <w:t xml:space="preserve">TEs </w:t>
      </w:r>
      <w:r w:rsidRPr="00CB1E53">
        <w:rPr>
          <w:rFonts w:ascii="Segoe UI" w:hAnsi="Segoe UI" w:cs="Segoe UI"/>
          <w:sz w:val="21"/>
          <w:szCs w:val="21"/>
        </w:rPr>
        <w:t xml:space="preserve">for </w:t>
      </w:r>
      <w:r w:rsidR="00C823B8">
        <w:rPr>
          <w:rFonts w:ascii="Segoe UI" w:hAnsi="Segoe UI" w:cs="Segoe UI"/>
          <w:sz w:val="21"/>
          <w:szCs w:val="21"/>
        </w:rPr>
        <w:t>VAT</w:t>
      </w:r>
      <w:r w:rsidRPr="00CB1E53">
        <w:rPr>
          <w:rFonts w:ascii="Segoe UI" w:hAnsi="Segoe UI" w:cs="Segoe UI"/>
          <w:sz w:val="21"/>
          <w:szCs w:val="21"/>
        </w:rPr>
        <w:t xml:space="preserve"> could include VAT rates below the standard rate, including zero rates (other than on exports</w:t>
      </w:r>
      <w:r w:rsidR="598FE73C" w:rsidRPr="00CB1E53">
        <w:rPr>
          <w:rFonts w:ascii="Segoe UI" w:hAnsi="Segoe UI" w:cs="Segoe UI"/>
          <w:sz w:val="21"/>
          <w:szCs w:val="21"/>
        </w:rPr>
        <w:t>)</w:t>
      </w:r>
      <w:r w:rsidR="10667945" w:rsidRPr="00CB1E53">
        <w:rPr>
          <w:rFonts w:ascii="Segoe UI" w:hAnsi="Segoe UI" w:cs="Segoe UI"/>
          <w:sz w:val="21"/>
          <w:szCs w:val="21"/>
        </w:rPr>
        <w:t>,</w:t>
      </w:r>
      <w:r w:rsidRPr="00CB1E53">
        <w:rPr>
          <w:rFonts w:ascii="Segoe UI" w:hAnsi="Segoe UI" w:cs="Segoe UI"/>
          <w:sz w:val="21"/>
          <w:szCs w:val="21"/>
        </w:rPr>
        <w:t xml:space="preserve"> VAT exemptions for goods and services destined for final consumption</w:t>
      </w:r>
      <w:r w:rsidR="02A7B837" w:rsidRPr="00CB1E53">
        <w:rPr>
          <w:rFonts w:ascii="Segoe UI" w:hAnsi="Segoe UI" w:cs="Segoe UI"/>
          <w:sz w:val="21"/>
          <w:szCs w:val="21"/>
        </w:rPr>
        <w:t>,</w:t>
      </w:r>
      <w:r w:rsidRPr="00CB1E53">
        <w:rPr>
          <w:rFonts w:ascii="Segoe UI" w:hAnsi="Segoe UI" w:cs="Segoe UI"/>
          <w:sz w:val="21"/>
          <w:szCs w:val="21"/>
        </w:rPr>
        <w:t xml:space="preserve"> sectoral exemptions (for example, agriculture)</w:t>
      </w:r>
      <w:r w:rsidR="783DE507" w:rsidRPr="00CB1E53">
        <w:rPr>
          <w:rFonts w:ascii="Segoe UI" w:hAnsi="Segoe UI" w:cs="Segoe UI"/>
          <w:sz w:val="21"/>
          <w:szCs w:val="21"/>
        </w:rPr>
        <w:t>,</w:t>
      </w:r>
      <w:r w:rsidRPr="00CB1E53">
        <w:rPr>
          <w:rFonts w:ascii="Segoe UI" w:hAnsi="Segoe UI" w:cs="Segoe UI"/>
          <w:sz w:val="21"/>
          <w:szCs w:val="21"/>
        </w:rPr>
        <w:t xml:space="preserve"> and size-related exemptions, such as for small businesses.</w:t>
      </w:r>
      <w:r w:rsidRPr="00CB1E53">
        <w:rPr>
          <w:rStyle w:val="FootnoteReference"/>
          <w:rFonts w:ascii="Segoe UI" w:hAnsi="Segoe UI" w:cs="Segoe UI"/>
          <w:sz w:val="21"/>
          <w:szCs w:val="21"/>
        </w:rPr>
        <w:footnoteReference w:id="9"/>
      </w:r>
      <w:r w:rsidRPr="00CB1E53">
        <w:rPr>
          <w:rFonts w:ascii="Segoe UI" w:hAnsi="Segoe UI" w:cs="Segoe UI"/>
          <w:sz w:val="21"/>
          <w:szCs w:val="21"/>
        </w:rPr>
        <w:t xml:space="preserve"> </w:t>
      </w:r>
    </w:p>
    <w:p w14:paraId="47CFE831" w14:textId="77777777"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Of course, the examples of tax relief measures as set out above are not necessarily undesirable. For example, a partial exemption for saving can be effective to support retirement saving. More generally, most specific tax provisions will yield some kind of social benefit. Nevertheless, the cost of such provisions should be estimated and reported, so that their value can be assessed and compared with </w:t>
      </w:r>
      <w:r w:rsidRPr="00CB1E53">
        <w:rPr>
          <w:rFonts w:ascii="Segoe UI" w:hAnsi="Segoe UI" w:cs="Segoe UI"/>
          <w:sz w:val="21"/>
          <w:szCs w:val="21"/>
        </w:rPr>
        <w:lastRenderedPageBreak/>
        <w:t>similar government programs delivered by outlay expenditures (or compared with other kinds of tax relief, such as through a general rate cut).</w:t>
      </w:r>
    </w:p>
    <w:p w14:paraId="5B1FE93E" w14:textId="7696D651" w:rsidR="00BA4084" w:rsidRPr="00CB1E53" w:rsidRDefault="00C823B8" w:rsidP="00E90BA7">
      <w:pPr>
        <w:pStyle w:val="ParagraphNumbering"/>
        <w:numPr>
          <w:ilvl w:val="0"/>
          <w:numId w:val="0"/>
        </w:numPr>
        <w:spacing w:after="240" w:line="264" w:lineRule="auto"/>
        <w:jc w:val="both"/>
        <w:rPr>
          <w:rFonts w:ascii="Segoe UI" w:hAnsi="Segoe UI" w:cs="Segoe UI"/>
          <w:sz w:val="21"/>
          <w:szCs w:val="21"/>
        </w:rPr>
      </w:pPr>
      <w:r>
        <w:rPr>
          <w:rFonts w:ascii="Segoe UI" w:hAnsi="Segoe UI" w:cs="Segoe UI"/>
          <w:sz w:val="21"/>
          <w:szCs w:val="21"/>
        </w:rPr>
        <w:t>U</w:t>
      </w:r>
      <w:r w:rsidR="00F77F6D" w:rsidRPr="00CB1E53">
        <w:rPr>
          <w:rFonts w:ascii="Segoe UI" w:hAnsi="Segoe UI" w:cs="Segoe UI"/>
          <w:sz w:val="21"/>
          <w:szCs w:val="21"/>
        </w:rPr>
        <w:t xml:space="preserve">sing a benchmark that is close to the actual tax system in Moldova would defeat the purpose of producing TE estimates. For example, reduced rates of VAT </w:t>
      </w:r>
      <w:r>
        <w:rPr>
          <w:rFonts w:ascii="Segoe UI" w:hAnsi="Segoe UI" w:cs="Segoe UI"/>
          <w:sz w:val="21"/>
          <w:szCs w:val="21"/>
        </w:rPr>
        <w:t xml:space="preserve">could be </w:t>
      </w:r>
      <w:r w:rsidR="00F77F6D" w:rsidRPr="00CB1E53">
        <w:rPr>
          <w:rFonts w:ascii="Segoe UI" w:hAnsi="Segoe UI" w:cs="Segoe UI"/>
          <w:sz w:val="21"/>
          <w:szCs w:val="21"/>
        </w:rPr>
        <w:t>in</w:t>
      </w:r>
      <w:r>
        <w:rPr>
          <w:rFonts w:ascii="Segoe UI" w:hAnsi="Segoe UI" w:cs="Segoe UI"/>
          <w:sz w:val="21"/>
          <w:szCs w:val="21"/>
        </w:rPr>
        <w:t>cluded in</w:t>
      </w:r>
      <w:r w:rsidR="00F77F6D" w:rsidRPr="00CB1E53">
        <w:rPr>
          <w:rFonts w:ascii="Segoe UI" w:hAnsi="Segoe UI" w:cs="Segoe UI"/>
          <w:sz w:val="21"/>
          <w:szCs w:val="21"/>
        </w:rPr>
        <w:t xml:space="preserve"> </w:t>
      </w:r>
      <w:r>
        <w:rPr>
          <w:rFonts w:ascii="Segoe UI" w:hAnsi="Segoe UI" w:cs="Segoe UI"/>
          <w:sz w:val="21"/>
          <w:szCs w:val="21"/>
        </w:rPr>
        <w:t>the</w:t>
      </w:r>
      <w:r w:rsidR="00F77F6D" w:rsidRPr="00CB1E53">
        <w:rPr>
          <w:rFonts w:ascii="Segoe UI" w:hAnsi="Segoe UI" w:cs="Segoe UI"/>
          <w:sz w:val="21"/>
          <w:szCs w:val="21"/>
        </w:rPr>
        <w:t xml:space="preserve"> benchmark, justified </w:t>
      </w:r>
      <w:r>
        <w:rPr>
          <w:rFonts w:ascii="Segoe UI" w:hAnsi="Segoe UI" w:cs="Segoe UI"/>
          <w:sz w:val="21"/>
          <w:szCs w:val="21"/>
        </w:rPr>
        <w:t xml:space="preserve">by a need </w:t>
      </w:r>
      <w:r w:rsidR="00F77F6D" w:rsidRPr="00CB1E53">
        <w:rPr>
          <w:rFonts w:ascii="Segoe UI" w:hAnsi="Segoe UI" w:cs="Segoe UI"/>
          <w:sz w:val="21"/>
          <w:szCs w:val="21"/>
        </w:rPr>
        <w:t>to help households with low incomes,</w:t>
      </w:r>
      <w:r w:rsidR="00F77F6D" w:rsidRPr="00CB1E53">
        <w:rPr>
          <w:rStyle w:val="FootnoteReference"/>
          <w:rFonts w:ascii="Segoe UI" w:hAnsi="Segoe UI" w:cs="Segoe UI"/>
          <w:sz w:val="21"/>
          <w:szCs w:val="21"/>
        </w:rPr>
        <w:footnoteReference w:id="10"/>
      </w:r>
      <w:r w:rsidR="00F77F6D" w:rsidRPr="00CB1E53">
        <w:rPr>
          <w:rFonts w:ascii="Segoe UI" w:hAnsi="Segoe UI" w:cs="Segoe UI"/>
          <w:sz w:val="21"/>
          <w:szCs w:val="21"/>
        </w:rPr>
        <w:t xml:space="preserve"> who spend a higher proportion of their incomes on basic goods and services. An obvious alternative to these reduced rates is cash transfers for people with low incomes. These transfers would be clearly identified in the outlay expenditure budget, but the reduced VAT would not be included in the </w:t>
      </w:r>
      <w:r w:rsidR="009430CA" w:rsidRPr="00CB1E53">
        <w:rPr>
          <w:rFonts w:ascii="Segoe UI" w:hAnsi="Segoe UI" w:cs="Segoe UI"/>
          <w:sz w:val="21"/>
          <w:szCs w:val="21"/>
        </w:rPr>
        <w:t>TEs</w:t>
      </w:r>
      <w:r w:rsidR="00F77F6D" w:rsidRPr="00CB1E53">
        <w:rPr>
          <w:rFonts w:ascii="Segoe UI" w:hAnsi="Segoe UI" w:cs="Segoe UI"/>
          <w:sz w:val="21"/>
          <w:szCs w:val="21"/>
        </w:rPr>
        <w:t xml:space="preserve"> estimates if they are part of the benchmark. This situation makes it difficult for the government and the legislature to properly compare the relative advantages and disadvantages of these alternative methods of helping the poor, and it limits the policy tools and options available to achieve society’s objectives.</w:t>
      </w:r>
    </w:p>
    <w:p w14:paraId="0E0B7107" w14:textId="0C2F4F2D"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Against this background, this </w:t>
      </w:r>
      <w:r w:rsidR="00787507" w:rsidRPr="00CB1E53">
        <w:rPr>
          <w:rFonts w:ascii="Segoe UI" w:hAnsi="Segoe UI" w:cs="Segoe UI"/>
          <w:sz w:val="21"/>
          <w:szCs w:val="21"/>
        </w:rPr>
        <w:t xml:space="preserve">TEAR </w:t>
      </w:r>
      <w:r w:rsidRPr="00CB1E53">
        <w:rPr>
          <w:rFonts w:ascii="Segoe UI" w:hAnsi="Segoe UI" w:cs="Segoe UI"/>
          <w:sz w:val="21"/>
          <w:szCs w:val="21"/>
        </w:rPr>
        <w:t xml:space="preserve">has followed the adoption of a relatively simple benchmark regime descriptions for Moldova’s </w:t>
      </w:r>
      <w:r w:rsidR="64D9185E" w:rsidRPr="72AC4C64">
        <w:rPr>
          <w:rFonts w:ascii="Segoe UI" w:hAnsi="Segoe UI" w:cs="Segoe UI"/>
          <w:sz w:val="21"/>
          <w:szCs w:val="21"/>
        </w:rPr>
        <w:t xml:space="preserve">tax </w:t>
      </w:r>
      <w:r w:rsidR="64D9185E" w:rsidRPr="181D303F">
        <w:rPr>
          <w:rFonts w:ascii="Segoe UI" w:hAnsi="Segoe UI" w:cs="Segoe UI"/>
          <w:sz w:val="21"/>
          <w:szCs w:val="21"/>
        </w:rPr>
        <w:t>system</w:t>
      </w:r>
      <w:r w:rsidR="598FE73C" w:rsidRPr="181D303F">
        <w:rPr>
          <w:rFonts w:ascii="Segoe UI" w:hAnsi="Segoe UI" w:cs="Segoe UI"/>
          <w:sz w:val="21"/>
          <w:szCs w:val="21"/>
        </w:rPr>
        <w:t>.</w:t>
      </w:r>
      <w:r w:rsidRPr="00CB1E53">
        <w:rPr>
          <w:rFonts w:ascii="Segoe UI" w:hAnsi="Segoe UI" w:cs="Segoe UI"/>
          <w:sz w:val="21"/>
          <w:szCs w:val="21"/>
        </w:rPr>
        <w:t xml:space="preserve"> In the final instance, the benchmark is therefore best understood as the tax treatment applied to standard taxpayers, with </w:t>
      </w:r>
      <w:r w:rsidR="00F310A8" w:rsidRPr="00CB1E53">
        <w:rPr>
          <w:rFonts w:ascii="Segoe UI" w:hAnsi="Segoe UI" w:cs="Segoe UI"/>
          <w:sz w:val="21"/>
          <w:szCs w:val="21"/>
        </w:rPr>
        <w:t xml:space="preserve">TEs </w:t>
      </w:r>
      <w:r w:rsidRPr="00CB1E53">
        <w:rPr>
          <w:rFonts w:ascii="Segoe UI" w:hAnsi="Segoe UI" w:cs="Segoe UI"/>
          <w:sz w:val="21"/>
          <w:szCs w:val="21"/>
        </w:rPr>
        <w:t>being a deliberate policy deviation from that standard treatment</w:t>
      </w:r>
      <w:r w:rsidR="00787507" w:rsidRPr="00CB1E53">
        <w:rPr>
          <w:rFonts w:ascii="Segoe UI" w:hAnsi="Segoe UI" w:cs="Segoe UI"/>
          <w:sz w:val="21"/>
          <w:szCs w:val="21"/>
        </w:rPr>
        <w:t xml:space="preserve">, </w:t>
      </w:r>
      <w:r w:rsidRPr="00CB1E53">
        <w:rPr>
          <w:rFonts w:ascii="Segoe UI" w:hAnsi="Segoe UI" w:cs="Segoe UI"/>
          <w:sz w:val="21"/>
          <w:szCs w:val="21"/>
        </w:rPr>
        <w:t>applie</w:t>
      </w:r>
      <w:r w:rsidR="00787507" w:rsidRPr="00CB1E53">
        <w:rPr>
          <w:rFonts w:ascii="Segoe UI" w:hAnsi="Segoe UI" w:cs="Segoe UI"/>
          <w:sz w:val="21"/>
          <w:szCs w:val="21"/>
        </w:rPr>
        <w:t>d</w:t>
      </w:r>
      <w:r w:rsidRPr="00CB1E53">
        <w:rPr>
          <w:rFonts w:ascii="Segoe UI" w:hAnsi="Segoe UI" w:cs="Segoe UI"/>
          <w:sz w:val="21"/>
          <w:szCs w:val="21"/>
        </w:rPr>
        <w:t xml:space="preserve"> to a smaller subgroup of taxpayers.</w:t>
      </w:r>
    </w:p>
    <w:p w14:paraId="67FBC91F" w14:textId="657AC600" w:rsidR="00F77F6D" w:rsidRPr="00255CEB" w:rsidRDefault="00F77F6D" w:rsidP="00E90BA7">
      <w:pPr>
        <w:pStyle w:val="Heading3"/>
        <w:jc w:val="both"/>
        <w:rPr>
          <w:rStyle w:val="RegularDKB"/>
          <w:b/>
          <w:bCs/>
          <w:caps w:val="0"/>
        </w:rPr>
      </w:pPr>
      <w:bookmarkStart w:id="20" w:name="_Toc126555823"/>
      <w:r w:rsidRPr="00255CEB">
        <w:rPr>
          <w:rStyle w:val="RegularDKB"/>
          <w:b/>
          <w:bCs/>
          <w:caps w:val="0"/>
        </w:rPr>
        <w:t>Personal income tax</w:t>
      </w:r>
      <w:bookmarkEnd w:id="20"/>
    </w:p>
    <w:p w14:paraId="415F9137" w14:textId="56EE0FA4" w:rsidR="00F77F6D" w:rsidRPr="00CB1E53" w:rsidRDefault="00513F6B" w:rsidP="00E90BA7">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C</w:t>
      </w:r>
      <w:r w:rsidR="00F77F6D" w:rsidRPr="00CB1E53">
        <w:rPr>
          <w:rFonts w:ascii="Segoe UI" w:hAnsi="Segoe UI" w:cs="Segoe UI"/>
          <w:color w:val="004C97" w:themeColor="text2"/>
          <w:sz w:val="21"/>
          <w:szCs w:val="21"/>
        </w:rPr>
        <w:t>ommon approach</w:t>
      </w:r>
    </w:p>
    <w:p w14:paraId="0A52B47D" w14:textId="2C87473A"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For a comprehensive income tax</w:t>
      </w:r>
      <w:r w:rsidRPr="00CB1E53">
        <w:rPr>
          <w:rStyle w:val="FootnoteReference"/>
          <w:rFonts w:ascii="Segoe UI" w:hAnsi="Segoe UI" w:cs="Segoe UI"/>
          <w:sz w:val="21"/>
          <w:szCs w:val="21"/>
        </w:rPr>
        <w:footnoteReference w:id="11"/>
      </w:r>
      <w:r w:rsidRPr="00CB1E53">
        <w:rPr>
          <w:rFonts w:ascii="Segoe UI" w:hAnsi="Segoe UI" w:cs="Segoe UI"/>
          <w:sz w:val="21"/>
          <w:szCs w:val="21"/>
        </w:rPr>
        <w:t xml:space="preserve"> at </w:t>
      </w:r>
      <w:r w:rsidR="00A26436" w:rsidRPr="00CB1E53">
        <w:rPr>
          <w:rFonts w:ascii="Segoe UI" w:hAnsi="Segoe UI" w:cs="Segoe UI"/>
          <w:sz w:val="21"/>
          <w:szCs w:val="21"/>
        </w:rPr>
        <w:t xml:space="preserve">either </w:t>
      </w:r>
      <w:r w:rsidRPr="00CB1E53">
        <w:rPr>
          <w:rFonts w:ascii="Segoe UI" w:hAnsi="Segoe UI" w:cs="Segoe UI"/>
          <w:sz w:val="21"/>
          <w:szCs w:val="21"/>
        </w:rPr>
        <w:t xml:space="preserve">progressive or </w:t>
      </w:r>
      <w:r w:rsidR="00F310A8" w:rsidRPr="00CB1E53">
        <w:rPr>
          <w:rFonts w:ascii="Segoe UI" w:hAnsi="Segoe UI" w:cs="Segoe UI"/>
          <w:sz w:val="21"/>
          <w:szCs w:val="21"/>
        </w:rPr>
        <w:t>a</w:t>
      </w:r>
      <w:r w:rsidRPr="00CB1E53">
        <w:rPr>
          <w:rFonts w:ascii="Segoe UI" w:hAnsi="Segoe UI" w:cs="Segoe UI"/>
          <w:sz w:val="21"/>
          <w:szCs w:val="21"/>
        </w:rPr>
        <w:t xml:space="preserve"> single flat rate</w:t>
      </w:r>
      <w:r w:rsidR="79C0EBD6" w:rsidRPr="00CB1E53">
        <w:rPr>
          <w:rFonts w:ascii="Segoe UI" w:hAnsi="Segoe UI" w:cs="Segoe UI"/>
          <w:sz w:val="21"/>
          <w:szCs w:val="21"/>
        </w:rPr>
        <w:t>,</w:t>
      </w:r>
      <w:r w:rsidRPr="00CB1E53">
        <w:rPr>
          <w:rFonts w:ascii="Segoe UI" w:hAnsi="Segoe UI" w:cs="Segoe UI"/>
          <w:sz w:val="21"/>
          <w:szCs w:val="21"/>
        </w:rPr>
        <w:t xml:space="preserve"> the benchmark should be based on the prevailing system of income tax with the existing statutory tax schedule. However, it should exclude any tax relief, other than the basic allowance (or the zero-tax income bracket). Under such PIT, any deduction from income</w:t>
      </w:r>
      <w:r w:rsidR="00C823B8">
        <w:rPr>
          <w:rFonts w:ascii="Segoe UI" w:hAnsi="Segoe UI" w:cs="Segoe UI"/>
          <w:sz w:val="21"/>
          <w:szCs w:val="21"/>
        </w:rPr>
        <w:t>—oth</w:t>
      </w:r>
      <w:r w:rsidRPr="00CB1E53">
        <w:rPr>
          <w:rFonts w:ascii="Segoe UI" w:hAnsi="Segoe UI" w:cs="Segoe UI"/>
          <w:sz w:val="21"/>
          <w:szCs w:val="21"/>
        </w:rPr>
        <w:t>er than genuine business expenses</w:t>
      </w:r>
      <w:r w:rsidR="00F310A8" w:rsidRPr="00CB1E53">
        <w:rPr>
          <w:rFonts w:ascii="Segoe UI" w:hAnsi="Segoe UI" w:cs="Segoe UI"/>
          <w:sz w:val="21"/>
          <w:szCs w:val="21"/>
        </w:rPr>
        <w:t xml:space="preserve"> when </w:t>
      </w:r>
      <w:r w:rsidRPr="00CB1E53">
        <w:rPr>
          <w:rFonts w:ascii="Segoe UI" w:hAnsi="Segoe UI" w:cs="Segoe UI"/>
          <w:sz w:val="21"/>
          <w:szCs w:val="21"/>
        </w:rPr>
        <w:t>the person has income from a business activity</w:t>
      </w:r>
      <w:r w:rsidR="00C823B8">
        <w:rPr>
          <w:rFonts w:ascii="Segoe UI" w:hAnsi="Segoe UI" w:cs="Segoe UI"/>
          <w:sz w:val="21"/>
          <w:szCs w:val="21"/>
        </w:rPr>
        <w:t xml:space="preserve">, </w:t>
      </w:r>
      <w:r w:rsidR="00F310A8" w:rsidRPr="00CB1E53">
        <w:rPr>
          <w:rFonts w:ascii="Segoe UI" w:hAnsi="Segoe UI" w:cs="Segoe UI"/>
          <w:sz w:val="21"/>
          <w:szCs w:val="21"/>
        </w:rPr>
        <w:t>ta</w:t>
      </w:r>
      <w:r w:rsidRPr="00CB1E53">
        <w:rPr>
          <w:rFonts w:ascii="Segoe UI" w:hAnsi="Segoe UI" w:cs="Segoe UI"/>
          <w:sz w:val="21"/>
          <w:szCs w:val="21"/>
        </w:rPr>
        <w:t>x credits</w:t>
      </w:r>
      <w:r w:rsidR="00C823B8">
        <w:rPr>
          <w:rFonts w:ascii="Segoe UI" w:hAnsi="Segoe UI" w:cs="Segoe UI"/>
          <w:sz w:val="21"/>
          <w:szCs w:val="21"/>
        </w:rPr>
        <w:t>,</w:t>
      </w:r>
      <w:r w:rsidRPr="00CB1E53">
        <w:rPr>
          <w:rFonts w:ascii="Segoe UI" w:hAnsi="Segoe UI" w:cs="Segoe UI"/>
          <w:sz w:val="21"/>
          <w:szCs w:val="21"/>
        </w:rPr>
        <w:t xml:space="preserve"> and lower rates on certain income</w:t>
      </w:r>
      <w:r w:rsidR="00F310A8" w:rsidRPr="00CB1E53">
        <w:rPr>
          <w:rFonts w:ascii="Segoe UI" w:hAnsi="Segoe UI" w:cs="Segoe UI"/>
          <w:sz w:val="21"/>
          <w:szCs w:val="21"/>
        </w:rPr>
        <w:t xml:space="preserve">, </w:t>
      </w:r>
      <w:r w:rsidRPr="00CB1E53">
        <w:rPr>
          <w:rFonts w:ascii="Segoe UI" w:hAnsi="Segoe UI" w:cs="Segoe UI"/>
          <w:sz w:val="21"/>
          <w:szCs w:val="21"/>
        </w:rPr>
        <w:t>for example, on capital gains, interest, dividends</w:t>
      </w:r>
      <w:r w:rsidR="00F310A8" w:rsidRPr="00CB1E53">
        <w:rPr>
          <w:rFonts w:ascii="Segoe UI" w:hAnsi="Segoe UI" w:cs="Segoe UI"/>
          <w:sz w:val="21"/>
          <w:szCs w:val="21"/>
        </w:rPr>
        <w:t>,</w:t>
      </w:r>
      <w:r w:rsidRPr="00CB1E53">
        <w:rPr>
          <w:rFonts w:ascii="Segoe UI" w:hAnsi="Segoe UI" w:cs="Segoe UI"/>
          <w:sz w:val="21"/>
          <w:szCs w:val="21"/>
        </w:rPr>
        <w:t xml:space="preserve"> are arguably </w:t>
      </w:r>
      <w:r w:rsidR="009430CA" w:rsidRPr="00CB1E53">
        <w:rPr>
          <w:rFonts w:ascii="Segoe UI" w:hAnsi="Segoe UI" w:cs="Segoe UI"/>
          <w:sz w:val="21"/>
          <w:szCs w:val="21"/>
        </w:rPr>
        <w:t>TEs</w:t>
      </w:r>
      <w:r w:rsidRPr="00CB1E53">
        <w:rPr>
          <w:rFonts w:ascii="Segoe UI" w:hAnsi="Segoe UI" w:cs="Segoe UI"/>
          <w:sz w:val="21"/>
          <w:szCs w:val="21"/>
        </w:rPr>
        <w:t>.</w:t>
      </w:r>
    </w:p>
    <w:p w14:paraId="21E2DA28" w14:textId="3F26802F"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Income taxes can also be schedular or dual.</w:t>
      </w:r>
      <w:r w:rsidRPr="00CB1E53">
        <w:rPr>
          <w:rFonts w:ascii="Segoe UI" w:hAnsi="Segoe UI" w:cs="Segoe UI"/>
          <w:b/>
          <w:sz w:val="21"/>
          <w:szCs w:val="21"/>
        </w:rPr>
        <w:t xml:space="preserve"> </w:t>
      </w:r>
      <w:r w:rsidRPr="00CB1E53">
        <w:rPr>
          <w:rFonts w:ascii="Segoe UI" w:hAnsi="Segoe UI" w:cs="Segoe UI"/>
          <w:sz w:val="21"/>
          <w:szCs w:val="21"/>
        </w:rPr>
        <w:t>In such cases, there is no single PIT rate structure; each income source or group of income sources has its own rate and base rules—for example, wage income and all other forms of capital income under the Nordic dual income tax systems. In this case, it is reasonable to have a benchmark tax system that separates the tax on wages from the tax on capital income. The benchmark for the wage tax can mirror that of a standard PIT, and the benchmark for capital income taxes can be a flat rate on all forms of income from capital.</w:t>
      </w:r>
    </w:p>
    <w:p w14:paraId="545D1552" w14:textId="3F4BE316" w:rsidR="00DB4BB2"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lastRenderedPageBreak/>
        <w:t xml:space="preserve">Sole proprietors are sometimes treated differently, with a simplified tax on income expressed as a notional return to turnover, or a tax on turnover. In this case, it is reasonable to consider a lighter tax burden on income (relative to the standard PIT) as a TE, but estimating income subject to tax could present problems if reporting requirements are truncated. </w:t>
      </w:r>
    </w:p>
    <w:p w14:paraId="1564DB8A" w14:textId="77777777" w:rsidR="00DB4BB2" w:rsidRPr="00CB1E53" w:rsidRDefault="00F77F6D" w:rsidP="00E90BA7">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Moldovan PIT design</w:t>
      </w:r>
    </w:p>
    <w:p w14:paraId="5EA4DABE" w14:textId="582C9A21" w:rsidR="00DB4BB2" w:rsidRPr="00CB1E53" w:rsidRDefault="00F310A8" w:rsidP="00E90BA7">
      <w:pPr>
        <w:pStyle w:val="ParagraphNumbering"/>
        <w:numPr>
          <w:ilvl w:val="0"/>
          <w:numId w:val="0"/>
        </w:numPr>
        <w:spacing w:after="240" w:line="264" w:lineRule="auto"/>
        <w:jc w:val="both"/>
        <w:rPr>
          <w:rFonts w:ascii="Segoe UI" w:hAnsi="Segoe UI" w:cs="Segoe UI"/>
          <w:color w:val="000000"/>
          <w:sz w:val="21"/>
          <w:szCs w:val="21"/>
        </w:rPr>
      </w:pPr>
      <w:r w:rsidRPr="00CB1E53">
        <w:rPr>
          <w:rFonts w:ascii="Segoe UI" w:hAnsi="Segoe UI" w:cs="Segoe UI"/>
          <w:sz w:val="21"/>
          <w:szCs w:val="21"/>
        </w:rPr>
        <w:t>The most significant feature of the Moldovan PIT system is that practically all types of income are subject to tax at low flat rates (Art</w:t>
      </w:r>
      <w:r w:rsidR="006F4146">
        <w:rPr>
          <w:rFonts w:ascii="Segoe UI" w:hAnsi="Segoe UI" w:cs="Segoe UI"/>
          <w:sz w:val="21"/>
          <w:szCs w:val="21"/>
        </w:rPr>
        <w:t>.</w:t>
      </w:r>
      <w:r w:rsidRPr="00CB1E53">
        <w:rPr>
          <w:rFonts w:ascii="Segoe UI" w:hAnsi="Segoe UI" w:cs="Segoe UI"/>
          <w:sz w:val="21"/>
          <w:szCs w:val="21"/>
        </w:rPr>
        <w:t xml:space="preserve"> 15 of the TC). </w:t>
      </w:r>
      <w:r w:rsidR="00F77F6D" w:rsidRPr="00CB1E53">
        <w:rPr>
          <w:rFonts w:ascii="Segoe UI" w:hAnsi="Segoe UI" w:cs="Segoe UI"/>
          <w:color w:val="000000"/>
          <w:sz w:val="21"/>
          <w:szCs w:val="21"/>
        </w:rPr>
        <w:t>Moldova imposes a schedular PIT</w:t>
      </w:r>
      <w:r w:rsidR="009A1366">
        <w:rPr>
          <w:rFonts w:ascii="Segoe UI" w:hAnsi="Segoe UI" w:cs="Segoe UI"/>
          <w:color w:val="000000"/>
          <w:sz w:val="21"/>
          <w:szCs w:val="21"/>
        </w:rPr>
        <w:t>; i</w:t>
      </w:r>
      <w:r w:rsidR="00F77F6D" w:rsidRPr="00CB1E53">
        <w:rPr>
          <w:rFonts w:ascii="Segoe UI" w:hAnsi="Segoe UI" w:cs="Segoe UI"/>
          <w:color w:val="000000"/>
          <w:sz w:val="21"/>
          <w:szCs w:val="21"/>
        </w:rPr>
        <w:t>ndividuals are subject to tax based on their worldwide income. Until October 2018, there was a two-rate progressive structure of the personal income tax. A 7 percent tax rate applied to income up to MDL</w:t>
      </w:r>
      <w:r w:rsidR="00F71272">
        <w:rPr>
          <w:rFonts w:ascii="Segoe UI" w:hAnsi="Segoe UI" w:cs="Segoe UI"/>
          <w:color w:val="000000"/>
          <w:sz w:val="21"/>
          <w:szCs w:val="21"/>
        </w:rPr>
        <w:t> </w:t>
      </w:r>
      <w:r w:rsidR="00F77F6D" w:rsidRPr="00CB1E53">
        <w:rPr>
          <w:rFonts w:ascii="Segoe UI" w:hAnsi="Segoe UI" w:cs="Segoe UI"/>
          <w:color w:val="000000"/>
          <w:sz w:val="21"/>
          <w:szCs w:val="21"/>
        </w:rPr>
        <w:t>33,000 and any excess income was taxed at a rate of 18 percent. With effect from 1 October 2018, a standard flat tax of 12 percent is applied to salaries and capital gains. It is combined with a basic personal allowance of MDL</w:t>
      </w:r>
      <w:r w:rsidR="00F71272">
        <w:rPr>
          <w:rFonts w:ascii="Segoe UI" w:hAnsi="Segoe UI" w:cs="Segoe UI"/>
          <w:color w:val="000000"/>
          <w:sz w:val="21"/>
          <w:szCs w:val="21"/>
        </w:rPr>
        <w:t> </w:t>
      </w:r>
      <w:r w:rsidR="00F77F6D" w:rsidRPr="00CB1E53">
        <w:rPr>
          <w:rFonts w:ascii="Segoe UI" w:hAnsi="Segoe UI" w:cs="Segoe UI"/>
          <w:color w:val="000000"/>
          <w:sz w:val="21"/>
          <w:szCs w:val="21"/>
        </w:rPr>
        <w:t>27,000</w:t>
      </w:r>
      <w:r w:rsidR="00A26436" w:rsidRPr="00CB1E53">
        <w:rPr>
          <w:rFonts w:ascii="Segoe UI" w:hAnsi="Segoe UI" w:cs="Segoe UI"/>
          <w:color w:val="000000"/>
          <w:sz w:val="21"/>
          <w:szCs w:val="21"/>
        </w:rPr>
        <w:t xml:space="preserve">, which is considered to be part of the </w:t>
      </w:r>
      <w:r w:rsidR="00F77F6D" w:rsidRPr="00CB1E53">
        <w:rPr>
          <w:rFonts w:ascii="Segoe UI" w:hAnsi="Segoe UI" w:cs="Segoe UI"/>
          <w:color w:val="000000"/>
          <w:sz w:val="21"/>
          <w:szCs w:val="21"/>
        </w:rPr>
        <w:t>benchmark as it applies to every taxpayer</w:t>
      </w:r>
      <w:r w:rsidR="00A26436" w:rsidRPr="00CB1E53">
        <w:rPr>
          <w:rFonts w:ascii="Segoe UI" w:hAnsi="Segoe UI" w:cs="Segoe UI"/>
          <w:color w:val="000000"/>
          <w:sz w:val="21"/>
          <w:szCs w:val="21"/>
        </w:rPr>
        <w:t xml:space="preserve">. The system also includes </w:t>
      </w:r>
      <w:r w:rsidR="00F77F6D" w:rsidRPr="00CB1E53">
        <w:rPr>
          <w:rFonts w:ascii="Segoe UI" w:hAnsi="Segoe UI" w:cs="Segoe UI"/>
          <w:color w:val="000000"/>
          <w:sz w:val="21"/>
          <w:szCs w:val="21"/>
        </w:rPr>
        <w:t>spouse and dependents allowances</w:t>
      </w:r>
      <w:r w:rsidR="00A26436" w:rsidRPr="00CB1E53">
        <w:rPr>
          <w:rFonts w:ascii="Segoe UI" w:hAnsi="Segoe UI" w:cs="Segoe UI"/>
          <w:color w:val="000000"/>
          <w:sz w:val="21"/>
          <w:szCs w:val="21"/>
        </w:rPr>
        <w:t xml:space="preserve">, which </w:t>
      </w:r>
      <w:r w:rsidR="00F77F6D" w:rsidRPr="00CB1E53">
        <w:rPr>
          <w:rFonts w:ascii="Segoe UI" w:hAnsi="Segoe UI" w:cs="Segoe UI"/>
          <w:color w:val="000000"/>
          <w:sz w:val="21"/>
          <w:szCs w:val="21"/>
        </w:rPr>
        <w:t xml:space="preserve">are </w:t>
      </w:r>
      <w:r w:rsidR="00A26436" w:rsidRPr="00CB1E53">
        <w:rPr>
          <w:rFonts w:ascii="Segoe UI" w:hAnsi="Segoe UI" w:cs="Segoe UI"/>
          <w:color w:val="000000"/>
          <w:sz w:val="21"/>
          <w:szCs w:val="21"/>
        </w:rPr>
        <w:t xml:space="preserve">considered to be </w:t>
      </w:r>
      <w:r w:rsidR="00F77F6D" w:rsidRPr="00CB1E53">
        <w:rPr>
          <w:rFonts w:ascii="Segoe UI" w:hAnsi="Segoe UI" w:cs="Segoe UI"/>
          <w:color w:val="000000"/>
          <w:sz w:val="21"/>
          <w:szCs w:val="21"/>
        </w:rPr>
        <w:t xml:space="preserve">explicit or non-structural TEs, benefiting a smaller subgroup of taxpayers. </w:t>
      </w:r>
    </w:p>
    <w:p w14:paraId="696015B3" w14:textId="18B3252D"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color w:val="000000"/>
          <w:sz w:val="21"/>
          <w:szCs w:val="21"/>
        </w:rPr>
        <w:t>Investment income of natural persons is subject to withholding taxes, with a rate of 6</w:t>
      </w:r>
      <w:r w:rsidR="00F71272">
        <w:rPr>
          <w:rFonts w:ascii="Segoe UI" w:hAnsi="Segoe UI" w:cs="Segoe UI"/>
          <w:color w:val="000000"/>
          <w:sz w:val="21"/>
          <w:szCs w:val="21"/>
        </w:rPr>
        <w:t> </w:t>
      </w:r>
      <w:r w:rsidRPr="00CB1E53">
        <w:rPr>
          <w:rFonts w:ascii="Segoe UI" w:hAnsi="Segoe UI" w:cs="Segoe UI"/>
          <w:color w:val="000000"/>
          <w:sz w:val="21"/>
          <w:szCs w:val="21"/>
        </w:rPr>
        <w:t>percent in case of dividends and a rate of 12</w:t>
      </w:r>
      <w:r w:rsidR="00F71272">
        <w:rPr>
          <w:rFonts w:ascii="Segoe UI" w:hAnsi="Segoe UI" w:cs="Segoe UI"/>
          <w:color w:val="000000"/>
          <w:sz w:val="21"/>
          <w:szCs w:val="21"/>
        </w:rPr>
        <w:t> </w:t>
      </w:r>
      <w:r w:rsidRPr="00CB1E53">
        <w:rPr>
          <w:rFonts w:ascii="Segoe UI" w:hAnsi="Segoe UI" w:cs="Segoe UI"/>
          <w:color w:val="000000"/>
          <w:sz w:val="21"/>
          <w:szCs w:val="21"/>
        </w:rPr>
        <w:t>percent in case of interest and royalties. For these sources of income, none of the above-mentioned allowances apply. Business income is taxed separately under a standard 12 percent tax rate and no personal, spouse or dependent allowances can be used against it. Moreover, there are several presumptive tax regimes within business income taxation. Table</w:t>
      </w:r>
      <w:r w:rsidR="00F71272">
        <w:rPr>
          <w:rFonts w:ascii="Segoe UI" w:hAnsi="Segoe UI" w:cs="Segoe UI"/>
          <w:color w:val="000000"/>
          <w:sz w:val="21"/>
          <w:szCs w:val="21"/>
        </w:rPr>
        <w:t> </w:t>
      </w:r>
      <w:r w:rsidR="00AB7911">
        <w:rPr>
          <w:rFonts w:ascii="Segoe UI" w:hAnsi="Segoe UI" w:cs="Segoe UI"/>
          <w:color w:val="000000"/>
          <w:sz w:val="21"/>
          <w:szCs w:val="21"/>
        </w:rPr>
        <w:t>2</w:t>
      </w:r>
      <w:r w:rsidRPr="00CB1E53">
        <w:rPr>
          <w:rFonts w:ascii="Segoe UI" w:hAnsi="Segoe UI" w:cs="Segoe UI"/>
          <w:color w:val="000000"/>
          <w:sz w:val="21"/>
          <w:szCs w:val="21"/>
        </w:rPr>
        <w:t xml:space="preserve"> presents a summary of all PIT regimes applying to income except from business activity.</w:t>
      </w:r>
    </w:p>
    <w:p w14:paraId="37441EF4" w14:textId="39E2D0D3"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25C2AA8E">
        <w:rPr>
          <w:rFonts w:ascii="Segoe UI" w:hAnsi="Segoe UI" w:cs="Segoe UI"/>
          <w:color w:val="000000" w:themeColor="text1"/>
          <w:sz w:val="21"/>
          <w:szCs w:val="21"/>
        </w:rPr>
        <w:t xml:space="preserve">There are many approaches to defining a benchmark PIT. One is a conceptual approach based on the Schanz-Haig-Simons comprehensive concept of income. According to it, the taxable income is defined broadly as </w:t>
      </w:r>
      <w:r w:rsidR="2FD5259F" w:rsidRPr="25C2AA8E">
        <w:rPr>
          <w:rFonts w:ascii="Segoe UI" w:hAnsi="Segoe UI" w:cs="Segoe UI"/>
          <w:color w:val="000000" w:themeColor="text1"/>
          <w:sz w:val="21"/>
          <w:szCs w:val="21"/>
        </w:rPr>
        <w:t xml:space="preserve">income </w:t>
      </w:r>
      <w:r w:rsidRPr="25C2AA8E">
        <w:rPr>
          <w:rFonts w:ascii="Segoe UI" w:hAnsi="Segoe UI" w:cs="Segoe UI"/>
          <w:color w:val="000000" w:themeColor="text1"/>
          <w:sz w:val="21"/>
          <w:szCs w:val="21"/>
        </w:rPr>
        <w:t>obtained from all sources regardless of whether they are regular or not and includes net increase in wealth. Whereas the Schanz-Haig-Simons concept is based on sound neutrality arguments, it is complex and plagued with several practical problems. The second approach</w:t>
      </w:r>
      <w:r w:rsidR="00A26436" w:rsidRPr="25C2AA8E">
        <w:rPr>
          <w:rFonts w:ascii="Segoe UI" w:hAnsi="Segoe UI" w:cs="Segoe UI"/>
          <w:color w:val="000000" w:themeColor="text1"/>
          <w:sz w:val="21"/>
          <w:szCs w:val="21"/>
        </w:rPr>
        <w:t>—</w:t>
      </w:r>
      <w:r w:rsidRPr="25C2AA8E">
        <w:rPr>
          <w:rFonts w:ascii="Segoe UI" w:hAnsi="Segoe UI" w:cs="Segoe UI"/>
          <w:color w:val="000000" w:themeColor="text1"/>
          <w:sz w:val="21"/>
          <w:szCs w:val="21"/>
        </w:rPr>
        <w:t>simpler and more pragmatic</w:t>
      </w:r>
      <w:r w:rsidR="00A26436" w:rsidRPr="25C2AA8E">
        <w:rPr>
          <w:rFonts w:ascii="Segoe UI" w:hAnsi="Segoe UI" w:cs="Segoe UI"/>
          <w:color w:val="000000" w:themeColor="text1"/>
          <w:sz w:val="21"/>
          <w:szCs w:val="21"/>
        </w:rPr>
        <w:t>—</w:t>
      </w:r>
      <w:r w:rsidRPr="25C2AA8E">
        <w:rPr>
          <w:rFonts w:ascii="Segoe UI" w:hAnsi="Segoe UI" w:cs="Segoe UI"/>
          <w:color w:val="000000" w:themeColor="text1"/>
          <w:sz w:val="21"/>
          <w:szCs w:val="21"/>
        </w:rPr>
        <w:t>is based on the prevailing system of income taxation. It defines the benchmark as the current PIT system without provisions favoring certain categories of income or subgroups of taxpayers. This approach is followed in the first TEAR.</w:t>
      </w:r>
    </w:p>
    <w:p w14:paraId="34C0A72C" w14:textId="179757A4" w:rsidR="00F77F6D" w:rsidRPr="00CB1E53" w:rsidRDefault="00F77F6D" w:rsidP="00E90BA7">
      <w:pPr>
        <w:tabs>
          <w:tab w:val="left" w:pos="990"/>
        </w:tabs>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Thus, two benchmarks are required for the Moldovan PIT.</w:t>
      </w:r>
      <w:r w:rsidRPr="00CB1E53">
        <w:rPr>
          <w:rFonts w:ascii="Segoe UI" w:hAnsi="Segoe UI" w:cs="Segoe UI"/>
          <w:b/>
          <w:color w:val="000000"/>
          <w:sz w:val="21"/>
          <w:szCs w:val="21"/>
        </w:rPr>
        <w:t xml:space="preserve"> </w:t>
      </w:r>
      <w:r w:rsidRPr="00CB1E53">
        <w:rPr>
          <w:rFonts w:ascii="Segoe UI" w:hAnsi="Segoe UI" w:cs="Segoe UI"/>
          <w:color w:val="000000"/>
          <w:sz w:val="21"/>
          <w:szCs w:val="21"/>
        </w:rPr>
        <w:t xml:space="preserve">The distinction is based on the categories of income the personal allowance applies to. </w:t>
      </w:r>
      <w:r w:rsidR="00A26436" w:rsidRPr="00CB1E53">
        <w:rPr>
          <w:rFonts w:ascii="Segoe UI" w:hAnsi="Segoe UI" w:cs="Segoe UI"/>
          <w:color w:val="000000"/>
          <w:sz w:val="21"/>
          <w:szCs w:val="21"/>
        </w:rPr>
        <w:t>O</w:t>
      </w:r>
      <w:r w:rsidRPr="00CB1E53">
        <w:rPr>
          <w:rFonts w:ascii="Segoe UI" w:hAnsi="Segoe UI" w:cs="Segoe UI"/>
          <w:color w:val="000000"/>
          <w:sz w:val="21"/>
          <w:szCs w:val="21"/>
        </w:rPr>
        <w:t xml:space="preserve">ne benchmark is defined for active income and capital gains, against which the personal allowance can be claimed, implying mildly progressive taxation. The second benchmark is identified for investment income which is taxed separately, </w:t>
      </w:r>
      <w:r w:rsidR="00A26436" w:rsidRPr="00CB1E53">
        <w:rPr>
          <w:rFonts w:ascii="Segoe UI" w:hAnsi="Segoe UI" w:cs="Segoe UI"/>
          <w:color w:val="000000"/>
          <w:sz w:val="21"/>
          <w:szCs w:val="21"/>
        </w:rPr>
        <w:t xml:space="preserve">with no applicable </w:t>
      </w:r>
      <w:r w:rsidRPr="00CB1E53">
        <w:rPr>
          <w:rFonts w:ascii="Segoe UI" w:hAnsi="Segoe UI" w:cs="Segoe UI"/>
          <w:color w:val="000000"/>
          <w:sz w:val="21"/>
          <w:szCs w:val="21"/>
        </w:rPr>
        <w:t>personal allowance (Table</w:t>
      </w:r>
      <w:r w:rsidR="006A7748" w:rsidRPr="00CB1E53">
        <w:rPr>
          <w:rFonts w:ascii="Segoe UI" w:hAnsi="Segoe UI" w:cs="Segoe UI"/>
          <w:color w:val="000000"/>
          <w:sz w:val="21"/>
          <w:szCs w:val="21"/>
        </w:rPr>
        <w:t xml:space="preserve"> </w:t>
      </w:r>
      <w:r w:rsidR="00AB7911">
        <w:rPr>
          <w:rFonts w:ascii="Segoe UI" w:hAnsi="Segoe UI" w:cs="Segoe UI"/>
          <w:color w:val="000000"/>
          <w:sz w:val="21"/>
          <w:szCs w:val="21"/>
        </w:rPr>
        <w:t>2</w:t>
      </w:r>
      <w:r w:rsidRPr="00CB1E53">
        <w:rPr>
          <w:rFonts w:ascii="Segoe UI" w:hAnsi="Segoe UI" w:cs="Segoe UI"/>
          <w:color w:val="000000"/>
          <w:sz w:val="21"/>
          <w:szCs w:val="21"/>
        </w:rPr>
        <w:t xml:space="preserve">). This schedular approach to taxation of incomes of individuals (as opposed to comprehensive taxation of corporate income) is in itself a part of the benchmark. Each of the benchmarks – in line with theory and best international practice for </w:t>
      </w:r>
      <w:r w:rsidR="009430CA" w:rsidRPr="00CB1E53">
        <w:rPr>
          <w:rFonts w:ascii="Segoe UI" w:hAnsi="Segoe UI" w:cs="Segoe UI"/>
          <w:color w:val="000000"/>
          <w:sz w:val="21"/>
          <w:szCs w:val="21"/>
        </w:rPr>
        <w:t>TEs</w:t>
      </w:r>
      <w:r w:rsidRPr="00CB1E53">
        <w:rPr>
          <w:rFonts w:ascii="Segoe UI" w:hAnsi="Segoe UI" w:cs="Segoe UI"/>
          <w:color w:val="000000"/>
          <w:sz w:val="21"/>
          <w:szCs w:val="21"/>
        </w:rPr>
        <w:t xml:space="preserve"> reporting – includes the following elements: unit of taxation, taxation period, description of the tax base and rate structure.</w:t>
      </w:r>
    </w:p>
    <w:p w14:paraId="1F33E838" w14:textId="00FAB991" w:rsidR="001413B7" w:rsidRPr="00CB1E53" w:rsidRDefault="001413B7" w:rsidP="00E90BA7">
      <w:pPr>
        <w:pStyle w:val="Boxfiguretabletitle"/>
        <w:spacing w:after="120"/>
        <w:jc w:val="both"/>
        <w:rPr>
          <w:rFonts w:cs="Segoe UI"/>
          <w:color w:val="auto"/>
          <w:szCs w:val="21"/>
        </w:rPr>
      </w:pPr>
      <w:r w:rsidRPr="00CB1E53">
        <w:rPr>
          <w:b w:val="0"/>
          <w:bCs w:val="0"/>
          <w:color w:val="auto"/>
          <w:szCs w:val="21"/>
        </w:rPr>
        <w:fldChar w:fldCharType="begin"/>
      </w:r>
      <w:r w:rsidRPr="00CB1E53">
        <w:rPr>
          <w:b w:val="0"/>
          <w:bCs w:val="0"/>
          <w:color w:val="auto"/>
          <w:szCs w:val="21"/>
        </w:rPr>
        <w:instrText xml:space="preserve"> TC "</w:instrText>
      </w:r>
      <w:r w:rsidR="00AB7911">
        <w:rPr>
          <w:b w:val="0"/>
          <w:bCs w:val="0"/>
          <w:color w:val="auto"/>
          <w:szCs w:val="21"/>
        </w:rPr>
        <w:instrText>2</w:instrText>
      </w:r>
      <w:r w:rsidRPr="00CB1E53">
        <w:rPr>
          <w:b w:val="0"/>
          <w:bCs w:val="0"/>
          <w:color w:val="auto"/>
          <w:szCs w:val="21"/>
        </w:rPr>
        <w:instrText xml:space="preserve">. </w:instrText>
      </w:r>
      <w:r w:rsidRPr="00CB1E53">
        <w:rPr>
          <w:rFonts w:cs="Segoe UI"/>
          <w:b w:val="0"/>
          <w:color w:val="auto"/>
          <w:szCs w:val="21"/>
        </w:rPr>
        <w:instrText>Main Income Categories Subject to PIT in Moldova</w:instrText>
      </w:r>
      <w:r w:rsidRPr="00CB1E53">
        <w:rPr>
          <w:b w:val="0"/>
          <w:bCs w:val="0"/>
          <w:color w:val="auto"/>
          <w:szCs w:val="21"/>
        </w:rPr>
        <w:instrText xml:space="preserve">"\f B </w:instrText>
      </w:r>
      <w:r w:rsidRPr="00CB1E53">
        <w:rPr>
          <w:b w:val="0"/>
          <w:bCs w:val="0"/>
          <w:color w:val="auto"/>
          <w:szCs w:val="21"/>
        </w:rPr>
        <w:fldChar w:fldCharType="end"/>
      </w:r>
      <w:r w:rsidRPr="00CB1E53">
        <w:rPr>
          <w:rFonts w:cs="Segoe UI"/>
          <w:color w:val="auto"/>
          <w:szCs w:val="21"/>
        </w:rPr>
        <w:t xml:space="preserve">Table </w:t>
      </w:r>
      <w:r w:rsidR="00AB7911">
        <w:rPr>
          <w:rFonts w:cs="Segoe UI"/>
          <w:color w:val="auto"/>
          <w:szCs w:val="21"/>
        </w:rPr>
        <w:t>2</w:t>
      </w:r>
      <w:r w:rsidRPr="00CB1E53">
        <w:rPr>
          <w:rFonts w:cs="Segoe UI"/>
          <w:color w:val="auto"/>
          <w:szCs w:val="21"/>
        </w:rPr>
        <w:t>. Main Income Categories Subject to PIT in Moldova</w:t>
      </w:r>
    </w:p>
    <w:tbl>
      <w:tblPr>
        <w:tblW w:w="0" w:type="auto"/>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35"/>
        <w:gridCol w:w="3600"/>
        <w:gridCol w:w="3415"/>
      </w:tblGrid>
      <w:tr w:rsidR="00483047" w:rsidRPr="00CB1E53" w14:paraId="4B23F523" w14:textId="77777777" w:rsidTr="55EAF170">
        <w:tc>
          <w:tcPr>
            <w:tcW w:w="9350" w:type="dxa"/>
            <w:gridSpan w:val="3"/>
            <w:shd w:val="clear" w:color="auto" w:fill="D9D9D9" w:themeFill="background1" w:themeFillShade="D9"/>
          </w:tcPr>
          <w:p w14:paraId="130F4057" w14:textId="0B326F9D"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sz w:val="16"/>
                <w:szCs w:val="16"/>
              </w:rPr>
              <w:lastRenderedPageBreak/>
              <w:t xml:space="preserve">Personal </w:t>
            </w:r>
            <w:r w:rsidR="259F82EC" w:rsidRPr="716183C5">
              <w:rPr>
                <w:rFonts w:cs="Segoe UI"/>
                <w:sz w:val="16"/>
                <w:szCs w:val="16"/>
              </w:rPr>
              <w:t>a</w:t>
            </w:r>
            <w:r w:rsidRPr="00CB1E53">
              <w:rPr>
                <w:rFonts w:cs="Segoe UI"/>
                <w:sz w:val="16"/>
                <w:szCs w:val="16"/>
              </w:rPr>
              <w:t>llowance applies to:</w:t>
            </w:r>
          </w:p>
        </w:tc>
      </w:tr>
      <w:tr w:rsidR="0069791B" w:rsidRPr="00CB1E53" w14:paraId="3A7CB91B" w14:textId="77777777" w:rsidTr="55EAF170">
        <w:trPr>
          <w:trHeight w:val="620"/>
        </w:trPr>
        <w:tc>
          <w:tcPr>
            <w:tcW w:w="2335" w:type="dxa"/>
            <w:vAlign w:val="center"/>
          </w:tcPr>
          <w:p w14:paraId="3D802E02"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sz w:val="16"/>
                <w:szCs w:val="16"/>
              </w:rPr>
              <w:t>Employment income</w:t>
            </w:r>
          </w:p>
        </w:tc>
        <w:tc>
          <w:tcPr>
            <w:tcW w:w="3600" w:type="dxa"/>
            <w:vAlign w:val="center"/>
          </w:tcPr>
          <w:p w14:paraId="7971EAF3"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Including directors’ remuneration</w:t>
            </w:r>
          </w:p>
        </w:tc>
        <w:tc>
          <w:tcPr>
            <w:tcW w:w="3415" w:type="dxa"/>
            <w:vAlign w:val="center"/>
          </w:tcPr>
          <w:p w14:paraId="5A1032E1" w14:textId="3ECDD4D8"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 xml:space="preserve">Subject to flat rate of 12 percent. The basic personal allowance is of MDL </w:t>
            </w:r>
            <w:r w:rsidR="005A0332" w:rsidRPr="00CB1E53">
              <w:rPr>
                <w:rFonts w:cs="Segoe UI"/>
                <w:color w:val="000000"/>
                <w:sz w:val="16"/>
                <w:szCs w:val="16"/>
              </w:rPr>
              <w:t>2</w:t>
            </w:r>
            <w:r w:rsidR="005A0332">
              <w:rPr>
                <w:rFonts w:cs="Segoe UI"/>
                <w:color w:val="000000"/>
                <w:sz w:val="16"/>
                <w:szCs w:val="16"/>
              </w:rPr>
              <w:t>7</w:t>
            </w:r>
            <w:r w:rsidRPr="00CB1E53">
              <w:rPr>
                <w:rFonts w:cs="Segoe UI"/>
                <w:color w:val="000000"/>
                <w:sz w:val="16"/>
                <w:szCs w:val="16"/>
              </w:rPr>
              <w:t>,000.</w:t>
            </w:r>
          </w:p>
        </w:tc>
      </w:tr>
      <w:tr w:rsidR="00173C82" w:rsidRPr="00CB1E53" w14:paraId="51663B6C" w14:textId="77777777" w:rsidTr="55EAF170">
        <w:trPr>
          <w:trHeight w:val="192"/>
        </w:trPr>
        <w:tc>
          <w:tcPr>
            <w:tcW w:w="2335" w:type="dxa"/>
            <w:vMerge w:val="restart"/>
            <w:vAlign w:val="center"/>
          </w:tcPr>
          <w:p w14:paraId="5DD612B4"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Capital gains</w:t>
            </w:r>
          </w:p>
        </w:tc>
        <w:tc>
          <w:tcPr>
            <w:tcW w:w="3600" w:type="dxa"/>
            <w:vAlign w:val="center"/>
          </w:tcPr>
          <w:p w14:paraId="789871AF"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Capital gains from private property</w:t>
            </w:r>
          </w:p>
        </w:tc>
        <w:tc>
          <w:tcPr>
            <w:tcW w:w="3415" w:type="dxa"/>
            <w:vAlign w:val="center"/>
          </w:tcPr>
          <w:p w14:paraId="0B4E2ECE" w14:textId="0D16B8B3" w:rsidR="001413B7" w:rsidRPr="00CB1E53" w:rsidRDefault="001413B7" w:rsidP="00E90BA7">
            <w:pPr>
              <w:autoSpaceDE w:val="0"/>
              <w:autoSpaceDN w:val="0"/>
              <w:adjustRightInd w:val="0"/>
              <w:spacing w:before="40" w:after="40"/>
              <w:jc w:val="both"/>
              <w:rPr>
                <w:rFonts w:cs="Segoe UI"/>
                <w:color w:val="000000"/>
                <w:sz w:val="16"/>
                <w:szCs w:val="16"/>
              </w:rPr>
            </w:pPr>
            <w:r w:rsidRPr="00CB1E53">
              <w:rPr>
                <w:rFonts w:cs="Segoe UI"/>
                <w:color w:val="000000"/>
                <w:sz w:val="16"/>
                <w:szCs w:val="16"/>
              </w:rPr>
              <w:t xml:space="preserve">Taxable amount of capital gains is equal to 50 percent of the amount of capital gains (50 percent inclusion rate) over any capital losses incurred during a tax year. </w:t>
            </w:r>
          </w:p>
        </w:tc>
      </w:tr>
      <w:tr w:rsidR="00173C82" w:rsidRPr="00CB1E53" w14:paraId="79DCD48A" w14:textId="77777777" w:rsidTr="55EAF170">
        <w:trPr>
          <w:trHeight w:val="191"/>
        </w:trPr>
        <w:tc>
          <w:tcPr>
            <w:tcW w:w="2335" w:type="dxa"/>
            <w:vMerge/>
            <w:vAlign w:val="center"/>
          </w:tcPr>
          <w:p w14:paraId="5A028CFA" w14:textId="77777777" w:rsidR="001413B7" w:rsidRPr="00CB1E53" w:rsidRDefault="001413B7" w:rsidP="00E90BA7">
            <w:pPr>
              <w:autoSpaceDE w:val="0"/>
              <w:autoSpaceDN w:val="0"/>
              <w:adjustRightInd w:val="0"/>
              <w:spacing w:before="40" w:after="40"/>
              <w:jc w:val="both"/>
              <w:rPr>
                <w:rFonts w:cs="Segoe UI"/>
                <w:color w:val="000000"/>
                <w:sz w:val="16"/>
                <w:szCs w:val="16"/>
              </w:rPr>
            </w:pPr>
          </w:p>
        </w:tc>
        <w:tc>
          <w:tcPr>
            <w:tcW w:w="3600" w:type="dxa"/>
            <w:vAlign w:val="center"/>
          </w:tcPr>
          <w:p w14:paraId="2EE73E7E" w14:textId="77777777" w:rsidR="001413B7" w:rsidRPr="00CB1E53" w:rsidRDefault="001413B7" w:rsidP="00E90BA7">
            <w:pPr>
              <w:keepNext/>
              <w:keepLines/>
              <w:autoSpaceDE w:val="0"/>
              <w:autoSpaceDN w:val="0"/>
              <w:adjustRightInd w:val="0"/>
              <w:spacing w:before="40" w:after="40"/>
              <w:jc w:val="both"/>
              <w:rPr>
                <w:rFonts w:cs="Segoe UI"/>
                <w:sz w:val="16"/>
                <w:szCs w:val="16"/>
              </w:rPr>
            </w:pPr>
            <w:r w:rsidRPr="00CB1E53">
              <w:rPr>
                <w:rFonts w:cs="Segoe UI"/>
                <w:color w:val="000000"/>
                <w:sz w:val="16"/>
                <w:szCs w:val="16"/>
              </w:rPr>
              <w:t>Gains from disposal of basic housing</w:t>
            </w:r>
          </w:p>
        </w:tc>
        <w:tc>
          <w:tcPr>
            <w:tcW w:w="3415" w:type="dxa"/>
            <w:vAlign w:val="center"/>
          </w:tcPr>
          <w:p w14:paraId="78554249" w14:textId="4789AA3C" w:rsidR="001413B7" w:rsidRPr="00CB1E53" w:rsidRDefault="001413B7" w:rsidP="00E90BA7">
            <w:pPr>
              <w:keepNext/>
              <w:keepLines/>
              <w:autoSpaceDE w:val="0"/>
              <w:autoSpaceDN w:val="0"/>
              <w:adjustRightInd w:val="0"/>
              <w:spacing w:before="40" w:after="40"/>
              <w:jc w:val="both"/>
              <w:rPr>
                <w:rFonts w:cs="Segoe UI"/>
                <w:color w:val="000000"/>
                <w:sz w:val="16"/>
                <w:szCs w:val="16"/>
              </w:rPr>
            </w:pPr>
            <w:r w:rsidRPr="00CB1E53">
              <w:rPr>
                <w:rFonts w:cs="Segoe UI"/>
                <w:color w:val="000000"/>
                <w:sz w:val="16"/>
                <w:szCs w:val="16"/>
              </w:rPr>
              <w:t xml:space="preserve">Exempt provided a taxpayer lived in the housing for at least 3 years, otherwise 50 percent of the realized capital gains subject to tax (50 percent inclusion rate). </w:t>
            </w:r>
          </w:p>
        </w:tc>
      </w:tr>
      <w:tr w:rsidR="00483047" w:rsidRPr="00CB1E53" w14:paraId="5932DD70" w14:textId="77777777" w:rsidTr="55EAF170">
        <w:tc>
          <w:tcPr>
            <w:tcW w:w="9350" w:type="dxa"/>
            <w:gridSpan w:val="3"/>
            <w:shd w:val="clear" w:color="auto" w:fill="D9D9D9" w:themeFill="background1" w:themeFillShade="D9"/>
          </w:tcPr>
          <w:p w14:paraId="27D2B33C"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No personal allowance applies to:</w:t>
            </w:r>
          </w:p>
        </w:tc>
      </w:tr>
      <w:tr w:rsidR="00173C82" w:rsidRPr="00CB1E53" w14:paraId="6E4230DE" w14:textId="77777777" w:rsidTr="55EAF170">
        <w:tc>
          <w:tcPr>
            <w:tcW w:w="2335" w:type="dxa"/>
            <w:vMerge w:val="restart"/>
            <w:vAlign w:val="center"/>
          </w:tcPr>
          <w:p w14:paraId="0F65E6F6"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Investment income</w:t>
            </w:r>
          </w:p>
        </w:tc>
        <w:tc>
          <w:tcPr>
            <w:tcW w:w="3600" w:type="dxa"/>
            <w:vAlign w:val="center"/>
          </w:tcPr>
          <w:p w14:paraId="535A139A"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Dividends</w:t>
            </w:r>
          </w:p>
        </w:tc>
        <w:tc>
          <w:tcPr>
            <w:tcW w:w="3415" w:type="dxa"/>
          </w:tcPr>
          <w:p w14:paraId="41AEE98A"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6 percent withholding on gross amount (15 percent for dividends, including stock, dividends, paid out of profits derived between 2008 and 2011).</w:t>
            </w:r>
          </w:p>
        </w:tc>
      </w:tr>
      <w:tr w:rsidR="00173C82" w:rsidRPr="00CB1E53" w14:paraId="6D4EA7D2" w14:textId="77777777" w:rsidTr="55EAF170">
        <w:tc>
          <w:tcPr>
            <w:tcW w:w="2335" w:type="dxa"/>
            <w:vMerge/>
          </w:tcPr>
          <w:p w14:paraId="7C599767" w14:textId="77777777" w:rsidR="001413B7" w:rsidRPr="00CB1E53" w:rsidRDefault="001413B7" w:rsidP="00E90BA7">
            <w:pPr>
              <w:autoSpaceDE w:val="0"/>
              <w:autoSpaceDN w:val="0"/>
              <w:adjustRightInd w:val="0"/>
              <w:spacing w:before="40" w:after="40"/>
              <w:jc w:val="both"/>
              <w:rPr>
                <w:rFonts w:cs="Segoe UI"/>
                <w:sz w:val="16"/>
                <w:szCs w:val="16"/>
              </w:rPr>
            </w:pPr>
          </w:p>
        </w:tc>
        <w:tc>
          <w:tcPr>
            <w:tcW w:w="3600" w:type="dxa"/>
            <w:vAlign w:val="center"/>
          </w:tcPr>
          <w:p w14:paraId="141233D8"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Interest</w:t>
            </w:r>
          </w:p>
        </w:tc>
        <w:tc>
          <w:tcPr>
            <w:tcW w:w="3415" w:type="dxa"/>
          </w:tcPr>
          <w:p w14:paraId="195BAED4"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 xml:space="preserve">12 percent withholding on gross amount. </w:t>
            </w:r>
          </w:p>
        </w:tc>
      </w:tr>
      <w:tr w:rsidR="00173C82" w:rsidRPr="00CB1E53" w14:paraId="04E3DF7D" w14:textId="77777777" w:rsidTr="55EAF170">
        <w:tc>
          <w:tcPr>
            <w:tcW w:w="2335" w:type="dxa"/>
            <w:vMerge/>
          </w:tcPr>
          <w:p w14:paraId="7D8914F4" w14:textId="77777777" w:rsidR="001413B7" w:rsidRPr="00CB1E53" w:rsidRDefault="001413B7" w:rsidP="00E90BA7">
            <w:pPr>
              <w:autoSpaceDE w:val="0"/>
              <w:autoSpaceDN w:val="0"/>
              <w:adjustRightInd w:val="0"/>
              <w:spacing w:before="40" w:after="40"/>
              <w:jc w:val="both"/>
              <w:rPr>
                <w:rFonts w:cs="Segoe UI"/>
                <w:sz w:val="16"/>
                <w:szCs w:val="16"/>
              </w:rPr>
            </w:pPr>
          </w:p>
        </w:tc>
        <w:tc>
          <w:tcPr>
            <w:tcW w:w="3600" w:type="dxa"/>
            <w:vAlign w:val="center"/>
          </w:tcPr>
          <w:p w14:paraId="0EF5C39D" w14:textId="77777777" w:rsidR="001413B7" w:rsidRPr="00CB1E53" w:rsidRDefault="001413B7" w:rsidP="00E90BA7">
            <w:pPr>
              <w:autoSpaceDE w:val="0"/>
              <w:autoSpaceDN w:val="0"/>
              <w:adjustRightInd w:val="0"/>
              <w:spacing w:before="40" w:after="40"/>
              <w:jc w:val="both"/>
              <w:rPr>
                <w:rFonts w:cs="Segoe UI"/>
                <w:sz w:val="16"/>
                <w:szCs w:val="16"/>
              </w:rPr>
            </w:pPr>
            <w:r w:rsidRPr="00CB1E53">
              <w:rPr>
                <w:rFonts w:cs="Segoe UI"/>
                <w:color w:val="000000"/>
                <w:sz w:val="16"/>
                <w:szCs w:val="16"/>
              </w:rPr>
              <w:t>Royalties</w:t>
            </w:r>
          </w:p>
        </w:tc>
        <w:tc>
          <w:tcPr>
            <w:tcW w:w="3415" w:type="dxa"/>
          </w:tcPr>
          <w:p w14:paraId="055E11F7" w14:textId="5AC60843" w:rsidR="001413B7" w:rsidRPr="00CB1E53" w:rsidRDefault="001413B7" w:rsidP="00E90BA7">
            <w:pPr>
              <w:autoSpaceDE w:val="0"/>
              <w:autoSpaceDN w:val="0"/>
              <w:adjustRightInd w:val="0"/>
              <w:spacing w:before="40" w:after="40"/>
              <w:jc w:val="both"/>
              <w:rPr>
                <w:rFonts w:cs="Segoe UI"/>
                <w:color w:val="000000"/>
                <w:sz w:val="16"/>
                <w:szCs w:val="16"/>
              </w:rPr>
            </w:pPr>
            <w:r w:rsidRPr="00CB1E53">
              <w:rPr>
                <w:rFonts w:cs="Segoe UI"/>
                <w:color w:val="000000"/>
                <w:sz w:val="16"/>
                <w:szCs w:val="16"/>
              </w:rPr>
              <w:t xml:space="preserve">12 percent withholding on gross amount. </w:t>
            </w:r>
          </w:p>
        </w:tc>
      </w:tr>
      <w:tr w:rsidR="00173C82" w:rsidRPr="00CB1E53" w14:paraId="46BDF0B8" w14:textId="77777777" w:rsidTr="55EAF170">
        <w:tc>
          <w:tcPr>
            <w:tcW w:w="2335" w:type="dxa"/>
            <w:vMerge/>
          </w:tcPr>
          <w:p w14:paraId="35017F13" w14:textId="77777777" w:rsidR="001413B7" w:rsidRPr="00CB1E53" w:rsidRDefault="001413B7" w:rsidP="00E90BA7">
            <w:pPr>
              <w:keepNext/>
              <w:keepLines/>
              <w:autoSpaceDE w:val="0"/>
              <w:autoSpaceDN w:val="0"/>
              <w:adjustRightInd w:val="0"/>
              <w:spacing w:before="40" w:after="40"/>
              <w:jc w:val="both"/>
              <w:rPr>
                <w:rFonts w:cs="Segoe UI"/>
                <w:sz w:val="16"/>
                <w:szCs w:val="16"/>
              </w:rPr>
            </w:pPr>
          </w:p>
        </w:tc>
        <w:tc>
          <w:tcPr>
            <w:tcW w:w="3600" w:type="dxa"/>
            <w:vAlign w:val="center"/>
          </w:tcPr>
          <w:p w14:paraId="1574CC61" w14:textId="77777777" w:rsidR="001413B7" w:rsidRPr="00CB1E53" w:rsidRDefault="001413B7" w:rsidP="00E90BA7">
            <w:pPr>
              <w:keepNext/>
              <w:keepLines/>
              <w:autoSpaceDE w:val="0"/>
              <w:autoSpaceDN w:val="0"/>
              <w:adjustRightInd w:val="0"/>
              <w:spacing w:before="40" w:after="40"/>
              <w:jc w:val="both"/>
              <w:rPr>
                <w:rFonts w:cs="Segoe UI"/>
                <w:sz w:val="16"/>
                <w:szCs w:val="16"/>
              </w:rPr>
            </w:pPr>
            <w:r w:rsidRPr="00CB1E53">
              <w:rPr>
                <w:rFonts w:cs="Segoe UI"/>
                <w:color w:val="000000"/>
                <w:sz w:val="16"/>
                <w:szCs w:val="16"/>
              </w:rPr>
              <w:t>Rental income</w:t>
            </w:r>
          </w:p>
        </w:tc>
        <w:tc>
          <w:tcPr>
            <w:tcW w:w="3415" w:type="dxa"/>
          </w:tcPr>
          <w:p w14:paraId="3CD15BDD" w14:textId="77777777" w:rsidR="001413B7" w:rsidRPr="00CB1E53" w:rsidRDefault="001413B7" w:rsidP="00E90BA7">
            <w:pPr>
              <w:keepNext/>
              <w:keepLines/>
              <w:autoSpaceDE w:val="0"/>
              <w:autoSpaceDN w:val="0"/>
              <w:adjustRightInd w:val="0"/>
              <w:spacing w:before="40" w:after="40"/>
              <w:jc w:val="both"/>
              <w:rPr>
                <w:rFonts w:cs="Segoe UI"/>
                <w:color w:val="000000"/>
                <w:sz w:val="16"/>
                <w:szCs w:val="16"/>
              </w:rPr>
            </w:pPr>
            <w:r w:rsidRPr="00CB1E53">
              <w:rPr>
                <w:rFonts w:cs="Segoe UI"/>
                <w:color w:val="000000"/>
                <w:sz w:val="16"/>
                <w:szCs w:val="16"/>
              </w:rPr>
              <w:t>For legal entities, 10 percent withholding tax on gross amount from rent, lease, usufruct of movable and immovable property, except for the lease of agricultural land. A 7 percent rate applies to individuals.</w:t>
            </w:r>
          </w:p>
        </w:tc>
      </w:tr>
    </w:tbl>
    <w:p w14:paraId="5DDA12AB" w14:textId="50ED17B1" w:rsidR="00F77F6D" w:rsidRPr="00CB1E53" w:rsidRDefault="00F77F6D" w:rsidP="00E90BA7">
      <w:pPr>
        <w:autoSpaceDE w:val="0"/>
        <w:autoSpaceDN w:val="0"/>
        <w:adjustRightInd w:val="0"/>
        <w:spacing w:before="240" w:after="240" w:line="264" w:lineRule="auto"/>
        <w:jc w:val="both"/>
        <w:rPr>
          <w:rFonts w:ascii="Segoe UI" w:hAnsi="Segoe UI" w:cs="Segoe UI"/>
          <w:i/>
          <w:sz w:val="21"/>
          <w:szCs w:val="21"/>
        </w:rPr>
      </w:pPr>
      <w:r w:rsidRPr="00CB1E53">
        <w:rPr>
          <w:rFonts w:ascii="Segoe UI" w:hAnsi="Segoe UI" w:cs="Segoe UI"/>
          <w:i/>
          <w:sz w:val="21"/>
          <w:szCs w:val="21"/>
        </w:rPr>
        <w:t>Employment Income and Capital Gains</w:t>
      </w:r>
    </w:p>
    <w:p w14:paraId="120B1DDA" w14:textId="77777777"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 xml:space="preserve">Unit of taxation: </w:t>
      </w:r>
      <w:r w:rsidRPr="00CB1E53">
        <w:rPr>
          <w:rFonts w:ascii="Segoe UI" w:hAnsi="Segoe UI" w:cs="Segoe UI"/>
          <w:color w:val="000000"/>
          <w:sz w:val="21"/>
          <w:szCs w:val="21"/>
        </w:rPr>
        <w:t>The benchmark unit of taxation is a single individual resident in Moldova.</w:t>
      </w:r>
    </w:p>
    <w:p w14:paraId="4F84E965" w14:textId="77777777"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Taxation period</w:t>
      </w:r>
      <w:r w:rsidRPr="00CB1E53">
        <w:rPr>
          <w:rFonts w:ascii="Segoe UI" w:hAnsi="Segoe UI" w:cs="Segoe UI"/>
          <w:color w:val="000000"/>
          <w:sz w:val="21"/>
          <w:szCs w:val="21"/>
        </w:rPr>
        <w:t>: The benchmark tax period is the calendar year.</w:t>
      </w:r>
    </w:p>
    <w:p w14:paraId="01DFF269" w14:textId="7B13FF21"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6E5D9E20">
        <w:rPr>
          <w:rFonts w:ascii="Segoe UI" w:hAnsi="Segoe UI" w:cs="Segoe UI"/>
          <w:i/>
          <w:color w:val="000000" w:themeColor="text1"/>
          <w:sz w:val="21"/>
          <w:szCs w:val="21"/>
        </w:rPr>
        <w:t>Tax base:</w:t>
      </w:r>
      <w:r w:rsidRPr="6E5D9E20">
        <w:rPr>
          <w:rFonts w:ascii="Segoe UI" w:hAnsi="Segoe UI" w:cs="Segoe UI"/>
          <w:color w:val="000000" w:themeColor="text1"/>
          <w:sz w:val="21"/>
          <w:szCs w:val="21"/>
        </w:rPr>
        <w:t xml:space="preserve"> The benchmark taxable base consists of worldwide income from different sources, including:</w:t>
      </w:r>
      <w:r w:rsidR="00824F0D">
        <w:rPr>
          <w:rFonts w:ascii="Segoe UI" w:hAnsi="Segoe UI" w:cs="Segoe UI"/>
          <w:color w:val="000000" w:themeColor="text1"/>
          <w:sz w:val="21"/>
          <w:szCs w:val="21"/>
        </w:rPr>
        <w:t xml:space="preserve"> </w:t>
      </w:r>
      <w:r w:rsidR="7E027EB9" w:rsidRPr="2843F768">
        <w:rPr>
          <w:rFonts w:ascii="Segoe UI" w:hAnsi="Segoe UI" w:cs="Segoe UI"/>
          <w:color w:val="000000" w:themeColor="text1"/>
          <w:sz w:val="21"/>
          <w:szCs w:val="21"/>
        </w:rPr>
        <w:t>e</w:t>
      </w:r>
      <w:r w:rsidR="598FE73C" w:rsidRPr="2843F768">
        <w:rPr>
          <w:rFonts w:ascii="Segoe UI" w:hAnsi="Segoe UI" w:cs="Segoe UI"/>
          <w:color w:val="000000" w:themeColor="text1"/>
          <w:sz w:val="21"/>
          <w:szCs w:val="21"/>
        </w:rPr>
        <w:t>mployment</w:t>
      </w:r>
      <w:r w:rsidRPr="4476397F">
        <w:rPr>
          <w:rFonts w:ascii="Segoe UI" w:hAnsi="Segoe UI" w:cs="Segoe UI"/>
          <w:color w:val="000000" w:themeColor="text1"/>
          <w:sz w:val="21"/>
          <w:szCs w:val="21"/>
        </w:rPr>
        <w:t xml:space="preserve"> income </w:t>
      </w:r>
      <w:r w:rsidR="1BC99BF9" w:rsidRPr="6D738F1B">
        <w:rPr>
          <w:rFonts w:ascii="Segoe UI" w:hAnsi="Segoe UI" w:cs="Segoe UI"/>
          <w:color w:val="000000" w:themeColor="text1"/>
          <w:sz w:val="21"/>
          <w:szCs w:val="21"/>
        </w:rPr>
        <w:t>(</w:t>
      </w:r>
      <w:r w:rsidRPr="4476397F">
        <w:rPr>
          <w:rFonts w:ascii="Segoe UI" w:hAnsi="Segoe UI" w:cs="Segoe UI"/>
          <w:color w:val="000000" w:themeColor="text1"/>
          <w:sz w:val="21"/>
          <w:szCs w:val="21"/>
        </w:rPr>
        <w:t>including directors’ remuneration</w:t>
      </w:r>
      <w:r w:rsidR="39112F9B" w:rsidRPr="6D738F1B">
        <w:rPr>
          <w:rFonts w:ascii="Segoe UI" w:hAnsi="Segoe UI" w:cs="Segoe UI"/>
          <w:color w:val="000000" w:themeColor="text1"/>
          <w:sz w:val="21"/>
          <w:szCs w:val="21"/>
        </w:rPr>
        <w:t>)</w:t>
      </w:r>
      <w:r w:rsidR="598FE73C" w:rsidRPr="6D738F1B">
        <w:rPr>
          <w:rFonts w:ascii="Segoe UI" w:hAnsi="Segoe UI" w:cs="Segoe UI"/>
          <w:color w:val="000000" w:themeColor="text1"/>
          <w:sz w:val="21"/>
          <w:szCs w:val="21"/>
        </w:rPr>
        <w:t>,</w:t>
      </w:r>
      <w:r w:rsidRPr="4476397F">
        <w:rPr>
          <w:rFonts w:ascii="Segoe UI" w:hAnsi="Segoe UI" w:cs="Segoe UI"/>
          <w:color w:val="000000" w:themeColor="text1"/>
          <w:sz w:val="21"/>
          <w:szCs w:val="21"/>
        </w:rPr>
        <w:t xml:space="preserve"> </w:t>
      </w:r>
      <w:r w:rsidR="00491E1C" w:rsidRPr="4476397F">
        <w:rPr>
          <w:rFonts w:ascii="Segoe UI" w:hAnsi="Segoe UI" w:cs="Segoe UI"/>
          <w:color w:val="000000" w:themeColor="text1"/>
          <w:sz w:val="21"/>
          <w:szCs w:val="21"/>
        </w:rPr>
        <w:t>p</w:t>
      </w:r>
      <w:r w:rsidRPr="4476397F">
        <w:rPr>
          <w:rFonts w:ascii="Segoe UI" w:hAnsi="Segoe UI" w:cs="Segoe UI"/>
          <w:color w:val="000000" w:themeColor="text1"/>
          <w:sz w:val="21"/>
          <w:szCs w:val="21"/>
        </w:rPr>
        <w:t xml:space="preserve">ensions (regardless of their source), </w:t>
      </w:r>
      <w:r w:rsidR="00491E1C" w:rsidRPr="4476397F">
        <w:rPr>
          <w:rFonts w:ascii="Segoe UI" w:hAnsi="Segoe UI" w:cs="Segoe UI"/>
          <w:color w:val="000000" w:themeColor="text1"/>
          <w:sz w:val="21"/>
          <w:szCs w:val="21"/>
        </w:rPr>
        <w:t>g</w:t>
      </w:r>
      <w:r w:rsidRPr="4476397F">
        <w:rPr>
          <w:rFonts w:ascii="Segoe UI" w:hAnsi="Segoe UI" w:cs="Segoe UI"/>
          <w:color w:val="000000" w:themeColor="text1"/>
          <w:sz w:val="21"/>
          <w:szCs w:val="21"/>
        </w:rPr>
        <w:t xml:space="preserve">overnment transfers, </w:t>
      </w:r>
      <w:r w:rsidR="00491E1C" w:rsidRPr="4476397F">
        <w:rPr>
          <w:rFonts w:ascii="Segoe UI" w:hAnsi="Segoe UI" w:cs="Segoe UI"/>
          <w:color w:val="000000" w:themeColor="text1"/>
          <w:sz w:val="21"/>
          <w:szCs w:val="21"/>
        </w:rPr>
        <w:t>c</w:t>
      </w:r>
      <w:r w:rsidRPr="4476397F">
        <w:rPr>
          <w:rFonts w:ascii="Segoe UI" w:hAnsi="Segoe UI" w:cs="Segoe UI"/>
          <w:color w:val="000000" w:themeColor="text1"/>
          <w:sz w:val="21"/>
          <w:szCs w:val="21"/>
        </w:rPr>
        <w:t xml:space="preserve">ompensations, scholarships, alimonies etc., </w:t>
      </w:r>
      <w:r w:rsidR="00491E1C" w:rsidRPr="4476397F">
        <w:rPr>
          <w:rFonts w:ascii="Segoe UI" w:hAnsi="Segoe UI" w:cs="Segoe UI"/>
          <w:color w:val="000000" w:themeColor="text1"/>
          <w:sz w:val="21"/>
          <w:szCs w:val="21"/>
        </w:rPr>
        <w:t>i</w:t>
      </w:r>
      <w:r w:rsidRPr="4476397F">
        <w:rPr>
          <w:rFonts w:ascii="Segoe UI" w:hAnsi="Segoe UI" w:cs="Segoe UI"/>
          <w:color w:val="000000" w:themeColor="text1"/>
          <w:sz w:val="21"/>
          <w:szCs w:val="21"/>
        </w:rPr>
        <w:t xml:space="preserve">nheritances, </w:t>
      </w:r>
      <w:r w:rsidR="00491E1C" w:rsidRPr="4476397F">
        <w:rPr>
          <w:rFonts w:ascii="Segoe UI" w:hAnsi="Segoe UI" w:cs="Segoe UI"/>
          <w:color w:val="000000" w:themeColor="text1"/>
          <w:sz w:val="21"/>
          <w:szCs w:val="21"/>
        </w:rPr>
        <w:t>d</w:t>
      </w:r>
      <w:r w:rsidRPr="4476397F">
        <w:rPr>
          <w:rFonts w:ascii="Segoe UI" w:hAnsi="Segoe UI" w:cs="Segoe UI"/>
          <w:color w:val="000000" w:themeColor="text1"/>
          <w:sz w:val="21"/>
          <w:szCs w:val="21"/>
        </w:rPr>
        <w:t xml:space="preserve">onations (gifts), </w:t>
      </w:r>
      <w:r w:rsidR="00491E1C" w:rsidRPr="4476397F">
        <w:rPr>
          <w:rFonts w:ascii="Segoe UI" w:hAnsi="Segoe UI" w:cs="Segoe UI"/>
          <w:color w:val="000000" w:themeColor="text1"/>
          <w:sz w:val="21"/>
          <w:szCs w:val="21"/>
        </w:rPr>
        <w:t>c</w:t>
      </w:r>
      <w:r w:rsidRPr="4476397F">
        <w:rPr>
          <w:rFonts w:ascii="Segoe UI" w:hAnsi="Segoe UI" w:cs="Segoe UI"/>
          <w:color w:val="000000" w:themeColor="text1"/>
          <w:sz w:val="21"/>
          <w:szCs w:val="21"/>
        </w:rPr>
        <w:t>apital gains.</w:t>
      </w:r>
      <w:r w:rsidR="28D556E0" w:rsidRPr="6D738F1B">
        <w:rPr>
          <w:rFonts w:ascii="Segoe UI" w:hAnsi="Segoe UI" w:cs="Segoe UI"/>
          <w:color w:val="000000" w:themeColor="text1"/>
          <w:sz w:val="21"/>
          <w:szCs w:val="21"/>
        </w:rPr>
        <w:t xml:space="preserve"> </w:t>
      </w:r>
      <w:r w:rsidRPr="4476397F">
        <w:rPr>
          <w:rFonts w:ascii="Segoe UI" w:hAnsi="Segoe UI" w:cs="Segoe UI"/>
          <w:color w:val="000000" w:themeColor="text1"/>
          <w:sz w:val="21"/>
          <w:szCs w:val="21"/>
        </w:rPr>
        <w:t>Investment income and business income are excluded from this tax base.</w:t>
      </w:r>
    </w:p>
    <w:p w14:paraId="08FEFF9D" w14:textId="18EBDF64"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 xml:space="preserve">Tax rate structure </w:t>
      </w:r>
      <w:r w:rsidR="00F946CD" w:rsidRPr="00CB1E53">
        <w:rPr>
          <w:rFonts w:ascii="Segoe UI" w:hAnsi="Segoe UI" w:cs="Segoe UI"/>
          <w:i/>
          <w:color w:val="000000"/>
          <w:sz w:val="21"/>
          <w:szCs w:val="21"/>
        </w:rPr>
        <w:t>and</w:t>
      </w:r>
      <w:r w:rsidRPr="00CB1E53">
        <w:rPr>
          <w:rFonts w:ascii="Segoe UI" w:hAnsi="Segoe UI" w:cs="Segoe UI"/>
          <w:i/>
          <w:color w:val="000000"/>
          <w:sz w:val="21"/>
          <w:szCs w:val="21"/>
        </w:rPr>
        <w:t xml:space="preserve"> benchmark:</w:t>
      </w:r>
      <w:r w:rsidRPr="00CB1E53">
        <w:rPr>
          <w:rFonts w:ascii="Segoe UI" w:hAnsi="Segoe UI" w:cs="Segoe UI"/>
          <w:b/>
          <w:color w:val="000000"/>
          <w:sz w:val="21"/>
          <w:szCs w:val="21"/>
        </w:rPr>
        <w:t xml:space="preserve"> </w:t>
      </w:r>
      <w:r w:rsidRPr="00CB1E53">
        <w:rPr>
          <w:rFonts w:ascii="Segoe UI" w:hAnsi="Segoe UI" w:cs="Segoe UI"/>
          <w:color w:val="000000"/>
          <w:sz w:val="21"/>
          <w:szCs w:val="21"/>
        </w:rPr>
        <w:t>The benchmark is a flat tax rate of 12 percent applied to the tax base as defined above less social security and health contributions and the basic amount of personal allowance (MDL</w:t>
      </w:r>
      <w:r w:rsidR="00491E1C">
        <w:rPr>
          <w:rFonts w:ascii="Segoe UI" w:hAnsi="Segoe UI" w:cs="Segoe UI"/>
          <w:color w:val="000000"/>
          <w:sz w:val="21"/>
          <w:szCs w:val="21"/>
        </w:rPr>
        <w:t> </w:t>
      </w:r>
      <w:r w:rsidRPr="00CB1E53">
        <w:rPr>
          <w:rFonts w:ascii="Segoe UI" w:hAnsi="Segoe UI" w:cs="Segoe UI"/>
          <w:color w:val="000000"/>
          <w:sz w:val="21"/>
          <w:szCs w:val="21"/>
        </w:rPr>
        <w:t>27,000). The latter is considered a part of the rate structure, inducing a degree of progressivity, akin to treating it as the first bracket and applying a zero rate (the personal allowance can be used as long as the annual taxable income of an individual does not exceed MDL</w:t>
      </w:r>
      <w:r w:rsidR="00491E1C">
        <w:rPr>
          <w:rFonts w:ascii="Segoe UI" w:hAnsi="Segoe UI" w:cs="Segoe UI"/>
          <w:color w:val="000000"/>
          <w:sz w:val="21"/>
          <w:szCs w:val="21"/>
        </w:rPr>
        <w:t> </w:t>
      </w:r>
      <w:r w:rsidRPr="00CB1E53">
        <w:rPr>
          <w:rFonts w:ascii="Segoe UI" w:hAnsi="Segoe UI" w:cs="Segoe UI"/>
          <w:color w:val="000000"/>
          <w:sz w:val="21"/>
          <w:szCs w:val="21"/>
        </w:rPr>
        <w:t xml:space="preserve">360,000). </w:t>
      </w:r>
    </w:p>
    <w:p w14:paraId="6AB4C7E8" w14:textId="13F4F80D"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TEs are:</w:t>
      </w:r>
      <w:r w:rsidRPr="00CB1E53">
        <w:rPr>
          <w:rFonts w:ascii="Segoe UI" w:hAnsi="Segoe UI" w:cs="Segoe UI"/>
          <w:color w:val="000000"/>
          <w:sz w:val="21"/>
          <w:szCs w:val="21"/>
        </w:rPr>
        <w:t xml:space="preserve"> The excess amount of personal allowance available to those with illness, disability</w:t>
      </w:r>
      <w:r w:rsidR="000D1D07">
        <w:rPr>
          <w:rFonts w:ascii="Segoe UI" w:hAnsi="Segoe UI" w:cs="Segoe UI"/>
          <w:color w:val="000000"/>
          <w:sz w:val="21"/>
          <w:szCs w:val="21"/>
        </w:rPr>
        <w:t>,</w:t>
      </w:r>
      <w:r w:rsidRPr="00CB1E53">
        <w:rPr>
          <w:rFonts w:ascii="Segoe UI" w:hAnsi="Segoe UI" w:cs="Segoe UI"/>
          <w:color w:val="000000"/>
          <w:sz w:val="21"/>
          <w:szCs w:val="21"/>
        </w:rPr>
        <w:t xml:space="preserve"> or injury (MDL</w:t>
      </w:r>
      <w:r w:rsidR="00491E1C">
        <w:rPr>
          <w:rFonts w:ascii="Segoe UI" w:hAnsi="Segoe UI" w:cs="Segoe UI"/>
          <w:color w:val="000000"/>
          <w:sz w:val="21"/>
          <w:szCs w:val="21"/>
        </w:rPr>
        <w:t> </w:t>
      </w:r>
      <w:r w:rsidRPr="00CB1E53">
        <w:rPr>
          <w:rFonts w:ascii="Segoe UI" w:hAnsi="Segoe UI" w:cs="Segoe UI"/>
          <w:color w:val="000000"/>
          <w:sz w:val="21"/>
          <w:szCs w:val="21"/>
        </w:rPr>
        <w:t>30,000 in total, an increment of MDL 6,000) does not constitute a benchmark for PIT, neither does the annual spouse allowance (MDL 11,280 or MDL 18,000 in case of illness, disability</w:t>
      </w:r>
      <w:r w:rsidR="004E797D">
        <w:rPr>
          <w:rFonts w:ascii="Segoe UI" w:hAnsi="Segoe UI" w:cs="Segoe UI"/>
          <w:color w:val="000000"/>
          <w:sz w:val="21"/>
          <w:szCs w:val="21"/>
        </w:rPr>
        <w:t>,</w:t>
      </w:r>
      <w:r w:rsidRPr="00CB1E53">
        <w:rPr>
          <w:rFonts w:ascii="Segoe UI" w:hAnsi="Segoe UI" w:cs="Segoe UI"/>
          <w:color w:val="000000"/>
          <w:sz w:val="21"/>
          <w:szCs w:val="21"/>
        </w:rPr>
        <w:t xml:space="preserve"> or injury). The Moldovan PIT also provides for dependent allowances. However, both of these should not be included in the benchmark as they represent a form of income subsidy (social assistance) for families with children and non-working spouses.</w:t>
      </w:r>
    </w:p>
    <w:p w14:paraId="47593D27" w14:textId="77777777" w:rsidR="00F77F6D" w:rsidRPr="00CB1E53" w:rsidRDefault="00F77F6D" w:rsidP="00E90BA7">
      <w:pPr>
        <w:keepNext/>
        <w:keepLines/>
        <w:autoSpaceDE w:val="0"/>
        <w:autoSpaceDN w:val="0"/>
        <w:adjustRightInd w:val="0"/>
        <w:spacing w:after="240" w:line="264" w:lineRule="auto"/>
        <w:jc w:val="both"/>
        <w:rPr>
          <w:rFonts w:ascii="Segoe UI" w:hAnsi="Segoe UI" w:cs="Segoe UI"/>
          <w:i/>
          <w:color w:val="000000"/>
          <w:sz w:val="21"/>
          <w:szCs w:val="21"/>
        </w:rPr>
      </w:pPr>
      <w:r w:rsidRPr="00CB1E53">
        <w:rPr>
          <w:rFonts w:ascii="Segoe UI" w:hAnsi="Segoe UI" w:cs="Segoe UI"/>
          <w:i/>
          <w:color w:val="000000"/>
          <w:sz w:val="21"/>
          <w:szCs w:val="21"/>
        </w:rPr>
        <w:lastRenderedPageBreak/>
        <w:t>The following specific rules are part of the benchmark for employment income and capital gains:</w:t>
      </w:r>
    </w:p>
    <w:p w14:paraId="458BEB31" w14:textId="061565EC" w:rsidR="00F77F6D" w:rsidRPr="00CB1E53" w:rsidRDefault="00F77F6D" w:rsidP="00E90BA7">
      <w:pPr>
        <w:pStyle w:val="ParagraphNumbering"/>
        <w:keepNext/>
        <w:keepLines/>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 xml:space="preserve">Deductibility of social security contributions and health care contributions. </w:t>
      </w:r>
      <w:r w:rsidR="1B057634" w:rsidRPr="55EAF170">
        <w:rPr>
          <w:rFonts w:ascii="Segoe UI" w:hAnsi="Segoe UI" w:cs="Segoe UI"/>
          <w:sz w:val="21"/>
          <w:szCs w:val="21"/>
        </w:rPr>
        <w:t>S</w:t>
      </w:r>
      <w:r w:rsidR="598FE73C" w:rsidRPr="55EAF170">
        <w:rPr>
          <w:rFonts w:ascii="Segoe UI" w:hAnsi="Segoe UI" w:cs="Segoe UI"/>
          <w:sz w:val="21"/>
          <w:szCs w:val="21"/>
        </w:rPr>
        <w:t>tate</w:t>
      </w:r>
      <w:r w:rsidRPr="00CB1E53">
        <w:rPr>
          <w:rFonts w:ascii="Segoe UI" w:hAnsi="Segoe UI" w:cs="Segoe UI"/>
          <w:sz w:val="21"/>
          <w:szCs w:val="21"/>
        </w:rPr>
        <w:t xml:space="preserve"> pensions are also exempt from taxation in Moldova, resulting in double exemption. In line with a benchmark system of taxation of pensions (EET) the 2020 mission was of the view that social security contributions belong to the benchmark, but old age pensions and other social benefits do not. For details of the current levels of social security and health care contribution see Table </w:t>
      </w:r>
      <w:r w:rsidR="00AB7911">
        <w:rPr>
          <w:rFonts w:ascii="Segoe UI" w:hAnsi="Segoe UI" w:cs="Segoe UI"/>
          <w:sz w:val="21"/>
          <w:szCs w:val="21"/>
        </w:rPr>
        <w:t>3</w:t>
      </w:r>
      <w:r w:rsidRPr="00CB1E53">
        <w:rPr>
          <w:rFonts w:ascii="Segoe UI" w:hAnsi="Segoe UI" w:cs="Segoe UI"/>
          <w:sz w:val="21"/>
          <w:szCs w:val="21"/>
        </w:rPr>
        <w:t xml:space="preserve"> below.</w:t>
      </w:r>
    </w:p>
    <w:p w14:paraId="23CA9177" w14:textId="49A9A502" w:rsidR="00F77F6D" w:rsidRPr="00CB1E53" w:rsidRDefault="00F77F6D" w:rsidP="00E90BA7">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sz w:val="21"/>
          <w:szCs w:val="21"/>
        </w:rPr>
        <w:t>Deductibility of contributions made to non-state pensions funds, both domestic and foreign. Contrary to state pensions, pensions received from non-state pension funds (domestic and foreign) are taxable. However, the group of taxpayers who obtain income from that source is negligible.</w:t>
      </w:r>
    </w:p>
    <w:p w14:paraId="2D3B53D4" w14:textId="53F41A0D" w:rsidR="00F77F6D" w:rsidRPr="00CB1E53" w:rsidRDefault="00F77F6D" w:rsidP="00E90BA7">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sz w:val="21"/>
          <w:szCs w:val="21"/>
        </w:rPr>
        <w:t xml:space="preserve">Measures that provide relief for international double taxation. According to </w:t>
      </w:r>
      <w:r w:rsidR="00A31776">
        <w:rPr>
          <w:rFonts w:ascii="Segoe UI" w:hAnsi="Segoe UI" w:cs="Segoe UI"/>
          <w:sz w:val="21"/>
          <w:szCs w:val="21"/>
        </w:rPr>
        <w:t>A</w:t>
      </w:r>
      <w:r w:rsidRPr="00CB1E53">
        <w:rPr>
          <w:rFonts w:ascii="Segoe UI" w:hAnsi="Segoe UI" w:cs="Segoe UI"/>
          <w:sz w:val="21"/>
          <w:szCs w:val="21"/>
        </w:rPr>
        <w:t>rt. 82 of the Tax Code, an ordinary credit is granted to income taxes paid abroad (which is benchmark).</w:t>
      </w:r>
    </w:p>
    <w:p w14:paraId="580BBE70" w14:textId="77777777" w:rsidR="00F77F6D" w:rsidRPr="00CB1E53" w:rsidRDefault="00F77F6D" w:rsidP="00E90BA7">
      <w:pPr>
        <w:autoSpaceDE w:val="0"/>
        <w:autoSpaceDN w:val="0"/>
        <w:adjustRightInd w:val="0"/>
        <w:spacing w:after="0" w:line="240" w:lineRule="auto"/>
        <w:jc w:val="both"/>
        <w:rPr>
          <w:rFonts w:ascii="Segoe UI" w:hAnsi="Segoe UI" w:cs="Segoe UI"/>
          <w:b/>
          <w:color w:val="953634"/>
          <w:sz w:val="20"/>
          <w:szCs w:val="20"/>
        </w:rPr>
      </w:pPr>
    </w:p>
    <w:p w14:paraId="5595A108" w14:textId="770B6545" w:rsidR="00F77F6D" w:rsidRPr="00CB1E53" w:rsidRDefault="001413B7" w:rsidP="00E90BA7">
      <w:pPr>
        <w:autoSpaceDE w:val="0"/>
        <w:autoSpaceDN w:val="0"/>
        <w:adjustRightInd w:val="0"/>
        <w:spacing w:after="120" w:line="240" w:lineRule="auto"/>
        <w:jc w:val="both"/>
        <w:rPr>
          <w:rFonts w:ascii="Segoe UI" w:hAnsi="Segoe UI" w:cs="Segoe UI"/>
          <w:b/>
          <w:sz w:val="21"/>
          <w:szCs w:val="21"/>
        </w:rPr>
      </w:pPr>
      <w:r w:rsidRPr="00CB1E53">
        <w:rPr>
          <w:rFonts w:ascii="Segoe UI" w:hAnsi="Segoe UI" w:cs="Segoe UI"/>
          <w:sz w:val="21"/>
          <w:szCs w:val="21"/>
        </w:rPr>
        <w:fldChar w:fldCharType="begin"/>
      </w:r>
      <w:r w:rsidRPr="00CB1E53">
        <w:rPr>
          <w:rFonts w:ascii="Segoe UI" w:hAnsi="Segoe UI" w:cs="Segoe UI"/>
          <w:sz w:val="21"/>
          <w:szCs w:val="21"/>
        </w:rPr>
        <w:instrText xml:space="preserve"> TC "</w:instrText>
      </w:r>
      <w:r w:rsidR="00AB7911">
        <w:rPr>
          <w:rFonts w:ascii="Segoe UI" w:hAnsi="Segoe UI" w:cs="Segoe UI"/>
          <w:sz w:val="21"/>
          <w:szCs w:val="21"/>
        </w:rPr>
        <w:instrText>3</w:instrText>
      </w:r>
      <w:r w:rsidRPr="00CB1E53">
        <w:rPr>
          <w:rFonts w:ascii="Segoe UI" w:hAnsi="Segoe UI" w:cs="Segoe UI"/>
          <w:sz w:val="21"/>
          <w:szCs w:val="21"/>
        </w:rPr>
        <w:instrText xml:space="preserve">. Main Income Categories Subject to PIT in Moldova"\f B </w:instrText>
      </w:r>
      <w:r w:rsidRPr="00CB1E53">
        <w:rPr>
          <w:rFonts w:ascii="Segoe UI" w:hAnsi="Segoe UI" w:cs="Segoe UI"/>
          <w:sz w:val="21"/>
          <w:szCs w:val="21"/>
        </w:rPr>
        <w:fldChar w:fldCharType="end"/>
      </w:r>
      <w:r w:rsidRPr="00CB1E53">
        <w:rPr>
          <w:rFonts w:ascii="Segoe UI" w:hAnsi="Segoe UI" w:cs="Segoe UI"/>
          <w:b/>
          <w:sz w:val="21"/>
          <w:szCs w:val="21"/>
        </w:rPr>
        <w:t xml:space="preserve"> </w:t>
      </w:r>
      <w:r w:rsidR="00F77F6D" w:rsidRPr="00CB1E53">
        <w:rPr>
          <w:rFonts w:ascii="Segoe UI" w:hAnsi="Segoe UI" w:cs="Segoe UI"/>
          <w:b/>
          <w:sz w:val="21"/>
          <w:szCs w:val="21"/>
        </w:rPr>
        <w:t xml:space="preserve">Table </w:t>
      </w:r>
      <w:r w:rsidR="00AB7911">
        <w:rPr>
          <w:rFonts w:ascii="Segoe UI" w:hAnsi="Segoe UI" w:cs="Segoe UI"/>
          <w:b/>
          <w:sz w:val="21"/>
          <w:szCs w:val="21"/>
        </w:rPr>
        <w:t>3</w:t>
      </w:r>
      <w:r w:rsidR="00F77F6D" w:rsidRPr="00CB1E53">
        <w:rPr>
          <w:rFonts w:ascii="Segoe UI" w:hAnsi="Segoe UI" w:cs="Segoe UI"/>
          <w:b/>
          <w:sz w:val="21"/>
          <w:szCs w:val="21"/>
        </w:rPr>
        <w:t>. Social Security Contributions and Medical Contributions</w:t>
      </w:r>
      <w:r w:rsidR="001C27C2">
        <w:rPr>
          <w:rFonts w:ascii="Segoe UI" w:hAnsi="Segoe UI" w:cs="Segoe UI"/>
          <w:b/>
          <w:sz w:val="21"/>
          <w:szCs w:val="21"/>
        </w:rPr>
        <w:t>, 2022</w:t>
      </w:r>
    </w:p>
    <w:tbl>
      <w:tblPr>
        <w:tblW w:w="0" w:type="auto"/>
        <w:tblLook w:val="04A0" w:firstRow="1" w:lastRow="0" w:firstColumn="1" w:lastColumn="0" w:noHBand="0" w:noVBand="1"/>
      </w:tblPr>
      <w:tblGrid>
        <w:gridCol w:w="3775"/>
        <w:gridCol w:w="1858"/>
        <w:gridCol w:w="1858"/>
        <w:gridCol w:w="1859"/>
      </w:tblGrid>
      <w:tr w:rsidR="007619A8" w:rsidRPr="00CB1E53" w14:paraId="5F38A9F5" w14:textId="77777777" w:rsidTr="004C48FA">
        <w:trPr>
          <w:trHeight w:val="305"/>
        </w:trPr>
        <w:tc>
          <w:tcPr>
            <w:tcW w:w="3775" w:type="dxa"/>
            <w:tcBorders>
              <w:left w:val="nil"/>
            </w:tcBorders>
            <w:shd w:val="clear" w:color="auto" w:fill="D9D9D9" w:themeFill="background1" w:themeFillShade="D9"/>
          </w:tcPr>
          <w:p w14:paraId="684FA1A5"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sz w:val="18"/>
                <w:szCs w:val="18"/>
              </w:rPr>
              <w:t>Social Security Contribution</w:t>
            </w:r>
          </w:p>
        </w:tc>
        <w:tc>
          <w:tcPr>
            <w:tcW w:w="5575" w:type="dxa"/>
            <w:gridSpan w:val="3"/>
            <w:tcBorders>
              <w:right w:val="nil"/>
            </w:tcBorders>
            <w:shd w:val="clear" w:color="auto" w:fill="D9D9D9" w:themeFill="background1" w:themeFillShade="D9"/>
          </w:tcPr>
          <w:p w14:paraId="51F92CCE"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sz w:val="18"/>
                <w:szCs w:val="18"/>
              </w:rPr>
              <w:t>Contribution Amount</w:t>
            </w:r>
          </w:p>
        </w:tc>
      </w:tr>
      <w:tr w:rsidR="00F77F6D" w:rsidRPr="00CB1E53" w14:paraId="7300E58A" w14:textId="77777777" w:rsidTr="004C48FA">
        <w:tc>
          <w:tcPr>
            <w:tcW w:w="3775" w:type="dxa"/>
            <w:tcBorders>
              <w:left w:val="nil"/>
              <w:bottom w:val="single" w:sz="4" w:space="0" w:color="auto"/>
            </w:tcBorders>
          </w:tcPr>
          <w:p w14:paraId="1BDD1504"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i/>
                <w:color w:val="000000"/>
                <w:sz w:val="18"/>
                <w:szCs w:val="18"/>
              </w:rPr>
              <w:t>(rates applicable to gross wage)</w:t>
            </w:r>
          </w:p>
        </w:tc>
        <w:tc>
          <w:tcPr>
            <w:tcW w:w="1858" w:type="dxa"/>
            <w:tcBorders>
              <w:bottom w:val="single" w:sz="4" w:space="0" w:color="auto"/>
            </w:tcBorders>
          </w:tcPr>
          <w:p w14:paraId="0B7BFB58"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Employer</w:t>
            </w:r>
          </w:p>
        </w:tc>
        <w:tc>
          <w:tcPr>
            <w:tcW w:w="1858" w:type="dxa"/>
            <w:tcBorders>
              <w:bottom w:val="single" w:sz="4" w:space="0" w:color="auto"/>
            </w:tcBorders>
          </w:tcPr>
          <w:p w14:paraId="2E661DFC"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Employee</w:t>
            </w:r>
          </w:p>
        </w:tc>
        <w:tc>
          <w:tcPr>
            <w:tcW w:w="1859" w:type="dxa"/>
            <w:tcBorders>
              <w:bottom w:val="single" w:sz="4" w:space="0" w:color="auto"/>
              <w:right w:val="nil"/>
            </w:tcBorders>
            <w:vAlign w:val="center"/>
          </w:tcPr>
          <w:p w14:paraId="1E991D2C"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State</w:t>
            </w:r>
          </w:p>
        </w:tc>
      </w:tr>
      <w:tr w:rsidR="00F77F6D" w:rsidRPr="00CB1E53" w14:paraId="6C2B823B" w14:textId="77777777" w:rsidTr="004C48FA">
        <w:tc>
          <w:tcPr>
            <w:tcW w:w="3775" w:type="dxa"/>
            <w:tcBorders>
              <w:left w:val="nil"/>
            </w:tcBorders>
            <w:vAlign w:val="center"/>
          </w:tcPr>
          <w:p w14:paraId="0472E70F" w14:textId="77777777" w:rsidR="00F77F6D" w:rsidRPr="00CB1E53" w:rsidRDefault="00F77F6D" w:rsidP="00E90BA7">
            <w:pPr>
              <w:autoSpaceDE w:val="0"/>
              <w:autoSpaceDN w:val="0"/>
              <w:adjustRightInd w:val="0"/>
              <w:spacing w:before="20" w:after="20"/>
              <w:jc w:val="both"/>
              <w:rPr>
                <w:rFonts w:cs="Segoe UI"/>
                <w:color w:val="000000"/>
                <w:sz w:val="18"/>
                <w:szCs w:val="18"/>
              </w:rPr>
            </w:pPr>
            <w:r w:rsidRPr="00CB1E53">
              <w:rPr>
                <w:rFonts w:cs="Segoe UI"/>
                <w:color w:val="000000"/>
                <w:sz w:val="18"/>
                <w:szCs w:val="18"/>
              </w:rPr>
              <w:t>Employees with individual employment contract</w:t>
            </w:r>
          </w:p>
          <w:p w14:paraId="4716CABE" w14:textId="77777777" w:rsidR="00F77F6D" w:rsidRPr="00CB1E53" w:rsidRDefault="00F77F6D" w:rsidP="00E90BA7">
            <w:pPr>
              <w:autoSpaceDE w:val="0"/>
              <w:autoSpaceDN w:val="0"/>
              <w:adjustRightInd w:val="0"/>
              <w:spacing w:before="20" w:after="20"/>
              <w:jc w:val="both"/>
              <w:rPr>
                <w:rFonts w:cs="Segoe UI"/>
                <w:color w:val="000000"/>
                <w:sz w:val="18"/>
                <w:szCs w:val="18"/>
              </w:rPr>
            </w:pPr>
            <w:r w:rsidRPr="00CB1E53">
              <w:rPr>
                <w:rFonts w:cs="Segoe UI"/>
                <w:color w:val="000000"/>
                <w:sz w:val="18"/>
                <w:szCs w:val="18"/>
              </w:rPr>
              <w:t>‐ In private sector</w:t>
            </w:r>
          </w:p>
          <w:p w14:paraId="506CBFE0"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 In public sector</w:t>
            </w:r>
          </w:p>
        </w:tc>
        <w:tc>
          <w:tcPr>
            <w:tcW w:w="1858" w:type="dxa"/>
            <w:vAlign w:val="center"/>
          </w:tcPr>
          <w:p w14:paraId="0CBA78E0" w14:textId="66D79EB9" w:rsidR="002344C6" w:rsidRPr="00CB1E53" w:rsidRDefault="00D75D26" w:rsidP="00E90BA7">
            <w:pPr>
              <w:autoSpaceDE w:val="0"/>
              <w:autoSpaceDN w:val="0"/>
              <w:adjustRightInd w:val="0"/>
              <w:spacing w:before="360" w:after="20"/>
              <w:jc w:val="both"/>
              <w:rPr>
                <w:rFonts w:cs="Segoe UI"/>
                <w:color w:val="000000"/>
                <w:sz w:val="18"/>
                <w:szCs w:val="18"/>
              </w:rPr>
            </w:pPr>
            <w:r>
              <w:rPr>
                <w:rFonts w:cs="Segoe UI"/>
                <w:color w:val="000000"/>
                <w:sz w:val="18"/>
                <w:szCs w:val="18"/>
              </w:rPr>
              <w:t>24</w:t>
            </w:r>
            <w:r w:rsidR="002E05E5">
              <w:rPr>
                <w:rFonts w:cs="Segoe UI"/>
                <w:color w:val="000000"/>
                <w:sz w:val="18"/>
                <w:szCs w:val="18"/>
              </w:rPr>
              <w:t xml:space="preserve"> </w:t>
            </w:r>
            <w:r w:rsidR="00F77F6D" w:rsidRPr="00CB1E53">
              <w:rPr>
                <w:rFonts w:cs="Segoe UI"/>
                <w:color w:val="000000"/>
                <w:sz w:val="18"/>
                <w:szCs w:val="18"/>
              </w:rPr>
              <w:t>percent</w:t>
            </w:r>
          </w:p>
          <w:p w14:paraId="289279BA" w14:textId="78F10987" w:rsidR="00F77F6D" w:rsidRPr="00CB1E53" w:rsidRDefault="00D75D26" w:rsidP="00E90BA7">
            <w:pPr>
              <w:autoSpaceDE w:val="0"/>
              <w:autoSpaceDN w:val="0"/>
              <w:adjustRightInd w:val="0"/>
              <w:spacing w:before="20" w:after="20"/>
              <w:jc w:val="both"/>
              <w:rPr>
                <w:rFonts w:cs="Segoe UI"/>
                <w:color w:val="000000"/>
                <w:sz w:val="18"/>
                <w:szCs w:val="18"/>
              </w:rPr>
            </w:pPr>
            <w:r>
              <w:rPr>
                <w:rFonts w:cs="Segoe UI"/>
                <w:color w:val="000000"/>
                <w:sz w:val="18"/>
                <w:szCs w:val="18"/>
              </w:rPr>
              <w:t>29</w:t>
            </w:r>
            <w:r w:rsidR="002E05E5">
              <w:rPr>
                <w:rFonts w:cs="Segoe UI"/>
                <w:color w:val="000000"/>
                <w:sz w:val="18"/>
                <w:szCs w:val="18"/>
              </w:rPr>
              <w:t xml:space="preserve"> </w:t>
            </w:r>
            <w:r w:rsidR="00F77F6D" w:rsidRPr="00CB1E53">
              <w:rPr>
                <w:rFonts w:cs="Segoe UI"/>
                <w:color w:val="000000"/>
                <w:sz w:val="18"/>
                <w:szCs w:val="18"/>
              </w:rPr>
              <w:t>percent</w:t>
            </w:r>
          </w:p>
        </w:tc>
        <w:tc>
          <w:tcPr>
            <w:tcW w:w="1858" w:type="dxa"/>
            <w:vAlign w:val="center"/>
          </w:tcPr>
          <w:p w14:paraId="44C01CD9" w14:textId="3C52D537" w:rsidR="00F77F6D" w:rsidRPr="00CB1E53" w:rsidRDefault="00F77F6D" w:rsidP="00E90BA7">
            <w:pPr>
              <w:autoSpaceDE w:val="0"/>
              <w:autoSpaceDN w:val="0"/>
              <w:adjustRightInd w:val="0"/>
              <w:spacing w:before="20" w:after="20"/>
              <w:jc w:val="both"/>
              <w:rPr>
                <w:rFonts w:cs="Segoe UI"/>
                <w:sz w:val="18"/>
                <w:szCs w:val="18"/>
              </w:rPr>
            </w:pPr>
          </w:p>
        </w:tc>
        <w:tc>
          <w:tcPr>
            <w:tcW w:w="1859" w:type="dxa"/>
            <w:tcBorders>
              <w:right w:val="nil"/>
            </w:tcBorders>
            <w:vAlign w:val="center"/>
          </w:tcPr>
          <w:p w14:paraId="191F9889" w14:textId="77777777" w:rsidR="00F77F6D" w:rsidRPr="00CB1E53" w:rsidRDefault="00F77F6D" w:rsidP="00E90BA7">
            <w:pPr>
              <w:autoSpaceDE w:val="0"/>
              <w:autoSpaceDN w:val="0"/>
              <w:adjustRightInd w:val="0"/>
              <w:spacing w:before="20" w:after="20"/>
              <w:jc w:val="both"/>
              <w:rPr>
                <w:rFonts w:cs="Segoe UI"/>
                <w:sz w:val="18"/>
                <w:szCs w:val="18"/>
              </w:rPr>
            </w:pPr>
          </w:p>
        </w:tc>
      </w:tr>
      <w:tr w:rsidR="00F77F6D" w:rsidRPr="00CB1E53" w14:paraId="5486D006" w14:textId="77777777" w:rsidTr="004C48FA">
        <w:tc>
          <w:tcPr>
            <w:tcW w:w="3775" w:type="dxa"/>
            <w:tcBorders>
              <w:left w:val="nil"/>
            </w:tcBorders>
            <w:vAlign w:val="center"/>
          </w:tcPr>
          <w:p w14:paraId="5C2FEFB1"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Employees in the agriculture sector</w:t>
            </w:r>
          </w:p>
        </w:tc>
        <w:tc>
          <w:tcPr>
            <w:tcW w:w="1858" w:type="dxa"/>
            <w:vAlign w:val="center"/>
          </w:tcPr>
          <w:p w14:paraId="360B469F" w14:textId="50CA63C4" w:rsidR="00F77F6D" w:rsidRPr="00CB1E53" w:rsidRDefault="005C529B" w:rsidP="00E90BA7">
            <w:pPr>
              <w:autoSpaceDE w:val="0"/>
              <w:autoSpaceDN w:val="0"/>
              <w:adjustRightInd w:val="0"/>
              <w:spacing w:before="20" w:after="20"/>
              <w:jc w:val="both"/>
              <w:rPr>
                <w:rFonts w:cs="Segoe UI"/>
                <w:sz w:val="18"/>
                <w:szCs w:val="18"/>
              </w:rPr>
            </w:pPr>
            <w:r>
              <w:rPr>
                <w:rFonts w:cs="Segoe UI"/>
                <w:color w:val="000000"/>
                <w:sz w:val="18"/>
                <w:szCs w:val="18"/>
                <w:lang w:val="ro-RO"/>
              </w:rPr>
              <w:t>18</w:t>
            </w:r>
            <w:r w:rsidR="00F77F6D" w:rsidRPr="00CB1E53">
              <w:rPr>
                <w:rFonts w:cs="Segoe UI"/>
                <w:color w:val="000000"/>
                <w:sz w:val="18"/>
                <w:szCs w:val="18"/>
              </w:rPr>
              <w:t xml:space="preserve"> percent</w:t>
            </w:r>
          </w:p>
        </w:tc>
        <w:tc>
          <w:tcPr>
            <w:tcW w:w="1858" w:type="dxa"/>
            <w:vAlign w:val="center"/>
          </w:tcPr>
          <w:p w14:paraId="69A11C1F" w14:textId="7F62264C" w:rsidR="00F77F6D" w:rsidRPr="00CB1E53" w:rsidRDefault="00F77F6D" w:rsidP="00E90BA7">
            <w:pPr>
              <w:autoSpaceDE w:val="0"/>
              <w:autoSpaceDN w:val="0"/>
              <w:adjustRightInd w:val="0"/>
              <w:spacing w:before="20" w:after="20"/>
              <w:jc w:val="both"/>
              <w:rPr>
                <w:rFonts w:cs="Segoe UI"/>
                <w:sz w:val="18"/>
                <w:szCs w:val="18"/>
              </w:rPr>
            </w:pPr>
          </w:p>
        </w:tc>
        <w:tc>
          <w:tcPr>
            <w:tcW w:w="1859" w:type="dxa"/>
            <w:tcBorders>
              <w:right w:val="nil"/>
            </w:tcBorders>
            <w:vAlign w:val="center"/>
          </w:tcPr>
          <w:p w14:paraId="64C0D3B6"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6 percent</w:t>
            </w:r>
          </w:p>
        </w:tc>
      </w:tr>
      <w:tr w:rsidR="00F77F6D" w:rsidRPr="00CB1E53" w14:paraId="4019B180" w14:textId="77777777" w:rsidTr="004C48FA">
        <w:tc>
          <w:tcPr>
            <w:tcW w:w="3775" w:type="dxa"/>
            <w:tcBorders>
              <w:left w:val="nil"/>
            </w:tcBorders>
            <w:vAlign w:val="center"/>
          </w:tcPr>
          <w:p w14:paraId="52E74707"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Individuals, self-employed persons</w:t>
            </w:r>
          </w:p>
        </w:tc>
        <w:tc>
          <w:tcPr>
            <w:tcW w:w="1858" w:type="dxa"/>
            <w:vAlign w:val="center"/>
          </w:tcPr>
          <w:p w14:paraId="0D9CB103" w14:textId="77777777" w:rsidR="00F77F6D" w:rsidRPr="00CB1E53" w:rsidRDefault="00F77F6D" w:rsidP="00E90BA7">
            <w:pPr>
              <w:autoSpaceDE w:val="0"/>
              <w:autoSpaceDN w:val="0"/>
              <w:adjustRightInd w:val="0"/>
              <w:spacing w:before="20" w:after="20"/>
              <w:jc w:val="both"/>
              <w:rPr>
                <w:rFonts w:cs="Segoe UI"/>
                <w:sz w:val="18"/>
                <w:szCs w:val="18"/>
              </w:rPr>
            </w:pPr>
          </w:p>
        </w:tc>
        <w:tc>
          <w:tcPr>
            <w:tcW w:w="1858" w:type="dxa"/>
            <w:vAlign w:val="center"/>
          </w:tcPr>
          <w:p w14:paraId="4F3F6EEB" w14:textId="730C0468"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 xml:space="preserve">MDL </w:t>
            </w:r>
            <w:r w:rsidR="00531AC0" w:rsidRPr="00531AC0">
              <w:rPr>
                <w:rFonts w:cs="Segoe UI"/>
                <w:color w:val="000000"/>
                <w:sz w:val="18"/>
                <w:szCs w:val="18"/>
              </w:rPr>
              <w:t>12</w:t>
            </w:r>
            <w:r w:rsidR="00D83E71">
              <w:rPr>
                <w:rFonts w:cs="Segoe UI"/>
                <w:color w:val="000000"/>
                <w:sz w:val="18"/>
                <w:szCs w:val="18"/>
              </w:rPr>
              <w:t>,</w:t>
            </w:r>
            <w:r w:rsidR="00531AC0" w:rsidRPr="00531AC0">
              <w:rPr>
                <w:rFonts w:cs="Segoe UI"/>
                <w:color w:val="000000"/>
                <w:sz w:val="18"/>
                <w:szCs w:val="18"/>
              </w:rPr>
              <w:t>838</w:t>
            </w:r>
          </w:p>
        </w:tc>
        <w:tc>
          <w:tcPr>
            <w:tcW w:w="1859" w:type="dxa"/>
            <w:tcBorders>
              <w:right w:val="nil"/>
            </w:tcBorders>
            <w:vAlign w:val="center"/>
          </w:tcPr>
          <w:p w14:paraId="4F8F1B5D" w14:textId="77777777" w:rsidR="00F77F6D" w:rsidRPr="00CB1E53" w:rsidRDefault="00F77F6D" w:rsidP="00E90BA7">
            <w:pPr>
              <w:autoSpaceDE w:val="0"/>
              <w:autoSpaceDN w:val="0"/>
              <w:adjustRightInd w:val="0"/>
              <w:spacing w:before="20" w:after="20"/>
              <w:jc w:val="both"/>
              <w:rPr>
                <w:rFonts w:cs="Segoe UI"/>
                <w:sz w:val="18"/>
                <w:szCs w:val="18"/>
              </w:rPr>
            </w:pPr>
          </w:p>
        </w:tc>
      </w:tr>
      <w:tr w:rsidR="00F77F6D" w:rsidRPr="00CB1E53" w14:paraId="42828611" w14:textId="77777777" w:rsidTr="004C48FA">
        <w:tc>
          <w:tcPr>
            <w:tcW w:w="3775" w:type="dxa"/>
            <w:tcBorders>
              <w:left w:val="nil"/>
            </w:tcBorders>
            <w:vAlign w:val="center"/>
          </w:tcPr>
          <w:p w14:paraId="34BB58DD" w14:textId="3EE480CE" w:rsidR="00F77F6D" w:rsidRPr="0004545B" w:rsidRDefault="002E05E5" w:rsidP="00E90BA7">
            <w:pPr>
              <w:autoSpaceDE w:val="0"/>
              <w:autoSpaceDN w:val="0"/>
              <w:adjustRightInd w:val="0"/>
              <w:spacing w:before="20" w:after="20"/>
              <w:jc w:val="both"/>
              <w:rPr>
                <w:rFonts w:cs="Segoe UI"/>
                <w:sz w:val="18"/>
                <w:szCs w:val="18"/>
              </w:rPr>
            </w:pPr>
            <w:r w:rsidRPr="0004545B">
              <w:rPr>
                <w:rFonts w:cs="Segoe UI"/>
                <w:color w:val="000000"/>
                <w:sz w:val="18"/>
                <w:szCs w:val="18"/>
              </w:rPr>
              <w:t>Farming</w:t>
            </w:r>
            <w:r w:rsidR="00F77F6D" w:rsidRPr="0004545B">
              <w:rPr>
                <w:rFonts w:cs="Segoe UI"/>
                <w:color w:val="000000"/>
                <w:sz w:val="18"/>
                <w:szCs w:val="18"/>
              </w:rPr>
              <w:t xml:space="preserve"> households</w:t>
            </w:r>
          </w:p>
        </w:tc>
        <w:tc>
          <w:tcPr>
            <w:tcW w:w="1858" w:type="dxa"/>
            <w:vAlign w:val="center"/>
          </w:tcPr>
          <w:p w14:paraId="124CD634" w14:textId="77777777" w:rsidR="00F77F6D" w:rsidRPr="0004545B" w:rsidRDefault="00F77F6D" w:rsidP="00E90BA7">
            <w:pPr>
              <w:autoSpaceDE w:val="0"/>
              <w:autoSpaceDN w:val="0"/>
              <w:adjustRightInd w:val="0"/>
              <w:spacing w:before="20" w:after="20"/>
              <w:jc w:val="both"/>
              <w:rPr>
                <w:rFonts w:cs="Segoe UI"/>
                <w:sz w:val="18"/>
                <w:szCs w:val="18"/>
              </w:rPr>
            </w:pPr>
          </w:p>
        </w:tc>
        <w:tc>
          <w:tcPr>
            <w:tcW w:w="1858" w:type="dxa"/>
            <w:vAlign w:val="center"/>
          </w:tcPr>
          <w:p w14:paraId="28C23A0C" w14:textId="6094AB9F" w:rsidR="00F77F6D" w:rsidRPr="0004545B" w:rsidRDefault="00F77F6D" w:rsidP="00E90BA7">
            <w:pPr>
              <w:autoSpaceDE w:val="0"/>
              <w:autoSpaceDN w:val="0"/>
              <w:adjustRightInd w:val="0"/>
              <w:spacing w:before="20" w:after="20"/>
              <w:jc w:val="both"/>
              <w:rPr>
                <w:rFonts w:cs="Segoe UI"/>
                <w:sz w:val="18"/>
                <w:szCs w:val="18"/>
              </w:rPr>
            </w:pPr>
            <w:r w:rsidRPr="0004545B">
              <w:rPr>
                <w:rFonts w:cs="Segoe UI"/>
                <w:color w:val="000000"/>
                <w:sz w:val="18"/>
                <w:szCs w:val="18"/>
              </w:rPr>
              <w:t xml:space="preserve">MDL </w:t>
            </w:r>
            <w:r w:rsidR="00531AC0" w:rsidRPr="0004545B">
              <w:rPr>
                <w:rFonts w:cs="Segoe UI"/>
                <w:color w:val="000000"/>
                <w:sz w:val="18"/>
                <w:szCs w:val="18"/>
              </w:rPr>
              <w:t>12</w:t>
            </w:r>
            <w:r w:rsidR="00D83E71">
              <w:rPr>
                <w:rFonts w:cs="Segoe UI"/>
                <w:color w:val="000000"/>
                <w:sz w:val="18"/>
                <w:szCs w:val="18"/>
              </w:rPr>
              <w:t>,</w:t>
            </w:r>
            <w:r w:rsidR="00531AC0" w:rsidRPr="0004545B">
              <w:rPr>
                <w:rFonts w:cs="Segoe UI"/>
                <w:color w:val="000000"/>
                <w:sz w:val="18"/>
                <w:szCs w:val="18"/>
              </w:rPr>
              <w:t>838</w:t>
            </w:r>
          </w:p>
        </w:tc>
        <w:tc>
          <w:tcPr>
            <w:tcW w:w="1859" w:type="dxa"/>
            <w:tcBorders>
              <w:right w:val="nil"/>
            </w:tcBorders>
            <w:vAlign w:val="center"/>
          </w:tcPr>
          <w:p w14:paraId="3E3997D4" w14:textId="77777777" w:rsidR="00F77F6D" w:rsidRPr="0004545B" w:rsidRDefault="00F77F6D" w:rsidP="00E90BA7">
            <w:pPr>
              <w:autoSpaceDE w:val="0"/>
              <w:autoSpaceDN w:val="0"/>
              <w:adjustRightInd w:val="0"/>
              <w:spacing w:before="20" w:after="20"/>
              <w:jc w:val="both"/>
              <w:rPr>
                <w:rFonts w:cs="Segoe UI"/>
                <w:sz w:val="18"/>
                <w:szCs w:val="18"/>
              </w:rPr>
            </w:pPr>
          </w:p>
        </w:tc>
      </w:tr>
      <w:tr w:rsidR="00F77F6D" w:rsidRPr="00CB1E53" w14:paraId="489A3280" w14:textId="77777777" w:rsidTr="004C48FA">
        <w:tc>
          <w:tcPr>
            <w:tcW w:w="3775" w:type="dxa"/>
            <w:tcBorders>
              <w:left w:val="nil"/>
            </w:tcBorders>
            <w:vAlign w:val="center"/>
          </w:tcPr>
          <w:p w14:paraId="245E2327"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Voluntary insurance</w:t>
            </w:r>
          </w:p>
        </w:tc>
        <w:tc>
          <w:tcPr>
            <w:tcW w:w="1858" w:type="dxa"/>
            <w:vAlign w:val="center"/>
          </w:tcPr>
          <w:p w14:paraId="4A775500" w14:textId="77777777" w:rsidR="00F77F6D" w:rsidRPr="00CB1E53" w:rsidRDefault="00F77F6D" w:rsidP="00E90BA7">
            <w:pPr>
              <w:autoSpaceDE w:val="0"/>
              <w:autoSpaceDN w:val="0"/>
              <w:adjustRightInd w:val="0"/>
              <w:spacing w:before="20" w:after="20"/>
              <w:jc w:val="both"/>
              <w:rPr>
                <w:rFonts w:cs="Segoe UI"/>
                <w:sz w:val="18"/>
                <w:szCs w:val="18"/>
              </w:rPr>
            </w:pPr>
          </w:p>
        </w:tc>
        <w:tc>
          <w:tcPr>
            <w:tcW w:w="1858" w:type="dxa"/>
            <w:vAlign w:val="center"/>
          </w:tcPr>
          <w:p w14:paraId="5F04C5ED" w14:textId="185CBC3F"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 xml:space="preserve">MDL </w:t>
            </w:r>
            <w:r w:rsidR="002B262A" w:rsidRPr="002B262A">
              <w:rPr>
                <w:rFonts w:cs="Segoe UI"/>
                <w:color w:val="000000"/>
                <w:sz w:val="18"/>
                <w:szCs w:val="18"/>
              </w:rPr>
              <w:t>12</w:t>
            </w:r>
            <w:r w:rsidR="00D83E71">
              <w:rPr>
                <w:rFonts w:cs="Segoe UI"/>
                <w:color w:val="000000"/>
                <w:sz w:val="18"/>
                <w:szCs w:val="18"/>
              </w:rPr>
              <w:t>,</w:t>
            </w:r>
            <w:r w:rsidR="002B262A" w:rsidRPr="002B262A">
              <w:rPr>
                <w:rFonts w:cs="Segoe UI"/>
                <w:color w:val="000000"/>
                <w:sz w:val="18"/>
                <w:szCs w:val="18"/>
              </w:rPr>
              <w:t>838</w:t>
            </w:r>
          </w:p>
        </w:tc>
        <w:tc>
          <w:tcPr>
            <w:tcW w:w="1859" w:type="dxa"/>
            <w:tcBorders>
              <w:right w:val="nil"/>
            </w:tcBorders>
            <w:vAlign w:val="center"/>
          </w:tcPr>
          <w:p w14:paraId="552A08A3" w14:textId="77777777" w:rsidR="00F77F6D" w:rsidRPr="00CB1E53" w:rsidRDefault="00F77F6D" w:rsidP="00E90BA7">
            <w:pPr>
              <w:autoSpaceDE w:val="0"/>
              <w:autoSpaceDN w:val="0"/>
              <w:adjustRightInd w:val="0"/>
              <w:spacing w:before="20" w:after="20"/>
              <w:jc w:val="both"/>
              <w:rPr>
                <w:rFonts w:cs="Segoe UI"/>
                <w:sz w:val="18"/>
                <w:szCs w:val="18"/>
              </w:rPr>
            </w:pPr>
          </w:p>
        </w:tc>
      </w:tr>
      <w:tr w:rsidR="00F77F6D" w:rsidRPr="00CB1E53" w14:paraId="5A8BD2A9" w14:textId="77777777" w:rsidTr="004C48FA">
        <w:tc>
          <w:tcPr>
            <w:tcW w:w="3775" w:type="dxa"/>
            <w:tcBorders>
              <w:left w:val="nil"/>
            </w:tcBorders>
            <w:vAlign w:val="center"/>
          </w:tcPr>
          <w:p w14:paraId="5E9037CF" w14:textId="77777777" w:rsidR="00F77F6D" w:rsidRPr="00CB1E53" w:rsidRDefault="00F77F6D" w:rsidP="00E90BA7">
            <w:pPr>
              <w:autoSpaceDE w:val="0"/>
              <w:autoSpaceDN w:val="0"/>
              <w:adjustRightInd w:val="0"/>
              <w:spacing w:before="20" w:after="20"/>
              <w:jc w:val="both"/>
              <w:rPr>
                <w:rFonts w:cs="Segoe UI"/>
                <w:color w:val="000000"/>
                <w:sz w:val="18"/>
                <w:szCs w:val="18"/>
              </w:rPr>
            </w:pPr>
            <w:r w:rsidRPr="00CB1E53">
              <w:rPr>
                <w:rFonts w:cs="Segoe UI"/>
                <w:color w:val="000000"/>
                <w:sz w:val="18"/>
                <w:szCs w:val="18"/>
              </w:rPr>
              <w:t>Residents of information technology parks</w:t>
            </w:r>
          </w:p>
        </w:tc>
        <w:tc>
          <w:tcPr>
            <w:tcW w:w="1858" w:type="dxa"/>
            <w:vAlign w:val="center"/>
          </w:tcPr>
          <w:p w14:paraId="5DB9DBD6" w14:textId="77777777" w:rsidR="00F77F6D" w:rsidRPr="00CB1E53" w:rsidRDefault="00F77F6D" w:rsidP="00E90BA7">
            <w:pPr>
              <w:autoSpaceDE w:val="0"/>
              <w:autoSpaceDN w:val="0"/>
              <w:adjustRightInd w:val="0"/>
              <w:spacing w:before="20" w:after="20"/>
              <w:jc w:val="both"/>
              <w:rPr>
                <w:rFonts w:cs="Segoe UI"/>
                <w:sz w:val="18"/>
                <w:szCs w:val="18"/>
              </w:rPr>
            </w:pPr>
          </w:p>
        </w:tc>
        <w:tc>
          <w:tcPr>
            <w:tcW w:w="1858" w:type="dxa"/>
            <w:vAlign w:val="center"/>
          </w:tcPr>
          <w:p w14:paraId="3E338034" w14:textId="6ABCCD20"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54</w:t>
            </w:r>
            <w:r w:rsidR="001413B7" w:rsidRPr="00CB1E53">
              <w:rPr>
                <w:rFonts w:cs="Segoe UI"/>
                <w:color w:val="000000"/>
                <w:sz w:val="18"/>
                <w:szCs w:val="18"/>
              </w:rPr>
              <w:t>.</w:t>
            </w:r>
            <w:r w:rsidRPr="00CB1E53">
              <w:rPr>
                <w:rFonts w:cs="Segoe UI"/>
                <w:color w:val="000000"/>
                <w:sz w:val="18"/>
                <w:szCs w:val="18"/>
              </w:rPr>
              <w:t>7</w:t>
            </w:r>
            <w:r w:rsidR="001413B7" w:rsidRPr="00CB1E53">
              <w:rPr>
                <w:rFonts w:cs="Segoe UI"/>
                <w:color w:val="000000"/>
                <w:sz w:val="18"/>
                <w:szCs w:val="18"/>
              </w:rPr>
              <w:t xml:space="preserve"> percent</w:t>
            </w:r>
            <w:r w:rsidRPr="00CB1E53">
              <w:rPr>
                <w:rFonts w:cs="Segoe UI"/>
                <w:color w:val="000000"/>
                <w:sz w:val="18"/>
                <w:szCs w:val="18"/>
              </w:rPr>
              <w:t xml:space="preserve"> </w:t>
            </w:r>
            <w:r w:rsidR="008431E9" w:rsidRPr="00382BDA">
              <w:rPr>
                <w:rFonts w:cs="Segoe UI"/>
                <w:sz w:val="18"/>
                <w:szCs w:val="18"/>
              </w:rPr>
              <w:t>from a reduced unified tax rate of 7</w:t>
            </w:r>
            <w:r w:rsidR="00215F5D">
              <w:rPr>
                <w:rFonts w:cs="Segoe UI"/>
                <w:sz w:val="18"/>
                <w:szCs w:val="18"/>
              </w:rPr>
              <w:t xml:space="preserve"> percent</w:t>
            </w:r>
            <w:r w:rsidR="008431E9" w:rsidRPr="00382BDA">
              <w:rPr>
                <w:rFonts w:cs="Segoe UI"/>
                <w:sz w:val="18"/>
                <w:szCs w:val="18"/>
              </w:rPr>
              <w:t>.</w:t>
            </w:r>
          </w:p>
        </w:tc>
        <w:tc>
          <w:tcPr>
            <w:tcW w:w="1859" w:type="dxa"/>
            <w:tcBorders>
              <w:right w:val="nil"/>
            </w:tcBorders>
            <w:vAlign w:val="center"/>
          </w:tcPr>
          <w:p w14:paraId="58CA0E1A" w14:textId="77777777" w:rsidR="00F77F6D" w:rsidRPr="00CB1E53" w:rsidRDefault="00F77F6D" w:rsidP="00E90BA7">
            <w:pPr>
              <w:autoSpaceDE w:val="0"/>
              <w:autoSpaceDN w:val="0"/>
              <w:adjustRightInd w:val="0"/>
              <w:spacing w:before="20" w:after="20"/>
              <w:jc w:val="both"/>
              <w:rPr>
                <w:rFonts w:cs="Segoe UI"/>
                <w:sz w:val="18"/>
                <w:szCs w:val="18"/>
              </w:rPr>
            </w:pPr>
          </w:p>
        </w:tc>
      </w:tr>
      <w:tr w:rsidR="00F77F6D" w:rsidRPr="00CB1E53" w14:paraId="7C14DFDC" w14:textId="77777777" w:rsidTr="004C48FA">
        <w:tc>
          <w:tcPr>
            <w:tcW w:w="3775" w:type="dxa"/>
            <w:tcBorders>
              <w:left w:val="nil"/>
            </w:tcBorders>
            <w:vAlign w:val="center"/>
          </w:tcPr>
          <w:p w14:paraId="411D87B8"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Medical contributions</w:t>
            </w:r>
          </w:p>
        </w:tc>
        <w:tc>
          <w:tcPr>
            <w:tcW w:w="1858" w:type="dxa"/>
            <w:vAlign w:val="center"/>
          </w:tcPr>
          <w:p w14:paraId="24EC6E05" w14:textId="77777777" w:rsidR="00F77F6D" w:rsidRPr="00CB1E53" w:rsidRDefault="00F77F6D" w:rsidP="00E90BA7">
            <w:pPr>
              <w:autoSpaceDE w:val="0"/>
              <w:autoSpaceDN w:val="0"/>
              <w:adjustRightInd w:val="0"/>
              <w:spacing w:before="20" w:after="20"/>
              <w:jc w:val="both"/>
              <w:rPr>
                <w:rFonts w:cs="Segoe UI"/>
                <w:sz w:val="18"/>
                <w:szCs w:val="18"/>
              </w:rPr>
            </w:pPr>
          </w:p>
        </w:tc>
        <w:tc>
          <w:tcPr>
            <w:tcW w:w="1858" w:type="dxa"/>
            <w:vAlign w:val="center"/>
          </w:tcPr>
          <w:p w14:paraId="1D4576EE" w14:textId="77777777" w:rsidR="00F77F6D" w:rsidRPr="00CB1E53" w:rsidRDefault="00F77F6D" w:rsidP="00E90BA7">
            <w:pPr>
              <w:autoSpaceDE w:val="0"/>
              <w:autoSpaceDN w:val="0"/>
              <w:adjustRightInd w:val="0"/>
              <w:spacing w:before="20" w:after="20"/>
              <w:jc w:val="both"/>
              <w:rPr>
                <w:rFonts w:cs="Segoe UI"/>
                <w:sz w:val="18"/>
                <w:szCs w:val="18"/>
              </w:rPr>
            </w:pPr>
          </w:p>
        </w:tc>
        <w:tc>
          <w:tcPr>
            <w:tcW w:w="1859" w:type="dxa"/>
            <w:tcBorders>
              <w:right w:val="nil"/>
            </w:tcBorders>
            <w:vAlign w:val="center"/>
          </w:tcPr>
          <w:p w14:paraId="0CF05C62" w14:textId="77777777" w:rsidR="00F77F6D" w:rsidRPr="00CB1E53" w:rsidRDefault="00F77F6D" w:rsidP="00E90BA7">
            <w:pPr>
              <w:autoSpaceDE w:val="0"/>
              <w:autoSpaceDN w:val="0"/>
              <w:adjustRightInd w:val="0"/>
              <w:spacing w:before="20" w:after="20"/>
              <w:jc w:val="both"/>
              <w:rPr>
                <w:rFonts w:cs="Segoe UI"/>
                <w:sz w:val="18"/>
                <w:szCs w:val="18"/>
              </w:rPr>
            </w:pPr>
          </w:p>
        </w:tc>
      </w:tr>
      <w:tr w:rsidR="00F77F6D" w:rsidRPr="00CB1E53" w14:paraId="385D9177" w14:textId="77777777" w:rsidTr="004C48FA">
        <w:tc>
          <w:tcPr>
            <w:tcW w:w="3775" w:type="dxa"/>
            <w:tcBorders>
              <w:left w:val="nil"/>
            </w:tcBorders>
          </w:tcPr>
          <w:p w14:paraId="47DCE6F8" w14:textId="77777777" w:rsidR="00F77F6D" w:rsidRPr="00CB1E53" w:rsidRDefault="00F77F6D" w:rsidP="00E90BA7">
            <w:pPr>
              <w:autoSpaceDE w:val="0"/>
              <w:autoSpaceDN w:val="0"/>
              <w:adjustRightInd w:val="0"/>
              <w:spacing w:before="20" w:after="20"/>
              <w:jc w:val="both"/>
              <w:rPr>
                <w:rFonts w:cs="Segoe UI"/>
                <w:sz w:val="18"/>
                <w:szCs w:val="18"/>
              </w:rPr>
            </w:pPr>
            <w:r w:rsidRPr="00CB1E53">
              <w:rPr>
                <w:rFonts w:cs="Segoe UI"/>
                <w:color w:val="000000"/>
                <w:sz w:val="18"/>
                <w:szCs w:val="18"/>
              </w:rPr>
              <w:t>Employees with individual employment contract</w:t>
            </w:r>
          </w:p>
        </w:tc>
        <w:tc>
          <w:tcPr>
            <w:tcW w:w="1858" w:type="dxa"/>
            <w:vAlign w:val="center"/>
          </w:tcPr>
          <w:p w14:paraId="00958F3D" w14:textId="2E524884" w:rsidR="00F77F6D" w:rsidRPr="00CB1E53" w:rsidRDefault="00F77F6D" w:rsidP="00E90BA7">
            <w:pPr>
              <w:autoSpaceDE w:val="0"/>
              <w:autoSpaceDN w:val="0"/>
              <w:adjustRightInd w:val="0"/>
              <w:spacing w:before="20" w:after="20"/>
              <w:jc w:val="both"/>
              <w:rPr>
                <w:rFonts w:cs="Segoe UI"/>
                <w:color w:val="000000"/>
                <w:sz w:val="18"/>
                <w:szCs w:val="18"/>
              </w:rPr>
            </w:pPr>
          </w:p>
        </w:tc>
        <w:tc>
          <w:tcPr>
            <w:tcW w:w="1858" w:type="dxa"/>
            <w:vAlign w:val="center"/>
          </w:tcPr>
          <w:p w14:paraId="04A4D428" w14:textId="202A8AE6" w:rsidR="00F77F6D" w:rsidRPr="00CB1E53" w:rsidRDefault="00420468" w:rsidP="00E90BA7">
            <w:pPr>
              <w:autoSpaceDE w:val="0"/>
              <w:autoSpaceDN w:val="0"/>
              <w:adjustRightInd w:val="0"/>
              <w:spacing w:before="20" w:after="20"/>
              <w:jc w:val="both"/>
              <w:rPr>
                <w:rFonts w:cs="Segoe UI"/>
                <w:sz w:val="18"/>
                <w:szCs w:val="18"/>
              </w:rPr>
            </w:pPr>
            <w:r>
              <w:rPr>
                <w:rFonts w:cs="Segoe UI"/>
                <w:color w:val="000000"/>
                <w:sz w:val="18"/>
                <w:szCs w:val="18"/>
              </w:rPr>
              <w:t>9</w:t>
            </w:r>
            <w:r w:rsidR="002E05E5">
              <w:rPr>
                <w:rFonts w:cs="Segoe UI"/>
                <w:color w:val="000000"/>
                <w:sz w:val="18"/>
                <w:szCs w:val="18"/>
              </w:rPr>
              <w:t xml:space="preserve"> </w:t>
            </w:r>
            <w:r w:rsidR="00F77F6D" w:rsidRPr="00CB1E53">
              <w:rPr>
                <w:rFonts w:cs="Segoe UI"/>
                <w:color w:val="000000"/>
                <w:sz w:val="18"/>
                <w:szCs w:val="18"/>
              </w:rPr>
              <w:t>percent</w:t>
            </w:r>
          </w:p>
        </w:tc>
        <w:tc>
          <w:tcPr>
            <w:tcW w:w="1859" w:type="dxa"/>
            <w:tcBorders>
              <w:right w:val="nil"/>
            </w:tcBorders>
          </w:tcPr>
          <w:p w14:paraId="426BB077" w14:textId="77777777" w:rsidR="00F77F6D" w:rsidRPr="00CB1E53" w:rsidRDefault="00F77F6D" w:rsidP="00E90BA7">
            <w:pPr>
              <w:autoSpaceDE w:val="0"/>
              <w:autoSpaceDN w:val="0"/>
              <w:adjustRightInd w:val="0"/>
              <w:spacing w:before="20" w:after="20"/>
              <w:jc w:val="both"/>
              <w:rPr>
                <w:rFonts w:cs="Segoe UI"/>
                <w:sz w:val="18"/>
                <w:szCs w:val="18"/>
              </w:rPr>
            </w:pPr>
          </w:p>
        </w:tc>
      </w:tr>
    </w:tbl>
    <w:p w14:paraId="08652832" w14:textId="77777777" w:rsidR="00F77F6D" w:rsidRPr="00CB1E53" w:rsidRDefault="00F77F6D" w:rsidP="00E90BA7">
      <w:pPr>
        <w:autoSpaceDE w:val="0"/>
        <w:autoSpaceDN w:val="0"/>
        <w:adjustRightInd w:val="0"/>
        <w:spacing w:after="0" w:line="240" w:lineRule="auto"/>
        <w:jc w:val="both"/>
        <w:rPr>
          <w:rFonts w:ascii="Segoe UI" w:hAnsi="Segoe UI" w:cs="Segoe UI"/>
          <w:b/>
          <w:color w:val="FFFFFF"/>
          <w:sz w:val="20"/>
          <w:szCs w:val="20"/>
        </w:rPr>
      </w:pPr>
      <w:r w:rsidRPr="00CB1E53">
        <w:rPr>
          <w:rFonts w:ascii="Segoe UI" w:hAnsi="Segoe UI" w:cs="Segoe UI"/>
          <w:b/>
          <w:color w:val="FFFFFF"/>
          <w:sz w:val="20"/>
          <w:szCs w:val="20"/>
        </w:rPr>
        <w:t>al Security Contributions Contribution amount</w:t>
      </w:r>
    </w:p>
    <w:p w14:paraId="2BC3C63B" w14:textId="77777777" w:rsidR="00F77F6D" w:rsidRPr="00CB1E53" w:rsidRDefault="00F77F6D" w:rsidP="00E90BA7">
      <w:pPr>
        <w:autoSpaceDE w:val="0"/>
        <w:autoSpaceDN w:val="0"/>
        <w:adjustRightInd w:val="0"/>
        <w:spacing w:after="240" w:line="264" w:lineRule="auto"/>
        <w:jc w:val="both"/>
        <w:rPr>
          <w:rFonts w:ascii="Segoe UI" w:hAnsi="Segoe UI" w:cs="Segoe UI"/>
          <w:i/>
          <w:sz w:val="21"/>
          <w:szCs w:val="21"/>
        </w:rPr>
      </w:pPr>
      <w:r w:rsidRPr="00CB1E53">
        <w:rPr>
          <w:rFonts w:ascii="Segoe UI" w:hAnsi="Segoe UI" w:cs="Segoe UI"/>
          <w:i/>
          <w:sz w:val="21"/>
          <w:szCs w:val="21"/>
        </w:rPr>
        <w:t>Investment Income</w:t>
      </w:r>
    </w:p>
    <w:p w14:paraId="10988487" w14:textId="77777777"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Unit of taxation:</w:t>
      </w:r>
      <w:r w:rsidRPr="00CB1E53">
        <w:rPr>
          <w:rFonts w:ascii="Segoe UI" w:hAnsi="Segoe UI" w:cs="Segoe UI"/>
          <w:color w:val="000000"/>
          <w:sz w:val="21"/>
          <w:szCs w:val="21"/>
        </w:rPr>
        <w:t xml:space="preserve"> The benchmark unit of taxation is a single individual that is a resident in Moldova.</w:t>
      </w:r>
    </w:p>
    <w:p w14:paraId="4620E045" w14:textId="77777777"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Taxation period:</w:t>
      </w:r>
      <w:r w:rsidRPr="00CB1E53">
        <w:rPr>
          <w:rFonts w:ascii="Segoe UI" w:hAnsi="Segoe UI" w:cs="Segoe UI"/>
          <w:color w:val="000000"/>
          <w:sz w:val="21"/>
          <w:szCs w:val="21"/>
        </w:rPr>
        <w:t xml:space="preserve"> The benchmark tax period is the calendar year.</w:t>
      </w:r>
    </w:p>
    <w:p w14:paraId="76489DDD" w14:textId="0BD229B2"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4DDB014A">
        <w:rPr>
          <w:rFonts w:ascii="Segoe UI" w:hAnsi="Segoe UI" w:cs="Segoe UI"/>
          <w:i/>
          <w:color w:val="000000" w:themeColor="text1"/>
          <w:sz w:val="21"/>
          <w:szCs w:val="21"/>
        </w:rPr>
        <w:t>Tax base:</w:t>
      </w:r>
      <w:r w:rsidRPr="4DDB014A">
        <w:rPr>
          <w:rFonts w:ascii="Segoe UI" w:hAnsi="Segoe UI" w:cs="Segoe UI"/>
          <w:color w:val="000000" w:themeColor="text1"/>
          <w:sz w:val="21"/>
          <w:szCs w:val="21"/>
        </w:rPr>
        <w:t xml:space="preserve"> Amounts received domestically in the following forms</w:t>
      </w:r>
      <w:r w:rsidR="007C2B84" w:rsidRPr="4DDB014A">
        <w:rPr>
          <w:rFonts w:ascii="Segoe UI" w:hAnsi="Segoe UI" w:cs="Segoe UI"/>
          <w:color w:val="000000" w:themeColor="text1"/>
          <w:sz w:val="21"/>
          <w:szCs w:val="21"/>
        </w:rPr>
        <w:t xml:space="preserve">: </w:t>
      </w:r>
      <w:r w:rsidRPr="4DDB014A">
        <w:rPr>
          <w:rFonts w:ascii="Segoe UI" w:hAnsi="Segoe UI" w:cs="Segoe UI"/>
          <w:color w:val="000000" w:themeColor="text1"/>
          <w:sz w:val="21"/>
          <w:szCs w:val="21"/>
        </w:rPr>
        <w:t xml:space="preserve">dividends, </w:t>
      </w:r>
      <w:r w:rsidR="3FC668E3" w:rsidRPr="4DDB014A">
        <w:rPr>
          <w:rFonts w:ascii="Segoe UI" w:hAnsi="Segoe UI" w:cs="Segoe UI"/>
          <w:color w:val="000000" w:themeColor="text1"/>
          <w:sz w:val="21"/>
          <w:szCs w:val="21"/>
        </w:rPr>
        <w:t>i</w:t>
      </w:r>
      <w:r w:rsidRPr="4DDB014A">
        <w:rPr>
          <w:rFonts w:ascii="Segoe UI" w:hAnsi="Segoe UI" w:cs="Segoe UI"/>
          <w:color w:val="000000" w:themeColor="text1"/>
          <w:sz w:val="21"/>
          <w:szCs w:val="21"/>
        </w:rPr>
        <w:t xml:space="preserve">nterest, </w:t>
      </w:r>
      <w:r w:rsidR="007C2B84" w:rsidRPr="4DDB014A">
        <w:rPr>
          <w:rFonts w:ascii="Segoe UI" w:hAnsi="Segoe UI" w:cs="Segoe UI"/>
          <w:color w:val="000000" w:themeColor="text1"/>
          <w:sz w:val="21"/>
          <w:szCs w:val="21"/>
        </w:rPr>
        <w:t>r</w:t>
      </w:r>
      <w:r w:rsidRPr="4DDB014A">
        <w:rPr>
          <w:rFonts w:ascii="Segoe UI" w:hAnsi="Segoe UI" w:cs="Segoe UI"/>
          <w:color w:val="000000" w:themeColor="text1"/>
          <w:sz w:val="21"/>
          <w:szCs w:val="21"/>
        </w:rPr>
        <w:t xml:space="preserve">oyalties, </w:t>
      </w:r>
      <w:r w:rsidR="007C2B84" w:rsidRPr="4DDB014A">
        <w:rPr>
          <w:rFonts w:ascii="Segoe UI" w:hAnsi="Segoe UI" w:cs="Segoe UI"/>
          <w:color w:val="000000" w:themeColor="text1"/>
          <w:sz w:val="21"/>
          <w:szCs w:val="21"/>
        </w:rPr>
        <w:t>r</w:t>
      </w:r>
      <w:r w:rsidRPr="4DDB014A">
        <w:rPr>
          <w:rFonts w:ascii="Segoe UI" w:hAnsi="Segoe UI" w:cs="Segoe UI"/>
          <w:color w:val="000000" w:themeColor="text1"/>
          <w:sz w:val="21"/>
          <w:szCs w:val="21"/>
        </w:rPr>
        <w:t>ental income.</w:t>
      </w:r>
    </w:p>
    <w:p w14:paraId="5ADD2F94" w14:textId="08B72134"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6D07C0CD">
        <w:rPr>
          <w:rFonts w:ascii="Segoe UI" w:hAnsi="Segoe UI" w:cs="Segoe UI"/>
          <w:i/>
          <w:color w:val="000000" w:themeColor="text1"/>
          <w:sz w:val="21"/>
          <w:szCs w:val="21"/>
        </w:rPr>
        <w:t>Tax rate structure:</w:t>
      </w:r>
      <w:r w:rsidRPr="6D07C0CD">
        <w:rPr>
          <w:rFonts w:ascii="Segoe UI" w:hAnsi="Segoe UI" w:cs="Segoe UI"/>
          <w:b/>
          <w:color w:val="000000" w:themeColor="text1"/>
          <w:sz w:val="21"/>
          <w:szCs w:val="21"/>
        </w:rPr>
        <w:t xml:space="preserve"> </w:t>
      </w:r>
      <w:r w:rsidR="297C99E0" w:rsidRPr="00CF5EE0">
        <w:rPr>
          <w:rFonts w:ascii="Segoe UI" w:hAnsi="Segoe UI" w:cs="Segoe UI"/>
          <w:color w:val="000000" w:themeColor="text1"/>
          <w:sz w:val="21"/>
          <w:szCs w:val="21"/>
        </w:rPr>
        <w:t>V</w:t>
      </w:r>
      <w:r w:rsidRPr="6D07C0CD">
        <w:rPr>
          <w:rFonts w:ascii="Segoe UI" w:hAnsi="Segoe UI" w:cs="Segoe UI"/>
          <w:color w:val="000000" w:themeColor="text1"/>
          <w:sz w:val="21"/>
          <w:szCs w:val="21"/>
        </w:rPr>
        <w:t xml:space="preserve">arious </w:t>
      </w:r>
      <w:r w:rsidR="00675299" w:rsidRPr="6D07C0CD">
        <w:rPr>
          <w:rFonts w:ascii="Segoe UI" w:hAnsi="Segoe UI" w:cs="Segoe UI"/>
          <w:color w:val="000000" w:themeColor="text1"/>
          <w:sz w:val="21"/>
          <w:szCs w:val="21"/>
        </w:rPr>
        <w:t>withholding tax</w:t>
      </w:r>
      <w:r w:rsidRPr="6D07C0CD">
        <w:rPr>
          <w:rFonts w:ascii="Segoe UI" w:hAnsi="Segoe UI" w:cs="Segoe UI"/>
          <w:color w:val="000000" w:themeColor="text1"/>
          <w:sz w:val="21"/>
          <w:szCs w:val="21"/>
        </w:rPr>
        <w:t xml:space="preserve"> rates are applied to different types of income:</w:t>
      </w:r>
    </w:p>
    <w:p w14:paraId="609A6314" w14:textId="7777777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lastRenderedPageBreak/>
        <w:t>Dividends paid out to individuals who are residents of Moldova are taxed at a 6 percent tax rate. That can be understood as an alleviation (relief) of economic double taxation – the withholding tax is final, which implies that the dividends are not subject to the standard tax rate of 12 percent.</w:t>
      </w:r>
    </w:p>
    <w:p w14:paraId="1DD7E8FC" w14:textId="602BC3F8"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 xml:space="preserve">A higher withholding tax of 15 percent applies to dividends related to the non-distributed profit obtained during the fiscal periods 2008-2011. While the latter provides an example of a negative </w:t>
      </w:r>
      <w:r w:rsidR="009430CA" w:rsidRPr="00CB1E53">
        <w:rPr>
          <w:rFonts w:ascii="Segoe UI" w:hAnsi="Segoe UI" w:cs="Segoe UI"/>
          <w:sz w:val="21"/>
          <w:szCs w:val="21"/>
        </w:rPr>
        <w:t>TE</w:t>
      </w:r>
      <w:r w:rsidRPr="00CB1E53">
        <w:rPr>
          <w:rFonts w:ascii="Segoe UI" w:hAnsi="Segoe UI" w:cs="Segoe UI"/>
          <w:sz w:val="21"/>
          <w:szCs w:val="21"/>
        </w:rPr>
        <w:t xml:space="preserve"> (the tax levied on dividend payouts exceeds the standard PIT rate), this rule is currently of limited importance.</w:t>
      </w:r>
    </w:p>
    <w:p w14:paraId="7F11C28A" w14:textId="7777777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 xml:space="preserve">Interest and royalty income are taxed at 12 percent tax rate. </w:t>
      </w:r>
    </w:p>
    <w:p w14:paraId="676134C5" w14:textId="7777777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Rental income is taxed at a rate of 10 percent (in case of rental to legal entities) and 7 percent (rental to natural persons).</w:t>
      </w:r>
    </w:p>
    <w:p w14:paraId="03BA401F" w14:textId="77777777" w:rsidR="00F77F6D"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The following specific rule may be regarded as benchmark for investment income:</w:t>
      </w:r>
      <w:r w:rsidRPr="00CB1E53">
        <w:rPr>
          <w:rFonts w:ascii="Segoe UI" w:hAnsi="Segoe UI" w:cs="Segoe UI"/>
          <w:b/>
          <w:color w:val="000000"/>
          <w:sz w:val="21"/>
          <w:szCs w:val="21"/>
        </w:rPr>
        <w:t xml:space="preserve"> </w:t>
      </w:r>
      <w:r w:rsidRPr="00CB1E53">
        <w:rPr>
          <w:rFonts w:ascii="Segoe UI" w:hAnsi="Segoe UI" w:cs="Segoe UI"/>
          <w:color w:val="000000"/>
          <w:sz w:val="21"/>
          <w:szCs w:val="21"/>
        </w:rPr>
        <w:t>double taxation relief for the final withholding tax on dividends in form of the reduced tax rate of 6 percent.</w:t>
      </w:r>
    </w:p>
    <w:p w14:paraId="135BE328" w14:textId="64848E87" w:rsidR="005272DF" w:rsidRPr="003E40E0" w:rsidRDefault="005272DF" w:rsidP="00E90BA7">
      <w:pPr>
        <w:autoSpaceDE w:val="0"/>
        <w:autoSpaceDN w:val="0"/>
        <w:adjustRightInd w:val="0"/>
        <w:spacing w:after="240" w:line="264" w:lineRule="auto"/>
        <w:jc w:val="both"/>
        <w:rPr>
          <w:rFonts w:ascii="Segoe UI" w:hAnsi="Segoe UI" w:cs="Segoe UI"/>
          <w:color w:val="000000"/>
          <w:sz w:val="21"/>
          <w:szCs w:val="21"/>
        </w:rPr>
      </w:pPr>
      <w:r w:rsidRPr="00CB4BEC">
        <w:rPr>
          <w:rFonts w:ascii="Segoe UI" w:hAnsi="Segoe UI" w:cs="Segoe UI"/>
          <w:i/>
          <w:iCs/>
          <w:color w:val="000000"/>
          <w:sz w:val="21"/>
          <w:szCs w:val="21"/>
        </w:rPr>
        <w:t xml:space="preserve">Information Technology (IT) Park </w:t>
      </w:r>
      <w:r w:rsidR="00FC1A1C">
        <w:rPr>
          <w:rFonts w:ascii="Segoe UI" w:hAnsi="Segoe UI" w:cs="Segoe UI"/>
          <w:i/>
          <w:iCs/>
          <w:color w:val="000000"/>
          <w:sz w:val="21"/>
          <w:szCs w:val="21"/>
        </w:rPr>
        <w:t xml:space="preserve">regime </w:t>
      </w:r>
      <w:r w:rsidRPr="00CB4BEC">
        <w:rPr>
          <w:rFonts w:ascii="Segoe UI" w:hAnsi="Segoe UI" w:cs="Segoe UI"/>
          <w:i/>
          <w:iCs/>
          <w:color w:val="000000"/>
          <w:sz w:val="21"/>
          <w:szCs w:val="21"/>
        </w:rPr>
        <w:t>(</w:t>
      </w:r>
      <w:r w:rsidR="00DB05A4" w:rsidRPr="00CB4BEC">
        <w:rPr>
          <w:rFonts w:ascii="Segoe UI" w:hAnsi="Segoe UI" w:cs="Segoe UI"/>
          <w:i/>
          <w:iCs/>
          <w:color w:val="000000"/>
          <w:sz w:val="21"/>
          <w:szCs w:val="21"/>
        </w:rPr>
        <w:t>Box 1</w:t>
      </w:r>
      <w:r w:rsidRPr="00CB4BEC">
        <w:rPr>
          <w:rFonts w:ascii="Segoe UI" w:hAnsi="Segoe UI" w:cs="Segoe UI"/>
          <w:i/>
          <w:iCs/>
          <w:color w:val="000000"/>
          <w:sz w:val="21"/>
          <w:szCs w:val="21"/>
        </w:rPr>
        <w:t>)</w:t>
      </w:r>
      <w:r w:rsidR="004878D0">
        <w:rPr>
          <w:rFonts w:ascii="Segoe UI" w:hAnsi="Segoe UI" w:cs="Segoe UI"/>
          <w:i/>
          <w:iCs/>
          <w:color w:val="000000"/>
          <w:sz w:val="21"/>
          <w:szCs w:val="21"/>
        </w:rPr>
        <w:t xml:space="preserve"> </w:t>
      </w:r>
      <w:r w:rsidR="004878D0">
        <w:rPr>
          <w:rFonts w:ascii="Segoe UI" w:hAnsi="Segoe UI" w:cs="Segoe UI"/>
          <w:color w:val="000000"/>
          <w:sz w:val="21"/>
          <w:szCs w:val="21"/>
        </w:rPr>
        <w:t xml:space="preserve">replaces the standard PIT </w:t>
      </w:r>
      <w:r w:rsidR="00DB6F41">
        <w:rPr>
          <w:rFonts w:ascii="Segoe UI" w:hAnsi="Segoe UI" w:cs="Segoe UI"/>
          <w:color w:val="000000"/>
          <w:sz w:val="21"/>
          <w:szCs w:val="21"/>
        </w:rPr>
        <w:t xml:space="preserve">payments </w:t>
      </w:r>
      <w:r w:rsidR="00827A64">
        <w:rPr>
          <w:rFonts w:ascii="Segoe UI" w:hAnsi="Segoe UI" w:cs="Segoe UI"/>
          <w:color w:val="000000"/>
          <w:sz w:val="21"/>
          <w:szCs w:val="21"/>
        </w:rPr>
        <w:t xml:space="preserve">with </w:t>
      </w:r>
      <w:r w:rsidR="00E72370">
        <w:rPr>
          <w:rFonts w:ascii="Segoe UI" w:hAnsi="Segoe UI" w:cs="Segoe UI"/>
          <w:color w:val="000000"/>
          <w:sz w:val="21"/>
          <w:szCs w:val="21"/>
        </w:rPr>
        <w:t xml:space="preserve">a share from </w:t>
      </w:r>
      <w:r w:rsidR="008B1A1B">
        <w:rPr>
          <w:rFonts w:ascii="Segoe UI" w:hAnsi="Segoe UI" w:cs="Segoe UI"/>
          <w:color w:val="000000"/>
          <w:sz w:val="21"/>
          <w:szCs w:val="21"/>
        </w:rPr>
        <w:t>the</w:t>
      </w:r>
      <w:r w:rsidR="00827A64">
        <w:rPr>
          <w:rFonts w:ascii="Segoe UI" w:hAnsi="Segoe UI" w:cs="Segoe UI"/>
          <w:color w:val="000000"/>
          <w:sz w:val="21"/>
          <w:szCs w:val="21"/>
        </w:rPr>
        <w:t xml:space="preserve"> </w:t>
      </w:r>
      <w:r w:rsidR="00DB6F41">
        <w:rPr>
          <w:rFonts w:ascii="Segoe UI" w:hAnsi="Segoe UI" w:cs="Segoe UI"/>
          <w:color w:val="000000"/>
          <w:sz w:val="21"/>
          <w:szCs w:val="21"/>
        </w:rPr>
        <w:t>single</w:t>
      </w:r>
      <w:r w:rsidR="00A2419C">
        <w:rPr>
          <w:rFonts w:ascii="Segoe UI" w:hAnsi="Segoe UI" w:cs="Segoe UI"/>
          <w:color w:val="000000"/>
          <w:sz w:val="21"/>
          <w:szCs w:val="21"/>
        </w:rPr>
        <w:t xml:space="preserve"> tax</w:t>
      </w:r>
      <w:r w:rsidR="0020029C">
        <w:rPr>
          <w:rFonts w:ascii="Segoe UI" w:hAnsi="Segoe UI" w:cs="Segoe UI"/>
          <w:color w:val="000000"/>
          <w:sz w:val="21"/>
          <w:szCs w:val="21"/>
        </w:rPr>
        <w:t xml:space="preserve"> </w:t>
      </w:r>
      <w:r w:rsidR="00F04C77">
        <w:rPr>
          <w:rFonts w:ascii="Segoe UI" w:hAnsi="Segoe UI" w:cs="Segoe UI"/>
          <w:color w:val="000000"/>
          <w:sz w:val="21"/>
          <w:szCs w:val="21"/>
        </w:rPr>
        <w:t xml:space="preserve">of 7 percent </w:t>
      </w:r>
      <w:r w:rsidR="0020029C">
        <w:rPr>
          <w:rFonts w:ascii="Segoe UI" w:hAnsi="Segoe UI" w:cs="Segoe UI"/>
          <w:color w:val="000000"/>
          <w:sz w:val="21"/>
          <w:szCs w:val="21"/>
        </w:rPr>
        <w:t>on turnover</w:t>
      </w:r>
      <w:r w:rsidR="0032497C">
        <w:rPr>
          <w:rFonts w:ascii="Segoe UI" w:hAnsi="Segoe UI" w:cs="Segoe UI"/>
          <w:color w:val="000000"/>
          <w:sz w:val="21"/>
          <w:szCs w:val="21"/>
        </w:rPr>
        <w:t>.</w:t>
      </w:r>
      <w:r w:rsidR="0020029C">
        <w:rPr>
          <w:rFonts w:ascii="Segoe UI" w:hAnsi="Segoe UI" w:cs="Segoe UI"/>
          <w:color w:val="000000"/>
          <w:sz w:val="21"/>
          <w:szCs w:val="21"/>
        </w:rPr>
        <w:t xml:space="preserve"> </w:t>
      </w:r>
      <w:r w:rsidR="00340204">
        <w:rPr>
          <w:rFonts w:ascii="Segoe UI" w:hAnsi="Segoe UI" w:cs="Segoe UI"/>
          <w:color w:val="000000"/>
          <w:sz w:val="21"/>
          <w:szCs w:val="21"/>
        </w:rPr>
        <w:t xml:space="preserve">An allocation of </w:t>
      </w:r>
      <w:r w:rsidR="0020029C">
        <w:rPr>
          <w:rFonts w:ascii="Segoe UI" w:hAnsi="Segoe UI" w:cs="Segoe UI"/>
          <w:color w:val="000000"/>
          <w:sz w:val="21"/>
          <w:szCs w:val="21"/>
        </w:rPr>
        <w:t>19</w:t>
      </w:r>
      <w:r w:rsidR="00BC2150">
        <w:rPr>
          <w:rFonts w:ascii="Segoe UI" w:hAnsi="Segoe UI" w:cs="Segoe UI"/>
          <w:color w:val="000000"/>
          <w:sz w:val="21"/>
          <w:szCs w:val="21"/>
        </w:rPr>
        <w:t>.</w:t>
      </w:r>
      <w:r w:rsidR="0020029C">
        <w:rPr>
          <w:rFonts w:ascii="Segoe UI" w:hAnsi="Segoe UI" w:cs="Segoe UI"/>
          <w:color w:val="000000"/>
          <w:sz w:val="21"/>
          <w:szCs w:val="21"/>
        </w:rPr>
        <w:t xml:space="preserve">4 percent of </w:t>
      </w:r>
      <w:r w:rsidR="0032497C">
        <w:rPr>
          <w:rFonts w:ascii="Segoe UI" w:hAnsi="Segoe UI" w:cs="Segoe UI"/>
          <w:color w:val="000000"/>
          <w:sz w:val="21"/>
          <w:szCs w:val="21"/>
        </w:rPr>
        <w:t xml:space="preserve">the single payment by the IT Park regime </w:t>
      </w:r>
      <w:r w:rsidR="00EF3D52">
        <w:rPr>
          <w:rFonts w:ascii="Segoe UI" w:hAnsi="Segoe UI" w:cs="Segoe UI"/>
          <w:color w:val="000000"/>
          <w:sz w:val="21"/>
          <w:szCs w:val="21"/>
        </w:rPr>
        <w:t>is paid in l</w:t>
      </w:r>
      <w:r w:rsidR="00F71D3E">
        <w:rPr>
          <w:rFonts w:ascii="Segoe UI" w:hAnsi="Segoe UI" w:cs="Segoe UI"/>
          <w:color w:val="000000"/>
          <w:sz w:val="21"/>
          <w:szCs w:val="21"/>
        </w:rPr>
        <w:t>i</w:t>
      </w:r>
      <w:r w:rsidR="00EF3D52">
        <w:rPr>
          <w:rFonts w:ascii="Segoe UI" w:hAnsi="Segoe UI" w:cs="Segoe UI"/>
          <w:color w:val="000000"/>
          <w:sz w:val="21"/>
          <w:szCs w:val="21"/>
        </w:rPr>
        <w:t xml:space="preserve">eu of </w:t>
      </w:r>
      <w:r w:rsidR="00CB4BEC">
        <w:rPr>
          <w:rFonts w:ascii="Segoe UI" w:hAnsi="Segoe UI" w:cs="Segoe UI"/>
          <w:color w:val="000000"/>
          <w:sz w:val="21"/>
          <w:szCs w:val="21"/>
        </w:rPr>
        <w:t>the standard PIT</w:t>
      </w:r>
      <w:r w:rsidR="00CB4BEC">
        <w:rPr>
          <w:rFonts w:ascii="Segoe UI" w:hAnsi="Segoe UI" w:cs="Segoe UI"/>
          <w:i/>
          <w:iCs/>
          <w:color w:val="000000"/>
          <w:sz w:val="21"/>
          <w:szCs w:val="21"/>
        </w:rPr>
        <w:t>.</w:t>
      </w:r>
      <w:r w:rsidR="0059373B">
        <w:rPr>
          <w:rFonts w:ascii="Segoe UI" w:hAnsi="Segoe UI" w:cs="Segoe UI"/>
          <w:i/>
          <w:iCs/>
          <w:color w:val="000000"/>
          <w:sz w:val="21"/>
          <w:szCs w:val="21"/>
        </w:rPr>
        <w:t xml:space="preserve"> </w:t>
      </w:r>
      <w:r w:rsidR="0059373B">
        <w:rPr>
          <w:rFonts w:ascii="Segoe UI" w:hAnsi="Segoe UI" w:cs="Segoe UI"/>
          <w:color w:val="000000"/>
          <w:sz w:val="21"/>
          <w:szCs w:val="21"/>
        </w:rPr>
        <w:t xml:space="preserve">The difference between </w:t>
      </w:r>
      <w:r w:rsidR="00FA7D9B">
        <w:rPr>
          <w:rFonts w:ascii="Segoe UI" w:hAnsi="Segoe UI" w:cs="Segoe UI"/>
          <w:color w:val="000000"/>
          <w:sz w:val="21"/>
          <w:szCs w:val="21"/>
        </w:rPr>
        <w:t>PIT</w:t>
      </w:r>
      <w:r w:rsidR="0059373B" w:rsidRPr="0059373B">
        <w:rPr>
          <w:rFonts w:ascii="Segoe UI" w:hAnsi="Segoe UI" w:cs="Segoe UI"/>
          <w:color w:val="000000"/>
          <w:sz w:val="21"/>
          <w:szCs w:val="21"/>
        </w:rPr>
        <w:t xml:space="preserve"> payable in the absence of the IT Park regime</w:t>
      </w:r>
      <w:r w:rsidR="00EF3D52">
        <w:rPr>
          <w:rFonts w:ascii="Segoe UI" w:hAnsi="Segoe UI" w:cs="Segoe UI"/>
          <w:color w:val="000000"/>
          <w:sz w:val="21"/>
          <w:szCs w:val="21"/>
        </w:rPr>
        <w:t xml:space="preserve"> and the </w:t>
      </w:r>
      <w:r w:rsidR="004F3885">
        <w:rPr>
          <w:rFonts w:ascii="Segoe UI" w:hAnsi="Segoe UI" w:cs="Segoe UI"/>
          <w:color w:val="000000"/>
          <w:sz w:val="21"/>
          <w:szCs w:val="21"/>
        </w:rPr>
        <w:t xml:space="preserve">share of </w:t>
      </w:r>
      <w:r w:rsidR="003E40E0">
        <w:rPr>
          <w:rFonts w:ascii="Segoe UI" w:hAnsi="Segoe UI" w:cs="Segoe UI"/>
          <w:color w:val="000000"/>
          <w:sz w:val="21"/>
          <w:szCs w:val="21"/>
        </w:rPr>
        <w:t>the single payment in l</w:t>
      </w:r>
      <w:r w:rsidR="00745639">
        <w:rPr>
          <w:rFonts w:ascii="Segoe UI" w:hAnsi="Segoe UI" w:cs="Segoe UI"/>
          <w:color w:val="000000"/>
          <w:sz w:val="21"/>
          <w:szCs w:val="21"/>
        </w:rPr>
        <w:t>i</w:t>
      </w:r>
      <w:r w:rsidR="003E40E0">
        <w:rPr>
          <w:rFonts w:ascii="Segoe UI" w:hAnsi="Segoe UI" w:cs="Segoe UI"/>
          <w:color w:val="000000"/>
          <w:sz w:val="21"/>
          <w:szCs w:val="21"/>
        </w:rPr>
        <w:t xml:space="preserve">eu of PIT represents </w:t>
      </w:r>
      <w:r w:rsidR="00745639">
        <w:rPr>
          <w:rFonts w:ascii="Segoe UI" w:hAnsi="Segoe UI" w:cs="Segoe UI"/>
          <w:color w:val="000000"/>
          <w:sz w:val="21"/>
          <w:szCs w:val="21"/>
        </w:rPr>
        <w:t xml:space="preserve">a </w:t>
      </w:r>
      <w:r w:rsidR="003E40E0">
        <w:rPr>
          <w:rFonts w:ascii="Segoe UI" w:hAnsi="Segoe UI" w:cs="Segoe UI"/>
          <w:color w:val="000000"/>
          <w:sz w:val="21"/>
          <w:szCs w:val="21"/>
        </w:rPr>
        <w:t>TE.</w:t>
      </w:r>
    </w:p>
    <w:tbl>
      <w:tblPr>
        <w:tblW w:w="0" w:type="auto"/>
        <w:tblLook w:val="04A0" w:firstRow="1" w:lastRow="0" w:firstColumn="1" w:lastColumn="0" w:noHBand="0" w:noVBand="1"/>
      </w:tblPr>
      <w:tblGrid>
        <w:gridCol w:w="8990"/>
      </w:tblGrid>
      <w:tr w:rsidR="00861FB3" w:rsidRPr="00064629" w14:paraId="1B701F3E" w14:textId="77777777" w:rsidTr="00861FB3">
        <w:tc>
          <w:tcPr>
            <w:tcW w:w="8990" w:type="dxa"/>
            <w:tcBorders>
              <w:top w:val="single" w:sz="4" w:space="0" w:color="auto"/>
              <w:left w:val="single" w:sz="4" w:space="0" w:color="auto"/>
              <w:bottom w:val="single" w:sz="4" w:space="0" w:color="auto"/>
              <w:right w:val="single" w:sz="4" w:space="0" w:color="auto"/>
            </w:tcBorders>
          </w:tcPr>
          <w:p w14:paraId="06DA3D6D" w14:textId="3C28286A" w:rsidR="00861FB3" w:rsidRPr="00A96F8B" w:rsidRDefault="00861FB3" w:rsidP="00E90BA7">
            <w:pPr>
              <w:autoSpaceDE w:val="0"/>
              <w:autoSpaceDN w:val="0"/>
              <w:adjustRightInd w:val="0"/>
              <w:spacing w:after="120"/>
              <w:jc w:val="both"/>
              <w:rPr>
                <w:rFonts w:ascii="Segoe UI" w:hAnsi="Segoe UI" w:cs="Segoe UI"/>
                <w:b/>
                <w:bCs/>
                <w:sz w:val="20"/>
              </w:rPr>
            </w:pPr>
            <w:r w:rsidRPr="00A96F8B">
              <w:rPr>
                <w:rFonts w:ascii="Segoe UI" w:hAnsi="Segoe UI" w:cs="Segoe UI"/>
                <w:b/>
                <w:bCs/>
                <w:sz w:val="20"/>
              </w:rPr>
              <w:fldChar w:fldCharType="begin"/>
            </w:r>
            <w:r w:rsidRPr="00A96F8B">
              <w:rPr>
                <w:rFonts w:ascii="Segoe UI" w:hAnsi="Segoe UI" w:cs="Segoe UI"/>
                <w:b/>
                <w:bCs/>
                <w:sz w:val="20"/>
              </w:rPr>
              <w:instrText xml:space="preserve"> TC "</w:instrText>
            </w:r>
            <w:r w:rsidR="00714678" w:rsidRPr="00A96F8B">
              <w:rPr>
                <w:rFonts w:ascii="Segoe UI" w:hAnsi="Segoe UI" w:cs="Segoe UI"/>
                <w:b/>
                <w:bCs/>
                <w:sz w:val="20"/>
              </w:rPr>
              <w:instrText>1</w:instrText>
            </w:r>
            <w:r w:rsidRPr="00A96F8B">
              <w:rPr>
                <w:rFonts w:ascii="Segoe UI" w:hAnsi="Segoe UI" w:cs="Segoe UI"/>
                <w:b/>
                <w:bCs/>
                <w:sz w:val="20"/>
              </w:rPr>
              <w:instrText xml:space="preserve">. </w:instrText>
            </w:r>
            <w:r w:rsidR="00714678" w:rsidRPr="00A96F8B">
              <w:rPr>
                <w:rFonts w:ascii="Segoe UI" w:hAnsi="Segoe UI" w:cs="Segoe UI"/>
                <w:b/>
                <w:bCs/>
                <w:sz w:val="20"/>
              </w:rPr>
              <w:instrText>Information Technology Parks incentive</w:instrText>
            </w:r>
            <w:r w:rsidR="00DB05A4" w:rsidRPr="00A96F8B">
              <w:rPr>
                <w:rFonts w:ascii="Segoe UI" w:hAnsi="Segoe UI" w:cs="Segoe UI"/>
                <w:b/>
                <w:bCs/>
                <w:sz w:val="20"/>
              </w:rPr>
              <w:instrText xml:space="preserve"> (Law No. 77 of 2016)</w:instrText>
            </w:r>
            <w:r w:rsidRPr="00A96F8B">
              <w:rPr>
                <w:rFonts w:ascii="Segoe UI" w:hAnsi="Segoe UI" w:cs="Segoe UI"/>
                <w:b/>
                <w:bCs/>
                <w:sz w:val="20"/>
              </w:rPr>
              <w:instrText xml:space="preserve">"\f </w:instrText>
            </w:r>
            <w:r w:rsidR="00714678" w:rsidRPr="00A96F8B">
              <w:rPr>
                <w:rFonts w:ascii="Segoe UI" w:hAnsi="Segoe UI" w:cs="Segoe UI"/>
                <w:b/>
                <w:bCs/>
                <w:sz w:val="20"/>
              </w:rPr>
              <w:instrText>A</w:instrText>
            </w:r>
            <w:r w:rsidRPr="00A96F8B">
              <w:rPr>
                <w:rFonts w:ascii="Segoe UI" w:hAnsi="Segoe UI" w:cs="Segoe UI"/>
                <w:b/>
                <w:bCs/>
                <w:sz w:val="20"/>
              </w:rPr>
              <w:fldChar w:fldCharType="end"/>
            </w:r>
            <w:r w:rsidRPr="00A96F8B">
              <w:rPr>
                <w:rFonts w:ascii="Segoe UI" w:hAnsi="Segoe UI" w:cs="Segoe UI"/>
                <w:b/>
                <w:bCs/>
                <w:sz w:val="20"/>
              </w:rPr>
              <w:t xml:space="preserve"> </w:t>
            </w:r>
            <w:r w:rsidR="00714678" w:rsidRPr="00A96F8B">
              <w:rPr>
                <w:rFonts w:ascii="Segoe UI" w:hAnsi="Segoe UI" w:cs="Segoe UI"/>
                <w:b/>
                <w:bCs/>
                <w:sz w:val="20"/>
              </w:rPr>
              <w:t>Box 1. Information Technology Parks incentive</w:t>
            </w:r>
            <w:r w:rsidR="00A779B2" w:rsidRPr="00A96F8B">
              <w:rPr>
                <w:rFonts w:ascii="Segoe UI" w:hAnsi="Segoe UI" w:cs="Segoe UI"/>
                <w:b/>
                <w:bCs/>
                <w:sz w:val="20"/>
              </w:rPr>
              <w:t xml:space="preserve"> (Law No. 77 of 2016)</w:t>
            </w:r>
          </w:p>
          <w:p w14:paraId="63443C3F" w14:textId="64B5AC85" w:rsidR="007A5160" w:rsidRPr="00064629" w:rsidRDefault="00861FB3" w:rsidP="00E90BA7">
            <w:pPr>
              <w:pStyle w:val="BoxBullet"/>
              <w:numPr>
                <w:ilvl w:val="0"/>
                <w:numId w:val="0"/>
              </w:numPr>
              <w:jc w:val="both"/>
              <w:rPr>
                <w:sz w:val="20"/>
              </w:rPr>
            </w:pPr>
            <w:r w:rsidRPr="00064629">
              <w:rPr>
                <w:sz w:val="20"/>
              </w:rPr>
              <w:t>Residents of the Information Technology Parks pay a single tax in the amount of 7 percent on turnover (Art. 15(a))</w:t>
            </w:r>
            <w:r w:rsidR="00B409EC" w:rsidRPr="00064629">
              <w:rPr>
                <w:sz w:val="20"/>
              </w:rPr>
              <w:t>, which should be not less than a minimum tax calculated as: 30 percent * average monthly salary in the economy * number of employees.</w:t>
            </w:r>
            <w:r w:rsidR="00F3763E" w:rsidRPr="00064629">
              <w:rPr>
                <w:sz w:val="20"/>
              </w:rPr>
              <w:t xml:space="preserve"> The single tax payment</w:t>
            </w:r>
            <w:r w:rsidRPr="00064629">
              <w:rPr>
                <w:sz w:val="20"/>
              </w:rPr>
              <w:t xml:space="preserve"> substitutes for the following taxes and duties due by the residents of the IT Parks: </w:t>
            </w:r>
          </w:p>
          <w:p w14:paraId="6E307536" w14:textId="77777777" w:rsidR="007A5160" w:rsidRPr="00064629" w:rsidRDefault="00861FB3" w:rsidP="00E90BA7">
            <w:pPr>
              <w:pStyle w:val="ListBullet"/>
              <w:jc w:val="both"/>
              <w:rPr>
                <w:rFonts w:ascii="Segoe UI" w:hAnsi="Segoe UI" w:cs="Segoe UI"/>
                <w:sz w:val="20"/>
              </w:rPr>
            </w:pPr>
            <w:r w:rsidRPr="00064629">
              <w:rPr>
                <w:rFonts w:ascii="Segoe UI" w:hAnsi="Segoe UI" w:cs="Segoe UI"/>
                <w:sz w:val="20"/>
              </w:rPr>
              <w:t xml:space="preserve">corporate income tax, </w:t>
            </w:r>
          </w:p>
          <w:p w14:paraId="25316A21" w14:textId="77777777" w:rsidR="007A5160" w:rsidRPr="00064629" w:rsidRDefault="00861FB3" w:rsidP="00E90BA7">
            <w:pPr>
              <w:pStyle w:val="ListBullet"/>
              <w:jc w:val="both"/>
              <w:rPr>
                <w:rFonts w:ascii="Segoe UI" w:hAnsi="Segoe UI" w:cs="Segoe UI"/>
                <w:sz w:val="20"/>
              </w:rPr>
            </w:pPr>
            <w:r w:rsidRPr="00064629">
              <w:rPr>
                <w:rFonts w:ascii="Segoe UI" w:hAnsi="Segoe UI" w:cs="Segoe UI"/>
                <w:sz w:val="20"/>
              </w:rPr>
              <w:t xml:space="preserve">personal income tax or salary income tax, </w:t>
            </w:r>
          </w:p>
          <w:p w14:paraId="56C892BC" w14:textId="77777777" w:rsidR="007A5160" w:rsidRPr="00064629" w:rsidRDefault="00861FB3" w:rsidP="00E90BA7">
            <w:pPr>
              <w:pStyle w:val="ListBullet"/>
              <w:jc w:val="both"/>
              <w:rPr>
                <w:rFonts w:ascii="Segoe UI" w:hAnsi="Segoe UI" w:cs="Segoe UI"/>
                <w:sz w:val="20"/>
              </w:rPr>
            </w:pPr>
            <w:r w:rsidRPr="00064629">
              <w:rPr>
                <w:rFonts w:ascii="Segoe UI" w:hAnsi="Segoe UI" w:cs="Segoe UI"/>
                <w:sz w:val="20"/>
              </w:rPr>
              <w:t xml:space="preserve">compulsory social security contributions due by employees and employers, </w:t>
            </w:r>
          </w:p>
          <w:p w14:paraId="35B759AA" w14:textId="77777777" w:rsidR="007A5160" w:rsidRPr="00064629" w:rsidRDefault="00861FB3" w:rsidP="00E90BA7">
            <w:pPr>
              <w:pStyle w:val="ListBullet"/>
              <w:jc w:val="both"/>
              <w:rPr>
                <w:rFonts w:ascii="Segoe UI" w:hAnsi="Segoe UI" w:cs="Segoe UI"/>
                <w:sz w:val="20"/>
              </w:rPr>
            </w:pPr>
            <w:r w:rsidRPr="00064629">
              <w:rPr>
                <w:rFonts w:ascii="Segoe UI" w:hAnsi="Segoe UI" w:cs="Segoe UI"/>
                <w:sz w:val="20"/>
              </w:rPr>
              <w:t xml:space="preserve">compulsory health insurance premiums due by employees and employers, </w:t>
            </w:r>
          </w:p>
          <w:p w14:paraId="159C2ED5" w14:textId="77777777" w:rsidR="007A5160" w:rsidRPr="00064629" w:rsidRDefault="00861FB3" w:rsidP="00E90BA7">
            <w:pPr>
              <w:pStyle w:val="ListBullet"/>
              <w:jc w:val="both"/>
              <w:rPr>
                <w:rFonts w:ascii="Segoe UI" w:hAnsi="Segoe UI" w:cs="Segoe UI"/>
                <w:sz w:val="20"/>
              </w:rPr>
            </w:pPr>
            <w:r w:rsidRPr="00064629">
              <w:rPr>
                <w:rFonts w:ascii="Segoe UI" w:hAnsi="Segoe UI" w:cs="Segoe UI"/>
                <w:sz w:val="20"/>
              </w:rPr>
              <w:t xml:space="preserve">local taxes, </w:t>
            </w:r>
          </w:p>
          <w:p w14:paraId="309E308B" w14:textId="77777777" w:rsidR="007A5160" w:rsidRPr="00064629" w:rsidRDefault="00861FB3" w:rsidP="00E90BA7">
            <w:pPr>
              <w:pStyle w:val="ListBullet"/>
              <w:jc w:val="both"/>
              <w:rPr>
                <w:rFonts w:ascii="Segoe UI" w:hAnsi="Segoe UI" w:cs="Segoe UI"/>
                <w:sz w:val="20"/>
              </w:rPr>
            </w:pPr>
            <w:r w:rsidRPr="00064629">
              <w:rPr>
                <w:rFonts w:ascii="Segoe UI" w:hAnsi="Segoe UI" w:cs="Segoe UI"/>
                <w:sz w:val="20"/>
              </w:rPr>
              <w:t>real estate tax, and</w:t>
            </w:r>
          </w:p>
          <w:p w14:paraId="47CDA3E7" w14:textId="0F103ABC" w:rsidR="00316993" w:rsidRPr="00064629" w:rsidRDefault="00861FB3" w:rsidP="00E90BA7">
            <w:pPr>
              <w:pStyle w:val="ListBullet"/>
              <w:jc w:val="both"/>
              <w:rPr>
                <w:rFonts w:ascii="Segoe UI" w:hAnsi="Segoe UI" w:cs="Segoe UI"/>
                <w:sz w:val="20"/>
              </w:rPr>
            </w:pPr>
            <w:r w:rsidRPr="00064629">
              <w:rPr>
                <w:rFonts w:ascii="Segoe UI" w:hAnsi="Segoe UI" w:cs="Segoe UI"/>
                <w:sz w:val="20"/>
              </w:rPr>
              <w:t xml:space="preserve">the duty for the use of roads by motor vehicles registered in the Republic of Moldova. </w:t>
            </w:r>
          </w:p>
          <w:p w14:paraId="1785E32E" w14:textId="7CAA09AC" w:rsidR="00861FB3" w:rsidRPr="00064629" w:rsidRDefault="00861FB3" w:rsidP="00E90BA7">
            <w:pPr>
              <w:pStyle w:val="ListBullet"/>
              <w:numPr>
                <w:ilvl w:val="0"/>
                <w:numId w:val="0"/>
              </w:numPr>
              <w:jc w:val="both"/>
              <w:rPr>
                <w:rFonts w:ascii="Segoe UI" w:hAnsi="Segoe UI" w:cs="Segoe UI"/>
                <w:i/>
                <w:sz w:val="20"/>
              </w:rPr>
            </w:pPr>
            <w:r w:rsidRPr="00064629">
              <w:rPr>
                <w:rFonts w:ascii="Segoe UI" w:hAnsi="Segoe UI" w:cs="Segoe UI"/>
                <w:i/>
                <w:sz w:val="20"/>
              </w:rPr>
              <w:t>Note</w:t>
            </w:r>
            <w:r w:rsidR="00316993" w:rsidRPr="00064629">
              <w:rPr>
                <w:rFonts w:ascii="Segoe UI" w:hAnsi="Segoe UI" w:cs="Segoe UI"/>
                <w:i/>
                <w:sz w:val="20"/>
              </w:rPr>
              <w:t>:</w:t>
            </w:r>
            <w:r w:rsidRPr="00064629">
              <w:rPr>
                <w:rFonts w:ascii="Segoe UI" w:hAnsi="Segoe UI" w:cs="Segoe UI"/>
                <w:i/>
                <w:sz w:val="20"/>
              </w:rPr>
              <w:t xml:space="preserve"> any changes to the local fee structure and rates does not lead to a commensurate rate adjustment of the single IT Park tax and residents of IT Parks do not attract any local fees liability (Art. 294</w:t>
            </w:r>
            <w:r w:rsidRPr="006F2CE6">
              <w:rPr>
                <w:rFonts w:ascii="Segoe UI" w:hAnsi="Segoe UI" w:cs="Segoe UI"/>
                <w:i/>
                <w:sz w:val="20"/>
                <w:vertAlign w:val="superscript"/>
              </w:rPr>
              <w:t>1</w:t>
            </w:r>
            <w:r w:rsidRPr="00064629">
              <w:rPr>
                <w:rFonts w:ascii="Segoe UI" w:hAnsi="Segoe UI" w:cs="Segoe UI"/>
                <w:i/>
                <w:sz w:val="20"/>
              </w:rPr>
              <w:t xml:space="preserve"> of TC).</w:t>
            </w:r>
          </w:p>
          <w:p w14:paraId="798655C1" w14:textId="77777777" w:rsidR="00316993" w:rsidRPr="00064629" w:rsidRDefault="00316993" w:rsidP="00E90BA7">
            <w:pPr>
              <w:pStyle w:val="ListBullet"/>
              <w:numPr>
                <w:ilvl w:val="0"/>
                <w:numId w:val="0"/>
              </w:numPr>
              <w:jc w:val="both"/>
              <w:rPr>
                <w:rFonts w:ascii="Segoe UI" w:hAnsi="Segoe UI" w:cs="Segoe UI"/>
                <w:i/>
                <w:sz w:val="20"/>
              </w:rPr>
            </w:pPr>
          </w:p>
          <w:p w14:paraId="4B36F077" w14:textId="2CAD6617" w:rsidR="005B2189" w:rsidRPr="00064629" w:rsidRDefault="00861FB3" w:rsidP="00E90BA7">
            <w:pPr>
              <w:pStyle w:val="BoxBullet"/>
              <w:numPr>
                <w:ilvl w:val="0"/>
                <w:numId w:val="0"/>
              </w:numPr>
              <w:jc w:val="both"/>
              <w:rPr>
                <w:sz w:val="20"/>
              </w:rPr>
            </w:pPr>
            <w:r w:rsidRPr="00064629">
              <w:rPr>
                <w:sz w:val="20"/>
              </w:rPr>
              <w:lastRenderedPageBreak/>
              <w:t>The M</w:t>
            </w:r>
            <w:r w:rsidR="002C4643" w:rsidRPr="00064629">
              <w:rPr>
                <w:sz w:val="20"/>
              </w:rPr>
              <w:t xml:space="preserve">inistry of </w:t>
            </w:r>
            <w:r w:rsidRPr="00064629">
              <w:rPr>
                <w:sz w:val="20"/>
              </w:rPr>
              <w:t>F</w:t>
            </w:r>
            <w:r w:rsidR="002C4643" w:rsidRPr="00064629">
              <w:rPr>
                <w:sz w:val="20"/>
              </w:rPr>
              <w:t>inance</w:t>
            </w:r>
            <w:r w:rsidRPr="00064629">
              <w:rPr>
                <w:sz w:val="20"/>
              </w:rPr>
              <w:t xml:space="preserve"> distributes the collected single tax received from IT Parks </w:t>
            </w:r>
            <w:r w:rsidR="008E65FE" w:rsidRPr="00064629">
              <w:rPr>
                <w:sz w:val="20"/>
              </w:rPr>
              <w:t>as</w:t>
            </w:r>
            <w:r w:rsidRPr="00064629">
              <w:rPr>
                <w:sz w:val="20"/>
              </w:rPr>
              <w:t xml:space="preserve"> follow</w:t>
            </w:r>
            <w:r w:rsidR="008E65FE" w:rsidRPr="00064629">
              <w:rPr>
                <w:sz w:val="20"/>
              </w:rPr>
              <w:t>s</w:t>
            </w:r>
            <w:r w:rsidRPr="00064629">
              <w:rPr>
                <w:sz w:val="20"/>
              </w:rPr>
              <w:t xml:space="preserve"> (Art. 14): </w:t>
            </w:r>
          </w:p>
          <w:p w14:paraId="4104456E" w14:textId="5DEE4F3A" w:rsidR="005B2189" w:rsidRPr="00064629" w:rsidRDefault="00861FB3" w:rsidP="00E90BA7">
            <w:pPr>
              <w:pStyle w:val="ListBullet"/>
              <w:jc w:val="both"/>
              <w:rPr>
                <w:rFonts w:ascii="Segoe UI" w:hAnsi="Segoe UI" w:cs="Segoe UI"/>
                <w:sz w:val="20"/>
              </w:rPr>
            </w:pPr>
            <w:r w:rsidRPr="00064629">
              <w:rPr>
                <w:rFonts w:ascii="Segoe UI" w:hAnsi="Segoe UI" w:cs="Segoe UI"/>
                <w:sz w:val="20"/>
              </w:rPr>
              <w:t>10 percent to compensate for corporate income</w:t>
            </w:r>
            <w:r w:rsidR="005B2189" w:rsidRPr="00064629">
              <w:rPr>
                <w:rFonts w:ascii="Segoe UI" w:hAnsi="Segoe UI" w:cs="Segoe UI"/>
                <w:sz w:val="20"/>
              </w:rPr>
              <w:t xml:space="preserve"> tax</w:t>
            </w:r>
            <w:r w:rsidR="008E65FE" w:rsidRPr="00064629">
              <w:rPr>
                <w:rFonts w:ascii="Segoe UI" w:hAnsi="Segoe UI" w:cs="Segoe UI"/>
                <w:sz w:val="20"/>
              </w:rPr>
              <w:t>—to the State Budget</w:t>
            </w:r>
          </w:p>
          <w:p w14:paraId="706B257D" w14:textId="57C215AD" w:rsidR="005C766E" w:rsidRPr="00064629" w:rsidRDefault="00861FB3" w:rsidP="00E90BA7">
            <w:pPr>
              <w:pStyle w:val="ListBullet"/>
              <w:jc w:val="both"/>
              <w:rPr>
                <w:rFonts w:ascii="Segoe UI" w:hAnsi="Segoe UI" w:cs="Segoe UI"/>
                <w:sz w:val="20"/>
              </w:rPr>
            </w:pPr>
            <w:r w:rsidRPr="00064629">
              <w:rPr>
                <w:rFonts w:ascii="Segoe UI" w:hAnsi="Segoe UI" w:cs="Segoe UI"/>
                <w:sz w:val="20"/>
              </w:rPr>
              <w:t>19.4 percent for wage withholding tax</w:t>
            </w:r>
            <w:r w:rsidR="005C766E" w:rsidRPr="00064629">
              <w:rPr>
                <w:rFonts w:ascii="Segoe UI" w:hAnsi="Segoe UI" w:cs="Segoe UI"/>
                <w:sz w:val="20"/>
              </w:rPr>
              <w:t>—to the State Budget</w:t>
            </w:r>
          </w:p>
          <w:p w14:paraId="268619BD" w14:textId="5D6C2717" w:rsidR="00562B4D" w:rsidRPr="00064629" w:rsidRDefault="00861FB3" w:rsidP="00E90BA7">
            <w:pPr>
              <w:pStyle w:val="ListBullet"/>
              <w:jc w:val="both"/>
              <w:rPr>
                <w:rFonts w:ascii="Segoe UI" w:hAnsi="Segoe UI" w:cs="Segoe UI"/>
                <w:sz w:val="20"/>
              </w:rPr>
            </w:pPr>
            <w:r w:rsidRPr="00064629">
              <w:rPr>
                <w:rFonts w:ascii="Segoe UI" w:hAnsi="Segoe UI" w:cs="Segoe UI"/>
                <w:sz w:val="20"/>
              </w:rPr>
              <w:t>54.7 percent share in lieu of state social insurance contributions</w:t>
            </w:r>
            <w:r w:rsidR="003A669D" w:rsidRPr="00064629">
              <w:rPr>
                <w:rFonts w:ascii="Segoe UI" w:hAnsi="Segoe UI" w:cs="Segoe UI"/>
                <w:sz w:val="20"/>
              </w:rPr>
              <w:t>—</w:t>
            </w:r>
            <w:r w:rsidR="005C766E" w:rsidRPr="00064629">
              <w:rPr>
                <w:rFonts w:ascii="Segoe UI" w:hAnsi="Segoe UI" w:cs="Segoe UI"/>
                <w:sz w:val="20"/>
              </w:rPr>
              <w:t>to the state social insurance budget</w:t>
            </w:r>
            <w:r w:rsidRPr="00064629">
              <w:rPr>
                <w:rFonts w:ascii="Segoe UI" w:hAnsi="Segoe UI" w:cs="Segoe UI"/>
                <w:sz w:val="20"/>
              </w:rPr>
              <w:t xml:space="preserve"> </w:t>
            </w:r>
          </w:p>
          <w:p w14:paraId="386284DC" w14:textId="7D741E19" w:rsidR="00562B4D" w:rsidRPr="00064629" w:rsidRDefault="00861FB3" w:rsidP="00E90BA7">
            <w:pPr>
              <w:pStyle w:val="ListBullet"/>
              <w:jc w:val="both"/>
              <w:rPr>
                <w:rFonts w:ascii="Segoe UI" w:hAnsi="Segoe UI" w:cs="Segoe UI"/>
                <w:sz w:val="20"/>
              </w:rPr>
            </w:pPr>
            <w:r w:rsidRPr="00064629">
              <w:rPr>
                <w:rFonts w:ascii="Segoe UI" w:hAnsi="Segoe UI" w:cs="Segoe UI"/>
                <w:sz w:val="20"/>
              </w:rPr>
              <w:t>15.4 percent</w:t>
            </w:r>
            <w:r w:rsidR="00562B4D" w:rsidRPr="00064629">
              <w:rPr>
                <w:rFonts w:ascii="Segoe UI" w:hAnsi="Segoe UI" w:cs="Segoe UI"/>
                <w:sz w:val="20"/>
              </w:rPr>
              <w:t>—to the health insurance fund</w:t>
            </w:r>
          </w:p>
          <w:p w14:paraId="224CA8D9" w14:textId="77777777" w:rsidR="00562B4D" w:rsidRPr="00064629" w:rsidRDefault="00562B4D" w:rsidP="00E90BA7">
            <w:pPr>
              <w:pStyle w:val="ListBullet"/>
              <w:jc w:val="both"/>
              <w:rPr>
                <w:rFonts w:ascii="Segoe UI" w:hAnsi="Segoe UI" w:cs="Segoe UI"/>
                <w:sz w:val="20"/>
              </w:rPr>
            </w:pPr>
            <w:r w:rsidRPr="00064629">
              <w:rPr>
                <w:rFonts w:ascii="Segoe UI" w:hAnsi="Segoe UI" w:cs="Segoe UI"/>
                <w:sz w:val="20"/>
              </w:rPr>
              <w:t>0.1 percent in lieu of the road use fee—to the State Budget</w:t>
            </w:r>
          </w:p>
          <w:p w14:paraId="6C02ADAD" w14:textId="15E46C3F" w:rsidR="00160807" w:rsidRPr="00064629" w:rsidRDefault="00861FB3" w:rsidP="00E90BA7">
            <w:pPr>
              <w:pStyle w:val="ListBullet"/>
              <w:jc w:val="both"/>
              <w:rPr>
                <w:rFonts w:ascii="Segoe UI" w:hAnsi="Segoe UI" w:cs="Segoe UI"/>
                <w:sz w:val="20"/>
              </w:rPr>
            </w:pPr>
            <w:r w:rsidRPr="00064629">
              <w:rPr>
                <w:rFonts w:ascii="Segoe UI" w:hAnsi="Segoe UI" w:cs="Segoe UI"/>
                <w:sz w:val="20"/>
              </w:rPr>
              <w:t>0.3 percent in lieu of local taxes</w:t>
            </w:r>
            <w:r w:rsidR="00160807" w:rsidRPr="00064629">
              <w:rPr>
                <w:rFonts w:ascii="Segoe UI" w:hAnsi="Segoe UI" w:cs="Segoe UI"/>
                <w:sz w:val="20"/>
              </w:rPr>
              <w:t>—to the local budgets</w:t>
            </w:r>
          </w:p>
          <w:p w14:paraId="06692C90" w14:textId="24CBF35D" w:rsidR="00861FB3" w:rsidRPr="00064629" w:rsidRDefault="00861FB3" w:rsidP="00E90BA7">
            <w:pPr>
              <w:pStyle w:val="ListBullet"/>
              <w:jc w:val="both"/>
              <w:rPr>
                <w:rFonts w:ascii="Segoe UI" w:hAnsi="Segoe UI" w:cs="Segoe UI"/>
                <w:sz w:val="20"/>
              </w:rPr>
            </w:pPr>
            <w:r w:rsidRPr="00064629">
              <w:rPr>
                <w:rFonts w:ascii="Segoe UI" w:hAnsi="Segoe UI" w:cs="Segoe UI"/>
                <w:sz w:val="20"/>
              </w:rPr>
              <w:t>0.1 percent in lieu of real estate tax</w:t>
            </w:r>
            <w:r w:rsidR="00160807" w:rsidRPr="00064629">
              <w:rPr>
                <w:rFonts w:ascii="Segoe UI" w:hAnsi="Segoe UI" w:cs="Segoe UI"/>
                <w:sz w:val="20"/>
              </w:rPr>
              <w:t>—to the local budgets</w:t>
            </w:r>
            <w:r w:rsidRPr="00064629">
              <w:rPr>
                <w:rFonts w:ascii="Segoe UI" w:hAnsi="Segoe UI" w:cs="Segoe UI"/>
                <w:sz w:val="20"/>
              </w:rPr>
              <w:t xml:space="preserve">. </w:t>
            </w:r>
          </w:p>
          <w:p w14:paraId="1B20E741" w14:textId="2AB89F32" w:rsidR="00861FB3" w:rsidRPr="00064629" w:rsidRDefault="006D753E" w:rsidP="00E90BA7">
            <w:pPr>
              <w:pStyle w:val="BoxBullet"/>
              <w:numPr>
                <w:ilvl w:val="0"/>
                <w:numId w:val="0"/>
              </w:numPr>
              <w:jc w:val="both"/>
              <w:rPr>
                <w:sz w:val="20"/>
              </w:rPr>
            </w:pPr>
            <w:r w:rsidRPr="00064629">
              <w:rPr>
                <w:sz w:val="20"/>
              </w:rPr>
              <w:t xml:space="preserve">The IT Park tax incentive translates into revenue </w:t>
            </w:r>
            <w:r w:rsidR="00031EE1" w:rsidRPr="00064629">
              <w:rPr>
                <w:sz w:val="20"/>
              </w:rPr>
              <w:t xml:space="preserve">forgone. </w:t>
            </w:r>
            <w:r w:rsidR="0026578E" w:rsidRPr="00064629">
              <w:rPr>
                <w:sz w:val="20"/>
              </w:rPr>
              <w:t>The methodology to estimate TEs in each tax instrument is as follows.</w:t>
            </w:r>
          </w:p>
          <w:p w14:paraId="4DC5A0B1" w14:textId="07C0117E" w:rsidR="00CC2FF5" w:rsidRPr="00064629" w:rsidRDefault="00ED4F02" w:rsidP="00E90BA7">
            <w:pPr>
              <w:pStyle w:val="ListBullet"/>
              <w:jc w:val="both"/>
              <w:rPr>
                <w:rFonts w:ascii="Segoe UI" w:hAnsi="Segoe UI" w:cs="Segoe UI"/>
                <w:sz w:val="20"/>
              </w:rPr>
            </w:pPr>
            <w:r w:rsidRPr="00064629">
              <w:rPr>
                <w:rFonts w:ascii="Segoe UI" w:hAnsi="Segoe UI" w:cs="Segoe UI"/>
                <w:sz w:val="20"/>
              </w:rPr>
              <w:t>Estimate Benchmark</w:t>
            </w:r>
            <w:r w:rsidR="008D6D1D" w:rsidRPr="00064629">
              <w:rPr>
                <w:rFonts w:ascii="Segoe UI" w:hAnsi="Segoe UI" w:cs="Segoe UI"/>
                <w:sz w:val="20"/>
              </w:rPr>
              <w:t xml:space="preserve"> </w:t>
            </w:r>
            <w:r w:rsidR="00CC2FF5" w:rsidRPr="00064629">
              <w:rPr>
                <w:rFonts w:ascii="Segoe UI" w:hAnsi="Segoe UI" w:cs="Segoe UI"/>
                <w:sz w:val="20"/>
              </w:rPr>
              <w:t>tax base</w:t>
            </w:r>
            <w:r w:rsidR="00EF6351" w:rsidRPr="00064629">
              <w:rPr>
                <w:rFonts w:ascii="Segoe UI" w:hAnsi="Segoe UI" w:cs="Segoe UI"/>
                <w:sz w:val="20"/>
              </w:rPr>
              <w:t xml:space="preserve"> (B)</w:t>
            </w:r>
            <w:r w:rsidR="00CC2FF5" w:rsidRPr="00064629">
              <w:rPr>
                <w:rFonts w:ascii="Segoe UI" w:hAnsi="Segoe UI" w:cs="Segoe UI"/>
                <w:sz w:val="20"/>
              </w:rPr>
              <w:t>—the tax base in the absence of the IT Park regime</w:t>
            </w:r>
          </w:p>
          <w:p w14:paraId="69BF76C9" w14:textId="77777777" w:rsidR="00577E1C" w:rsidRPr="00064629" w:rsidRDefault="002C1BE7" w:rsidP="00E90BA7">
            <w:pPr>
              <w:pStyle w:val="ListBullet"/>
              <w:jc w:val="both"/>
              <w:rPr>
                <w:rFonts w:ascii="Segoe UI" w:hAnsi="Segoe UI" w:cs="Segoe UI"/>
                <w:sz w:val="20"/>
              </w:rPr>
            </w:pPr>
            <w:r w:rsidRPr="00064629">
              <w:rPr>
                <w:rFonts w:ascii="Segoe UI" w:hAnsi="Segoe UI" w:cs="Segoe UI"/>
                <w:sz w:val="20"/>
              </w:rPr>
              <w:t xml:space="preserve">Estimate the Benchmark tax </w:t>
            </w:r>
            <w:r w:rsidR="00EF6351" w:rsidRPr="00064629">
              <w:rPr>
                <w:rFonts w:ascii="Segoe UI" w:hAnsi="Segoe UI" w:cs="Segoe UI"/>
                <w:sz w:val="20"/>
              </w:rPr>
              <w:t>(B</w:t>
            </w:r>
            <w:r w:rsidR="00EF6351" w:rsidRPr="00064629">
              <w:rPr>
                <w:rFonts w:ascii="Segoe UI" w:hAnsi="Segoe UI" w:cs="Segoe UI"/>
                <w:sz w:val="20"/>
                <w:vertAlign w:val="subscript"/>
              </w:rPr>
              <w:t>tax</w:t>
            </w:r>
            <w:r w:rsidR="00EF6351" w:rsidRPr="00064629">
              <w:rPr>
                <w:rFonts w:ascii="Segoe UI" w:hAnsi="Segoe UI" w:cs="Segoe UI"/>
                <w:sz w:val="20"/>
              </w:rPr>
              <w:t xml:space="preserve">) </w:t>
            </w:r>
            <w:r w:rsidR="008A5ED3" w:rsidRPr="00064629">
              <w:rPr>
                <w:rFonts w:ascii="Segoe UI" w:hAnsi="Segoe UI" w:cs="Segoe UI"/>
                <w:sz w:val="20"/>
              </w:rPr>
              <w:t xml:space="preserve">that would be </w:t>
            </w:r>
            <w:r w:rsidRPr="00064629">
              <w:rPr>
                <w:rFonts w:ascii="Segoe UI" w:hAnsi="Segoe UI" w:cs="Segoe UI"/>
                <w:sz w:val="20"/>
              </w:rPr>
              <w:t>payable</w:t>
            </w:r>
            <w:r w:rsidR="008A5ED3" w:rsidRPr="00064629">
              <w:rPr>
                <w:rFonts w:ascii="Segoe UI" w:hAnsi="Segoe UI" w:cs="Segoe UI"/>
                <w:sz w:val="20"/>
              </w:rPr>
              <w:t xml:space="preserve"> in the absence of the IT Park regime</w:t>
            </w:r>
            <w:r w:rsidRPr="00064629">
              <w:rPr>
                <w:rFonts w:ascii="Segoe UI" w:hAnsi="Segoe UI" w:cs="Segoe UI"/>
                <w:sz w:val="20"/>
              </w:rPr>
              <w:t xml:space="preserve"> </w:t>
            </w:r>
          </w:p>
          <w:p w14:paraId="6E4C97EA" w14:textId="5B69D331" w:rsidR="0047792E" w:rsidRPr="00064629" w:rsidRDefault="00CC2FF5" w:rsidP="00E90BA7">
            <w:pPr>
              <w:pStyle w:val="ListBullet"/>
              <w:jc w:val="both"/>
              <w:rPr>
                <w:rFonts w:ascii="Segoe UI" w:hAnsi="Segoe UI" w:cs="Segoe UI"/>
                <w:sz w:val="20"/>
              </w:rPr>
            </w:pPr>
            <w:r w:rsidRPr="00064629">
              <w:rPr>
                <w:rFonts w:ascii="Segoe UI" w:hAnsi="Segoe UI" w:cs="Segoe UI"/>
                <w:sz w:val="20"/>
              </w:rPr>
              <w:t xml:space="preserve">Subtract </w:t>
            </w:r>
            <w:r w:rsidR="00D61071" w:rsidRPr="00064629">
              <w:rPr>
                <w:rFonts w:ascii="Segoe UI" w:hAnsi="Segoe UI" w:cs="Segoe UI"/>
                <w:sz w:val="20"/>
              </w:rPr>
              <w:t xml:space="preserve">share </w:t>
            </w:r>
            <w:r w:rsidR="004D7BE0" w:rsidRPr="00064629">
              <w:rPr>
                <w:rFonts w:ascii="Segoe UI" w:hAnsi="Segoe UI" w:cs="Segoe UI"/>
                <w:sz w:val="20"/>
              </w:rPr>
              <w:t xml:space="preserve">of tax </w:t>
            </w:r>
            <w:r w:rsidR="00D61071" w:rsidRPr="00064629">
              <w:rPr>
                <w:rFonts w:ascii="Segoe UI" w:hAnsi="Segoe UI" w:cs="Segoe UI"/>
                <w:sz w:val="20"/>
              </w:rPr>
              <w:t>(S</w:t>
            </w:r>
            <w:r w:rsidR="00173A9B" w:rsidRPr="00064629">
              <w:rPr>
                <w:rFonts w:ascii="Segoe UI" w:hAnsi="Segoe UI" w:cs="Segoe UI"/>
                <w:sz w:val="20"/>
                <w:vertAlign w:val="subscript"/>
              </w:rPr>
              <w:t>T</w:t>
            </w:r>
            <w:r w:rsidR="00D61071" w:rsidRPr="00064629">
              <w:rPr>
                <w:rFonts w:ascii="Segoe UI" w:hAnsi="Segoe UI" w:cs="Segoe UI"/>
                <w:sz w:val="20"/>
              </w:rPr>
              <w:t>)</w:t>
            </w:r>
            <w:r w:rsidR="003C780E" w:rsidRPr="00064629">
              <w:rPr>
                <w:rFonts w:ascii="Segoe UI" w:hAnsi="Segoe UI" w:cs="Segoe UI"/>
                <w:sz w:val="20"/>
              </w:rPr>
              <w:t xml:space="preserve">, paid </w:t>
            </w:r>
            <w:r w:rsidR="00173A9B" w:rsidRPr="00064629">
              <w:rPr>
                <w:rFonts w:ascii="Segoe UI" w:hAnsi="Segoe UI" w:cs="Segoe UI"/>
                <w:sz w:val="20"/>
              </w:rPr>
              <w:t xml:space="preserve">by the IT </w:t>
            </w:r>
            <w:r w:rsidR="00A758A6">
              <w:rPr>
                <w:rFonts w:ascii="Segoe UI" w:hAnsi="Segoe UI" w:cs="Segoe UI"/>
                <w:sz w:val="20"/>
              </w:rPr>
              <w:t xml:space="preserve">Park </w:t>
            </w:r>
            <w:r w:rsidR="00173A9B" w:rsidRPr="00064629">
              <w:rPr>
                <w:rFonts w:ascii="Segoe UI" w:hAnsi="Segoe UI" w:cs="Segoe UI"/>
                <w:sz w:val="20"/>
              </w:rPr>
              <w:t xml:space="preserve">regime </w:t>
            </w:r>
            <w:r w:rsidR="00524373" w:rsidRPr="00064629">
              <w:rPr>
                <w:rFonts w:ascii="Segoe UI" w:hAnsi="Segoe UI" w:cs="Segoe UI"/>
                <w:sz w:val="20"/>
              </w:rPr>
              <w:t>in l</w:t>
            </w:r>
            <w:r w:rsidR="00DB6ADF">
              <w:rPr>
                <w:rFonts w:ascii="Segoe UI" w:hAnsi="Segoe UI" w:cs="Segoe UI"/>
                <w:sz w:val="20"/>
              </w:rPr>
              <w:t>i</w:t>
            </w:r>
            <w:r w:rsidR="00524373" w:rsidRPr="00064629">
              <w:rPr>
                <w:rFonts w:ascii="Segoe UI" w:hAnsi="Segoe UI" w:cs="Segoe UI"/>
                <w:sz w:val="20"/>
              </w:rPr>
              <w:t>eu of the tax under consideration</w:t>
            </w:r>
            <w:r w:rsidR="00754948" w:rsidRPr="00064629">
              <w:rPr>
                <w:rFonts w:ascii="Segoe UI" w:hAnsi="Segoe UI" w:cs="Segoe UI"/>
                <w:sz w:val="20"/>
              </w:rPr>
              <w:t>,</w:t>
            </w:r>
            <w:r w:rsidR="00524373" w:rsidRPr="00064629">
              <w:rPr>
                <w:rFonts w:ascii="Segoe UI" w:hAnsi="Segoe UI" w:cs="Segoe UI"/>
                <w:sz w:val="20"/>
              </w:rPr>
              <w:t xml:space="preserve"> to derive </w:t>
            </w:r>
            <w:r w:rsidR="007A291E" w:rsidRPr="00064629">
              <w:rPr>
                <w:rFonts w:ascii="Segoe UI" w:hAnsi="Segoe UI" w:cs="Segoe UI"/>
                <w:sz w:val="20"/>
              </w:rPr>
              <w:t xml:space="preserve">at </w:t>
            </w:r>
            <w:r w:rsidR="00F04754">
              <w:rPr>
                <w:rFonts w:ascii="Segoe UI" w:hAnsi="Segoe UI" w:cs="Segoe UI"/>
                <w:sz w:val="20"/>
              </w:rPr>
              <w:t xml:space="preserve">the </w:t>
            </w:r>
            <w:r w:rsidR="007A291E" w:rsidRPr="00064629">
              <w:rPr>
                <w:rFonts w:ascii="Segoe UI" w:hAnsi="Segoe UI" w:cs="Segoe UI"/>
                <w:sz w:val="20"/>
              </w:rPr>
              <w:t>TE.</w:t>
            </w:r>
          </w:p>
          <w:p w14:paraId="38023DD0" w14:textId="13194A80" w:rsidR="007A291E" w:rsidRPr="00064629" w:rsidRDefault="00085A0A" w:rsidP="00E90BA7">
            <w:pPr>
              <w:pStyle w:val="ListBullet"/>
              <w:numPr>
                <w:ilvl w:val="0"/>
                <w:numId w:val="0"/>
              </w:numPr>
              <w:jc w:val="both"/>
              <w:rPr>
                <w:rFonts w:ascii="Segoe UI" w:hAnsi="Segoe UI" w:cs="Segoe UI"/>
                <w:sz w:val="20"/>
              </w:rPr>
            </w:pPr>
            <w:r w:rsidRPr="00064629">
              <w:rPr>
                <w:rFonts w:ascii="Segoe UI" w:hAnsi="Segoe UI" w:cs="Segoe UI"/>
                <w:sz w:val="20"/>
              </w:rPr>
              <w:t xml:space="preserve">As an example, </w:t>
            </w:r>
            <w:r w:rsidR="008A30ED" w:rsidRPr="00064629">
              <w:rPr>
                <w:rFonts w:ascii="Segoe UI" w:hAnsi="Segoe UI" w:cs="Segoe UI"/>
                <w:sz w:val="20"/>
              </w:rPr>
              <w:t>expressed formulaically</w:t>
            </w:r>
            <w:r w:rsidR="00AD44CA" w:rsidRPr="00064629">
              <w:rPr>
                <w:rFonts w:ascii="Segoe UI" w:hAnsi="Segoe UI" w:cs="Segoe UI"/>
                <w:sz w:val="20"/>
              </w:rPr>
              <w:t xml:space="preserve">, </w:t>
            </w:r>
            <w:r w:rsidRPr="00064629">
              <w:rPr>
                <w:rFonts w:ascii="Segoe UI" w:hAnsi="Segoe UI" w:cs="Segoe UI"/>
                <w:sz w:val="20"/>
              </w:rPr>
              <w:t>TEs</w:t>
            </w:r>
            <w:r w:rsidR="002B2ABE" w:rsidRPr="00064629">
              <w:rPr>
                <w:rFonts w:ascii="Segoe UI" w:hAnsi="Segoe UI" w:cs="Segoe UI"/>
                <w:sz w:val="20"/>
              </w:rPr>
              <w:t xml:space="preserve"> of the IT Park regime</w:t>
            </w:r>
            <w:r w:rsidRPr="00064629">
              <w:rPr>
                <w:rFonts w:ascii="Segoe UI" w:hAnsi="Segoe UI" w:cs="Segoe UI"/>
                <w:sz w:val="20"/>
              </w:rPr>
              <w:t xml:space="preserve"> in the personal income tax </w:t>
            </w:r>
            <w:r w:rsidR="00AB2A7C" w:rsidRPr="00064629">
              <w:rPr>
                <w:rFonts w:ascii="Segoe UI" w:hAnsi="Segoe UI" w:cs="Segoe UI"/>
                <w:sz w:val="20"/>
              </w:rPr>
              <w:t>are:</w:t>
            </w:r>
          </w:p>
          <w:p w14:paraId="61201D93" w14:textId="387EA6A4" w:rsidR="004B0A90" w:rsidRPr="00064629" w:rsidRDefault="00AB2A7C" w:rsidP="00E90BA7">
            <w:pPr>
              <w:pStyle w:val="ListBullet"/>
              <w:numPr>
                <w:ilvl w:val="0"/>
                <w:numId w:val="0"/>
              </w:numPr>
              <w:jc w:val="both"/>
              <w:rPr>
                <w:rFonts w:ascii="Segoe UI" w:hAnsi="Segoe UI" w:cs="Segoe UI"/>
                <w:sz w:val="20"/>
              </w:rPr>
            </w:pPr>
            <w:r w:rsidRPr="00064629">
              <w:rPr>
                <w:rFonts w:ascii="Segoe UI" w:hAnsi="Segoe UI" w:cs="Segoe UI"/>
                <w:sz w:val="20"/>
              </w:rPr>
              <w:t>TE</w:t>
            </w:r>
            <w:r w:rsidRPr="00064629">
              <w:rPr>
                <w:rFonts w:ascii="Segoe UI" w:hAnsi="Segoe UI" w:cs="Segoe UI"/>
                <w:sz w:val="20"/>
                <w:vertAlign w:val="subscript"/>
              </w:rPr>
              <w:t>PIT</w:t>
            </w:r>
            <w:r w:rsidRPr="00064629">
              <w:rPr>
                <w:rFonts w:ascii="Segoe UI" w:hAnsi="Segoe UI" w:cs="Segoe UI"/>
                <w:sz w:val="20"/>
              </w:rPr>
              <w:t xml:space="preserve"> = B</w:t>
            </w:r>
            <w:r w:rsidRPr="00064629">
              <w:rPr>
                <w:rFonts w:ascii="Segoe UI" w:hAnsi="Segoe UI" w:cs="Segoe UI"/>
                <w:sz w:val="20"/>
                <w:vertAlign w:val="subscript"/>
              </w:rPr>
              <w:t>PIT</w:t>
            </w:r>
            <w:r w:rsidRPr="00064629">
              <w:rPr>
                <w:rFonts w:ascii="Segoe UI" w:hAnsi="Segoe UI" w:cs="Segoe UI"/>
                <w:sz w:val="20"/>
              </w:rPr>
              <w:t xml:space="preserve"> — </w:t>
            </w:r>
            <w:r w:rsidR="000E1912" w:rsidRPr="00064629">
              <w:rPr>
                <w:rFonts w:ascii="Segoe UI" w:hAnsi="Segoe UI" w:cs="Segoe UI"/>
                <w:sz w:val="20"/>
              </w:rPr>
              <w:t>S</w:t>
            </w:r>
            <w:r w:rsidR="003804BB" w:rsidRPr="00064629">
              <w:rPr>
                <w:rFonts w:ascii="Segoe UI" w:hAnsi="Segoe UI" w:cs="Segoe UI"/>
                <w:sz w:val="20"/>
                <w:vertAlign w:val="subscript"/>
              </w:rPr>
              <w:t>PIT</w:t>
            </w:r>
          </w:p>
          <w:p w14:paraId="104EEE9A" w14:textId="1848BD81" w:rsidR="00F73F4A" w:rsidRPr="00064629" w:rsidRDefault="007E02B3" w:rsidP="00E90BA7">
            <w:pPr>
              <w:pStyle w:val="ListBullet"/>
              <w:numPr>
                <w:ilvl w:val="0"/>
                <w:numId w:val="0"/>
              </w:numPr>
              <w:jc w:val="both"/>
              <w:rPr>
                <w:rFonts w:ascii="Segoe UI" w:hAnsi="Segoe UI" w:cs="Segoe UI"/>
                <w:sz w:val="20"/>
              </w:rPr>
            </w:pPr>
            <w:r w:rsidRPr="00064629">
              <w:rPr>
                <w:rFonts w:ascii="Segoe UI" w:hAnsi="Segoe UI" w:cs="Segoe UI"/>
                <w:sz w:val="20"/>
              </w:rPr>
              <w:t>TE</w:t>
            </w:r>
            <w:r w:rsidRPr="00064629">
              <w:rPr>
                <w:rFonts w:ascii="Segoe UI" w:hAnsi="Segoe UI" w:cs="Segoe UI"/>
                <w:sz w:val="20"/>
                <w:vertAlign w:val="subscript"/>
              </w:rPr>
              <w:t>PIT</w:t>
            </w:r>
            <w:r w:rsidRPr="00064629">
              <w:rPr>
                <w:rFonts w:ascii="Segoe UI" w:hAnsi="Segoe UI" w:cs="Segoe UI"/>
                <w:sz w:val="20"/>
              </w:rPr>
              <w:t xml:space="preserve"> = </w:t>
            </w:r>
            <w:r w:rsidR="0064412A" w:rsidRPr="00064629">
              <w:rPr>
                <w:rFonts w:ascii="Segoe UI" w:hAnsi="Segoe UI" w:cs="Segoe UI"/>
                <w:sz w:val="20"/>
              </w:rPr>
              <w:t>B</w:t>
            </w:r>
            <w:r w:rsidR="00407D56" w:rsidRPr="00064629">
              <w:rPr>
                <w:rFonts w:ascii="Segoe UI" w:hAnsi="Segoe UI" w:cs="Segoe UI"/>
                <w:sz w:val="20"/>
              </w:rPr>
              <w:t xml:space="preserve"> </w:t>
            </w:r>
            <w:r w:rsidR="0064412A" w:rsidRPr="00064629">
              <w:rPr>
                <w:rFonts w:ascii="Segoe UI" w:hAnsi="Segoe UI" w:cs="Segoe UI"/>
                <w:sz w:val="20"/>
              </w:rPr>
              <w:t>*</w:t>
            </w:r>
            <w:r w:rsidR="00407D56" w:rsidRPr="00064629">
              <w:rPr>
                <w:rFonts w:ascii="Segoe UI" w:hAnsi="Segoe UI" w:cs="Segoe UI"/>
                <w:sz w:val="20"/>
              </w:rPr>
              <w:t xml:space="preserve"> 12%</w:t>
            </w:r>
            <w:r w:rsidR="0064412A" w:rsidRPr="00064629">
              <w:rPr>
                <w:rFonts w:ascii="Segoe UI" w:hAnsi="Segoe UI" w:cs="Segoe UI"/>
                <w:sz w:val="20"/>
              </w:rPr>
              <w:t xml:space="preserve"> </w:t>
            </w:r>
            <w:r w:rsidR="000C550F" w:rsidRPr="00064629">
              <w:rPr>
                <w:rFonts w:ascii="Segoe UI" w:hAnsi="Segoe UI" w:cs="Segoe UI"/>
                <w:sz w:val="20"/>
              </w:rPr>
              <w:t xml:space="preserve">— 19.4% * </w:t>
            </w:r>
            <w:r w:rsidR="00243515" w:rsidRPr="00064629">
              <w:rPr>
                <w:rFonts w:ascii="Segoe UI" w:hAnsi="Segoe UI" w:cs="Segoe UI"/>
                <w:sz w:val="20"/>
              </w:rPr>
              <w:t xml:space="preserve">7% </w:t>
            </w:r>
            <w:r w:rsidR="002D217E" w:rsidRPr="00064629">
              <w:rPr>
                <w:rFonts w:ascii="Segoe UI" w:hAnsi="Segoe UI" w:cs="Segoe UI"/>
                <w:sz w:val="20"/>
              </w:rPr>
              <w:t xml:space="preserve">* </w:t>
            </w:r>
            <w:r w:rsidR="000C550F" w:rsidRPr="00064629">
              <w:rPr>
                <w:rFonts w:ascii="Segoe UI" w:hAnsi="Segoe UI" w:cs="Segoe UI"/>
                <w:sz w:val="20"/>
              </w:rPr>
              <w:t>Turnover</w:t>
            </w:r>
          </w:p>
          <w:p w14:paraId="4609F537" w14:textId="77777777" w:rsidR="00B21B17" w:rsidRPr="00064629" w:rsidRDefault="00C70524" w:rsidP="00E90BA7">
            <w:pPr>
              <w:pStyle w:val="ListBullet"/>
              <w:numPr>
                <w:ilvl w:val="0"/>
                <w:numId w:val="0"/>
              </w:numPr>
              <w:jc w:val="both"/>
              <w:rPr>
                <w:rFonts w:ascii="Segoe UI" w:hAnsi="Segoe UI" w:cs="Segoe UI"/>
                <w:sz w:val="20"/>
              </w:rPr>
            </w:pPr>
            <w:r w:rsidRPr="00064629">
              <w:rPr>
                <w:rFonts w:ascii="Segoe UI" w:hAnsi="Segoe UI" w:cs="Segoe UI"/>
                <w:sz w:val="20"/>
              </w:rPr>
              <w:t>w</w:t>
            </w:r>
            <w:r w:rsidR="007F19A2" w:rsidRPr="00064629">
              <w:rPr>
                <w:rFonts w:ascii="Segoe UI" w:hAnsi="Segoe UI" w:cs="Segoe UI"/>
                <w:sz w:val="20"/>
              </w:rPr>
              <w:t xml:space="preserve">here, </w:t>
            </w:r>
          </w:p>
          <w:p w14:paraId="7EF5D348" w14:textId="3C176E11" w:rsidR="007F19A2" w:rsidRPr="00064629" w:rsidRDefault="00407D56" w:rsidP="00E90BA7">
            <w:pPr>
              <w:pStyle w:val="ListBullet"/>
              <w:numPr>
                <w:ilvl w:val="0"/>
                <w:numId w:val="0"/>
              </w:numPr>
              <w:jc w:val="both"/>
              <w:rPr>
                <w:rFonts w:ascii="Segoe UI" w:hAnsi="Segoe UI" w:cs="Segoe UI"/>
                <w:sz w:val="20"/>
              </w:rPr>
            </w:pPr>
            <w:r w:rsidRPr="00064629">
              <w:rPr>
                <w:rFonts w:ascii="Segoe UI" w:hAnsi="Segoe UI" w:cs="Segoe UI"/>
                <w:sz w:val="20"/>
              </w:rPr>
              <w:t>B * 12%</w:t>
            </w:r>
            <w:r w:rsidR="00C70524" w:rsidRPr="00064629">
              <w:rPr>
                <w:rFonts w:ascii="Segoe UI" w:hAnsi="Segoe UI" w:cs="Segoe UI"/>
                <w:sz w:val="20"/>
              </w:rPr>
              <w:t xml:space="preserve"> is </w:t>
            </w:r>
            <w:r w:rsidR="00215137">
              <w:rPr>
                <w:rFonts w:ascii="Segoe UI" w:hAnsi="Segoe UI" w:cs="Segoe UI"/>
                <w:sz w:val="20"/>
              </w:rPr>
              <w:t>PIT</w:t>
            </w:r>
            <w:r w:rsidR="005A0D17" w:rsidRPr="00064629">
              <w:rPr>
                <w:rFonts w:ascii="Segoe UI" w:hAnsi="Segoe UI" w:cs="Segoe UI"/>
                <w:sz w:val="20"/>
              </w:rPr>
              <w:t xml:space="preserve"> that would have been paid by companies registered in the IT </w:t>
            </w:r>
            <w:r w:rsidR="0033201B">
              <w:rPr>
                <w:rFonts w:ascii="Segoe UI" w:hAnsi="Segoe UI" w:cs="Segoe UI"/>
                <w:sz w:val="20"/>
              </w:rPr>
              <w:t xml:space="preserve">Park </w:t>
            </w:r>
            <w:r w:rsidR="005A0D17" w:rsidRPr="00064629">
              <w:rPr>
                <w:rFonts w:ascii="Segoe UI" w:hAnsi="Segoe UI" w:cs="Segoe UI"/>
                <w:sz w:val="20"/>
              </w:rPr>
              <w:t>regime, in the absence of the IT Park regime</w:t>
            </w:r>
          </w:p>
          <w:p w14:paraId="5D849FE4" w14:textId="14E53A8A" w:rsidR="005A0D17" w:rsidRPr="00064629" w:rsidRDefault="00013359" w:rsidP="00E90BA7">
            <w:pPr>
              <w:pStyle w:val="ListBullet"/>
              <w:numPr>
                <w:ilvl w:val="0"/>
                <w:numId w:val="0"/>
              </w:numPr>
              <w:jc w:val="both"/>
              <w:rPr>
                <w:rFonts w:ascii="Segoe UI" w:hAnsi="Segoe UI" w:cs="Segoe UI"/>
                <w:sz w:val="20"/>
              </w:rPr>
            </w:pPr>
            <w:r w:rsidRPr="00064629">
              <w:rPr>
                <w:rFonts w:ascii="Segoe UI" w:hAnsi="Segoe UI" w:cs="Segoe UI"/>
                <w:sz w:val="20"/>
              </w:rPr>
              <w:t>7% * Turnover is the single payment by residents of IT Park</w:t>
            </w:r>
          </w:p>
          <w:p w14:paraId="3A6DA56D" w14:textId="763F07DB" w:rsidR="00F73F4A" w:rsidRPr="00064629" w:rsidRDefault="00013359" w:rsidP="00E90BA7">
            <w:pPr>
              <w:pStyle w:val="ListBullet"/>
              <w:numPr>
                <w:ilvl w:val="0"/>
                <w:numId w:val="0"/>
              </w:numPr>
              <w:jc w:val="both"/>
              <w:rPr>
                <w:rFonts w:ascii="Segoe UI" w:hAnsi="Segoe UI" w:cs="Segoe UI"/>
                <w:sz w:val="20"/>
              </w:rPr>
            </w:pPr>
            <w:r w:rsidRPr="00064629">
              <w:rPr>
                <w:rFonts w:ascii="Segoe UI" w:hAnsi="Segoe UI" w:cs="Segoe UI"/>
                <w:sz w:val="20"/>
              </w:rPr>
              <w:t xml:space="preserve">19.4% * 7% * Turnover is the share of </w:t>
            </w:r>
            <w:r w:rsidR="00D661D5" w:rsidRPr="00064629">
              <w:rPr>
                <w:rFonts w:ascii="Segoe UI" w:hAnsi="Segoe UI" w:cs="Segoe UI"/>
                <w:sz w:val="20"/>
              </w:rPr>
              <w:t>single payment by the IT Park residents paid in l</w:t>
            </w:r>
            <w:r w:rsidR="003353BE">
              <w:rPr>
                <w:rFonts w:ascii="Segoe UI" w:hAnsi="Segoe UI" w:cs="Segoe UI"/>
                <w:sz w:val="20"/>
              </w:rPr>
              <w:t>i</w:t>
            </w:r>
            <w:r w:rsidR="00D661D5" w:rsidRPr="00064629">
              <w:rPr>
                <w:rFonts w:ascii="Segoe UI" w:hAnsi="Segoe UI" w:cs="Segoe UI"/>
                <w:sz w:val="20"/>
              </w:rPr>
              <w:t xml:space="preserve">eu of </w:t>
            </w:r>
            <w:r w:rsidRPr="00064629">
              <w:rPr>
                <w:rFonts w:ascii="Segoe UI" w:hAnsi="Segoe UI" w:cs="Segoe UI"/>
                <w:sz w:val="20"/>
              </w:rPr>
              <w:t xml:space="preserve">PIT </w:t>
            </w:r>
          </w:p>
        </w:tc>
      </w:tr>
    </w:tbl>
    <w:p w14:paraId="376B3C6E" w14:textId="77777777" w:rsidR="00861FB3" w:rsidRDefault="00861FB3" w:rsidP="00E90BA7">
      <w:pPr>
        <w:jc w:val="both"/>
        <w:rPr>
          <w:rFonts w:ascii="Segoe UI" w:hAnsi="Segoe UI"/>
          <w:sz w:val="21"/>
          <w:szCs w:val="20"/>
        </w:rPr>
      </w:pPr>
    </w:p>
    <w:p w14:paraId="3338CE5E" w14:textId="72287552" w:rsidR="00F77F6D" w:rsidRPr="00255CEB" w:rsidRDefault="001C5875" w:rsidP="00E90BA7">
      <w:pPr>
        <w:pStyle w:val="Heading3"/>
        <w:jc w:val="both"/>
        <w:rPr>
          <w:rStyle w:val="RegularDKB"/>
          <w:b/>
          <w:bCs/>
          <w:caps w:val="0"/>
        </w:rPr>
      </w:pPr>
      <w:bookmarkStart w:id="21" w:name="_Toc126555824"/>
      <w:bookmarkStart w:id="22" w:name="_Hlk95891799"/>
      <w:r w:rsidRPr="00255CEB">
        <w:rPr>
          <w:rStyle w:val="RegularDKB"/>
          <w:b/>
          <w:bCs/>
          <w:caps w:val="0"/>
        </w:rPr>
        <w:t>Business</w:t>
      </w:r>
      <w:r w:rsidR="00F77F6D" w:rsidRPr="00255CEB">
        <w:rPr>
          <w:rStyle w:val="RegularDKB"/>
          <w:b/>
          <w:bCs/>
          <w:caps w:val="0"/>
        </w:rPr>
        <w:t xml:space="preserve"> income tax</w:t>
      </w:r>
      <w:bookmarkEnd w:id="21"/>
    </w:p>
    <w:p w14:paraId="2551AE76" w14:textId="194C15CD" w:rsidR="00F77F6D" w:rsidRPr="00CB1E53" w:rsidRDefault="001C5875" w:rsidP="00E90BA7">
      <w:pPr>
        <w:pStyle w:val="Heading4"/>
        <w:spacing w:after="120" w:line="264" w:lineRule="auto"/>
        <w:jc w:val="both"/>
        <w:rPr>
          <w:rFonts w:ascii="Segoe UI" w:hAnsi="Segoe UI" w:cs="Segoe UI"/>
          <w:i w:val="0"/>
          <w:sz w:val="21"/>
          <w:szCs w:val="21"/>
        </w:rPr>
      </w:pPr>
      <w:r w:rsidRPr="00CB1E53">
        <w:rPr>
          <w:rFonts w:ascii="Segoe UI" w:hAnsi="Segoe UI" w:cs="Segoe UI"/>
          <w:color w:val="004C97" w:themeColor="text2"/>
          <w:sz w:val="21"/>
          <w:szCs w:val="21"/>
        </w:rPr>
        <w:t>C</w:t>
      </w:r>
      <w:r w:rsidR="00F77F6D" w:rsidRPr="00CB1E53">
        <w:rPr>
          <w:rFonts w:ascii="Segoe UI" w:hAnsi="Segoe UI" w:cs="Segoe UI"/>
          <w:color w:val="004C97" w:themeColor="text2"/>
          <w:sz w:val="21"/>
          <w:szCs w:val="21"/>
        </w:rPr>
        <w:t>ommon approach</w:t>
      </w:r>
    </w:p>
    <w:p w14:paraId="499EB531" w14:textId="4B374FC5"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Under a standard </w:t>
      </w:r>
      <w:r w:rsidR="0029502A">
        <w:rPr>
          <w:rFonts w:ascii="Segoe UI" w:hAnsi="Segoe UI" w:cs="Segoe UI"/>
          <w:sz w:val="21"/>
          <w:szCs w:val="21"/>
        </w:rPr>
        <w:t>B</w:t>
      </w:r>
      <w:r w:rsidRPr="00CB1E53">
        <w:rPr>
          <w:rFonts w:ascii="Segoe UI" w:hAnsi="Segoe UI" w:cs="Segoe UI"/>
          <w:sz w:val="21"/>
          <w:szCs w:val="21"/>
        </w:rPr>
        <w:t xml:space="preserve">IT, the benchmark should be based on the prevailing tax on profits with a single rate of tax and no tax relief, other than for usual business expenses. However, if a higher </w:t>
      </w:r>
      <w:r w:rsidR="009A7225">
        <w:rPr>
          <w:rFonts w:ascii="Segoe UI" w:hAnsi="Segoe UI" w:cs="Segoe UI"/>
          <w:sz w:val="21"/>
          <w:szCs w:val="21"/>
        </w:rPr>
        <w:t>BIT</w:t>
      </w:r>
      <w:r w:rsidRPr="00CB1E53">
        <w:rPr>
          <w:rFonts w:ascii="Segoe UI" w:hAnsi="Segoe UI" w:cs="Segoe UI"/>
          <w:sz w:val="21"/>
          <w:szCs w:val="21"/>
        </w:rPr>
        <w:t xml:space="preserve"> rate (or rates) applies on some sectors because of location-specific rent (for example, for extractive industries), this should be disregarded when identifying the highest rate for defining the benchmark applied to </w:t>
      </w:r>
      <w:r w:rsidRPr="00CB1E53">
        <w:rPr>
          <w:rFonts w:ascii="Segoe UI" w:hAnsi="Segoe UI" w:cs="Segoe UI"/>
          <w:sz w:val="21"/>
          <w:szCs w:val="21"/>
        </w:rPr>
        <w:lastRenderedPageBreak/>
        <w:t>sectors without location-specific rent.</w:t>
      </w:r>
      <w:r w:rsidR="00E5565E" w:rsidRPr="0E25DDAF">
        <w:rPr>
          <w:rStyle w:val="FootnoteReference"/>
          <w:rFonts w:ascii="Segoe UI" w:hAnsi="Segoe UI" w:cs="Segoe UI"/>
        </w:rPr>
        <w:footnoteReference w:id="12"/>
      </w:r>
      <w:r w:rsidRPr="00CB1E53">
        <w:rPr>
          <w:rFonts w:ascii="Segoe UI" w:hAnsi="Segoe UI" w:cs="Segoe UI"/>
          <w:sz w:val="21"/>
          <w:szCs w:val="21"/>
        </w:rPr>
        <w:t xml:space="preserve"> Certain business expenses pose challenges in defining the benchmark. For example, should depreciation allowances be based on economic depreciation or accelerated (tax) depreciation, which provides a timing advantage? Should financing costs, such as interest expenses, be allowed without limit, or should limits on interest deductibility be accounted for as a “negative </w:t>
      </w:r>
      <w:r w:rsidR="009430CA" w:rsidRPr="00CB1E53">
        <w:rPr>
          <w:rFonts w:ascii="Segoe UI" w:hAnsi="Segoe UI" w:cs="Segoe UI"/>
          <w:sz w:val="21"/>
          <w:szCs w:val="21"/>
        </w:rPr>
        <w:t>TE</w:t>
      </w:r>
      <w:r w:rsidRPr="00CB1E53">
        <w:rPr>
          <w:rFonts w:ascii="Segoe UI" w:hAnsi="Segoe UI" w:cs="Segoe UI"/>
          <w:sz w:val="21"/>
          <w:szCs w:val="21"/>
        </w:rPr>
        <w:t>”?</w:t>
      </w:r>
      <w:r w:rsidRPr="00CB1E53">
        <w:rPr>
          <w:rStyle w:val="FootnoteReference"/>
          <w:rFonts w:ascii="Segoe UI" w:hAnsi="Segoe UI" w:cs="Segoe UI"/>
          <w:sz w:val="21"/>
          <w:szCs w:val="21"/>
        </w:rPr>
        <w:footnoteReference w:id="13"/>
      </w:r>
      <w:r w:rsidRPr="00CB1E53">
        <w:rPr>
          <w:rFonts w:ascii="Segoe UI" w:hAnsi="Segoe UI" w:cs="Segoe UI"/>
          <w:sz w:val="21"/>
          <w:szCs w:val="21"/>
        </w:rPr>
        <w:t xml:space="preserve"> There is no globally uniform approach, but it is important to be consistent, irrespective of the expenses incurred. Moldova favors a reasonable decision whereby we consider all timing issues as TEs, but all provisions against tax avoidance or base erosion as part of the benchmark. </w:t>
      </w:r>
    </w:p>
    <w:p w14:paraId="736061DF" w14:textId="47AFBE7E" w:rsidR="00F77F6D" w:rsidRPr="00CB1E53" w:rsidRDefault="00F77F6D" w:rsidP="00E90BA7">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Moldovan BIT design</w:t>
      </w:r>
    </w:p>
    <w:p w14:paraId="53979362" w14:textId="0D4B4786" w:rsidR="00F77F6D" w:rsidRPr="00CB1E53" w:rsidRDefault="00F77F6D" w:rsidP="00E90BA7">
      <w:pPr>
        <w:autoSpaceDE w:val="0"/>
        <w:autoSpaceDN w:val="0"/>
        <w:adjustRightInd w:val="0"/>
        <w:spacing w:after="240" w:line="264" w:lineRule="auto"/>
        <w:jc w:val="both"/>
        <w:rPr>
          <w:rFonts w:ascii="Segoe UI" w:hAnsi="Segoe UI" w:cs="Segoe UI"/>
          <w:sz w:val="21"/>
          <w:szCs w:val="21"/>
        </w:rPr>
      </w:pPr>
      <w:r w:rsidRPr="00CB1E53">
        <w:rPr>
          <w:rFonts w:ascii="Segoe UI" w:hAnsi="Segoe UI" w:cs="Segoe UI"/>
          <w:sz w:val="21"/>
          <w:szCs w:val="21"/>
        </w:rPr>
        <w:t>In Moldova, business income regardless of the legal form is subject to a single income tax, referred to in this report as the business income tax</w:t>
      </w:r>
      <w:r w:rsidR="00CF2AB8">
        <w:rPr>
          <w:rFonts w:ascii="Segoe UI" w:hAnsi="Segoe UI" w:cs="Segoe UI"/>
          <w:sz w:val="21"/>
          <w:szCs w:val="21"/>
        </w:rPr>
        <w:t xml:space="preserve">, or </w:t>
      </w:r>
      <w:r w:rsidRPr="00CB1E53">
        <w:rPr>
          <w:rFonts w:ascii="Segoe UI" w:hAnsi="Segoe UI" w:cs="Segoe UI"/>
          <w:sz w:val="21"/>
          <w:szCs w:val="21"/>
        </w:rPr>
        <w:t>BIT. Individuals carrying out business activity in different legal forms as well as companies are subject to BIT and file the same tax form (VEN12). It applies to various categories of taxpayers: legal entities (limited liability and joint stock companies), individual enterprises (VAT taxpayers), farming households (VAT taxpayers)</w:t>
      </w:r>
      <w:r w:rsidR="000D1D07">
        <w:rPr>
          <w:rFonts w:ascii="Segoe UI" w:hAnsi="Segoe UI" w:cs="Segoe UI"/>
          <w:sz w:val="21"/>
          <w:szCs w:val="21"/>
        </w:rPr>
        <w:t>,</w:t>
      </w:r>
      <w:r w:rsidRPr="00CB1E53">
        <w:rPr>
          <w:rFonts w:ascii="Segoe UI" w:hAnsi="Segoe UI" w:cs="Segoe UI"/>
          <w:sz w:val="21"/>
          <w:szCs w:val="21"/>
        </w:rPr>
        <w:t xml:space="preserve"> and natural persons carrying out professional activities, including those provided in legal area. </w:t>
      </w:r>
    </w:p>
    <w:p w14:paraId="42AD1D53" w14:textId="7A37CCB3"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In line with the approach proposed for PIT, the benchmark tax system for </w:t>
      </w:r>
      <w:r w:rsidR="000D1D07">
        <w:rPr>
          <w:rFonts w:ascii="Segoe UI" w:hAnsi="Segoe UI" w:cs="Segoe UI"/>
          <w:color w:val="000000"/>
          <w:sz w:val="21"/>
          <w:szCs w:val="21"/>
        </w:rPr>
        <w:t>BIT</w:t>
      </w:r>
      <w:r w:rsidRPr="00CB1E53">
        <w:rPr>
          <w:rFonts w:ascii="Segoe UI" w:hAnsi="Segoe UI" w:cs="Segoe UI"/>
          <w:color w:val="000000"/>
          <w:sz w:val="21"/>
          <w:szCs w:val="21"/>
        </w:rPr>
        <w:t xml:space="preserve"> is defined as the current tax system without provisions favoring certain categories of income, activities</w:t>
      </w:r>
      <w:r w:rsidR="00AB5C51" w:rsidRPr="00CB1E53">
        <w:rPr>
          <w:rFonts w:ascii="Segoe UI" w:hAnsi="Segoe UI" w:cs="Segoe UI"/>
          <w:color w:val="000000"/>
          <w:sz w:val="21"/>
          <w:szCs w:val="21"/>
        </w:rPr>
        <w:t>,</w:t>
      </w:r>
      <w:r w:rsidRPr="00CB1E53">
        <w:rPr>
          <w:rFonts w:ascii="Segoe UI" w:hAnsi="Segoe UI" w:cs="Segoe UI"/>
          <w:color w:val="000000"/>
          <w:sz w:val="21"/>
          <w:szCs w:val="21"/>
        </w:rPr>
        <w:t xml:space="preserve"> or groups of businesses. The elements of the benchmark also include unit of taxation, taxation period, the tax base and tax rates.</w:t>
      </w:r>
    </w:p>
    <w:p w14:paraId="064ACE33" w14:textId="0CB3586B"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Unit of taxation</w:t>
      </w:r>
      <w:r w:rsidRPr="00CB1E53">
        <w:rPr>
          <w:rFonts w:ascii="Segoe UI" w:hAnsi="Segoe UI" w:cs="Segoe UI"/>
          <w:color w:val="000000"/>
          <w:sz w:val="21"/>
          <w:szCs w:val="21"/>
        </w:rPr>
        <w:t xml:space="preserve">: The following entities fall under the BIT: single natural person carrying out business activity (sole proprietorship) single natural person carrying out independent (trade) activity; single natural person carrying out professional activity (in different areas); farming household (homestead): partnership (transparent </w:t>
      </w:r>
      <w:r w:rsidR="00B7661D">
        <w:rPr>
          <w:rFonts w:ascii="Segoe UI" w:hAnsi="Segoe UI" w:cs="Segoe UI"/>
          <w:color w:val="000000"/>
          <w:sz w:val="21"/>
          <w:szCs w:val="21"/>
        </w:rPr>
        <w:t xml:space="preserve">or see-through </w:t>
      </w:r>
      <w:r w:rsidRPr="00CB1E53">
        <w:rPr>
          <w:rFonts w:ascii="Segoe UI" w:hAnsi="Segoe UI" w:cs="Segoe UI"/>
          <w:color w:val="000000"/>
          <w:sz w:val="21"/>
          <w:szCs w:val="21"/>
        </w:rPr>
        <w:t>entity – profit shares from a partnership); corporation (legal entity – limited liability company, joint stock company).</w:t>
      </w:r>
    </w:p>
    <w:p w14:paraId="5441434D" w14:textId="77777777"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Taxation period</w:t>
      </w:r>
      <w:r w:rsidRPr="00CB1E53">
        <w:rPr>
          <w:rFonts w:ascii="Segoe UI" w:hAnsi="Segoe UI" w:cs="Segoe UI"/>
          <w:color w:val="000000"/>
          <w:sz w:val="21"/>
          <w:szCs w:val="21"/>
        </w:rPr>
        <w:t>:</w:t>
      </w:r>
      <w:r w:rsidRPr="00CB1E53">
        <w:rPr>
          <w:rFonts w:ascii="Segoe UI" w:hAnsi="Segoe UI" w:cs="Segoe UI"/>
          <w:b/>
          <w:color w:val="000000"/>
          <w:sz w:val="21"/>
          <w:szCs w:val="21"/>
        </w:rPr>
        <w:t xml:space="preserve"> </w:t>
      </w:r>
      <w:r w:rsidRPr="00CB1E53">
        <w:rPr>
          <w:rFonts w:ascii="Segoe UI" w:hAnsi="Segoe UI" w:cs="Segoe UI"/>
          <w:color w:val="000000"/>
          <w:sz w:val="21"/>
          <w:szCs w:val="21"/>
        </w:rPr>
        <w:t>The benchmark tax period is a calendar year. A qualifying taxpayer is eligible to apply any other twelve-month period as a tax period.</w:t>
      </w:r>
    </w:p>
    <w:p w14:paraId="64DBCA51" w14:textId="77777777"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Tax base</w:t>
      </w:r>
      <w:r w:rsidRPr="00CB1E53">
        <w:rPr>
          <w:rFonts w:ascii="Segoe UI" w:hAnsi="Segoe UI" w:cs="Segoe UI"/>
          <w:color w:val="000000"/>
          <w:sz w:val="21"/>
          <w:szCs w:val="21"/>
        </w:rPr>
        <w:t>:</w:t>
      </w:r>
      <w:r w:rsidRPr="00CB1E53">
        <w:rPr>
          <w:rFonts w:ascii="Segoe UI" w:hAnsi="Segoe UI" w:cs="Segoe UI"/>
          <w:b/>
          <w:color w:val="000000"/>
          <w:sz w:val="21"/>
          <w:szCs w:val="21"/>
        </w:rPr>
        <w:t xml:space="preserve"> </w:t>
      </w:r>
      <w:r w:rsidRPr="00CB1E53">
        <w:rPr>
          <w:rFonts w:ascii="Segoe UI" w:hAnsi="Segoe UI" w:cs="Segoe UI"/>
          <w:color w:val="000000"/>
          <w:sz w:val="21"/>
          <w:szCs w:val="21"/>
        </w:rPr>
        <w:t>Worldwide income from entrepreneurial activity defined as revenues minus business expenses incurred to earn these revenues. Capital gains are included in taxable income upon realization, without indexing for inflation.</w:t>
      </w:r>
    </w:p>
    <w:p w14:paraId="529A9603" w14:textId="77777777" w:rsidR="00F77F6D" w:rsidRPr="00CB1E53" w:rsidRDefault="00F77F6D" w:rsidP="00E90BA7">
      <w:pPr>
        <w:autoSpaceDE w:val="0"/>
        <w:autoSpaceDN w:val="0"/>
        <w:adjustRightInd w:val="0"/>
        <w:spacing w:after="240" w:line="264" w:lineRule="auto"/>
        <w:jc w:val="both"/>
        <w:rPr>
          <w:rFonts w:ascii="Segoe UI" w:hAnsi="Segoe UI" w:cs="Segoe UI"/>
          <w:i/>
          <w:color w:val="000000"/>
          <w:sz w:val="21"/>
          <w:szCs w:val="21"/>
        </w:rPr>
      </w:pPr>
      <w:r w:rsidRPr="00CB1E53">
        <w:rPr>
          <w:rFonts w:ascii="Segoe UI" w:hAnsi="Segoe UI" w:cs="Segoe UI"/>
          <w:i/>
          <w:color w:val="000000"/>
          <w:sz w:val="21"/>
          <w:szCs w:val="21"/>
        </w:rPr>
        <w:lastRenderedPageBreak/>
        <w:t xml:space="preserve">The following specific rules are </w:t>
      </w:r>
      <w:r w:rsidRPr="00BE5883">
        <w:rPr>
          <w:rFonts w:ascii="Segoe UI" w:hAnsi="Segoe UI"/>
          <w:i/>
          <w:color w:val="000000"/>
          <w:sz w:val="21"/>
        </w:rPr>
        <w:t>part of the benchmark</w:t>
      </w:r>
      <w:r w:rsidRPr="00CB1E53">
        <w:rPr>
          <w:rFonts w:ascii="Segoe UI" w:hAnsi="Segoe UI" w:cs="Segoe UI"/>
          <w:i/>
          <w:color w:val="000000"/>
          <w:sz w:val="21"/>
          <w:szCs w:val="21"/>
        </w:rPr>
        <w:t xml:space="preserve"> for business income: </w:t>
      </w:r>
    </w:p>
    <w:p w14:paraId="0F79CC6E" w14:textId="3DA0B84D"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color w:val="000000"/>
          <w:sz w:val="21"/>
          <w:szCs w:val="21"/>
        </w:rPr>
        <w:t xml:space="preserve">Straight-line depreciation of fixed and intangible assets. Conceptually, depreciation based on an asset’s useful life should be considered a benchmark and any deviations from it would be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An accelerated depreciation (accelerated vis-à-vis the current depreciation rates) should be, however, considered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w:t>
      </w:r>
      <w:r w:rsidRPr="00CB1E53">
        <w:rPr>
          <w:rFonts w:ascii="Segoe UI" w:hAnsi="Segoe UI" w:cs="Segoe UI"/>
          <w:sz w:val="21"/>
          <w:szCs w:val="21"/>
        </w:rPr>
        <w:t xml:space="preserve">had Moldova decided to introduce it. Differently put, Moldova has not introduced accelerated depreciation and, hence, in this respect no TEs exists. Also, </w:t>
      </w:r>
      <w:r w:rsidR="007E36EC">
        <w:rPr>
          <w:rFonts w:ascii="Segoe UI" w:hAnsi="Segoe UI" w:cs="Segoe UI"/>
          <w:sz w:val="21"/>
          <w:szCs w:val="21"/>
        </w:rPr>
        <w:t xml:space="preserve">the </w:t>
      </w:r>
      <w:r w:rsidRPr="00CB1E53">
        <w:rPr>
          <w:rFonts w:ascii="Segoe UI" w:hAnsi="Segoe UI" w:cs="Segoe UI"/>
          <w:sz w:val="21"/>
          <w:szCs w:val="21"/>
        </w:rPr>
        <w:t>immediate expensing of low-value assets</w:t>
      </w:r>
      <w:r w:rsidR="007E36EC">
        <w:rPr>
          <w:rFonts w:ascii="Segoe UI" w:hAnsi="Segoe UI" w:cs="Segoe UI"/>
          <w:sz w:val="21"/>
          <w:szCs w:val="21"/>
        </w:rPr>
        <w:t>,</w:t>
      </w:r>
      <w:r w:rsidRPr="00CB1E53">
        <w:rPr>
          <w:rFonts w:ascii="Segoe UI" w:hAnsi="Segoe UI" w:cs="Segoe UI"/>
          <w:sz w:val="21"/>
          <w:szCs w:val="21"/>
        </w:rPr>
        <w:t xml:space="preserve"> wh</w:t>
      </w:r>
      <w:r w:rsidR="007E36EC">
        <w:rPr>
          <w:rFonts w:ascii="Segoe UI" w:hAnsi="Segoe UI" w:cs="Segoe UI"/>
          <w:sz w:val="21"/>
          <w:szCs w:val="21"/>
        </w:rPr>
        <w:t>en</w:t>
      </w:r>
      <w:r w:rsidRPr="00CB1E53">
        <w:rPr>
          <w:rFonts w:ascii="Segoe UI" w:hAnsi="Segoe UI" w:cs="Segoe UI"/>
          <w:sz w:val="21"/>
          <w:szCs w:val="21"/>
        </w:rPr>
        <w:t xml:space="preserve"> value does not exceed MDL 6,000 and the period of exploitation is no longer than one year</w:t>
      </w:r>
      <w:r w:rsidR="007E36EC">
        <w:rPr>
          <w:rFonts w:ascii="Segoe UI" w:hAnsi="Segoe UI" w:cs="Segoe UI"/>
          <w:sz w:val="21"/>
          <w:szCs w:val="21"/>
        </w:rPr>
        <w:t>,</w:t>
      </w:r>
      <w:r w:rsidRPr="00CB1E53">
        <w:rPr>
          <w:rFonts w:ascii="Segoe UI" w:hAnsi="Segoe UI" w:cs="Segoe UI"/>
          <w:sz w:val="21"/>
          <w:szCs w:val="21"/>
        </w:rPr>
        <w:t xml:space="preserve"> is part of the benchmark.</w:t>
      </w:r>
    </w:p>
    <w:p w14:paraId="4EA45B8C" w14:textId="7544CEE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Tax loss carry-forward provisions. Business losses can be carried forward up to five consecutive years without any limits regarding the amount which can be deducted each year. There is no immediate refund of losses in periods when losses are incurred. No adjustment for inflation or discount rate for losses carried forward are provided.</w:t>
      </w:r>
    </w:p>
    <w:p w14:paraId="1258DD8F" w14:textId="7777777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Measures that eliminate double taxation of dividends paid between resident companies. The income tax levied on dividends paid out is credited against the business income tax on the receiving company (tax form VEN12 and annexes).</w:t>
      </w:r>
    </w:p>
    <w:p w14:paraId="7638664D" w14:textId="7777777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Measures that provide relief for international double taxation (ordinary credit granted to income taxes paid abroad).</w:t>
      </w:r>
    </w:p>
    <w:p w14:paraId="6CB99061" w14:textId="77777777"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Measures against tax avoidance. There are no typical thin-capitalization or earnings stripping rules which would limit the deductibility of interest expenses based on a fixed debt-to-equity ratio or on firm’s profitability. However, interest expenses are deductible for business income tax only up to the limit of the average weighted interest rate set by the National Bank of Moldova. There are neither controlled foreign-company provisions nor specific transfer pricing regulations in Moldova although the arm’s length principle should be applied to transactions with related parties.</w:t>
      </w:r>
    </w:p>
    <w:p w14:paraId="56E11C85" w14:textId="27B9F6BB" w:rsidR="00F77F6D" w:rsidRPr="007E36EC" w:rsidRDefault="00F77F6D" w:rsidP="00E90BA7">
      <w:pPr>
        <w:pStyle w:val="ParagraphNumbering"/>
        <w:numPr>
          <w:ilvl w:val="0"/>
          <w:numId w:val="0"/>
        </w:numPr>
        <w:spacing w:after="240" w:line="264" w:lineRule="auto"/>
        <w:jc w:val="both"/>
        <w:rPr>
          <w:rFonts w:ascii="Segoe UI" w:hAnsi="Segoe UI" w:cs="Segoe UI"/>
          <w:i/>
          <w:sz w:val="21"/>
          <w:szCs w:val="21"/>
        </w:rPr>
      </w:pPr>
      <w:r w:rsidRPr="007E36EC">
        <w:rPr>
          <w:rFonts w:ascii="Segoe UI" w:hAnsi="Segoe UI" w:cs="Segoe UI"/>
          <w:i/>
          <w:sz w:val="21"/>
          <w:szCs w:val="21"/>
        </w:rPr>
        <w:t xml:space="preserve">Presumptive tax regimes for independent trade activities performed by natural persons and for small and medium sized enterprises (SMEs). </w:t>
      </w:r>
      <w:r w:rsidR="007E36EC">
        <w:rPr>
          <w:rFonts w:ascii="Segoe UI" w:hAnsi="Segoe UI" w:cs="Segoe UI"/>
          <w:sz w:val="21"/>
          <w:szCs w:val="21"/>
        </w:rPr>
        <w:t>U</w:t>
      </w:r>
      <w:r w:rsidRPr="00CB1E53">
        <w:rPr>
          <w:rFonts w:ascii="Segoe UI" w:hAnsi="Segoe UI" w:cs="Segoe UI"/>
          <w:sz w:val="21"/>
          <w:szCs w:val="21"/>
        </w:rPr>
        <w:t xml:space="preserve">nder both regimes, turnover is subject to taxation, rather than profits. Business expenses are not deductible, and a reduced tax rate is applied. Typically, if the intention behind such presumptive tax regimes is to reduce the compliance burden of smaller entities they are included in the benchmark. However, this </w:t>
      </w:r>
      <w:r w:rsidR="007E36EC">
        <w:rPr>
          <w:rFonts w:ascii="Segoe UI" w:hAnsi="Segoe UI" w:cs="Segoe UI"/>
          <w:sz w:val="21"/>
          <w:szCs w:val="21"/>
        </w:rPr>
        <w:t>i</w:t>
      </w:r>
      <w:r w:rsidRPr="00CB1E53">
        <w:rPr>
          <w:rFonts w:ascii="Segoe UI" w:hAnsi="Segoe UI" w:cs="Segoe UI"/>
          <w:sz w:val="21"/>
          <w:szCs w:val="21"/>
        </w:rPr>
        <w:t>s disputable in the case of Moldova. Only limited liability companies are eligible for the SMEs regime, and they are already subject to standard accounting rules (hence compliance argument does not seem to apply). Moreover, not all taxpayers automatically benefit from a lower tax rate if it is applied to their turnover. Rather, the tax burden depends on firm’s margin benefiting sectors with higher margins and fewer inputs. Another factor affecting the tax burden is to what extent the taxpayers are given the right to elect that regime which is most beneficial to them and thus are given the possibility for tax arbitrage.</w:t>
      </w:r>
    </w:p>
    <w:p w14:paraId="223582D5" w14:textId="5FD775E5" w:rsidR="00F77F6D"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lastRenderedPageBreak/>
        <w:t>Tax rate structure</w:t>
      </w:r>
      <w:r w:rsidR="00713FA2">
        <w:rPr>
          <w:rFonts w:ascii="Segoe UI" w:hAnsi="Segoe UI" w:cs="Segoe UI"/>
          <w:i/>
          <w:color w:val="000000"/>
          <w:sz w:val="21"/>
          <w:szCs w:val="21"/>
        </w:rPr>
        <w:t>.</w:t>
      </w:r>
      <w:r w:rsidRPr="00CB1E53">
        <w:rPr>
          <w:rFonts w:ascii="Segoe UI" w:hAnsi="Segoe UI" w:cs="Segoe UI"/>
          <w:color w:val="000000"/>
          <w:sz w:val="21"/>
          <w:szCs w:val="21"/>
        </w:rPr>
        <w:t xml:space="preserve"> The benchmark business income tax rate is a single tax rate of 12</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percent applied to the tax base as defined above. Thus, income obtained by farming households</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(homesteads) which is subject to a 7 percent tax rate is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Conversely, income</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from professional activity performed in legal area is taxed at 18 percent and thus represents a</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negative </w:t>
      </w:r>
      <w:r w:rsidR="009430CA" w:rsidRPr="00CB1E53">
        <w:rPr>
          <w:rFonts w:ascii="Segoe UI" w:hAnsi="Segoe UI" w:cs="Segoe UI"/>
          <w:color w:val="000000"/>
          <w:sz w:val="21"/>
          <w:szCs w:val="21"/>
        </w:rPr>
        <w:t>TE</w:t>
      </w:r>
      <w:r w:rsidRPr="00CB1E53">
        <w:rPr>
          <w:rFonts w:ascii="Segoe UI" w:hAnsi="Segoe UI" w:cs="Segoe UI"/>
          <w:color w:val="000000"/>
          <w:sz w:val="21"/>
          <w:szCs w:val="21"/>
        </w:rPr>
        <w:t>.</w:t>
      </w:r>
    </w:p>
    <w:p w14:paraId="39746C69" w14:textId="5151781C" w:rsidR="0022358B" w:rsidRPr="003E40E0" w:rsidRDefault="007F44CC" w:rsidP="00E90BA7">
      <w:pPr>
        <w:autoSpaceDE w:val="0"/>
        <w:autoSpaceDN w:val="0"/>
        <w:adjustRightInd w:val="0"/>
        <w:spacing w:after="240" w:line="264" w:lineRule="auto"/>
        <w:jc w:val="both"/>
        <w:rPr>
          <w:rFonts w:ascii="Segoe UI" w:hAnsi="Segoe UI" w:cs="Segoe UI"/>
          <w:color w:val="000000"/>
          <w:sz w:val="21"/>
          <w:szCs w:val="21"/>
        </w:rPr>
      </w:pPr>
      <w:r w:rsidRPr="00CB4BEC">
        <w:rPr>
          <w:rFonts w:ascii="Segoe UI" w:hAnsi="Segoe UI" w:cs="Segoe UI"/>
          <w:i/>
          <w:iCs/>
          <w:color w:val="000000"/>
          <w:sz w:val="21"/>
          <w:szCs w:val="21"/>
        </w:rPr>
        <w:t xml:space="preserve">Information Technology (IT) Park </w:t>
      </w:r>
      <w:r>
        <w:rPr>
          <w:rFonts w:ascii="Segoe UI" w:hAnsi="Segoe UI" w:cs="Segoe UI"/>
          <w:i/>
          <w:iCs/>
          <w:color w:val="000000"/>
          <w:sz w:val="21"/>
          <w:szCs w:val="21"/>
        </w:rPr>
        <w:t xml:space="preserve">regime </w:t>
      </w:r>
      <w:r w:rsidRPr="00CB4BEC">
        <w:rPr>
          <w:rFonts w:ascii="Segoe UI" w:hAnsi="Segoe UI" w:cs="Segoe UI"/>
          <w:i/>
          <w:iCs/>
          <w:color w:val="000000"/>
          <w:sz w:val="21"/>
          <w:szCs w:val="21"/>
        </w:rPr>
        <w:t>(</w:t>
      </w:r>
      <w:r w:rsidR="00CD2B1C">
        <w:rPr>
          <w:rFonts w:ascii="Segoe UI" w:hAnsi="Segoe UI" w:cs="Segoe UI"/>
          <w:i/>
          <w:iCs/>
          <w:color w:val="000000"/>
          <w:sz w:val="21"/>
          <w:szCs w:val="21"/>
        </w:rPr>
        <w:t xml:space="preserve">see </w:t>
      </w:r>
      <w:r w:rsidRPr="00CB4BEC">
        <w:rPr>
          <w:rFonts w:ascii="Segoe UI" w:hAnsi="Segoe UI" w:cs="Segoe UI"/>
          <w:i/>
          <w:iCs/>
          <w:color w:val="000000"/>
          <w:sz w:val="21"/>
          <w:szCs w:val="21"/>
        </w:rPr>
        <w:t>Box 1</w:t>
      </w:r>
      <w:r w:rsidR="00CD2B1C">
        <w:rPr>
          <w:rFonts w:ascii="Segoe UI" w:hAnsi="Segoe UI" w:cs="Segoe UI"/>
          <w:i/>
          <w:iCs/>
          <w:color w:val="000000"/>
          <w:sz w:val="21"/>
          <w:szCs w:val="21"/>
        </w:rPr>
        <w:t xml:space="preserve"> above</w:t>
      </w:r>
      <w:r w:rsidRPr="00CB4BEC">
        <w:rPr>
          <w:rFonts w:ascii="Segoe UI" w:hAnsi="Segoe UI" w:cs="Segoe UI"/>
          <w:i/>
          <w:iCs/>
          <w:color w:val="000000"/>
          <w:sz w:val="21"/>
          <w:szCs w:val="21"/>
        </w:rPr>
        <w:t>)</w:t>
      </w:r>
      <w:r>
        <w:rPr>
          <w:rFonts w:ascii="Segoe UI" w:hAnsi="Segoe UI" w:cs="Segoe UI"/>
          <w:i/>
          <w:iCs/>
          <w:color w:val="000000"/>
          <w:sz w:val="21"/>
          <w:szCs w:val="21"/>
        </w:rPr>
        <w:t xml:space="preserve"> </w:t>
      </w:r>
      <w:r>
        <w:rPr>
          <w:rFonts w:ascii="Segoe UI" w:hAnsi="Segoe UI" w:cs="Segoe UI"/>
          <w:color w:val="000000"/>
          <w:sz w:val="21"/>
          <w:szCs w:val="21"/>
        </w:rPr>
        <w:t xml:space="preserve">replaces the standard </w:t>
      </w:r>
      <w:r w:rsidR="00EB208D">
        <w:rPr>
          <w:rFonts w:ascii="Segoe UI" w:hAnsi="Segoe UI" w:cs="Segoe UI"/>
          <w:color w:val="000000"/>
          <w:sz w:val="21"/>
          <w:szCs w:val="21"/>
        </w:rPr>
        <w:t>BIT</w:t>
      </w:r>
      <w:r w:rsidR="00983697">
        <w:rPr>
          <w:rFonts w:ascii="Segoe UI" w:hAnsi="Segoe UI" w:cs="Segoe UI"/>
          <w:color w:val="000000"/>
          <w:sz w:val="21"/>
          <w:szCs w:val="21"/>
        </w:rPr>
        <w:t xml:space="preserve"> </w:t>
      </w:r>
      <w:r>
        <w:rPr>
          <w:rFonts w:ascii="Segoe UI" w:hAnsi="Segoe UI" w:cs="Segoe UI"/>
          <w:color w:val="000000"/>
          <w:sz w:val="21"/>
          <w:szCs w:val="21"/>
        </w:rPr>
        <w:t>payments with a share from a single</w:t>
      </w:r>
      <w:r w:rsidR="006B61A3">
        <w:rPr>
          <w:rFonts w:ascii="Segoe UI" w:hAnsi="Segoe UI" w:cs="Segoe UI"/>
          <w:color w:val="000000"/>
          <w:sz w:val="21"/>
          <w:szCs w:val="21"/>
        </w:rPr>
        <w:t>/unified</w:t>
      </w:r>
      <w:r>
        <w:rPr>
          <w:rFonts w:ascii="Segoe UI" w:hAnsi="Segoe UI" w:cs="Segoe UI"/>
          <w:color w:val="000000"/>
          <w:sz w:val="21"/>
          <w:szCs w:val="21"/>
        </w:rPr>
        <w:t xml:space="preserve"> tax </w:t>
      </w:r>
      <w:r w:rsidR="00F2377E">
        <w:rPr>
          <w:rFonts w:ascii="Segoe UI" w:hAnsi="Segoe UI" w:cs="Segoe UI"/>
          <w:color w:val="000000"/>
          <w:sz w:val="21"/>
          <w:szCs w:val="21"/>
        </w:rPr>
        <w:t xml:space="preserve">of 7 percent </w:t>
      </w:r>
      <w:r>
        <w:rPr>
          <w:rFonts w:ascii="Segoe UI" w:hAnsi="Segoe UI" w:cs="Segoe UI"/>
          <w:color w:val="000000"/>
          <w:sz w:val="21"/>
          <w:szCs w:val="21"/>
        </w:rPr>
        <w:t>on turnover. 1</w:t>
      </w:r>
      <w:r w:rsidR="00F2377E">
        <w:rPr>
          <w:rFonts w:ascii="Segoe UI" w:hAnsi="Segoe UI" w:cs="Segoe UI"/>
          <w:color w:val="000000"/>
          <w:sz w:val="21"/>
          <w:szCs w:val="21"/>
        </w:rPr>
        <w:t>0</w:t>
      </w:r>
      <w:r>
        <w:rPr>
          <w:rFonts w:ascii="Segoe UI" w:hAnsi="Segoe UI" w:cs="Segoe UI"/>
          <w:color w:val="000000"/>
          <w:sz w:val="21"/>
          <w:szCs w:val="21"/>
        </w:rPr>
        <w:t xml:space="preserve"> percent of the single payment by the IT Park regime </w:t>
      </w:r>
      <w:r w:rsidR="00273775">
        <w:rPr>
          <w:rFonts w:ascii="Segoe UI" w:hAnsi="Segoe UI" w:cs="Segoe UI"/>
          <w:color w:val="000000"/>
          <w:sz w:val="21"/>
          <w:szCs w:val="21"/>
        </w:rPr>
        <w:t xml:space="preserve">is paid </w:t>
      </w:r>
      <w:r w:rsidR="00797AC1">
        <w:rPr>
          <w:rFonts w:ascii="Segoe UI" w:hAnsi="Segoe UI" w:cs="Segoe UI"/>
          <w:color w:val="000000"/>
          <w:sz w:val="21"/>
          <w:szCs w:val="21"/>
        </w:rPr>
        <w:t>in l</w:t>
      </w:r>
      <w:r w:rsidR="00DB6ADF">
        <w:rPr>
          <w:rFonts w:ascii="Segoe UI" w:hAnsi="Segoe UI" w:cs="Segoe UI"/>
          <w:color w:val="000000"/>
          <w:sz w:val="21"/>
          <w:szCs w:val="21"/>
        </w:rPr>
        <w:t>i</w:t>
      </w:r>
      <w:r w:rsidR="00797AC1">
        <w:rPr>
          <w:rFonts w:ascii="Segoe UI" w:hAnsi="Segoe UI" w:cs="Segoe UI"/>
          <w:color w:val="000000"/>
          <w:sz w:val="21"/>
          <w:szCs w:val="21"/>
        </w:rPr>
        <w:t xml:space="preserve">eu of </w:t>
      </w:r>
      <w:r>
        <w:rPr>
          <w:rFonts w:ascii="Segoe UI" w:hAnsi="Segoe UI" w:cs="Segoe UI"/>
          <w:color w:val="000000"/>
          <w:sz w:val="21"/>
          <w:szCs w:val="21"/>
        </w:rPr>
        <w:t xml:space="preserve">the standard </w:t>
      </w:r>
      <w:r w:rsidR="00273775">
        <w:rPr>
          <w:rFonts w:ascii="Segoe UI" w:hAnsi="Segoe UI" w:cs="Segoe UI"/>
          <w:color w:val="000000"/>
          <w:sz w:val="21"/>
          <w:szCs w:val="21"/>
        </w:rPr>
        <w:t>B</w:t>
      </w:r>
      <w:r>
        <w:rPr>
          <w:rFonts w:ascii="Segoe UI" w:hAnsi="Segoe UI" w:cs="Segoe UI"/>
          <w:color w:val="000000"/>
          <w:sz w:val="21"/>
          <w:szCs w:val="21"/>
        </w:rPr>
        <w:t>IT</w:t>
      </w:r>
      <w:r>
        <w:rPr>
          <w:rFonts w:ascii="Segoe UI" w:hAnsi="Segoe UI" w:cs="Segoe UI"/>
          <w:i/>
          <w:iCs/>
          <w:color w:val="000000"/>
          <w:sz w:val="21"/>
          <w:szCs w:val="21"/>
        </w:rPr>
        <w:t>.</w:t>
      </w:r>
      <w:r w:rsidR="0031479D">
        <w:rPr>
          <w:rFonts w:ascii="Segoe UI" w:hAnsi="Segoe UI" w:cs="Segoe UI"/>
          <w:i/>
          <w:iCs/>
          <w:color w:val="000000"/>
          <w:sz w:val="21"/>
          <w:szCs w:val="21"/>
        </w:rPr>
        <w:t xml:space="preserve"> </w:t>
      </w:r>
      <w:r w:rsidR="005D7049" w:rsidRPr="007B0FC5">
        <w:rPr>
          <w:rFonts w:ascii="Segoe UI" w:hAnsi="Segoe UI" w:cs="Segoe UI"/>
          <w:color w:val="000000"/>
          <w:sz w:val="21"/>
          <w:szCs w:val="21"/>
        </w:rPr>
        <w:t xml:space="preserve">The </w:t>
      </w:r>
      <w:r w:rsidR="005D7049">
        <w:rPr>
          <w:rFonts w:ascii="Segoe UI" w:hAnsi="Segoe UI" w:cs="Segoe UI"/>
          <w:color w:val="000000"/>
          <w:sz w:val="21"/>
          <w:szCs w:val="21"/>
        </w:rPr>
        <w:t xml:space="preserve">difference between </w:t>
      </w:r>
      <w:r w:rsidR="007B0FC5">
        <w:rPr>
          <w:rFonts w:ascii="Segoe UI" w:hAnsi="Segoe UI" w:cs="Segoe UI"/>
          <w:color w:val="000000"/>
          <w:sz w:val="21"/>
          <w:szCs w:val="21"/>
        </w:rPr>
        <w:t>B</w:t>
      </w:r>
      <w:r w:rsidR="0022358B">
        <w:rPr>
          <w:rFonts w:ascii="Segoe UI" w:hAnsi="Segoe UI" w:cs="Segoe UI"/>
          <w:color w:val="000000"/>
          <w:sz w:val="21"/>
          <w:szCs w:val="21"/>
        </w:rPr>
        <w:t>IT</w:t>
      </w:r>
      <w:r w:rsidR="0022358B" w:rsidRPr="0059373B">
        <w:rPr>
          <w:rFonts w:ascii="Segoe UI" w:hAnsi="Segoe UI" w:cs="Segoe UI"/>
          <w:color w:val="000000"/>
          <w:sz w:val="21"/>
          <w:szCs w:val="21"/>
        </w:rPr>
        <w:t xml:space="preserve"> payable in the absence of the IT Park regime</w:t>
      </w:r>
      <w:r w:rsidR="0022358B">
        <w:rPr>
          <w:rFonts w:ascii="Segoe UI" w:hAnsi="Segoe UI" w:cs="Segoe UI"/>
          <w:color w:val="000000"/>
          <w:sz w:val="21"/>
          <w:szCs w:val="21"/>
        </w:rPr>
        <w:t xml:space="preserve"> and the share of the single payment paid in l</w:t>
      </w:r>
      <w:r w:rsidR="00DB6ADF">
        <w:rPr>
          <w:rFonts w:ascii="Segoe UI" w:hAnsi="Segoe UI" w:cs="Segoe UI"/>
          <w:color w:val="000000"/>
          <w:sz w:val="21"/>
          <w:szCs w:val="21"/>
        </w:rPr>
        <w:t>i</w:t>
      </w:r>
      <w:r w:rsidR="0022358B">
        <w:rPr>
          <w:rFonts w:ascii="Segoe UI" w:hAnsi="Segoe UI" w:cs="Segoe UI"/>
          <w:color w:val="000000"/>
          <w:sz w:val="21"/>
          <w:szCs w:val="21"/>
        </w:rPr>
        <w:t xml:space="preserve">eu of </w:t>
      </w:r>
      <w:r w:rsidR="007B0FC5">
        <w:rPr>
          <w:rFonts w:ascii="Segoe UI" w:hAnsi="Segoe UI" w:cs="Segoe UI"/>
          <w:color w:val="000000"/>
          <w:sz w:val="21"/>
          <w:szCs w:val="21"/>
        </w:rPr>
        <w:t>B</w:t>
      </w:r>
      <w:r w:rsidR="0022358B">
        <w:rPr>
          <w:rFonts w:ascii="Segoe UI" w:hAnsi="Segoe UI" w:cs="Segoe UI"/>
          <w:color w:val="000000"/>
          <w:sz w:val="21"/>
          <w:szCs w:val="21"/>
        </w:rPr>
        <w:t xml:space="preserve">IT represents </w:t>
      </w:r>
      <w:r w:rsidR="00725B27">
        <w:rPr>
          <w:rFonts w:ascii="Segoe UI" w:hAnsi="Segoe UI" w:cs="Segoe UI"/>
          <w:color w:val="000000"/>
          <w:sz w:val="21"/>
          <w:szCs w:val="21"/>
        </w:rPr>
        <w:t xml:space="preserve">a </w:t>
      </w:r>
      <w:r w:rsidR="0022358B">
        <w:rPr>
          <w:rFonts w:ascii="Segoe UI" w:hAnsi="Segoe UI" w:cs="Segoe UI"/>
          <w:color w:val="000000"/>
          <w:sz w:val="21"/>
          <w:szCs w:val="21"/>
        </w:rPr>
        <w:t>TE.</w:t>
      </w:r>
    </w:p>
    <w:p w14:paraId="7549F5ED" w14:textId="392E1155" w:rsidR="00F77F6D" w:rsidRPr="00255CEB" w:rsidRDefault="00F77F6D" w:rsidP="00E90BA7">
      <w:pPr>
        <w:pStyle w:val="Heading3"/>
        <w:keepNext/>
        <w:keepLines/>
        <w:jc w:val="both"/>
        <w:rPr>
          <w:rStyle w:val="RegularDKB"/>
          <w:b/>
          <w:bCs/>
          <w:caps w:val="0"/>
        </w:rPr>
      </w:pPr>
      <w:bookmarkStart w:id="23" w:name="_Toc126555825"/>
      <w:bookmarkEnd w:id="22"/>
      <w:r w:rsidRPr="00255CEB">
        <w:rPr>
          <w:rStyle w:val="RegularDKB"/>
          <w:b/>
          <w:bCs/>
          <w:caps w:val="0"/>
        </w:rPr>
        <w:t>V</w:t>
      </w:r>
      <w:r w:rsidR="00881400" w:rsidRPr="00255CEB">
        <w:rPr>
          <w:rStyle w:val="RegularDKB"/>
          <w:b/>
          <w:bCs/>
          <w:caps w:val="0"/>
        </w:rPr>
        <w:t>alue-added tax</w:t>
      </w:r>
      <w:r w:rsidR="00881400" w:rsidRPr="00255CEB">
        <w:rPr>
          <w:rStyle w:val="FootnoteReference"/>
          <w:b/>
          <w:bCs/>
          <w:caps w:val="0"/>
          <w:color w:val="004C97" w:themeColor="text2"/>
        </w:rPr>
        <w:footnoteReference w:id="14"/>
      </w:r>
      <w:bookmarkEnd w:id="23"/>
    </w:p>
    <w:p w14:paraId="7E529D28" w14:textId="77777777" w:rsidR="00881400" w:rsidRPr="00CB1E53" w:rsidRDefault="00881400" w:rsidP="00E90BA7">
      <w:pPr>
        <w:pStyle w:val="Heading4"/>
        <w:keepLines/>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 xml:space="preserve">Common approach </w:t>
      </w:r>
    </w:p>
    <w:p w14:paraId="316C756B" w14:textId="2B120652"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To analyze a benchmark VAT system, one needs to be reminded about the elements of a broad-based modern VAT that consists of four components—taxable, zero-rated, and exempt supplies, and taxed purchases potentially subject to credit in determining tax liability. The VAT is charged at each stage </w:t>
      </w:r>
      <w:r w:rsidR="009A4992">
        <w:rPr>
          <w:rFonts w:ascii="Segoe UI" w:hAnsi="Segoe UI" w:cs="Segoe UI"/>
          <w:color w:val="000000"/>
          <w:sz w:val="21"/>
          <w:szCs w:val="21"/>
        </w:rPr>
        <w:t>of</w:t>
      </w:r>
      <w:r w:rsidRPr="00CB1E53">
        <w:rPr>
          <w:rFonts w:ascii="Segoe UI" w:hAnsi="Segoe UI" w:cs="Segoe UI"/>
          <w:color w:val="000000"/>
          <w:sz w:val="21"/>
          <w:szCs w:val="21"/>
        </w:rPr>
        <w:t xml:space="preserve"> the production chain and businesses that subsequently sell their commodity or service can claim an input tax credit for the VAT they paid on the inputs they purchased. After deducting the VAT paid on their purchases from the VAT collected on their supplies, businesses remit the difference to the government, or they register an excess credit position that potentially qualifies for a VAT refund.</w:t>
      </w:r>
      <w:r w:rsidR="00881400" w:rsidRPr="00CB1E53">
        <w:rPr>
          <w:rFonts w:ascii="Segoe UI" w:hAnsi="Segoe UI" w:cs="Segoe UI"/>
          <w:color w:val="000000"/>
          <w:sz w:val="21"/>
          <w:szCs w:val="21"/>
        </w:rPr>
        <w:t xml:space="preserve"> </w:t>
      </w:r>
    </w:p>
    <w:p w14:paraId="744F0A8B" w14:textId="77777777" w:rsidR="00881400"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i/>
          <w:sz w:val="21"/>
          <w:szCs w:val="21"/>
        </w:rPr>
        <w:t>Zero-rated supplies</w:t>
      </w:r>
      <w:r w:rsidRPr="00CB1E53">
        <w:rPr>
          <w:rFonts w:ascii="Segoe UI" w:hAnsi="Segoe UI" w:cs="Segoe UI"/>
          <w:sz w:val="21"/>
          <w:szCs w:val="21"/>
        </w:rPr>
        <w:t xml:space="preserve"> have a VAT rate of 0 percent, which means businesses do not charge VAT on their output and can claim input tax credits on all their inputs. The total amount of VAT collected by the government on zero-rated commodities (like exports) across all taxpayers in the supply chain, in zero.</w:t>
      </w:r>
    </w:p>
    <w:p w14:paraId="383D4671" w14:textId="77777777" w:rsidR="00881400"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i/>
          <w:color w:val="000000"/>
          <w:sz w:val="21"/>
          <w:szCs w:val="21"/>
        </w:rPr>
        <w:t>Exempt supplies</w:t>
      </w:r>
      <w:r w:rsidRPr="00CB1E53">
        <w:rPr>
          <w:rFonts w:ascii="Segoe UI" w:hAnsi="Segoe UI" w:cs="Segoe UI"/>
          <w:color w:val="000000"/>
          <w:sz w:val="21"/>
          <w:szCs w:val="21"/>
        </w:rPr>
        <w:t xml:space="preserve"> of goods or services also have no VAT charged by businesses; however, they cannot claim input tax credits for tax paid on purchases that were used to produce the exempt supplies. In these instances, the government’s net revenue along the entire supply chain is the amount of VAT paid by the business on its purchases.</w:t>
      </w:r>
    </w:p>
    <w:p w14:paraId="31C9138A" w14:textId="73241E11" w:rsidR="00F77F6D" w:rsidRPr="00CB1E53" w:rsidRDefault="00F77F6D" w:rsidP="00E90BA7">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color w:val="000000"/>
          <w:sz w:val="21"/>
          <w:szCs w:val="21"/>
        </w:rPr>
        <w:t xml:space="preserve">The effect of a </w:t>
      </w:r>
      <w:r w:rsidRPr="00CB1E53">
        <w:rPr>
          <w:rFonts w:ascii="Segoe UI" w:hAnsi="Segoe UI" w:cs="Segoe UI"/>
          <w:i/>
          <w:color w:val="000000"/>
          <w:sz w:val="21"/>
          <w:szCs w:val="21"/>
        </w:rPr>
        <w:t>VAT exemption on imports</w:t>
      </w:r>
      <w:r w:rsidRPr="00CB1E53">
        <w:rPr>
          <w:rFonts w:ascii="Segoe UI" w:hAnsi="Segoe UI" w:cs="Segoe UI"/>
          <w:color w:val="000000"/>
          <w:sz w:val="21"/>
          <w:szCs w:val="21"/>
        </w:rPr>
        <w:t xml:space="preserve"> (a common policy for certain imports in many</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countries) is different, as no input tax credits are available. In the case of imported goods or services, VAT relief at </w:t>
      </w:r>
      <w:r w:rsidR="004744C1">
        <w:rPr>
          <w:rFonts w:ascii="Segoe UI" w:hAnsi="Segoe UI" w:cs="Segoe UI"/>
          <w:color w:val="000000"/>
          <w:sz w:val="21"/>
          <w:szCs w:val="21"/>
        </w:rPr>
        <w:t>C</w:t>
      </w:r>
      <w:r w:rsidRPr="00CB1E53">
        <w:rPr>
          <w:rFonts w:ascii="Segoe UI" w:hAnsi="Segoe UI" w:cs="Segoe UI"/>
          <w:color w:val="000000"/>
          <w:sz w:val="21"/>
          <w:szCs w:val="21"/>
        </w:rPr>
        <w:t xml:space="preserve">ustoms is forgone revenue when the goods are being directly supplied to final consumers; in other instances, VAT relief at </w:t>
      </w:r>
      <w:r w:rsidR="004744C1">
        <w:rPr>
          <w:rFonts w:ascii="Segoe UI" w:hAnsi="Segoe UI" w:cs="Segoe UI"/>
          <w:color w:val="000000"/>
          <w:sz w:val="21"/>
          <w:szCs w:val="21"/>
        </w:rPr>
        <w:t>C</w:t>
      </w:r>
      <w:r w:rsidRPr="00CB1E53">
        <w:rPr>
          <w:rFonts w:ascii="Segoe UI" w:hAnsi="Segoe UI" w:cs="Segoe UI"/>
          <w:color w:val="000000"/>
          <w:sz w:val="21"/>
          <w:szCs w:val="21"/>
        </w:rPr>
        <w:t>ustoms is equivalent to an input tax credit.</w:t>
      </w:r>
    </w:p>
    <w:p w14:paraId="5CA9F1A2" w14:textId="77777777" w:rsidR="00F77F6D" w:rsidRPr="00CB1E53" w:rsidRDefault="00F77F6D" w:rsidP="00E90BA7">
      <w:pPr>
        <w:autoSpaceDE w:val="0"/>
        <w:autoSpaceDN w:val="0"/>
        <w:adjustRightInd w:val="0"/>
        <w:spacing w:after="240" w:line="264" w:lineRule="auto"/>
        <w:jc w:val="both"/>
        <w:rPr>
          <w:rFonts w:ascii="Segoe UI" w:hAnsi="Segoe UI" w:cs="Segoe UI"/>
          <w:sz w:val="21"/>
          <w:szCs w:val="21"/>
          <w:shd w:val="clear" w:color="auto" w:fill="FFFFFF" w:themeFill="background1"/>
        </w:rPr>
      </w:pPr>
      <w:r w:rsidRPr="00CB1E53">
        <w:rPr>
          <w:rFonts w:ascii="Segoe UI" w:hAnsi="Segoe UI" w:cs="Segoe UI"/>
          <w:sz w:val="21"/>
          <w:szCs w:val="21"/>
        </w:rPr>
        <w:lastRenderedPageBreak/>
        <w:t xml:space="preserve">A best practice VAT includes all goods and services in the base and covers all stages of production and distribution. It operates as a multi-stage transaction tax with offsetting of tax paid on inputs against output tax through a credit and refund mechanism. If applied at a single rate to all goods and services, it does not change relative prices. It does not burden savings and investment and is neutral in its impact on economic growth. It operates on a destination basis, taxing imports and domestic transactions but relieving exports from tax, thus also preserving neutrality in international trade. It does not violate </w:t>
      </w:r>
      <w:r w:rsidRPr="00CB1E53">
        <w:rPr>
          <w:rFonts w:ascii="Segoe UI" w:hAnsi="Segoe UI" w:cs="Segoe UI"/>
          <w:i/>
          <w:sz w:val="21"/>
          <w:szCs w:val="21"/>
        </w:rPr>
        <w:t>horizontal equity</w:t>
      </w:r>
      <w:r w:rsidRPr="00CB1E53">
        <w:rPr>
          <w:rFonts w:ascii="Segoe UI" w:hAnsi="Segoe UI" w:cs="Segoe UI"/>
          <w:sz w:val="21"/>
          <w:szCs w:val="21"/>
        </w:rPr>
        <w:t xml:space="preserve"> as individuals with similar levels of consumption expenditures bear the same tax burden. VAT does not, however, deal with </w:t>
      </w:r>
      <w:r w:rsidRPr="00CB1E53">
        <w:rPr>
          <w:rFonts w:ascii="Segoe UI" w:hAnsi="Segoe UI" w:cs="Segoe UI"/>
          <w:i/>
          <w:sz w:val="21"/>
          <w:szCs w:val="21"/>
        </w:rPr>
        <w:t>vertical equity</w:t>
      </w:r>
      <w:r w:rsidRPr="00CB1E53">
        <w:rPr>
          <w:rFonts w:ascii="Segoe UI" w:hAnsi="Segoe UI" w:cs="Segoe UI"/>
          <w:sz w:val="21"/>
          <w:szCs w:val="21"/>
        </w:rPr>
        <w:t>. The VAT is a good revenue raising tool and not the right instrument for dealing with major equity concerns. It eliminates cascading by granting taxable firms a full and immediate tax credit or deduction for the tax paid on purchases (inputs) from other taxable firms against the tax payable on sales</w:t>
      </w:r>
      <w:r w:rsidRPr="00CB1E53">
        <w:rPr>
          <w:rFonts w:ascii="Segoe UI" w:hAnsi="Segoe UI" w:cs="Segoe UI"/>
          <w:sz w:val="21"/>
          <w:szCs w:val="21"/>
          <w:shd w:val="clear" w:color="auto" w:fill="FFFFFF" w:themeFill="background1"/>
        </w:rPr>
        <w:t xml:space="preserve">. </w:t>
      </w:r>
    </w:p>
    <w:p w14:paraId="7EA7B448" w14:textId="5F2D3E7E" w:rsidR="00F77F6D" w:rsidRPr="00CB1E53" w:rsidRDefault="00F77F6D"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One of the simplest taxes from a design perspective, the VAT should have as a benchmark the broadest measure of final consumption (public and private) at a single tax rate.</w:t>
      </w:r>
      <w:r w:rsidRPr="00CB1E53">
        <w:rPr>
          <w:rStyle w:val="FootnoteReference"/>
          <w:rFonts w:ascii="Segoe UI" w:hAnsi="Segoe UI" w:cs="Segoe UI"/>
          <w:sz w:val="21"/>
          <w:szCs w:val="21"/>
        </w:rPr>
        <w:footnoteReference w:id="15"/>
      </w:r>
      <w:r w:rsidRPr="00CB1E53">
        <w:rPr>
          <w:rFonts w:ascii="Segoe UI" w:hAnsi="Segoe UI" w:cs="Segoe UI"/>
          <w:sz w:val="21"/>
          <w:szCs w:val="21"/>
        </w:rPr>
        <w:t xml:space="preserve"> There should be no exemptions in the benchmark system. Low or reduced rates should also be excluded from the benchmark, except for the zero rate on exports, which is intended to neutralize the effect of the VAT on exports—it is the mechanism by which VATs are designed to be destination-based. In systems with VAT rates higher than the standard rate, which are used as substitutes for excise taxes, these should not be scored as negative </w:t>
      </w:r>
      <w:r w:rsidR="009430CA" w:rsidRPr="00CB1E53">
        <w:rPr>
          <w:rFonts w:ascii="Segoe UI" w:hAnsi="Segoe UI" w:cs="Segoe UI"/>
          <w:sz w:val="21"/>
          <w:szCs w:val="21"/>
        </w:rPr>
        <w:t>TEs</w:t>
      </w:r>
      <w:r w:rsidRPr="00CB1E53">
        <w:rPr>
          <w:rFonts w:ascii="Segoe UI" w:hAnsi="Segoe UI" w:cs="Segoe UI"/>
          <w:sz w:val="21"/>
          <w:szCs w:val="21"/>
        </w:rPr>
        <w:t xml:space="preserve">. However, other forms of negative </w:t>
      </w:r>
      <w:r w:rsidR="009430CA" w:rsidRPr="00CB1E53">
        <w:rPr>
          <w:rFonts w:ascii="Segoe UI" w:hAnsi="Segoe UI" w:cs="Segoe UI"/>
          <w:sz w:val="21"/>
          <w:szCs w:val="21"/>
        </w:rPr>
        <w:t>TEs</w:t>
      </w:r>
      <w:r w:rsidRPr="00CB1E53">
        <w:rPr>
          <w:rFonts w:ascii="Segoe UI" w:hAnsi="Segoe UI" w:cs="Segoe UI"/>
          <w:sz w:val="21"/>
          <w:szCs w:val="21"/>
        </w:rPr>
        <w:t xml:space="preserve">, such as revenue arising from exemptions or taxation of inputs, should be considered carefully and further discussion in the future will be needed. </w:t>
      </w:r>
    </w:p>
    <w:p w14:paraId="02BC2599" w14:textId="738A52EB" w:rsidR="00F77F6D" w:rsidRPr="00CB1E53" w:rsidRDefault="00881400" w:rsidP="00E90BA7">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Moldovan VAT design</w:t>
      </w:r>
    </w:p>
    <w:p w14:paraId="664A39A4" w14:textId="4FCE11B9" w:rsidR="00F77F6D" w:rsidRPr="00BE5883" w:rsidRDefault="00F77F6D" w:rsidP="00E90BA7">
      <w:pPr>
        <w:pStyle w:val="ParagraphNumbering"/>
        <w:numPr>
          <w:ilvl w:val="0"/>
          <w:numId w:val="0"/>
        </w:numPr>
        <w:spacing w:after="120" w:line="264" w:lineRule="auto"/>
        <w:jc w:val="both"/>
        <w:rPr>
          <w:rFonts w:ascii="Segoe UI" w:hAnsi="Segoe UI" w:cs="Segoe UI"/>
          <w:i/>
          <w:sz w:val="21"/>
          <w:szCs w:val="21"/>
        </w:rPr>
      </w:pPr>
      <w:r w:rsidRPr="00CB1E53">
        <w:rPr>
          <w:rFonts w:ascii="Segoe UI" w:hAnsi="Segoe UI" w:cs="Segoe UI"/>
          <w:i/>
          <w:sz w:val="21"/>
          <w:szCs w:val="21"/>
        </w:rPr>
        <w:t>Reduced rates</w:t>
      </w:r>
      <w:r w:rsidR="00BE5883">
        <w:rPr>
          <w:rFonts w:ascii="Segoe UI" w:hAnsi="Segoe UI" w:cs="Segoe UI"/>
          <w:i/>
          <w:sz w:val="21"/>
          <w:szCs w:val="21"/>
        </w:rPr>
        <w:t xml:space="preserve">. </w:t>
      </w:r>
      <w:r w:rsidRPr="00CB1E53">
        <w:rPr>
          <w:rFonts w:ascii="Segoe UI" w:hAnsi="Segoe UI" w:cs="Segoe UI"/>
          <w:sz w:val="21"/>
          <w:szCs w:val="21"/>
        </w:rPr>
        <w:t xml:space="preserve">Some countries consider low or reduced VAT rates as part of the benchmark on social objectives grounds—believing that the low rates benefit low-income individuals and lessen the regressivity (relative to revenue) of the VAT. Moldova does not intend to follow this approach and treats reduced rates as genuine/indisputable tax relief as the cost of such policies must be properly reported; otherwise, the </w:t>
      </w:r>
      <w:r w:rsidR="009430CA" w:rsidRPr="00CB1E53">
        <w:rPr>
          <w:rFonts w:ascii="Segoe UI" w:hAnsi="Segoe UI" w:cs="Segoe UI"/>
          <w:sz w:val="21"/>
          <w:szCs w:val="21"/>
        </w:rPr>
        <w:t>TE</w:t>
      </w:r>
      <w:r w:rsidRPr="00CB1E53">
        <w:rPr>
          <w:rFonts w:ascii="Segoe UI" w:hAnsi="Segoe UI" w:cs="Segoe UI"/>
          <w:sz w:val="21"/>
          <w:szCs w:val="21"/>
        </w:rPr>
        <w:t xml:space="preserve"> accounting exercise becomes meaningless. This position is informed by leaning towards a modern VAT design, whereby tax benefits granted through multiple lower rates should be scored as </w:t>
      </w:r>
      <w:r w:rsidR="009430CA" w:rsidRPr="00CB1E53">
        <w:rPr>
          <w:rFonts w:ascii="Segoe UI" w:hAnsi="Segoe UI" w:cs="Segoe UI"/>
          <w:sz w:val="21"/>
          <w:szCs w:val="21"/>
        </w:rPr>
        <w:t>TEs</w:t>
      </w:r>
      <w:r w:rsidRPr="00CB1E53">
        <w:rPr>
          <w:rFonts w:ascii="Segoe UI" w:hAnsi="Segoe UI" w:cs="Segoe UI"/>
          <w:sz w:val="21"/>
          <w:szCs w:val="21"/>
        </w:rPr>
        <w:t>. Multiple rates affect the structure of production, the allocation of resources and reduce economic efficiency. The benefit from a lower rate does not always reach its target as vendors may not pass on the price reduction (e.g., when foodstuffs are taxed at a lower rate); or the rich may turn out to benefit more (e.g., they spend more on food in absolute terms than the poor).</w:t>
      </w:r>
      <w:r w:rsidRPr="00CB1E53">
        <w:rPr>
          <w:rStyle w:val="FootnoteReference"/>
          <w:rFonts w:ascii="Segoe UI" w:hAnsi="Segoe UI" w:cs="Segoe UI"/>
          <w:sz w:val="21"/>
          <w:szCs w:val="21"/>
        </w:rPr>
        <w:footnoteReference w:id="16"/>
      </w:r>
      <w:r w:rsidRPr="00CB1E53">
        <w:rPr>
          <w:rFonts w:ascii="Segoe UI" w:hAnsi="Segoe UI" w:cs="Segoe UI"/>
          <w:sz w:val="21"/>
          <w:szCs w:val="21"/>
        </w:rPr>
        <w:t xml:space="preserve"> </w:t>
      </w:r>
    </w:p>
    <w:p w14:paraId="48924673" w14:textId="77777777" w:rsidR="00F77F6D" w:rsidRPr="00CB1E53" w:rsidRDefault="00F77F6D" w:rsidP="00E90BA7">
      <w:pPr>
        <w:pStyle w:val="ListBullet"/>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Also, multiple rates increase risk of non-compliance and tax evasion and may require a higher standard rate. First, a reduced rate increases the risk of misclassification and thus raises the cost of administration and compliance. For a reduced rate to relieve the tax burden on the consumer for </w:t>
      </w:r>
      <w:r w:rsidRPr="00CB1E53">
        <w:rPr>
          <w:rFonts w:ascii="Segoe UI" w:hAnsi="Segoe UI" w:cs="Segoe UI"/>
          <w:sz w:val="21"/>
          <w:szCs w:val="21"/>
        </w:rPr>
        <w:lastRenderedPageBreak/>
        <w:t xml:space="preserve">particular items, it must apply at the retail level. If for instance, food items are subject to a reduced rate, supplies of such items would be subject to the reduced rate throughout the supply chain up to and including the retail stage. However, the risk of misclassification and the associated administration and compliance burden are more acute at the retail level. Retailers are also more likely to be small businesses, which generally have lower levels of compliance and are more difficult to administer. Secondly and importantly, traders with output taxed at the lower rate but with inputs taxed at the higher standard rate are more likely to be in an excess credit position, leading to more refund claims. </w:t>
      </w:r>
    </w:p>
    <w:p w14:paraId="1D52A61C" w14:textId="34211FAB" w:rsidR="00F77F6D" w:rsidRPr="00BE5883" w:rsidRDefault="00F77F6D" w:rsidP="00E90BA7">
      <w:pPr>
        <w:pStyle w:val="ParagraphNumbering"/>
        <w:numPr>
          <w:ilvl w:val="0"/>
          <w:numId w:val="0"/>
        </w:numPr>
        <w:spacing w:after="240" w:line="264" w:lineRule="auto"/>
        <w:jc w:val="both"/>
        <w:rPr>
          <w:rFonts w:ascii="Segoe UI" w:hAnsi="Segoe UI" w:cs="Segoe UI"/>
          <w:i/>
          <w:sz w:val="21"/>
          <w:szCs w:val="21"/>
        </w:rPr>
      </w:pPr>
      <w:r w:rsidRPr="00CB1E53">
        <w:rPr>
          <w:rFonts w:ascii="Segoe UI" w:hAnsi="Segoe UI" w:cs="Segoe UI"/>
          <w:i/>
          <w:sz w:val="21"/>
          <w:szCs w:val="21"/>
        </w:rPr>
        <w:t>Exemption for capital and intermediate inputs</w:t>
      </w:r>
      <w:r w:rsidR="00BE5883">
        <w:rPr>
          <w:rFonts w:ascii="Segoe UI" w:hAnsi="Segoe UI" w:cs="Segoe UI"/>
          <w:i/>
          <w:sz w:val="21"/>
          <w:szCs w:val="21"/>
        </w:rPr>
        <w:t xml:space="preserve">. </w:t>
      </w:r>
      <w:r w:rsidRPr="00CB1E53">
        <w:rPr>
          <w:rFonts w:ascii="Segoe UI" w:hAnsi="Segoe UI" w:cs="Segoe UI"/>
          <w:sz w:val="21"/>
          <w:szCs w:val="21"/>
        </w:rPr>
        <w:t xml:space="preserve">Several developing economies frequently use VAT exemptions for capital and intermediate inputs, as an alternative policy to providing input tax credit or refunds. These should not be considered </w:t>
      </w:r>
      <w:r w:rsidR="009430CA" w:rsidRPr="00CB1E53">
        <w:rPr>
          <w:rFonts w:ascii="Segoe UI" w:hAnsi="Segoe UI" w:cs="Segoe UI"/>
          <w:sz w:val="21"/>
          <w:szCs w:val="21"/>
        </w:rPr>
        <w:t>TEs</w:t>
      </w:r>
      <w:r w:rsidRPr="00CB1E53">
        <w:rPr>
          <w:rFonts w:ascii="Segoe UI" w:hAnsi="Segoe UI" w:cs="Segoe UI"/>
          <w:sz w:val="21"/>
          <w:szCs w:val="21"/>
        </w:rPr>
        <w:t xml:space="preserve">, to the extent that they do not produce tax cascading along the value chain. For instance, an exemption for an imported machine used directly by a mining company (which is also the importer of the machine) should not be counted as a </w:t>
      </w:r>
      <w:r w:rsidR="009430CA" w:rsidRPr="00CB1E53">
        <w:rPr>
          <w:rFonts w:ascii="Segoe UI" w:hAnsi="Segoe UI" w:cs="Segoe UI"/>
          <w:sz w:val="21"/>
          <w:szCs w:val="21"/>
        </w:rPr>
        <w:t>TE</w:t>
      </w:r>
      <w:r w:rsidRPr="00CB1E53">
        <w:rPr>
          <w:rFonts w:ascii="Segoe UI" w:hAnsi="Segoe UI" w:cs="Segoe UI"/>
          <w:sz w:val="21"/>
          <w:szCs w:val="21"/>
        </w:rPr>
        <w:t xml:space="preserve">. </w:t>
      </w:r>
    </w:p>
    <w:p w14:paraId="587F648B" w14:textId="280E67A9" w:rsidR="00F77F6D" w:rsidRPr="00CB1E53" w:rsidRDefault="00F77F6D" w:rsidP="00E90BA7">
      <w:pPr>
        <w:spacing w:after="240" w:line="264" w:lineRule="auto"/>
        <w:jc w:val="both"/>
        <w:rPr>
          <w:rFonts w:ascii="Segoe UI" w:hAnsi="Segoe UI" w:cs="Segoe UI"/>
          <w:sz w:val="21"/>
          <w:szCs w:val="21"/>
        </w:rPr>
      </w:pPr>
      <w:r w:rsidRPr="00CB1E53">
        <w:rPr>
          <w:rFonts w:ascii="Segoe UI" w:hAnsi="Segoe UI" w:cs="Segoe UI"/>
          <w:i/>
          <w:color w:val="000000"/>
          <w:sz w:val="21"/>
          <w:szCs w:val="21"/>
        </w:rPr>
        <w:t>Basic foods, goods and services consumed by low-income households</w:t>
      </w:r>
      <w:r w:rsidR="007D4994">
        <w:rPr>
          <w:rFonts w:ascii="Segoe UI" w:hAnsi="Segoe UI" w:cs="Segoe UI"/>
          <w:i/>
          <w:color w:val="000000"/>
          <w:sz w:val="21"/>
          <w:szCs w:val="21"/>
        </w:rPr>
        <w:t xml:space="preserve">. </w:t>
      </w:r>
      <w:r w:rsidRPr="00CB1E53">
        <w:rPr>
          <w:rFonts w:ascii="Segoe UI" w:hAnsi="Segoe UI" w:cs="Segoe UI"/>
          <w:sz w:val="21"/>
          <w:szCs w:val="21"/>
        </w:rPr>
        <w:t xml:space="preserve">As in Moldova, often consumption of these goods receives preferential treatment under the VAT, in consideration of the burden of the taxation of these purchases on lower-income households. However, recent research across numerous countries has shown that measures of this form are very poorly targeted </w:t>
      </w:r>
      <w:r w:rsidR="009C4E96" w:rsidRPr="00CB1E53">
        <w:rPr>
          <w:rFonts w:ascii="Segoe UI" w:hAnsi="Segoe UI" w:cs="Segoe UI"/>
          <w:sz w:val="21"/>
          <w:szCs w:val="21"/>
        </w:rPr>
        <w:t>since</w:t>
      </w:r>
      <w:r w:rsidRPr="00CB1E53">
        <w:rPr>
          <w:rFonts w:ascii="Segoe UI" w:hAnsi="Segoe UI" w:cs="Segoe UI"/>
          <w:sz w:val="21"/>
          <w:szCs w:val="21"/>
        </w:rPr>
        <w:t xml:space="preserve"> the bulk of the income transfer </w:t>
      </w:r>
      <w:r w:rsidR="009C4E96" w:rsidRPr="00CB1E53">
        <w:rPr>
          <w:rFonts w:ascii="Segoe UI" w:hAnsi="Segoe UI" w:cs="Segoe UI"/>
          <w:sz w:val="21"/>
          <w:szCs w:val="21"/>
        </w:rPr>
        <w:t xml:space="preserve">in fact </w:t>
      </w:r>
      <w:r w:rsidRPr="00CB1E53">
        <w:rPr>
          <w:rFonts w:ascii="Segoe UI" w:hAnsi="Segoe UI" w:cs="Segoe UI"/>
          <w:sz w:val="21"/>
          <w:szCs w:val="21"/>
        </w:rPr>
        <w:t>accrues to higher-income households</w:t>
      </w:r>
      <w:r w:rsidR="00AC7CD1" w:rsidRPr="00CB1E53">
        <w:rPr>
          <w:rFonts w:ascii="Segoe UI" w:hAnsi="Segoe UI" w:cs="Segoe UI"/>
          <w:sz w:val="21"/>
          <w:szCs w:val="21"/>
        </w:rPr>
        <w:t xml:space="preserve">, which makes these measures </w:t>
      </w:r>
      <w:r w:rsidRPr="00CB1E53">
        <w:rPr>
          <w:rFonts w:ascii="Segoe UI" w:hAnsi="Segoe UI" w:cs="Segoe UI"/>
          <w:sz w:val="21"/>
          <w:szCs w:val="21"/>
        </w:rPr>
        <w:t xml:space="preserve">a very inefficient means to assist poorer families. For this reason, full taxation of these commodities is included in the benchmark, so that any preferential treatments under the tax are considered </w:t>
      </w:r>
      <w:r w:rsidR="009430CA" w:rsidRPr="00CB1E53">
        <w:rPr>
          <w:rFonts w:ascii="Segoe UI" w:hAnsi="Segoe UI" w:cs="Segoe UI"/>
          <w:sz w:val="21"/>
          <w:szCs w:val="21"/>
        </w:rPr>
        <w:t>TEs</w:t>
      </w:r>
      <w:r w:rsidRPr="00CB1E53">
        <w:rPr>
          <w:rFonts w:ascii="Segoe UI" w:hAnsi="Segoe UI" w:cs="Segoe UI"/>
          <w:sz w:val="21"/>
          <w:szCs w:val="21"/>
        </w:rPr>
        <w:t>.</w:t>
      </w:r>
    </w:p>
    <w:p w14:paraId="1B1A6DE2" w14:textId="6474CFB9" w:rsidR="00F77F6D" w:rsidRPr="00CB1E53" w:rsidRDefault="00F77F6D" w:rsidP="00E90BA7">
      <w:pPr>
        <w:pStyle w:val="ParagraphNumbering"/>
        <w:numPr>
          <w:ilvl w:val="0"/>
          <w:numId w:val="0"/>
        </w:numPr>
        <w:tabs>
          <w:tab w:val="num" w:pos="6030"/>
        </w:tabs>
        <w:spacing w:after="240" w:line="264" w:lineRule="auto"/>
        <w:jc w:val="both"/>
        <w:rPr>
          <w:rFonts w:ascii="Segoe UI" w:hAnsi="Segoe UI" w:cs="Segoe UI"/>
          <w:sz w:val="21"/>
          <w:szCs w:val="21"/>
        </w:rPr>
      </w:pPr>
      <w:r w:rsidRPr="00CB1E53">
        <w:rPr>
          <w:rFonts w:ascii="Segoe UI" w:hAnsi="Segoe UI" w:cs="Segoe UI"/>
          <w:i/>
          <w:color w:val="000000"/>
          <w:sz w:val="21"/>
          <w:szCs w:val="21"/>
        </w:rPr>
        <w:t xml:space="preserve">Utility services (electricity, water, telecommunication, </w:t>
      </w:r>
      <w:r w:rsidR="00F948F3" w:rsidRPr="00CB1E53">
        <w:rPr>
          <w:rFonts w:ascii="Segoe UI" w:hAnsi="Segoe UI" w:cs="Segoe UI"/>
          <w:i/>
          <w:color w:val="000000"/>
          <w:sz w:val="21"/>
          <w:szCs w:val="21"/>
        </w:rPr>
        <w:t>transportation)</w:t>
      </w:r>
      <w:r w:rsidR="00F948F3">
        <w:rPr>
          <w:rFonts w:ascii="Segoe UI" w:hAnsi="Segoe UI" w:cs="Segoe UI"/>
          <w:i/>
          <w:color w:val="000000"/>
          <w:sz w:val="21"/>
          <w:szCs w:val="21"/>
        </w:rPr>
        <w:t>.</w:t>
      </w:r>
      <w:r w:rsidR="00F948F3" w:rsidRPr="00CB1E53">
        <w:rPr>
          <w:rFonts w:ascii="Segoe UI" w:hAnsi="Segoe UI" w:cs="Segoe UI"/>
          <w:sz w:val="21"/>
          <w:szCs w:val="21"/>
        </w:rPr>
        <w:t xml:space="preserve"> The</w:t>
      </w:r>
      <w:r w:rsidRPr="00CB1E53">
        <w:rPr>
          <w:rFonts w:ascii="Segoe UI" w:hAnsi="Segoe UI" w:cs="Segoe UI"/>
          <w:sz w:val="21"/>
          <w:szCs w:val="21"/>
        </w:rPr>
        <w:t xml:space="preserve"> taxation of as many supplies by </w:t>
      </w:r>
      <w:r w:rsidRPr="00CB1E53">
        <w:rPr>
          <w:rFonts w:ascii="Segoe UI" w:hAnsi="Segoe UI" w:cs="Segoe UI"/>
          <w:i/>
          <w:sz w:val="21"/>
          <w:szCs w:val="21"/>
        </w:rPr>
        <w:t>public utilities</w:t>
      </w:r>
      <w:r w:rsidRPr="00CB1E53">
        <w:rPr>
          <w:rFonts w:ascii="Segoe UI" w:hAnsi="Segoe UI" w:cs="Segoe UI"/>
          <w:sz w:val="21"/>
          <w:szCs w:val="21"/>
        </w:rPr>
        <w:t xml:space="preserve"> as possible promotes simplicity, accountability, transparency, and the workings of the VAT—</w:t>
      </w:r>
      <w:r w:rsidR="00D57411">
        <w:rPr>
          <w:rFonts w:ascii="Segoe UI" w:hAnsi="Segoe UI" w:cs="Segoe UI"/>
          <w:sz w:val="21"/>
          <w:szCs w:val="21"/>
        </w:rPr>
        <w:t xml:space="preserve">hence, being part of </w:t>
      </w:r>
      <w:r w:rsidRPr="00CB1E53">
        <w:rPr>
          <w:rFonts w:ascii="Segoe UI" w:hAnsi="Segoe UI" w:cs="Segoe UI"/>
          <w:sz w:val="21"/>
          <w:szCs w:val="21"/>
        </w:rPr>
        <w:t xml:space="preserve">the benchmark. Public utilities fall under the definition of enterprise. Important public utilities include the supply of water, electricity, passenger transport, postal services, telecommunications, and radio and television broadcasts. In a modern VAT, these utilities must register for VAT purposes and are deemed to supply a taxable service for grants or subsidies received from public authorities, which is taxed at the standard rate. Delineation issues regarding taxable versus non-taxable activities become redundant and the VAT chain remains intact through to the consumer level. Taxing these services at the standard rate reduces distortions of input and outsourcing choices and so are administrative costs because the VAT on taxable purchases does not have to be allocated between taxable and exempt supplies. Hence, any deviation from that model is reported as </w:t>
      </w:r>
      <w:r w:rsidR="009430CA" w:rsidRPr="00CB1E53">
        <w:rPr>
          <w:rFonts w:ascii="Segoe UI" w:hAnsi="Segoe UI" w:cs="Segoe UI"/>
          <w:sz w:val="21"/>
          <w:szCs w:val="21"/>
        </w:rPr>
        <w:t>TEs</w:t>
      </w:r>
      <w:r w:rsidRPr="00CB1E53">
        <w:rPr>
          <w:rFonts w:ascii="Segoe UI" w:hAnsi="Segoe UI" w:cs="Segoe UI"/>
          <w:sz w:val="21"/>
          <w:szCs w:val="21"/>
        </w:rPr>
        <w:t xml:space="preserve">. </w:t>
      </w:r>
    </w:p>
    <w:p w14:paraId="5FF62F85" w14:textId="77777777" w:rsidR="00F77F6D" w:rsidRPr="00CB1E53" w:rsidRDefault="00F77F6D" w:rsidP="00E90BA7">
      <w:pPr>
        <w:pStyle w:val="ParagraphNumbering"/>
        <w:numPr>
          <w:ilvl w:val="0"/>
          <w:numId w:val="0"/>
        </w:numPr>
        <w:tabs>
          <w:tab w:val="left" w:pos="720"/>
        </w:tabs>
        <w:spacing w:after="240" w:line="264" w:lineRule="auto"/>
        <w:jc w:val="both"/>
        <w:rPr>
          <w:rFonts w:ascii="Segoe UI" w:hAnsi="Segoe UI" w:cs="Segoe UI"/>
          <w:sz w:val="21"/>
          <w:szCs w:val="21"/>
        </w:rPr>
      </w:pPr>
      <w:r w:rsidRPr="00CB1E53">
        <w:rPr>
          <w:rFonts w:ascii="Segoe UI" w:hAnsi="Segoe UI" w:cs="Segoe UI"/>
          <w:sz w:val="21"/>
          <w:szCs w:val="21"/>
        </w:rPr>
        <w:t xml:space="preserve">Supplies of </w:t>
      </w:r>
      <w:r w:rsidRPr="00CB1E53">
        <w:rPr>
          <w:rFonts w:ascii="Segoe UI" w:hAnsi="Segoe UI" w:cs="Segoe UI"/>
          <w:i/>
          <w:sz w:val="21"/>
          <w:szCs w:val="21"/>
        </w:rPr>
        <w:t>electricity and water</w:t>
      </w:r>
      <w:r w:rsidRPr="00CB1E53">
        <w:rPr>
          <w:rFonts w:ascii="Segoe UI" w:hAnsi="Segoe UI" w:cs="Segoe UI"/>
          <w:sz w:val="21"/>
          <w:szCs w:val="21"/>
        </w:rPr>
        <w:t xml:space="preserve"> should attract VAT, irrespective of whether supplied by state-owned enterprises or private operators.</w:t>
      </w:r>
      <w:r w:rsidRPr="00CB1E53">
        <w:rPr>
          <w:rFonts w:ascii="Segoe UI" w:hAnsi="Segoe UI" w:cs="Segoe UI"/>
          <w:b/>
          <w:sz w:val="21"/>
          <w:szCs w:val="21"/>
        </w:rPr>
        <w:t xml:space="preserve"> </w:t>
      </w:r>
      <w:r w:rsidRPr="00CB1E53">
        <w:rPr>
          <w:rFonts w:ascii="Segoe UI" w:hAnsi="Segoe UI" w:cs="Segoe UI"/>
          <w:sz w:val="21"/>
          <w:szCs w:val="21"/>
        </w:rPr>
        <w:t xml:space="preserve">Exempting electricity and water would lead to tax cascading and over-taxation of business users. The income elasticity of electricity demand is high—as incomes rise, electricity consumption grows. Taxing electricity and water at the standard rate thus reduces VAT regressivity since high-income households consume more power and water. </w:t>
      </w:r>
    </w:p>
    <w:p w14:paraId="0289F8E8" w14:textId="77777777" w:rsidR="00F77F6D" w:rsidRPr="00CB1E53" w:rsidRDefault="00F77F6D" w:rsidP="00E90BA7">
      <w:pPr>
        <w:pStyle w:val="ParagraphNumbering"/>
        <w:numPr>
          <w:ilvl w:val="0"/>
          <w:numId w:val="0"/>
        </w:numPr>
        <w:tabs>
          <w:tab w:val="left" w:pos="720"/>
        </w:tabs>
        <w:spacing w:after="240" w:line="264" w:lineRule="auto"/>
        <w:jc w:val="both"/>
        <w:rPr>
          <w:rFonts w:ascii="Segoe UI" w:hAnsi="Segoe UI" w:cs="Segoe UI"/>
          <w:sz w:val="21"/>
          <w:szCs w:val="21"/>
        </w:rPr>
      </w:pPr>
      <w:r w:rsidRPr="00CB1E53">
        <w:rPr>
          <w:rFonts w:ascii="Segoe UI" w:hAnsi="Segoe UI" w:cs="Segoe UI"/>
          <w:sz w:val="21"/>
          <w:szCs w:val="21"/>
        </w:rPr>
        <w:t xml:space="preserve">Demand for </w:t>
      </w:r>
      <w:r w:rsidRPr="00CB1E53">
        <w:rPr>
          <w:rFonts w:ascii="Segoe UI" w:hAnsi="Segoe UI" w:cs="Segoe UI"/>
          <w:i/>
          <w:sz w:val="21"/>
          <w:szCs w:val="21"/>
        </w:rPr>
        <w:t>telecommunications services</w:t>
      </w:r>
      <w:r w:rsidRPr="00CB1E53">
        <w:rPr>
          <w:rFonts w:ascii="Segoe UI" w:hAnsi="Segoe UI" w:cs="Segoe UI"/>
          <w:sz w:val="21"/>
          <w:szCs w:val="21"/>
        </w:rPr>
        <w:t xml:space="preserve"> is also associated with high income elasticity</w:t>
      </w:r>
      <w:r w:rsidRPr="00D57411">
        <w:rPr>
          <w:rFonts w:ascii="Segoe UI" w:hAnsi="Segoe UI" w:cs="Segoe UI"/>
          <w:sz w:val="21"/>
          <w:szCs w:val="21"/>
        </w:rPr>
        <w:t xml:space="preserve">. </w:t>
      </w:r>
      <w:r w:rsidRPr="00CB1E53">
        <w:rPr>
          <w:rFonts w:ascii="Segoe UI" w:hAnsi="Segoe UI" w:cs="Segoe UI"/>
          <w:sz w:val="21"/>
          <w:szCs w:val="21"/>
        </w:rPr>
        <w:t xml:space="preserve">Taxing these services at the standard VAT rate improves the distributional fairness, whether supplied by privately or publicly owned operators. </w:t>
      </w:r>
    </w:p>
    <w:p w14:paraId="021E8BDD" w14:textId="0D2EBA5C" w:rsidR="00F77F6D" w:rsidRPr="00CB1E53" w:rsidRDefault="00F77F6D" w:rsidP="00E90BA7">
      <w:pPr>
        <w:autoSpaceDE w:val="0"/>
        <w:autoSpaceDN w:val="0"/>
        <w:adjustRightInd w:val="0"/>
        <w:spacing w:after="240" w:line="264" w:lineRule="auto"/>
        <w:jc w:val="both"/>
        <w:rPr>
          <w:rFonts w:ascii="Segoe UI" w:hAnsi="Segoe UI" w:cs="Segoe UI"/>
          <w:i/>
          <w:color w:val="000000"/>
          <w:sz w:val="21"/>
          <w:szCs w:val="21"/>
        </w:rPr>
      </w:pPr>
      <w:r w:rsidRPr="00CB1E53">
        <w:rPr>
          <w:rFonts w:ascii="Segoe UI" w:hAnsi="Segoe UI" w:cs="Segoe UI"/>
          <w:sz w:val="21"/>
          <w:szCs w:val="21"/>
        </w:rPr>
        <w:lastRenderedPageBreak/>
        <w:t xml:space="preserve">Taxing </w:t>
      </w:r>
      <w:r w:rsidRPr="00CB1E53">
        <w:rPr>
          <w:rFonts w:ascii="Segoe UI" w:hAnsi="Segoe UI" w:cs="Segoe UI"/>
          <w:i/>
          <w:sz w:val="21"/>
          <w:szCs w:val="21"/>
        </w:rPr>
        <w:t>domestic transport of passengers</w:t>
      </w:r>
      <w:r w:rsidRPr="00CB1E53">
        <w:rPr>
          <w:rFonts w:ascii="Segoe UI" w:hAnsi="Segoe UI" w:cs="Segoe UI"/>
          <w:sz w:val="21"/>
          <w:szCs w:val="21"/>
        </w:rPr>
        <w:t xml:space="preserve"> is the first best option, irrespective of whether it is provided by public or private operators. However, many countries exempt mass transport mainly used by low-income households. It is common practice, however, to zero-rate international passenger transport (=this is benchmark treatment), and in particular air transport. Taxi services should be taxed, while individually owned and operated taxis (and taxi motor bikes) are often subjected to a flat license fee in lieu of VAT. Domestic transportation of goods and storage should be fully taxed and is therefore the benchmark. Incoming and outgoing international transport of goods is commonly zero-rated, whether by air, sea</w:t>
      </w:r>
      <w:r w:rsidR="00F948F3">
        <w:rPr>
          <w:rFonts w:ascii="Segoe UI" w:hAnsi="Segoe UI" w:cs="Segoe UI"/>
          <w:sz w:val="21"/>
          <w:szCs w:val="21"/>
        </w:rPr>
        <w:t>,</w:t>
      </w:r>
      <w:r w:rsidRPr="00CB1E53">
        <w:rPr>
          <w:rFonts w:ascii="Segoe UI" w:hAnsi="Segoe UI" w:cs="Segoe UI"/>
          <w:sz w:val="21"/>
          <w:szCs w:val="21"/>
        </w:rPr>
        <w:t xml:space="preserve"> or road. Outgoing international transport is treated as export while the value of inbound international transport is already taxed as part of the CIF value of the goods at import. Trucks and other commercial vehicles should be fully taxable, and business users should be allowed input tax credits to the extent they are used for making taxable supplies</w:t>
      </w:r>
      <w:r w:rsidR="00BE5883">
        <w:rPr>
          <w:rFonts w:ascii="Segoe UI" w:hAnsi="Segoe UI" w:cs="Segoe UI"/>
          <w:sz w:val="21"/>
          <w:szCs w:val="21"/>
        </w:rPr>
        <w:t>.</w:t>
      </w:r>
    </w:p>
    <w:p w14:paraId="35663AE1" w14:textId="7BDA4462"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Vehicles</w:t>
      </w:r>
      <w:r w:rsidR="00BE5883">
        <w:rPr>
          <w:rFonts w:ascii="Segoe UI" w:hAnsi="Segoe UI" w:cs="Segoe UI"/>
          <w:i/>
          <w:color w:val="000000"/>
          <w:sz w:val="21"/>
          <w:szCs w:val="21"/>
        </w:rPr>
        <w:t xml:space="preserve"> </w:t>
      </w:r>
      <w:r w:rsidRPr="00CB1E53">
        <w:rPr>
          <w:rFonts w:ascii="Segoe UI" w:hAnsi="Segoe UI" w:cs="Segoe UI"/>
          <w:color w:val="000000"/>
          <w:sz w:val="21"/>
          <w:szCs w:val="21"/>
        </w:rPr>
        <w:t>As to passenger vehicles, the full VAT taxation of vehicles is included in the benchmark, as there is no compelling case to exclude them. Excise taxes (which can be included in the benchmark as a supplemental tax, in particular as a mechanism to account for environmental and other impacts of vehicle usage) are not a substitute. Vehicles that are used by businesses will receive an input tax credit</w:t>
      </w:r>
      <w:r w:rsidR="006645DD">
        <w:rPr>
          <w:rFonts w:ascii="Segoe UI" w:hAnsi="Segoe UI" w:cs="Segoe UI"/>
          <w:color w:val="000000"/>
          <w:sz w:val="21"/>
          <w:szCs w:val="21"/>
        </w:rPr>
        <w:t>.</w:t>
      </w:r>
      <w:r w:rsidRPr="00CB1E53">
        <w:rPr>
          <w:rFonts w:ascii="Segoe UI" w:hAnsi="Segoe UI" w:cs="Segoe UI"/>
          <w:color w:val="000000"/>
          <w:sz w:val="21"/>
          <w:szCs w:val="21"/>
        </w:rPr>
        <w:t xml:space="preserve"> See above the VAT treatment of commercial vehicle as the benchmark—deviations are therefore scored as TEs in this TEAR.</w:t>
      </w:r>
    </w:p>
    <w:p w14:paraId="0F3F06BC" w14:textId="7A5CC0F6"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Financial services</w:t>
      </w:r>
      <w:r w:rsidR="0030449E">
        <w:rPr>
          <w:rFonts w:ascii="Segoe UI" w:hAnsi="Segoe UI" w:cs="Segoe UI"/>
          <w:i/>
          <w:color w:val="000000"/>
          <w:sz w:val="21"/>
          <w:szCs w:val="21"/>
        </w:rPr>
        <w:t xml:space="preserve">. </w:t>
      </w:r>
      <w:r w:rsidRPr="00CB1E53">
        <w:rPr>
          <w:rFonts w:ascii="Segoe UI" w:hAnsi="Segoe UI" w:cs="Segoe UI"/>
          <w:color w:val="000000"/>
          <w:sz w:val="21"/>
          <w:szCs w:val="21"/>
        </w:rPr>
        <w:t>Fee-based financial services are considered part of the benchmark VAT base since they are in principle easily taxable under the standard invoice-credit VAT mechanism. On the other hand, margin-based financial services are exempted under many VATs. However value-added for financial services could be measured by the sum of payroll plus profits generated by financial businesses. This “addition method” under VAT as an approximation to the value-added is not common. Because this approach is well defined, and the data should be available, VAT on financial services is included in the definition of the benchmark tax base. For property and casualty insurance (including term life insurance), the net margin can be measured and taxed, and so it is also included in the benchmark tax base. Whole life insurance is primarily a mechanism for long-term saving and estate planning rather than a good or service that is consumed, and an exemption for this type of life insurance is part of the VAT benchmark tax base.</w:t>
      </w:r>
      <w:r w:rsidRPr="00CB1E53">
        <w:rPr>
          <w:rStyle w:val="FootnoteReference"/>
          <w:rFonts w:ascii="Segoe UI" w:hAnsi="Segoe UI" w:cs="Segoe UI"/>
          <w:color w:val="000000"/>
          <w:sz w:val="21"/>
          <w:szCs w:val="21"/>
        </w:rPr>
        <w:footnoteReference w:id="17"/>
      </w:r>
    </w:p>
    <w:p w14:paraId="070993F2" w14:textId="7527E0C2"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lastRenderedPageBreak/>
        <w:t>Gaming</w:t>
      </w:r>
      <w:r w:rsidR="00BE5883">
        <w:rPr>
          <w:rFonts w:ascii="Segoe UI" w:hAnsi="Segoe UI" w:cs="Segoe UI"/>
          <w:i/>
          <w:color w:val="000000"/>
          <w:sz w:val="21"/>
          <w:szCs w:val="21"/>
        </w:rPr>
        <w:t xml:space="preserve">. </w:t>
      </w:r>
      <w:r w:rsidRPr="00CB1E53">
        <w:rPr>
          <w:rFonts w:ascii="Segoe UI" w:hAnsi="Segoe UI" w:cs="Segoe UI"/>
          <w:color w:val="000000"/>
          <w:sz w:val="21"/>
          <w:szCs w:val="21"/>
        </w:rPr>
        <w:t xml:space="preserve">Gambling is structurally similar to property and casualty insurance and should be included in the benchmark tax base. The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can be estimated using the margin method, with data available from regulators, taxation authorities, and financial records of businesses in the sector.</w:t>
      </w:r>
    </w:p>
    <w:p w14:paraId="712A8204" w14:textId="2EDD614C"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Buildings and land</w:t>
      </w:r>
      <w:r w:rsidR="0030449E">
        <w:rPr>
          <w:rFonts w:ascii="Segoe UI" w:hAnsi="Segoe UI" w:cs="Segoe UI"/>
          <w:i/>
          <w:color w:val="000000"/>
          <w:sz w:val="21"/>
          <w:szCs w:val="21"/>
        </w:rPr>
        <w:t xml:space="preserve">. </w:t>
      </w:r>
      <w:r w:rsidRPr="00CB1E53">
        <w:rPr>
          <w:rFonts w:ascii="Segoe UI" w:hAnsi="Segoe UI" w:cs="Segoe UI"/>
          <w:color w:val="000000"/>
          <w:sz w:val="21"/>
          <w:szCs w:val="21"/>
        </w:rPr>
        <w:t>The benchmark VAT tax base includes tax paid on the entire purchase price of newly constructed buildings and land by consumers for their own use (thus the asset value is taxed, rather than the flow of services from the asset, similar to the tax treatment of consumer durables). To the extent that the purchase of buildings and land is for use in a business activity, any VAT paid would be eligible for input tax credit and therefore form</w:t>
      </w:r>
      <w:r w:rsidR="00956FDC">
        <w:rPr>
          <w:rFonts w:ascii="Segoe UI" w:hAnsi="Segoe UI" w:cs="Segoe UI"/>
          <w:color w:val="000000"/>
          <w:sz w:val="21"/>
          <w:szCs w:val="21"/>
        </w:rPr>
        <w:t>s</w:t>
      </w:r>
      <w:r w:rsidRPr="00CB1E53">
        <w:rPr>
          <w:rFonts w:ascii="Segoe UI" w:hAnsi="Segoe UI" w:cs="Segoe UI"/>
          <w:color w:val="000000"/>
          <w:sz w:val="21"/>
          <w:szCs w:val="21"/>
        </w:rPr>
        <w:t xml:space="preserve"> part of the benchmark VAT tax base. In the case of mixed-use property, for example a working farm that includes a personal residence, the portion intended for personal use is final consumption that forms part of the benchmark, while any VAT paid on the portion intended for business use would be eligible for input tax credits and therefor</w:t>
      </w:r>
      <w:r w:rsidR="006645DD">
        <w:rPr>
          <w:rFonts w:ascii="Segoe UI" w:hAnsi="Segoe UI" w:cs="Segoe UI"/>
          <w:color w:val="000000"/>
          <w:sz w:val="21"/>
          <w:szCs w:val="21"/>
        </w:rPr>
        <w:t>e</w:t>
      </w:r>
      <w:r w:rsidRPr="00CB1E53">
        <w:rPr>
          <w:rFonts w:ascii="Segoe UI" w:hAnsi="Segoe UI" w:cs="Segoe UI"/>
          <w:color w:val="000000"/>
          <w:sz w:val="21"/>
          <w:szCs w:val="21"/>
        </w:rPr>
        <w:t xml:space="preserve"> form</w:t>
      </w:r>
      <w:r w:rsidR="00956FDC">
        <w:rPr>
          <w:rFonts w:ascii="Segoe UI" w:hAnsi="Segoe UI" w:cs="Segoe UI"/>
          <w:color w:val="000000"/>
          <w:sz w:val="21"/>
          <w:szCs w:val="21"/>
        </w:rPr>
        <w:t>s</w:t>
      </w:r>
      <w:r w:rsidRPr="00CB1E53">
        <w:rPr>
          <w:rFonts w:ascii="Segoe UI" w:hAnsi="Segoe UI" w:cs="Segoe UI"/>
          <w:color w:val="000000"/>
          <w:sz w:val="21"/>
          <w:szCs w:val="21"/>
        </w:rPr>
        <w:t xml:space="preserve"> part of the benchmark VAT base.</w:t>
      </w:r>
    </w:p>
    <w:p w14:paraId="4940F5DA" w14:textId="3314A882" w:rsidR="00F77F6D" w:rsidRPr="00CB1E53"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color w:val="000000"/>
          <w:sz w:val="21"/>
          <w:szCs w:val="21"/>
        </w:rPr>
        <w:t>Treatment of tourism</w:t>
      </w:r>
      <w:r w:rsidR="00BE5883">
        <w:rPr>
          <w:rFonts w:ascii="Segoe UI" w:hAnsi="Segoe UI" w:cs="Segoe UI"/>
          <w:i/>
          <w:color w:val="000000"/>
          <w:sz w:val="21"/>
          <w:szCs w:val="21"/>
        </w:rPr>
        <w:t xml:space="preserve">. </w:t>
      </w:r>
      <w:r w:rsidRPr="00CB1E53">
        <w:rPr>
          <w:rFonts w:ascii="Segoe UI" w:hAnsi="Segoe UI" w:cs="Segoe UI"/>
          <w:color w:val="000000"/>
          <w:sz w:val="21"/>
          <w:szCs w:val="21"/>
        </w:rPr>
        <w:t>From an economic perspective goods and services consumed by visitors to Moldova are exported (and in fact tourism is so considered in the balance of payments). Accordingly, these supplies should in principle be zero-rated under the VAT. A problem arises however when, as is often the case, the consumption would not be taxed when “imported” into the visitor’s home country. Rather than having this consumption go completely untaxed, it is common to tax tourist purchases (although a number of countries also zero-rate some purchases by tourists, in particular hotel bills). For this reason, supplies to tourists are</w:t>
      </w:r>
      <w:r w:rsidR="00BE0F40" w:rsidRPr="00CB1E53">
        <w:rPr>
          <w:rFonts w:ascii="Segoe UI" w:hAnsi="Segoe UI" w:cs="Segoe UI"/>
          <w:color w:val="000000"/>
          <w:sz w:val="21"/>
          <w:szCs w:val="21"/>
        </w:rPr>
        <w:t xml:space="preserve"> </w:t>
      </w:r>
      <w:r w:rsidRPr="00CB1E53">
        <w:rPr>
          <w:rFonts w:ascii="Segoe UI" w:hAnsi="Segoe UI" w:cs="Segoe UI"/>
          <w:color w:val="000000"/>
          <w:sz w:val="21"/>
          <w:szCs w:val="21"/>
        </w:rPr>
        <w:t>included in the benchmark tax base for VAT.</w:t>
      </w:r>
    </w:p>
    <w:p w14:paraId="0C08DC4B" w14:textId="4A9C4450" w:rsidR="00F77F6D" w:rsidRPr="00CB1E53" w:rsidRDefault="00F77F6D" w:rsidP="00E90BA7">
      <w:pPr>
        <w:pStyle w:val="ParagraphNumbering"/>
        <w:numPr>
          <w:ilvl w:val="0"/>
          <w:numId w:val="0"/>
        </w:numPr>
        <w:tabs>
          <w:tab w:val="left" w:pos="720"/>
        </w:tabs>
        <w:spacing w:after="240" w:line="264" w:lineRule="auto"/>
        <w:jc w:val="both"/>
        <w:rPr>
          <w:rFonts w:ascii="Segoe UI" w:hAnsi="Segoe UI" w:cs="Segoe UI"/>
          <w:sz w:val="21"/>
          <w:szCs w:val="21"/>
        </w:rPr>
      </w:pPr>
      <w:r w:rsidRPr="00CB1E53">
        <w:rPr>
          <w:rFonts w:ascii="Segoe UI" w:hAnsi="Segoe UI" w:cs="Segoe UI"/>
          <w:i/>
          <w:color w:val="000000"/>
          <w:sz w:val="21"/>
          <w:szCs w:val="21"/>
        </w:rPr>
        <w:t>Government and non-government organizations</w:t>
      </w:r>
      <w:r w:rsidR="00974F62">
        <w:rPr>
          <w:rFonts w:ascii="Segoe UI" w:hAnsi="Segoe UI" w:cs="Segoe UI"/>
          <w:i/>
          <w:color w:val="000000"/>
          <w:sz w:val="21"/>
          <w:szCs w:val="21"/>
        </w:rPr>
        <w:t xml:space="preserve"> (NGOs)</w:t>
      </w:r>
      <w:r w:rsidR="0030449E">
        <w:rPr>
          <w:rFonts w:ascii="Segoe UI" w:hAnsi="Segoe UI" w:cs="Segoe UI"/>
          <w:i/>
          <w:color w:val="000000"/>
          <w:sz w:val="21"/>
          <w:szCs w:val="21"/>
        </w:rPr>
        <w:t xml:space="preserve">. </w:t>
      </w:r>
      <w:r w:rsidRPr="00CB1E53">
        <w:rPr>
          <w:rFonts w:ascii="Segoe UI" w:hAnsi="Segoe UI" w:cs="Segoe UI"/>
          <w:sz w:val="21"/>
          <w:szCs w:val="21"/>
        </w:rPr>
        <w:t xml:space="preserve">If government as supplier and purchaser of goods and services were fully VAT-able or taxable under the VAT regime it is entitled to input tax credits for its purchases while all goods and </w:t>
      </w:r>
      <w:r w:rsidR="00185884" w:rsidRPr="00CB1E53">
        <w:rPr>
          <w:rFonts w:ascii="Segoe UI" w:hAnsi="Segoe UI" w:cs="Segoe UI"/>
          <w:sz w:val="21"/>
          <w:szCs w:val="21"/>
        </w:rPr>
        <w:t>services,</w:t>
      </w:r>
      <w:r w:rsidRPr="00CB1E53">
        <w:rPr>
          <w:rFonts w:ascii="Segoe UI" w:hAnsi="Segoe UI" w:cs="Segoe UI"/>
          <w:sz w:val="21"/>
          <w:szCs w:val="21"/>
        </w:rPr>
        <w:t xml:space="preserve"> it supplies are taxable. Such a “pure” VAT treatment of government is only operated by New Zealand as it requires appropriate and complex government accounting systems, and all government subdivisions must be registered for VAT. A common “second best” approach is then to exclude “pure” government activities from VAT (being benchmark) so that government becomes “input taxed” on its imports and purchases. Of course, the government collects that input tax again in the form of tax revenue paid over to itself by its suppliers. If, however, government engages in activities that are or can also be carried out by private businesses (i.e., public sector enterprises), it should be fully subject to VAT</w:t>
      </w:r>
      <w:r w:rsidR="0030449E">
        <w:rPr>
          <w:rFonts w:ascii="Segoe UI" w:hAnsi="Segoe UI" w:cs="Segoe UI"/>
          <w:sz w:val="21"/>
          <w:szCs w:val="21"/>
        </w:rPr>
        <w:t>.</w:t>
      </w:r>
    </w:p>
    <w:p w14:paraId="4AF7DCF3" w14:textId="6D2C6D5E" w:rsidR="00F77F6D" w:rsidRPr="00706F15" w:rsidRDefault="00F77F6D" w:rsidP="00E90BA7">
      <w:pPr>
        <w:autoSpaceDE w:val="0"/>
        <w:autoSpaceDN w:val="0"/>
        <w:adjustRightInd w:val="0"/>
        <w:spacing w:after="240" w:line="264" w:lineRule="auto"/>
        <w:jc w:val="both"/>
        <w:rPr>
          <w:rFonts w:ascii="Segoe UI" w:hAnsi="Segoe UI" w:cs="Segoe UI"/>
          <w:color w:val="000000"/>
          <w:sz w:val="21"/>
          <w:szCs w:val="21"/>
          <w:lang w:val="en-GB"/>
        </w:rPr>
      </w:pPr>
      <w:r w:rsidRPr="00CB1E53">
        <w:rPr>
          <w:rFonts w:ascii="Segoe UI" w:hAnsi="Segoe UI" w:cs="Segoe UI"/>
          <w:sz w:val="21"/>
          <w:szCs w:val="21"/>
        </w:rPr>
        <w:t>Many VAT systems provide for the concessionary treatment of charities and other non-profits on equity and practical grounds.</w:t>
      </w:r>
      <w:r w:rsidRPr="00CB1E53">
        <w:rPr>
          <w:rStyle w:val="FootnoteReference"/>
          <w:rFonts w:ascii="Segoe UI" w:hAnsi="Segoe UI" w:cs="Segoe UI"/>
          <w:sz w:val="21"/>
          <w:szCs w:val="21"/>
        </w:rPr>
        <w:footnoteReference w:id="18"/>
      </w:r>
      <w:r w:rsidRPr="00CB1E53">
        <w:rPr>
          <w:rFonts w:ascii="Segoe UI" w:hAnsi="Segoe UI" w:cs="Segoe UI"/>
          <w:sz w:val="21"/>
          <w:szCs w:val="21"/>
        </w:rPr>
        <w:t xml:space="preserve"> While VAT does not generally distinguish between “for profit” and “charitable” activities, many VAT systems award some form of concessionary VAT treatment to supplies </w:t>
      </w:r>
      <w:r w:rsidRPr="00CB1E53">
        <w:rPr>
          <w:rFonts w:ascii="Segoe UI" w:hAnsi="Segoe UI" w:cs="Segoe UI"/>
          <w:sz w:val="21"/>
          <w:szCs w:val="21"/>
        </w:rPr>
        <w:lastRenderedPageBreak/>
        <w:t>of qualifying charities ranging from exemption to zero-rating. Some VATs include charitable activities into the VAT base to allow input credits and refunds (e.g., New Zealand) while others exempt charities but operate a VAT compensation or rebate scheme to compensate charities for input tax (e.g., Denmark, Canada). A jurisdiction with lower capacity and weaker institutions, VAT exemption may be a second-best option.</w:t>
      </w:r>
      <w:r w:rsidRPr="00CB1E53">
        <w:rPr>
          <w:rFonts w:ascii="Segoe UI" w:hAnsi="Segoe UI" w:cs="Segoe UI"/>
          <w:b/>
          <w:sz w:val="21"/>
          <w:szCs w:val="21"/>
        </w:rPr>
        <w:t xml:space="preserve"> </w:t>
      </w:r>
      <w:r w:rsidRPr="00CB1E53">
        <w:rPr>
          <w:rFonts w:ascii="Segoe UI" w:hAnsi="Segoe UI" w:cs="Segoe UI"/>
          <w:sz w:val="21"/>
          <w:szCs w:val="21"/>
        </w:rPr>
        <w:t>Concessionary treatment in the form of zero-rating and VAT compensation or rebate schemes are administratively complex to manage and add risk. In a weak institutional environment with very little VAT experience, the exemption approach is likely to be the best alternative</w:t>
      </w:r>
      <w:r w:rsidR="0030449E">
        <w:rPr>
          <w:rFonts w:ascii="Segoe UI" w:hAnsi="Segoe UI" w:cs="Segoe UI"/>
          <w:sz w:val="21"/>
          <w:szCs w:val="21"/>
        </w:rPr>
        <w:t xml:space="preserve">. </w:t>
      </w:r>
    </w:p>
    <w:p w14:paraId="49B1C916" w14:textId="77777777" w:rsidR="00F77F6D" w:rsidRPr="00CB1E53" w:rsidRDefault="00F77F6D" w:rsidP="00E90BA7">
      <w:pPr>
        <w:autoSpaceDE w:val="0"/>
        <w:autoSpaceDN w:val="0"/>
        <w:adjustRightInd w:val="0"/>
        <w:spacing w:after="240" w:line="264" w:lineRule="auto"/>
        <w:jc w:val="both"/>
        <w:rPr>
          <w:rFonts w:ascii="Segoe UI" w:hAnsi="Segoe UI" w:cs="Segoe UI"/>
          <w:b/>
          <w:color w:val="000000"/>
          <w:sz w:val="21"/>
          <w:szCs w:val="21"/>
        </w:rPr>
      </w:pPr>
      <w:r w:rsidRPr="00CB1E53">
        <w:rPr>
          <w:rFonts w:ascii="Segoe UI" w:hAnsi="Segoe UI" w:cs="Segoe UI"/>
          <w:i/>
          <w:color w:val="000000"/>
          <w:sz w:val="21"/>
          <w:szCs w:val="21"/>
        </w:rPr>
        <w:t>Issues arising from the failure to pay refunds in a timely manner</w:t>
      </w:r>
      <w:r w:rsidRPr="00CB1E53">
        <w:rPr>
          <w:rFonts w:ascii="Segoe UI" w:hAnsi="Segoe UI" w:cs="Segoe UI"/>
          <w:b/>
          <w:color w:val="000000"/>
          <w:sz w:val="21"/>
          <w:szCs w:val="21"/>
        </w:rPr>
        <w:t xml:space="preserve"> </w:t>
      </w:r>
    </w:p>
    <w:p w14:paraId="43AD7E47" w14:textId="0625C404" w:rsidR="00F77F6D" w:rsidRDefault="00F77F6D" w:rsidP="00E90BA7">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In some cases, preferential tax treatment that generates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can also place the taxpayer in a</w:t>
      </w:r>
      <w:r w:rsidR="00C357C0">
        <w:rPr>
          <w:rFonts w:ascii="Segoe UI" w:hAnsi="Segoe UI" w:cs="Segoe UI"/>
          <w:color w:val="000000"/>
          <w:sz w:val="21"/>
          <w:szCs w:val="21"/>
        </w:rPr>
        <w:t xml:space="preserve"> </w:t>
      </w:r>
      <w:r w:rsidRPr="00CB1E53">
        <w:rPr>
          <w:rFonts w:ascii="Segoe UI" w:hAnsi="Segoe UI" w:cs="Segoe UI"/>
          <w:color w:val="000000"/>
          <w:sz w:val="21"/>
          <w:szCs w:val="21"/>
        </w:rPr>
        <w:t xml:space="preserve">persistent excess credit position that requires the payment of VAT refunds in a timely manner. In Moldova in many cases some businesses have high levels of excess credits accumulated over time for which no VAT refunds have been paid. In a sense this is a “negative”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since it reduces the true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generated. However, unpaid refunds should not be included in the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assessment as a negative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Rather, failure to pay refunds undermines the credibility of the VAT, and the practice imposes effectively random and capricious tax burdens on commodities and taxpayers. In addition, large stocks of excess credits held by businesses provide incentives for horizontal and vertical integration of businesses and can place domestic firms at a competitive disadvantage relative to imports (which effectively receive refunds from the country of production when earned). The appropriate policy is to pay verifiable refund claims in a timely manner, and the benchmark tax system should recognize that as the practice.</w:t>
      </w:r>
    </w:p>
    <w:p w14:paraId="610A5D46" w14:textId="77777777" w:rsidR="00333258" w:rsidRPr="007B2C5D" w:rsidRDefault="00333258" w:rsidP="00E90BA7">
      <w:pPr>
        <w:pStyle w:val="Heading3"/>
        <w:jc w:val="both"/>
        <w:rPr>
          <w:rStyle w:val="RegularDKB"/>
          <w:b/>
          <w:bCs/>
          <w:caps w:val="0"/>
          <w:lang w:val="en-CA"/>
        </w:rPr>
      </w:pPr>
      <w:bookmarkStart w:id="24" w:name="_Toc126555826"/>
      <w:r w:rsidRPr="007B2C5D">
        <w:rPr>
          <w:rStyle w:val="RegularDKB"/>
          <w:b/>
          <w:bCs/>
          <w:caps w:val="0"/>
          <w:lang w:val="en-CA"/>
        </w:rPr>
        <w:t>Excise Duties</w:t>
      </w:r>
      <w:bookmarkEnd w:id="24"/>
    </w:p>
    <w:p w14:paraId="65A93B3E" w14:textId="77777777" w:rsidR="00333258" w:rsidRPr="00793169" w:rsidRDefault="00333258" w:rsidP="00E90BA7">
      <w:pPr>
        <w:pStyle w:val="Heading4"/>
        <w:spacing w:after="120" w:line="264" w:lineRule="auto"/>
        <w:jc w:val="both"/>
        <w:rPr>
          <w:rFonts w:ascii="Segoe UI" w:hAnsi="Segoe UI" w:cs="Segoe UI"/>
          <w:color w:val="004C97" w:themeColor="text2"/>
          <w:sz w:val="21"/>
          <w:szCs w:val="21"/>
          <w:lang w:val="en-CA"/>
        </w:rPr>
      </w:pPr>
      <w:r w:rsidRPr="00793169">
        <w:rPr>
          <w:rFonts w:ascii="Segoe UI" w:hAnsi="Segoe UI" w:cs="Segoe UI"/>
          <w:color w:val="004C97" w:themeColor="text2"/>
          <w:sz w:val="21"/>
          <w:szCs w:val="21"/>
          <w:lang w:val="en-CA"/>
        </w:rPr>
        <w:t xml:space="preserve">Common </w:t>
      </w:r>
      <w:r>
        <w:rPr>
          <w:rFonts w:ascii="Segoe UI" w:hAnsi="Segoe UI" w:cs="Segoe UI"/>
          <w:color w:val="004C97" w:themeColor="text2"/>
          <w:sz w:val="21"/>
          <w:szCs w:val="21"/>
          <w:lang w:val="en-CA"/>
        </w:rPr>
        <w:t>A</w:t>
      </w:r>
      <w:r w:rsidRPr="00793169">
        <w:rPr>
          <w:rFonts w:ascii="Segoe UI" w:hAnsi="Segoe UI" w:cs="Segoe UI"/>
          <w:color w:val="004C97" w:themeColor="text2"/>
          <w:sz w:val="21"/>
          <w:szCs w:val="21"/>
          <w:lang w:val="en-CA"/>
        </w:rPr>
        <w:t>pproach</w:t>
      </w:r>
    </w:p>
    <w:p w14:paraId="28529A2F" w14:textId="0D65B990" w:rsidR="00333258" w:rsidRPr="00ED6DD6" w:rsidRDefault="00333258" w:rsidP="00E90BA7">
      <w:pPr>
        <w:jc w:val="both"/>
        <w:rPr>
          <w:rFonts w:ascii="Segoe UI" w:hAnsi="Segoe UI" w:cs="Segoe UI"/>
          <w:sz w:val="21"/>
          <w:szCs w:val="21"/>
          <w:lang w:val="en-CA"/>
        </w:rPr>
      </w:pPr>
      <w:r w:rsidRPr="00ED6DD6">
        <w:rPr>
          <w:rFonts w:ascii="Segoe UI" w:hAnsi="Segoe UI" w:cs="Segoe UI"/>
          <w:sz w:val="21"/>
          <w:szCs w:val="21"/>
          <w:lang w:val="en-CA"/>
        </w:rPr>
        <w:t xml:space="preserve">In line with the principles stated above, the benchmark for excise duties should comprise the benchmark tax bases, tax rates and other design aspects that are aligned with the rationale for levying excise duties. This raises particular difficulties in the case of excise duties, as multiple rationales may motivate the levying of an excise duty on a particular good, not all of which may command the same decisions as to how the duty should be designed. For instance, excise duties are generally justified as instruments to raise revenues, to internalize some forms of costs (e.g., pollution costs, consumption harm), or both; the first of these objectives may entail the levying of a duty at an </w:t>
      </w:r>
      <w:r w:rsidRPr="00ED6DD6">
        <w:rPr>
          <w:rFonts w:ascii="Segoe UI" w:hAnsi="Segoe UI" w:cs="Segoe UI"/>
          <w:i/>
          <w:sz w:val="21"/>
          <w:szCs w:val="21"/>
          <w:lang w:val="en-CA"/>
        </w:rPr>
        <w:t>ad valorem</w:t>
      </w:r>
      <w:r w:rsidRPr="00ED6DD6">
        <w:rPr>
          <w:rFonts w:ascii="Segoe UI" w:hAnsi="Segoe UI" w:cs="Segoe UI"/>
          <w:sz w:val="21"/>
          <w:szCs w:val="21"/>
          <w:lang w:val="en-CA"/>
        </w:rPr>
        <w:t xml:space="preserve"> rate</w:t>
      </w:r>
      <w:r w:rsidR="000B1B47" w:rsidRPr="00ED6DD6">
        <w:rPr>
          <w:rFonts w:ascii="Segoe UI" w:hAnsi="Segoe UI" w:cs="Segoe UI"/>
          <w:sz w:val="21"/>
          <w:szCs w:val="21"/>
          <w:lang w:val="en-CA"/>
        </w:rPr>
        <w:t xml:space="preserve">, </w:t>
      </w:r>
      <w:r w:rsidRPr="00ED6DD6">
        <w:rPr>
          <w:rFonts w:ascii="Segoe UI" w:hAnsi="Segoe UI" w:cs="Segoe UI"/>
          <w:sz w:val="21"/>
          <w:szCs w:val="21"/>
          <w:lang w:val="en-CA"/>
        </w:rPr>
        <w:t>that is, a duty stated as a percent of the value of a good (e.g., 10</w:t>
      </w:r>
      <w:r w:rsidR="00BA42BE" w:rsidRPr="00ED6DD6">
        <w:rPr>
          <w:rFonts w:ascii="Segoe UI" w:hAnsi="Segoe UI" w:cs="Segoe UI"/>
          <w:sz w:val="21"/>
          <w:szCs w:val="21"/>
          <w:lang w:val="en-CA"/>
        </w:rPr>
        <w:t xml:space="preserve"> percent</w:t>
      </w:r>
      <w:r w:rsidRPr="00ED6DD6">
        <w:rPr>
          <w:rFonts w:ascii="Segoe UI" w:hAnsi="Segoe UI" w:cs="Segoe UI"/>
          <w:sz w:val="21"/>
          <w:szCs w:val="21"/>
          <w:lang w:val="en-CA"/>
        </w:rPr>
        <w:t xml:space="preserve"> of the sale price)</w:t>
      </w:r>
      <w:r w:rsidR="00B33803" w:rsidRPr="00ED6DD6">
        <w:rPr>
          <w:rFonts w:ascii="Segoe UI" w:hAnsi="Segoe UI" w:cs="Segoe UI"/>
          <w:sz w:val="21"/>
          <w:szCs w:val="21"/>
          <w:lang w:val="en-CA"/>
        </w:rPr>
        <w:t>,</w:t>
      </w:r>
      <w:r w:rsidRPr="00ED6DD6">
        <w:rPr>
          <w:rFonts w:ascii="Segoe UI" w:hAnsi="Segoe UI" w:cs="Segoe UI"/>
          <w:sz w:val="21"/>
          <w:szCs w:val="21"/>
          <w:lang w:val="en-CA"/>
        </w:rPr>
        <w:t xml:space="preserve"> while the second of these objectives might point toward the levying of an </w:t>
      </w:r>
      <w:r w:rsidRPr="00ED6DD6">
        <w:rPr>
          <w:rFonts w:ascii="Segoe UI" w:hAnsi="Segoe UI" w:cs="Segoe UI"/>
          <w:i/>
          <w:sz w:val="21"/>
          <w:szCs w:val="21"/>
          <w:lang w:val="en-CA"/>
        </w:rPr>
        <w:t>ad quantum</w:t>
      </w:r>
      <w:r w:rsidRPr="00ED6DD6">
        <w:rPr>
          <w:rFonts w:ascii="Segoe UI" w:hAnsi="Segoe UI" w:cs="Segoe UI"/>
          <w:sz w:val="21"/>
          <w:szCs w:val="21"/>
          <w:lang w:val="en-CA"/>
        </w:rPr>
        <w:t xml:space="preserve"> or specific duty</w:t>
      </w:r>
      <w:r w:rsidR="0065378F" w:rsidRPr="00ED6DD6">
        <w:rPr>
          <w:rFonts w:ascii="Segoe UI" w:hAnsi="Segoe UI" w:cs="Segoe UI"/>
          <w:sz w:val="21"/>
          <w:szCs w:val="21"/>
          <w:lang w:val="en-CA"/>
        </w:rPr>
        <w:t xml:space="preserve">, </w:t>
      </w:r>
      <w:r w:rsidRPr="00ED6DD6">
        <w:rPr>
          <w:rFonts w:ascii="Segoe UI" w:hAnsi="Segoe UI" w:cs="Segoe UI"/>
          <w:sz w:val="21"/>
          <w:szCs w:val="21"/>
          <w:lang w:val="en-CA"/>
        </w:rPr>
        <w:t xml:space="preserve">a duty stated as a fixed amount per physical unit of a good (e.g., 20 </w:t>
      </w:r>
      <w:r w:rsidR="001137DC" w:rsidRPr="00ED6DD6">
        <w:rPr>
          <w:rFonts w:ascii="Segoe UI" w:hAnsi="Segoe UI" w:cs="Segoe UI"/>
          <w:sz w:val="21"/>
          <w:szCs w:val="21"/>
          <w:lang w:val="en-CA"/>
        </w:rPr>
        <w:t xml:space="preserve">MDL </w:t>
      </w:r>
      <w:r w:rsidRPr="00ED6DD6">
        <w:rPr>
          <w:rFonts w:ascii="Segoe UI" w:hAnsi="Segoe UI" w:cs="Segoe UI"/>
          <w:sz w:val="21"/>
          <w:szCs w:val="21"/>
          <w:lang w:val="en-CA"/>
        </w:rPr>
        <w:t>per pack of cigarettes). Furthermore, theoretical considerations as to the objectives being pursued when taxing a specific good may not precisely translate into a clear benchmark, either because it is not possible to assign a clear priority to a single objective or because the pursuit of a given objective does not translate into a clear prescription as to the design of the duty (such as when the costs to be internalized cannot be precisely estimated or vary from one taxpayer to the next).</w:t>
      </w:r>
    </w:p>
    <w:p w14:paraId="03F1BCB1" w14:textId="77777777" w:rsidR="00333258" w:rsidRPr="00ED6DD6" w:rsidRDefault="00333258" w:rsidP="00E90BA7">
      <w:pPr>
        <w:jc w:val="both"/>
        <w:rPr>
          <w:rFonts w:ascii="Segoe UI" w:hAnsi="Segoe UI" w:cs="Segoe UI"/>
          <w:sz w:val="21"/>
          <w:szCs w:val="21"/>
          <w:lang w:val="en-CA"/>
        </w:rPr>
      </w:pPr>
      <w:r w:rsidRPr="00ED6DD6">
        <w:rPr>
          <w:rFonts w:ascii="Segoe UI" w:hAnsi="Segoe UI" w:cs="Segoe UI"/>
          <w:sz w:val="21"/>
          <w:szCs w:val="21"/>
          <w:lang w:val="en-CA"/>
        </w:rPr>
        <w:t xml:space="preserve">As the rationale for levying an excise duty may differ depending on the good being taxed, it is necessary to define distinct benchmarks for each category of excisable goods. The following describes </w:t>
      </w:r>
      <w:r w:rsidRPr="00ED6DD6">
        <w:rPr>
          <w:rFonts w:ascii="Segoe UI" w:hAnsi="Segoe UI" w:cs="Segoe UI"/>
          <w:sz w:val="21"/>
          <w:szCs w:val="21"/>
          <w:lang w:val="en-CA"/>
        </w:rPr>
        <w:lastRenderedPageBreak/>
        <w:t>the key elements of the benchmark that have been retained for each category of goods that are subject to excise taxation in Moldova and that are covered in this report:</w:t>
      </w:r>
    </w:p>
    <w:p w14:paraId="6BE08DF1" w14:textId="6FB52107" w:rsidR="00333258" w:rsidRPr="00ED6DD6" w:rsidRDefault="00333258" w:rsidP="00E90BA7">
      <w:pPr>
        <w:jc w:val="both"/>
        <w:rPr>
          <w:rFonts w:ascii="Segoe UI" w:hAnsi="Segoe UI" w:cs="Segoe UI"/>
          <w:sz w:val="21"/>
          <w:szCs w:val="21"/>
          <w:lang w:val="en-CA"/>
        </w:rPr>
      </w:pPr>
      <w:r w:rsidRPr="00ED6DD6">
        <w:rPr>
          <w:rFonts w:ascii="Segoe UI" w:hAnsi="Segoe UI" w:cs="Segoe UI"/>
          <w:i/>
          <w:sz w:val="21"/>
          <w:szCs w:val="21"/>
          <w:lang w:val="en-CA"/>
        </w:rPr>
        <w:t>Alcoholic products:</w:t>
      </w:r>
      <w:r w:rsidRPr="00ED6DD6">
        <w:rPr>
          <w:rFonts w:ascii="Segoe UI" w:hAnsi="Segoe UI" w:cs="Segoe UI"/>
          <w:sz w:val="21"/>
          <w:szCs w:val="21"/>
          <w:lang w:val="en-CA"/>
        </w:rPr>
        <w:t xml:space="preserve"> Moldova levies excise duties on pure alcohol and alcoholic products, including beers, ciders, vermouths, spirits and distillates, but not on wines. Rates are set out as specific amounts per liter of pure alcohol contained in a product (spirits and distillates) or per liter of product (all other alcoholic products). The levying of excise duties on alcoholic products is justified both by the need to control the consumption of alcohol and by the need to raise revenues. With the exception of wines, it is considered that the specific excise duty rates that are set out in the applicable legislation are broadly aligned with the alcohol contents of the products in a manner that is consistent with the harm-reducing function of these duties, and therefore these rates are considered to be the benchmark rates.</w:t>
      </w:r>
      <w:r w:rsidRPr="00ED6DD6">
        <w:rPr>
          <w:rStyle w:val="FootnoteReference"/>
          <w:rFonts w:ascii="Segoe UI" w:hAnsi="Segoe UI" w:cs="Segoe UI"/>
          <w:sz w:val="21"/>
          <w:szCs w:val="21"/>
          <w:lang w:val="en-CA"/>
        </w:rPr>
        <w:footnoteReference w:id="19"/>
      </w:r>
      <w:r w:rsidRPr="00ED6DD6">
        <w:rPr>
          <w:rFonts w:ascii="Segoe UI" w:hAnsi="Segoe UI" w:cs="Segoe UI"/>
          <w:sz w:val="21"/>
          <w:szCs w:val="21"/>
          <w:lang w:val="en-CA"/>
        </w:rPr>
        <w:t xml:space="preserve"> The benchmark rate for wines is set equal to the excise duty applicable per liter of pure alcohol in wines as is applicable to pure alcohol (115</w:t>
      </w:r>
      <w:r w:rsidR="00860577" w:rsidRPr="00ED6DD6">
        <w:rPr>
          <w:rFonts w:ascii="Segoe UI" w:hAnsi="Segoe UI" w:cs="Segoe UI"/>
          <w:sz w:val="21"/>
          <w:szCs w:val="21"/>
          <w:lang w:val="en-CA"/>
        </w:rPr>
        <w:t>.</w:t>
      </w:r>
      <w:r w:rsidRPr="00ED6DD6">
        <w:rPr>
          <w:rFonts w:ascii="Segoe UI" w:hAnsi="Segoe UI" w:cs="Segoe UI"/>
          <w:sz w:val="21"/>
          <w:szCs w:val="21"/>
          <w:lang w:val="en-CA"/>
        </w:rPr>
        <w:t xml:space="preserve">02 </w:t>
      </w:r>
      <w:r w:rsidR="00F80E98" w:rsidRPr="00ED6DD6">
        <w:rPr>
          <w:rFonts w:ascii="Segoe UI" w:hAnsi="Segoe UI" w:cs="Segoe UI"/>
          <w:sz w:val="21"/>
          <w:szCs w:val="21"/>
          <w:lang w:val="en-CA"/>
        </w:rPr>
        <w:t xml:space="preserve">MDL </w:t>
      </w:r>
      <w:r w:rsidRPr="00ED6DD6">
        <w:rPr>
          <w:rFonts w:ascii="Segoe UI" w:hAnsi="Segoe UI" w:cs="Segoe UI"/>
          <w:sz w:val="21"/>
          <w:szCs w:val="21"/>
          <w:lang w:val="en-CA"/>
        </w:rPr>
        <w:t>per liter of pure alcohol in 2022, equivalent to a benchmark duty rate of 13</w:t>
      </w:r>
      <w:r w:rsidR="00860577" w:rsidRPr="00ED6DD6">
        <w:rPr>
          <w:rFonts w:ascii="Segoe UI" w:hAnsi="Segoe UI" w:cs="Segoe UI"/>
          <w:sz w:val="21"/>
          <w:szCs w:val="21"/>
          <w:lang w:val="en-CA"/>
        </w:rPr>
        <w:t>.</w:t>
      </w:r>
      <w:r w:rsidRPr="00ED6DD6">
        <w:rPr>
          <w:rFonts w:ascii="Segoe UI" w:hAnsi="Segoe UI" w:cs="Segoe UI"/>
          <w:sz w:val="21"/>
          <w:szCs w:val="21"/>
          <w:lang w:val="en-CA"/>
        </w:rPr>
        <w:t xml:space="preserve">80 </w:t>
      </w:r>
      <w:r w:rsidR="00F80E98" w:rsidRPr="00ED6DD6">
        <w:rPr>
          <w:rFonts w:ascii="Segoe UI" w:hAnsi="Segoe UI" w:cs="Segoe UI"/>
          <w:sz w:val="21"/>
          <w:szCs w:val="21"/>
          <w:lang w:val="en-CA"/>
        </w:rPr>
        <w:t xml:space="preserve">MDL </w:t>
      </w:r>
      <w:r w:rsidRPr="00ED6DD6">
        <w:rPr>
          <w:rFonts w:ascii="Segoe UI" w:hAnsi="Segoe UI" w:cs="Segoe UI"/>
          <w:sz w:val="21"/>
          <w:szCs w:val="21"/>
          <w:lang w:val="en-CA"/>
        </w:rPr>
        <w:t>per liter of wine, assuming an average 12</w:t>
      </w:r>
      <w:r w:rsidR="00BA42BE" w:rsidRPr="00ED6DD6">
        <w:rPr>
          <w:rFonts w:ascii="Segoe UI" w:hAnsi="Segoe UI" w:cs="Segoe UI"/>
          <w:sz w:val="21"/>
          <w:szCs w:val="21"/>
          <w:lang w:val="en-CA"/>
        </w:rPr>
        <w:t xml:space="preserve"> percent</w:t>
      </w:r>
      <w:r w:rsidRPr="00ED6DD6">
        <w:rPr>
          <w:rFonts w:ascii="Segoe UI" w:hAnsi="Segoe UI" w:cs="Segoe UI"/>
          <w:sz w:val="21"/>
          <w:szCs w:val="21"/>
          <w:lang w:val="en-CA"/>
        </w:rPr>
        <w:t xml:space="preserve"> alcohol content for wines).</w:t>
      </w:r>
    </w:p>
    <w:p w14:paraId="20B246DF" w14:textId="14173649" w:rsidR="00333258" w:rsidRPr="00ED6DD6" w:rsidRDefault="00333258" w:rsidP="00E90BA7">
      <w:pPr>
        <w:jc w:val="both"/>
        <w:rPr>
          <w:rFonts w:ascii="Segoe UI" w:hAnsi="Segoe UI" w:cs="Segoe UI"/>
          <w:sz w:val="21"/>
          <w:szCs w:val="21"/>
          <w:lang w:val="en-CA"/>
        </w:rPr>
      </w:pPr>
      <w:r w:rsidRPr="00ED6DD6">
        <w:rPr>
          <w:rFonts w:ascii="Segoe UI" w:hAnsi="Segoe UI" w:cs="Segoe UI"/>
          <w:i/>
          <w:sz w:val="21"/>
          <w:szCs w:val="21"/>
          <w:lang w:val="en-CA"/>
        </w:rPr>
        <w:t>Tobacco products:</w:t>
      </w:r>
      <w:r w:rsidRPr="00ED6DD6">
        <w:rPr>
          <w:rFonts w:ascii="Segoe UI" w:hAnsi="Segoe UI" w:cs="Segoe UI"/>
          <w:sz w:val="21"/>
          <w:szCs w:val="21"/>
          <w:lang w:val="en-CA"/>
        </w:rPr>
        <w:t xml:space="preserve"> Excise duties are levied on tobacco products in Moldova, primarily in order to discourage consumption and raise revenues. In 2022, cigarettes were subject to a specific duty equal to the higher of 959 </w:t>
      </w:r>
      <w:r w:rsidR="007F3317" w:rsidRPr="00ED6DD6">
        <w:rPr>
          <w:rFonts w:ascii="Segoe UI" w:hAnsi="Segoe UI" w:cs="Segoe UI"/>
          <w:sz w:val="21"/>
          <w:szCs w:val="21"/>
          <w:lang w:val="en-CA"/>
        </w:rPr>
        <w:t xml:space="preserve">MDL </w:t>
      </w:r>
      <w:r w:rsidRPr="00ED6DD6">
        <w:rPr>
          <w:rFonts w:ascii="Segoe UI" w:hAnsi="Segoe UI" w:cs="Segoe UI"/>
          <w:sz w:val="21"/>
          <w:szCs w:val="21"/>
          <w:lang w:val="en-CA"/>
        </w:rPr>
        <w:t xml:space="preserve">per 1,000 cigarettes or the sum of 715 </w:t>
      </w:r>
      <w:r w:rsidR="00450A47" w:rsidRPr="00ED6DD6">
        <w:rPr>
          <w:rFonts w:ascii="Segoe UI" w:hAnsi="Segoe UI" w:cs="Segoe UI"/>
          <w:sz w:val="21"/>
          <w:szCs w:val="21"/>
          <w:lang w:val="en-CA"/>
        </w:rPr>
        <w:t>MDL</w:t>
      </w:r>
      <w:r w:rsidRPr="00ED6DD6">
        <w:rPr>
          <w:rFonts w:ascii="Segoe UI" w:hAnsi="Segoe UI" w:cs="Segoe UI"/>
          <w:sz w:val="21"/>
          <w:szCs w:val="21"/>
          <w:lang w:val="en-CA"/>
        </w:rPr>
        <w:t xml:space="preserve"> per 1,000 cigarettes plus 13</w:t>
      </w:r>
      <w:r w:rsidR="00BA42BE" w:rsidRPr="00ED6DD6">
        <w:rPr>
          <w:rFonts w:ascii="Segoe UI" w:hAnsi="Segoe UI" w:cs="Segoe UI"/>
          <w:sz w:val="21"/>
          <w:szCs w:val="21"/>
          <w:lang w:val="en-CA"/>
        </w:rPr>
        <w:t xml:space="preserve"> per</w:t>
      </w:r>
      <w:r w:rsidR="006002A8" w:rsidRPr="00ED6DD6">
        <w:rPr>
          <w:rFonts w:ascii="Segoe UI" w:hAnsi="Segoe UI" w:cs="Segoe UI"/>
          <w:sz w:val="21"/>
          <w:szCs w:val="21"/>
          <w:lang w:val="en-CA"/>
        </w:rPr>
        <w:t>cent</w:t>
      </w:r>
      <w:r w:rsidRPr="00ED6DD6">
        <w:rPr>
          <w:rFonts w:ascii="Segoe UI" w:hAnsi="Segoe UI" w:cs="Segoe UI"/>
          <w:sz w:val="21"/>
          <w:szCs w:val="21"/>
          <w:lang w:val="en-CA"/>
        </w:rPr>
        <w:t xml:space="preserve"> of the retail price of the cigarettes. Sheet cigarettes, cigars and cigarillos were subject to a single 41</w:t>
      </w:r>
      <w:r w:rsidR="006002A8" w:rsidRPr="00ED6DD6">
        <w:rPr>
          <w:rFonts w:ascii="Segoe UI" w:hAnsi="Segoe UI" w:cs="Segoe UI"/>
          <w:sz w:val="21"/>
          <w:szCs w:val="21"/>
          <w:lang w:val="en-CA"/>
        </w:rPr>
        <w:t xml:space="preserve"> percent</w:t>
      </w:r>
      <w:r w:rsidRPr="00ED6DD6">
        <w:rPr>
          <w:rFonts w:ascii="Segoe UI" w:hAnsi="Segoe UI" w:cs="Segoe UI"/>
          <w:sz w:val="21"/>
          <w:szCs w:val="21"/>
          <w:lang w:val="en-CA"/>
        </w:rPr>
        <w:t xml:space="preserve"> duty, while other tobacco products (e.g., fine-cut tobacco, cartridges for electronic cigarettes) were subject to specific per-quantity duties that varied depending on the products. These rates, as set out in the applicable legislation, are broadly aligned with the tobacco contents of the products and are considered to be the benchmark rates.</w:t>
      </w:r>
    </w:p>
    <w:p w14:paraId="72559746" w14:textId="77777777" w:rsidR="00333258" w:rsidRPr="00ED6DD6" w:rsidRDefault="00333258" w:rsidP="00E90BA7">
      <w:pPr>
        <w:jc w:val="both"/>
        <w:rPr>
          <w:rFonts w:ascii="Segoe UI" w:hAnsi="Segoe UI" w:cs="Segoe UI"/>
          <w:sz w:val="21"/>
          <w:szCs w:val="21"/>
          <w:lang w:val="en-CA"/>
        </w:rPr>
      </w:pPr>
      <w:r w:rsidRPr="00ED6DD6">
        <w:rPr>
          <w:rFonts w:ascii="Segoe UI" w:hAnsi="Segoe UI" w:cs="Segoe UI"/>
          <w:i/>
          <w:sz w:val="21"/>
          <w:szCs w:val="21"/>
          <w:lang w:val="en-CA"/>
        </w:rPr>
        <w:t>Oil and derivative products:</w:t>
      </w:r>
      <w:r w:rsidRPr="00ED6DD6">
        <w:rPr>
          <w:rFonts w:ascii="Segoe UI" w:hAnsi="Segoe UI" w:cs="Segoe UI"/>
          <w:sz w:val="21"/>
          <w:szCs w:val="21"/>
          <w:lang w:val="en-CA"/>
        </w:rPr>
        <w:t xml:space="preserve"> Excise duties are levied on gasoline, diesel, fuel oil and other forms of fossil energy, as well as on a certain number of chemical elements derived from oil. It is considered that the benchmark tax base covers all sources of fossil energy as well as the particular chemicals that are subject to excise duties. Electricity is not considered to be part of the benchmark tax base, not being a form of fossil energy.</w:t>
      </w:r>
      <w:r w:rsidRPr="00ED6DD6">
        <w:rPr>
          <w:rStyle w:val="FootnoteReference"/>
          <w:rFonts w:ascii="Segoe UI" w:hAnsi="Segoe UI" w:cs="Segoe UI"/>
          <w:sz w:val="21"/>
          <w:szCs w:val="21"/>
          <w:lang w:val="en-CA"/>
        </w:rPr>
        <w:footnoteReference w:id="20"/>
      </w:r>
      <w:r w:rsidRPr="00ED6DD6">
        <w:rPr>
          <w:rFonts w:ascii="Segoe UI" w:hAnsi="Segoe UI" w:cs="Segoe UI"/>
          <w:sz w:val="21"/>
          <w:szCs w:val="21"/>
          <w:lang w:val="en-CA"/>
        </w:rPr>
        <w:t xml:space="preserve"> Benchmark tax rates are assumed to correspond to the applicable legislated rates, on the grounds that the structure of excise duty rates applicable to fossil energy products is reflective of the revenue objectives of the government. Natural gas and coal and coke are not currently subject to excise duties: the benchmark tax rates applicable to natural gas are assumed to correspond to the rates applicable to other similar gaseous hydrocarbons (such as propane, butane and ethylene), while the benchmark rates applicable to coal and coke are assumed to be the rates applicable to fuel oil, being the closest substitute fossil energy product.</w:t>
      </w:r>
    </w:p>
    <w:p w14:paraId="58995675" w14:textId="02DB8374" w:rsidR="00333258" w:rsidRPr="00ED6DD6" w:rsidRDefault="00333258" w:rsidP="00E90BA7">
      <w:pPr>
        <w:jc w:val="both"/>
        <w:rPr>
          <w:rFonts w:ascii="Segoe UI" w:hAnsi="Segoe UI" w:cs="Segoe UI"/>
          <w:sz w:val="21"/>
          <w:szCs w:val="21"/>
          <w:lang w:val="en-CA"/>
        </w:rPr>
      </w:pPr>
      <w:r w:rsidRPr="00ED6DD6">
        <w:rPr>
          <w:rFonts w:ascii="Segoe UI" w:hAnsi="Segoe UI" w:cs="Segoe UI"/>
          <w:i/>
          <w:sz w:val="21"/>
          <w:szCs w:val="21"/>
          <w:lang w:val="en-CA"/>
        </w:rPr>
        <w:t>Means of transport:</w:t>
      </w:r>
      <w:r w:rsidRPr="00ED6DD6">
        <w:rPr>
          <w:rFonts w:ascii="Segoe UI" w:hAnsi="Segoe UI" w:cs="Segoe UI"/>
          <w:sz w:val="21"/>
          <w:szCs w:val="21"/>
          <w:lang w:val="en-CA"/>
        </w:rPr>
        <w:t xml:space="preserve"> Excise duties are levied on motorized means of transport produced or imported in Moldova, including motor cars, trucks, buses and motorcycles. It is considered that the primary reason for levying excise duties on the purchase of motor vehicles is on account of the pollution that will result </w:t>
      </w:r>
      <w:r w:rsidRPr="00ED6DD6">
        <w:rPr>
          <w:rFonts w:ascii="Segoe UI" w:hAnsi="Segoe UI" w:cs="Segoe UI"/>
          <w:sz w:val="21"/>
          <w:szCs w:val="21"/>
          <w:lang w:val="en-CA"/>
        </w:rPr>
        <w:lastRenderedPageBreak/>
        <w:t>from the use of these vehicles over their lifetime. The structure of applicable duty rates is broadly consistent with this objective, with rates</w:t>
      </w:r>
      <w:r w:rsidR="005B2016" w:rsidRPr="00ED6DD6">
        <w:rPr>
          <w:rFonts w:ascii="Segoe UI" w:hAnsi="Segoe UI" w:cs="Segoe UI"/>
          <w:sz w:val="21"/>
          <w:szCs w:val="21"/>
          <w:lang w:val="en-CA"/>
        </w:rPr>
        <w:t>,</w:t>
      </w:r>
      <w:r w:rsidRPr="00ED6DD6">
        <w:rPr>
          <w:rFonts w:ascii="Segoe UI" w:hAnsi="Segoe UI" w:cs="Segoe UI"/>
          <w:sz w:val="21"/>
          <w:szCs w:val="21"/>
          <w:lang w:val="en-CA"/>
        </w:rPr>
        <w:t xml:space="preserve"> which are expressed as fixed amounts per cubic centimeter of cylinder capacity</w:t>
      </w:r>
      <w:r w:rsidR="005B2016" w:rsidRPr="00ED6DD6">
        <w:rPr>
          <w:rFonts w:ascii="Segoe UI" w:hAnsi="Segoe UI" w:cs="Segoe UI"/>
          <w:sz w:val="21"/>
          <w:szCs w:val="21"/>
          <w:lang w:val="en-CA"/>
        </w:rPr>
        <w:t>,</w:t>
      </w:r>
      <w:r w:rsidRPr="00ED6DD6">
        <w:rPr>
          <w:rFonts w:ascii="Segoe UI" w:hAnsi="Segoe UI" w:cs="Segoe UI"/>
          <w:sz w:val="21"/>
          <w:szCs w:val="21"/>
          <w:lang w:val="en-CA"/>
        </w:rPr>
        <w:t xml:space="preserve"> generally increasing with the size or power of a vehicle and being higher for older, more polluting vehicles. As such, applicable duty rates are also considered to be the benchmark rates. Cars valued at 600,000 </w:t>
      </w:r>
      <w:r w:rsidR="00800E3D" w:rsidRPr="00ED6DD6">
        <w:rPr>
          <w:rFonts w:ascii="Segoe UI" w:hAnsi="Segoe UI" w:cs="Segoe UI"/>
          <w:sz w:val="21"/>
          <w:szCs w:val="21"/>
          <w:lang w:val="en-CA"/>
        </w:rPr>
        <w:t xml:space="preserve">MDL </w:t>
      </w:r>
      <w:r w:rsidRPr="00ED6DD6">
        <w:rPr>
          <w:rFonts w:ascii="Segoe UI" w:hAnsi="Segoe UI" w:cs="Segoe UI"/>
          <w:sz w:val="21"/>
          <w:szCs w:val="21"/>
          <w:lang w:val="en-CA"/>
        </w:rPr>
        <w:t>or more are subject to an additional ad valorem excise duty at rates ranging from 2</w:t>
      </w:r>
      <w:r w:rsidR="007D1F17" w:rsidRPr="00ED6DD6">
        <w:rPr>
          <w:rFonts w:ascii="Segoe UI" w:hAnsi="Segoe UI" w:cs="Segoe UI"/>
          <w:sz w:val="21"/>
          <w:szCs w:val="21"/>
          <w:lang w:val="en-CA"/>
        </w:rPr>
        <w:t xml:space="preserve"> percent</w:t>
      </w:r>
      <w:r w:rsidRPr="00ED6DD6">
        <w:rPr>
          <w:rFonts w:ascii="Segoe UI" w:hAnsi="Segoe UI" w:cs="Segoe UI"/>
          <w:sz w:val="21"/>
          <w:szCs w:val="21"/>
          <w:lang w:val="en-CA"/>
        </w:rPr>
        <w:t xml:space="preserve"> to 10</w:t>
      </w:r>
      <w:r w:rsidR="007D1F17" w:rsidRPr="00ED6DD6">
        <w:rPr>
          <w:rFonts w:ascii="Segoe UI" w:hAnsi="Segoe UI" w:cs="Segoe UI"/>
          <w:sz w:val="21"/>
          <w:szCs w:val="21"/>
          <w:lang w:val="en-CA"/>
        </w:rPr>
        <w:t xml:space="preserve"> percent</w:t>
      </w:r>
      <w:r w:rsidRPr="00ED6DD6">
        <w:rPr>
          <w:rFonts w:ascii="Segoe UI" w:hAnsi="Segoe UI" w:cs="Segoe UI"/>
          <w:sz w:val="21"/>
          <w:szCs w:val="21"/>
          <w:lang w:val="en-CA"/>
        </w:rPr>
        <w:t>, increasing with the value of a car. This additional duty primarily serves as a revenue-raising measure and is also considered to be part of the benchmark rate structure.</w:t>
      </w:r>
    </w:p>
    <w:p w14:paraId="0D96B46D" w14:textId="16B9047F" w:rsidR="00333258" w:rsidRPr="00ED6DD6" w:rsidRDefault="00333258" w:rsidP="00E90BA7">
      <w:pPr>
        <w:jc w:val="both"/>
        <w:rPr>
          <w:rFonts w:ascii="Segoe UI" w:hAnsi="Segoe UI" w:cs="Segoe UI"/>
          <w:sz w:val="21"/>
          <w:szCs w:val="21"/>
          <w:lang w:val="en-CA"/>
        </w:rPr>
      </w:pPr>
      <w:r w:rsidRPr="00ED6DD6">
        <w:rPr>
          <w:rFonts w:ascii="Segoe UI" w:hAnsi="Segoe UI" w:cs="Segoe UI"/>
          <w:i/>
          <w:sz w:val="21"/>
          <w:szCs w:val="21"/>
          <w:lang w:val="en-CA"/>
        </w:rPr>
        <w:t>Luxury goods</w:t>
      </w:r>
      <w:r w:rsidRPr="00ED6DD6">
        <w:rPr>
          <w:rFonts w:ascii="Segoe UI" w:hAnsi="Segoe UI" w:cs="Segoe UI"/>
          <w:sz w:val="21"/>
          <w:szCs w:val="21"/>
          <w:lang w:val="en-CA"/>
        </w:rPr>
        <w:t>: Moldova levies ad valorem excise duties of 25</w:t>
      </w:r>
      <w:r w:rsidR="007D1F17" w:rsidRPr="00ED6DD6">
        <w:rPr>
          <w:rFonts w:ascii="Segoe UI" w:hAnsi="Segoe UI" w:cs="Segoe UI"/>
          <w:sz w:val="21"/>
          <w:szCs w:val="21"/>
          <w:lang w:val="en-CA"/>
        </w:rPr>
        <w:t xml:space="preserve"> percent</w:t>
      </w:r>
      <w:r w:rsidRPr="00ED6DD6">
        <w:rPr>
          <w:rFonts w:ascii="Segoe UI" w:hAnsi="Segoe UI" w:cs="Segoe UI"/>
          <w:sz w:val="21"/>
          <w:szCs w:val="21"/>
          <w:lang w:val="en-CA"/>
        </w:rPr>
        <w:t xml:space="preserve"> on caviar, caviar substitutes and fur clothing, and of 30</w:t>
      </w:r>
      <w:r w:rsidR="007D1F17" w:rsidRPr="00ED6DD6">
        <w:rPr>
          <w:rFonts w:ascii="Segoe UI" w:hAnsi="Segoe UI" w:cs="Segoe UI"/>
          <w:sz w:val="21"/>
          <w:szCs w:val="21"/>
          <w:lang w:val="en-CA"/>
        </w:rPr>
        <w:t xml:space="preserve"> percent</w:t>
      </w:r>
      <w:r w:rsidRPr="00ED6DD6">
        <w:rPr>
          <w:rFonts w:ascii="Segoe UI" w:hAnsi="Segoe UI" w:cs="Segoe UI"/>
          <w:sz w:val="21"/>
          <w:szCs w:val="21"/>
          <w:lang w:val="en-CA"/>
        </w:rPr>
        <w:t xml:space="preserve"> on perfumes and eau de toilette. This form of excise taxation is primarily intended as a way to improve the fairness of the tax system by raising additional tax revenues from wealthier individuals</w:t>
      </w:r>
      <w:r w:rsidR="00CB6657" w:rsidRPr="00ED6DD6">
        <w:rPr>
          <w:rFonts w:ascii="Segoe UI" w:hAnsi="Segoe UI" w:cs="Segoe UI"/>
          <w:sz w:val="21"/>
          <w:szCs w:val="21"/>
          <w:lang w:val="en-CA"/>
        </w:rPr>
        <w:t xml:space="preserve">; as such, it is </w:t>
      </w:r>
      <w:r w:rsidRPr="00ED6DD6">
        <w:rPr>
          <w:rFonts w:ascii="Segoe UI" w:hAnsi="Segoe UI" w:cs="Segoe UI"/>
          <w:sz w:val="21"/>
          <w:szCs w:val="21"/>
          <w:lang w:val="en-CA"/>
        </w:rPr>
        <w:t>considered to be part of the benchmark.</w:t>
      </w:r>
    </w:p>
    <w:p w14:paraId="69947EFB" w14:textId="77777777" w:rsidR="00333258" w:rsidRPr="00ED6DD6" w:rsidRDefault="00333258" w:rsidP="00E90BA7">
      <w:pPr>
        <w:spacing w:after="120" w:line="264" w:lineRule="auto"/>
        <w:jc w:val="both"/>
        <w:rPr>
          <w:rFonts w:ascii="Segoe UI" w:hAnsi="Segoe UI" w:cs="Segoe UI"/>
          <w:sz w:val="21"/>
          <w:szCs w:val="21"/>
          <w:lang w:val="en-CA"/>
        </w:rPr>
      </w:pPr>
      <w:r w:rsidRPr="00ED6DD6">
        <w:rPr>
          <w:rFonts w:ascii="Segoe UI" w:hAnsi="Segoe UI" w:cs="Segoe UI"/>
          <w:i/>
          <w:sz w:val="21"/>
          <w:szCs w:val="21"/>
          <w:lang w:val="en-CA"/>
        </w:rPr>
        <w:t>Other aspects of the excise duty benchmark common to all excisable goods:</w:t>
      </w:r>
      <w:r w:rsidRPr="00ED6DD6">
        <w:rPr>
          <w:rFonts w:ascii="Segoe UI" w:hAnsi="Segoe UI" w:cs="Segoe UI"/>
          <w:sz w:val="21"/>
          <w:szCs w:val="21"/>
          <w:lang w:val="en-CA"/>
        </w:rPr>
        <w:t xml:space="preserve"> Excise duties are levied on excisable goods produced domestically as well as on imported excisable goods. When the benchmark rate is expressed on an ad valorem basis, the tax base is measured as the value of the excisable goods (customs value in the case of imported goods) exclusive of excise duties and VAT. Excise duties are imposed on a destination basis; as such, the non-taxation of excisable goods intended for export (including products consumed by non-residents while visiting Moldova) or not intended for domestic consumption is considered to be part of the benchmark. Contrary to the VAT, the tax base of an excise duty is not limited to value added but comprises the whole value of a good. This is a distinct design feature of excise duties in comparison to value added taxes, and though there may be a sound policy case for refunding excise duties paid on inputs used to produce other excisable goods (i.e., to limit cascading effects), the refunding of paid excise duties is not considered to be part of the benchmark, in line with the basic feature of excise duties.</w:t>
      </w:r>
    </w:p>
    <w:p w14:paraId="00D844AB" w14:textId="77777777" w:rsidR="00333258" w:rsidRPr="00C403EB" w:rsidRDefault="00333258" w:rsidP="00E90BA7">
      <w:pPr>
        <w:pStyle w:val="Heading4"/>
        <w:spacing w:after="120" w:line="264" w:lineRule="auto"/>
        <w:jc w:val="both"/>
        <w:rPr>
          <w:rFonts w:ascii="Segoe UI" w:hAnsi="Segoe UI" w:cs="Segoe UI"/>
          <w:color w:val="004C97" w:themeColor="text2"/>
          <w:sz w:val="21"/>
          <w:szCs w:val="21"/>
          <w:lang w:val="en-CA"/>
        </w:rPr>
      </w:pPr>
      <w:r w:rsidRPr="00C403EB">
        <w:rPr>
          <w:rFonts w:ascii="Segoe UI" w:hAnsi="Segoe UI" w:cs="Segoe UI"/>
          <w:color w:val="004C97" w:themeColor="text2"/>
          <w:sz w:val="21"/>
          <w:szCs w:val="21"/>
          <w:lang w:val="en-CA"/>
        </w:rPr>
        <w:t>Moldovan Design of Excise Duties</w:t>
      </w:r>
    </w:p>
    <w:p w14:paraId="03CF13AA" w14:textId="199A3D96" w:rsidR="00333258" w:rsidRPr="00ED6DD6" w:rsidRDefault="00333258" w:rsidP="00E90BA7">
      <w:pPr>
        <w:spacing w:after="120" w:line="264" w:lineRule="auto"/>
        <w:jc w:val="both"/>
        <w:rPr>
          <w:rFonts w:ascii="Segoe UI" w:hAnsi="Segoe UI" w:cs="Segoe UI"/>
          <w:sz w:val="21"/>
          <w:szCs w:val="21"/>
          <w:lang w:val="en-CA"/>
        </w:rPr>
      </w:pPr>
      <w:r w:rsidRPr="00ED6DD6">
        <w:rPr>
          <w:rFonts w:ascii="Segoe UI" w:hAnsi="Segoe UI" w:cs="Segoe UI"/>
          <w:sz w:val="21"/>
          <w:szCs w:val="21"/>
          <w:lang w:val="en-CA"/>
        </w:rPr>
        <w:t xml:space="preserve">Table </w:t>
      </w:r>
      <w:r w:rsidR="000A278B" w:rsidRPr="00ED6DD6">
        <w:rPr>
          <w:rFonts w:ascii="Segoe UI" w:hAnsi="Segoe UI" w:cs="Segoe UI"/>
          <w:sz w:val="21"/>
          <w:szCs w:val="21"/>
          <w:lang w:val="en-CA"/>
        </w:rPr>
        <w:t>4</w:t>
      </w:r>
      <w:r w:rsidRPr="00ED6DD6">
        <w:rPr>
          <w:rFonts w:ascii="Segoe UI" w:hAnsi="Segoe UI" w:cs="Segoe UI"/>
          <w:sz w:val="21"/>
          <w:szCs w:val="21"/>
          <w:lang w:val="en-CA"/>
        </w:rPr>
        <w:t xml:space="preserve"> below summarizes the rate structures of the excise duties being levied in Moldova. Key </w:t>
      </w:r>
      <w:r w:rsidR="00190352" w:rsidRPr="00ED6DD6">
        <w:rPr>
          <w:rFonts w:ascii="Segoe UI" w:hAnsi="Segoe UI" w:cs="Segoe UI"/>
          <w:sz w:val="21"/>
          <w:szCs w:val="21"/>
          <w:lang w:val="en-CA"/>
        </w:rPr>
        <w:t>TE</w:t>
      </w:r>
      <w:r w:rsidRPr="00ED6DD6">
        <w:rPr>
          <w:rFonts w:ascii="Segoe UI" w:hAnsi="Segoe UI" w:cs="Segoe UI"/>
          <w:sz w:val="21"/>
          <w:szCs w:val="21"/>
          <w:lang w:val="en-CA"/>
        </w:rPr>
        <w:t>s that can be identified as departures from the above-stated benchmarks include the non-taxation of three types of excisable goods, that is, wine, natural gas, and coal and coke.</w:t>
      </w:r>
      <w:r w:rsidRPr="00ED6DD6">
        <w:rPr>
          <w:rFonts w:ascii="Segoe UI" w:hAnsi="Segoe UI" w:cs="Segoe UI"/>
          <w:i/>
          <w:sz w:val="21"/>
          <w:szCs w:val="21"/>
          <w:lang w:val="en-CA"/>
        </w:rPr>
        <w:t xml:space="preserve"> </w:t>
      </w:r>
      <w:r w:rsidRPr="00ED6DD6">
        <w:rPr>
          <w:rFonts w:ascii="Segoe UI" w:hAnsi="Segoe UI" w:cs="Segoe UI"/>
          <w:sz w:val="21"/>
          <w:szCs w:val="21"/>
          <w:lang w:val="en-CA"/>
        </w:rPr>
        <w:t xml:space="preserve">The non-taxation of electric vehicles and the levying of excise duties on hybrid vehicles at reduced rates are not considered </w:t>
      </w:r>
      <w:r w:rsidR="00190352" w:rsidRPr="00ED6DD6">
        <w:rPr>
          <w:rFonts w:ascii="Segoe UI" w:hAnsi="Segoe UI" w:cs="Segoe UI"/>
          <w:sz w:val="21"/>
          <w:szCs w:val="21"/>
          <w:lang w:val="en-CA"/>
        </w:rPr>
        <w:t>TE</w:t>
      </w:r>
      <w:r w:rsidRPr="00ED6DD6">
        <w:rPr>
          <w:rFonts w:ascii="Segoe UI" w:hAnsi="Segoe UI" w:cs="Segoe UI"/>
          <w:sz w:val="21"/>
          <w:szCs w:val="21"/>
          <w:lang w:val="en-CA"/>
        </w:rPr>
        <w:t xml:space="preserve">s, as both measures are in line with the fact that these types of vehicles emit less pollution. The non-taxation of other gasoline or diesel-powered vehicles, generally limited to newer vehicles, is considered a </w:t>
      </w:r>
      <w:r w:rsidR="00190352" w:rsidRPr="00ED6DD6">
        <w:rPr>
          <w:rFonts w:ascii="Segoe UI" w:hAnsi="Segoe UI" w:cs="Segoe UI"/>
          <w:sz w:val="21"/>
          <w:szCs w:val="21"/>
          <w:lang w:val="en-CA"/>
        </w:rPr>
        <w:t>TE</w:t>
      </w:r>
      <w:r w:rsidRPr="00ED6DD6">
        <w:rPr>
          <w:rFonts w:ascii="Segoe UI" w:hAnsi="Segoe UI" w:cs="Segoe UI"/>
          <w:sz w:val="21"/>
          <w:szCs w:val="21"/>
          <w:lang w:val="en-CA"/>
        </w:rPr>
        <w:t>, as these vehicles emit a certain level of pollution.</w:t>
      </w:r>
    </w:p>
    <w:p w14:paraId="3A32156F" w14:textId="73F9FEFD" w:rsidR="00333258" w:rsidRPr="00ED6DD6" w:rsidRDefault="00333258" w:rsidP="00E90BA7">
      <w:pPr>
        <w:jc w:val="both"/>
        <w:rPr>
          <w:rFonts w:ascii="Segoe UI" w:hAnsi="Segoe UI" w:cs="Segoe UI"/>
          <w:sz w:val="21"/>
          <w:szCs w:val="21"/>
          <w:lang w:val="en-CA"/>
        </w:rPr>
      </w:pPr>
      <w:r w:rsidRPr="00ED6DD6">
        <w:rPr>
          <w:rFonts w:ascii="Segoe UI" w:hAnsi="Segoe UI" w:cs="Segoe UI"/>
          <w:sz w:val="21"/>
          <w:szCs w:val="21"/>
          <w:lang w:val="en-CA"/>
        </w:rPr>
        <w:t xml:space="preserve">Other specific exemptions from applicable excise duties are considered </w:t>
      </w:r>
      <w:r w:rsidR="00190352" w:rsidRPr="00ED6DD6">
        <w:rPr>
          <w:rFonts w:ascii="Segoe UI" w:hAnsi="Segoe UI" w:cs="Segoe UI"/>
          <w:sz w:val="21"/>
          <w:szCs w:val="21"/>
          <w:lang w:val="en-CA"/>
        </w:rPr>
        <w:t>TE</w:t>
      </w:r>
      <w:r w:rsidRPr="00ED6DD6">
        <w:rPr>
          <w:rFonts w:ascii="Segoe UI" w:hAnsi="Segoe UI" w:cs="Segoe UI"/>
          <w:sz w:val="21"/>
          <w:szCs w:val="21"/>
          <w:lang w:val="en-CA"/>
        </w:rPr>
        <w:t>s, unless consistent with the stated benchmarks (e.g., exemption for goods intended for exports or not for consumption).</w:t>
      </w:r>
      <w:r w:rsidRPr="00ED6DD6">
        <w:rPr>
          <w:rStyle w:val="FootnoteReference"/>
          <w:rFonts w:ascii="Segoe UI" w:hAnsi="Segoe UI" w:cs="Segoe UI"/>
          <w:sz w:val="21"/>
          <w:szCs w:val="21"/>
          <w:lang w:val="en-CA"/>
        </w:rPr>
        <w:footnoteReference w:id="21"/>
      </w:r>
    </w:p>
    <w:p w14:paraId="2E6D1CE6" w14:textId="14FA8647" w:rsidR="00333258" w:rsidRPr="00ED6DD6" w:rsidRDefault="00333258" w:rsidP="00E90BA7">
      <w:pPr>
        <w:jc w:val="both"/>
        <w:rPr>
          <w:rFonts w:ascii="Segoe UI" w:hAnsi="Segoe UI" w:cs="Segoe UI"/>
          <w:sz w:val="21"/>
          <w:szCs w:val="21"/>
          <w:lang w:val="en-CA"/>
        </w:rPr>
      </w:pPr>
      <w:r w:rsidRPr="00ED6DD6">
        <w:rPr>
          <w:rFonts w:ascii="Segoe UI" w:hAnsi="Segoe UI" w:cs="Segoe UI"/>
          <w:sz w:val="21"/>
          <w:szCs w:val="21"/>
          <w:lang w:val="en-CA"/>
        </w:rPr>
        <w:lastRenderedPageBreak/>
        <w:t>Excise duties paid on goods used as inputs in the production of other excisable goods are effectively refunded to the manufacturers.</w:t>
      </w:r>
      <w:r w:rsidRPr="00ED6DD6">
        <w:rPr>
          <w:rStyle w:val="FootnoteReference"/>
          <w:rFonts w:ascii="Segoe UI" w:hAnsi="Segoe UI" w:cs="Segoe UI"/>
          <w:sz w:val="21"/>
          <w:szCs w:val="21"/>
          <w:lang w:val="en-CA"/>
        </w:rPr>
        <w:footnoteReference w:id="22"/>
      </w:r>
      <w:r w:rsidRPr="00ED6DD6">
        <w:rPr>
          <w:rFonts w:ascii="Segoe UI" w:hAnsi="Segoe UI" w:cs="Segoe UI"/>
          <w:sz w:val="21"/>
          <w:szCs w:val="21"/>
          <w:lang w:val="en-CA"/>
        </w:rPr>
        <w:t xml:space="preserve"> This measure is considered a </w:t>
      </w:r>
      <w:r w:rsidR="00190352" w:rsidRPr="00ED6DD6">
        <w:rPr>
          <w:rFonts w:ascii="Segoe UI" w:hAnsi="Segoe UI" w:cs="Segoe UI"/>
          <w:sz w:val="21"/>
          <w:szCs w:val="21"/>
          <w:lang w:val="en-CA"/>
        </w:rPr>
        <w:t>TE</w:t>
      </w:r>
      <w:r w:rsidRPr="00ED6DD6">
        <w:rPr>
          <w:rFonts w:ascii="Segoe UI" w:hAnsi="Segoe UI" w:cs="Segoe UI"/>
          <w:sz w:val="21"/>
          <w:szCs w:val="21"/>
          <w:lang w:val="en-CA"/>
        </w:rPr>
        <w:t xml:space="preserve">, as explained above. The excise duty exemption for excisable goods imported by businesses in a free economic zone is considered a </w:t>
      </w:r>
      <w:r w:rsidR="00190352" w:rsidRPr="00ED6DD6">
        <w:rPr>
          <w:rFonts w:ascii="Segoe UI" w:hAnsi="Segoe UI" w:cs="Segoe UI"/>
          <w:sz w:val="21"/>
          <w:szCs w:val="21"/>
          <w:lang w:val="en-CA"/>
        </w:rPr>
        <w:t>TE</w:t>
      </w:r>
      <w:r w:rsidRPr="00ED6DD6">
        <w:rPr>
          <w:rFonts w:ascii="Segoe UI" w:hAnsi="Segoe UI" w:cs="Segoe UI"/>
          <w:sz w:val="21"/>
          <w:szCs w:val="21"/>
          <w:lang w:val="en-CA"/>
        </w:rPr>
        <w:t>, as imports by businesses not in a free economic zone are not similarly exempted, including when the output of a business is ultimately exported.</w:t>
      </w:r>
      <w:r w:rsidRPr="00ED6DD6">
        <w:rPr>
          <w:rStyle w:val="FootnoteReference"/>
          <w:rFonts w:ascii="Segoe UI" w:hAnsi="Segoe UI" w:cs="Segoe UI"/>
          <w:sz w:val="21"/>
          <w:szCs w:val="21"/>
          <w:lang w:val="en-CA"/>
        </w:rPr>
        <w:footnoteReference w:id="23"/>
      </w:r>
    </w:p>
    <w:p w14:paraId="2AFA686A" w14:textId="78BD4D07" w:rsidR="00333258" w:rsidRPr="002C4C9D" w:rsidRDefault="00333258" w:rsidP="00E90BA7">
      <w:pPr>
        <w:pStyle w:val="Boxfiguretabletitle"/>
        <w:keepNext/>
        <w:keepLines/>
        <w:spacing w:after="120"/>
        <w:jc w:val="both"/>
        <w:rPr>
          <w:color w:val="auto"/>
        </w:rPr>
      </w:pPr>
      <w:r w:rsidRPr="00CB1E53">
        <w:rPr>
          <w:b w:val="0"/>
          <w:bCs w:val="0"/>
          <w:color w:val="auto"/>
        </w:rPr>
        <w:fldChar w:fldCharType="begin"/>
      </w:r>
      <w:r w:rsidRPr="00CB1E53">
        <w:rPr>
          <w:b w:val="0"/>
          <w:bCs w:val="0"/>
          <w:color w:val="auto"/>
        </w:rPr>
        <w:instrText xml:space="preserve"> TC "</w:instrText>
      </w:r>
      <w:r w:rsidR="006D04E9" w:rsidRPr="008F7449">
        <w:rPr>
          <w:b w:val="0"/>
          <w:bCs w:val="0"/>
          <w:color w:val="auto"/>
          <w:highlight w:val="yellow"/>
        </w:rPr>
        <w:instrText>4</w:instrText>
      </w:r>
      <w:r w:rsidRPr="008F7449">
        <w:rPr>
          <w:b w:val="0"/>
          <w:bCs w:val="0"/>
          <w:color w:val="auto"/>
          <w:highlight w:val="yellow"/>
        </w:rPr>
        <w:instrText>.</w:instrText>
      </w:r>
      <w:r w:rsidRPr="00CB1E53">
        <w:rPr>
          <w:b w:val="0"/>
          <w:bCs w:val="0"/>
          <w:color w:val="auto"/>
        </w:rPr>
        <w:instrText xml:space="preserve"> </w:instrText>
      </w:r>
      <w:r w:rsidRPr="002C4C9D">
        <w:rPr>
          <w:b w:val="0"/>
          <w:bCs w:val="0"/>
          <w:color w:val="auto"/>
        </w:rPr>
        <w:instrText>Excise Duties Applicable</w:instrText>
      </w:r>
      <w:r w:rsidR="00770485">
        <w:rPr>
          <w:b w:val="0"/>
          <w:bCs w:val="0"/>
          <w:color w:val="auto"/>
        </w:rPr>
        <w:instrText xml:space="preserve">, </w:instrText>
      </w:r>
      <w:r w:rsidRPr="002C4C9D">
        <w:rPr>
          <w:b w:val="0"/>
          <w:bCs w:val="0"/>
          <w:color w:val="auto"/>
        </w:rPr>
        <w:instrText>2022</w:instrText>
      </w:r>
      <w:r w:rsidRPr="00CB1E53">
        <w:rPr>
          <w:b w:val="0"/>
          <w:bCs w:val="0"/>
          <w:color w:val="auto"/>
        </w:rPr>
        <w:instrText>"\f B</w:instrText>
      </w:r>
      <w:r w:rsidRPr="00CB1E53">
        <w:rPr>
          <w:b w:val="0"/>
          <w:bCs w:val="0"/>
          <w:color w:val="auto"/>
        </w:rPr>
        <w:fldChar w:fldCharType="end"/>
      </w:r>
      <w:r w:rsidRPr="00CB1E53">
        <w:rPr>
          <w:color w:val="auto"/>
        </w:rPr>
        <w:t xml:space="preserve"> Table </w:t>
      </w:r>
      <w:r w:rsidR="006D04E9" w:rsidRPr="008F7449">
        <w:rPr>
          <w:color w:val="auto"/>
          <w:highlight w:val="yellow"/>
        </w:rPr>
        <w:t>4</w:t>
      </w:r>
      <w:r w:rsidRPr="00CB1E53">
        <w:rPr>
          <w:color w:val="auto"/>
        </w:rPr>
        <w:t xml:space="preserve">. </w:t>
      </w:r>
      <w:r w:rsidRPr="002C4C9D">
        <w:rPr>
          <w:color w:val="auto"/>
        </w:rPr>
        <w:t>Excise Duties Applicable</w:t>
      </w:r>
      <w:r w:rsidR="00770485">
        <w:rPr>
          <w:color w:val="auto"/>
        </w:rPr>
        <w:t>,</w:t>
      </w:r>
      <w:r w:rsidRPr="002C4C9D">
        <w:rPr>
          <w:color w:val="auto"/>
        </w:rPr>
        <w:t xml:space="preserve"> 2022</w:t>
      </w:r>
    </w:p>
    <w:tbl>
      <w:tblPr>
        <w:tblW w:w="0" w:type="auto"/>
        <w:jc w:val="center"/>
        <w:tblLayout w:type="fixed"/>
        <w:tblLook w:val="04A0" w:firstRow="1" w:lastRow="0" w:firstColumn="1" w:lastColumn="0" w:noHBand="0" w:noVBand="1"/>
      </w:tblPr>
      <w:tblGrid>
        <w:gridCol w:w="1985"/>
        <w:gridCol w:w="2835"/>
        <w:gridCol w:w="2410"/>
      </w:tblGrid>
      <w:tr w:rsidR="007619A8" w:rsidRPr="00AE439E" w14:paraId="167CC1D7" w14:textId="77777777" w:rsidTr="005A7B4B">
        <w:trPr>
          <w:jc w:val="center"/>
        </w:trPr>
        <w:tc>
          <w:tcPr>
            <w:tcW w:w="1985" w:type="dxa"/>
            <w:tcBorders>
              <w:top w:val="single" w:sz="4" w:space="0" w:color="auto"/>
              <w:bottom w:val="single" w:sz="4" w:space="0" w:color="auto"/>
            </w:tcBorders>
            <w:shd w:val="clear" w:color="auto" w:fill="D9D9D9" w:themeFill="background1" w:themeFillShade="D9"/>
          </w:tcPr>
          <w:p w14:paraId="6384819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Tariff code</w:t>
            </w:r>
          </w:p>
        </w:tc>
        <w:tc>
          <w:tcPr>
            <w:tcW w:w="2835" w:type="dxa"/>
            <w:tcBorders>
              <w:top w:val="single" w:sz="4" w:space="0" w:color="auto"/>
              <w:bottom w:val="single" w:sz="4" w:space="0" w:color="auto"/>
            </w:tcBorders>
            <w:shd w:val="clear" w:color="auto" w:fill="D9D9D9" w:themeFill="background1" w:themeFillShade="D9"/>
          </w:tcPr>
          <w:p w14:paraId="6D6BC0C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Excisable goods</w:t>
            </w:r>
          </w:p>
        </w:tc>
        <w:tc>
          <w:tcPr>
            <w:tcW w:w="2410" w:type="dxa"/>
            <w:tcBorders>
              <w:top w:val="single" w:sz="4" w:space="0" w:color="auto"/>
              <w:bottom w:val="single" w:sz="4" w:space="0" w:color="auto"/>
            </w:tcBorders>
            <w:shd w:val="clear" w:color="auto" w:fill="D9D9D9" w:themeFill="background1" w:themeFillShade="D9"/>
          </w:tcPr>
          <w:p w14:paraId="59CFDDC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Duty payable (MDL)</w:t>
            </w:r>
          </w:p>
        </w:tc>
      </w:tr>
      <w:tr w:rsidR="00333258" w:rsidRPr="00AE439E" w14:paraId="66F22BDC" w14:textId="77777777" w:rsidTr="005A7B4B">
        <w:trPr>
          <w:jc w:val="center"/>
        </w:trPr>
        <w:tc>
          <w:tcPr>
            <w:tcW w:w="7230" w:type="dxa"/>
            <w:gridSpan w:val="3"/>
            <w:tcBorders>
              <w:top w:val="single" w:sz="4" w:space="0" w:color="auto"/>
            </w:tcBorders>
          </w:tcPr>
          <w:p w14:paraId="4B2509B4" w14:textId="77777777" w:rsidR="00333258" w:rsidRPr="00AE439E" w:rsidRDefault="00333258" w:rsidP="00E90BA7">
            <w:pPr>
              <w:spacing w:after="0" w:line="240" w:lineRule="auto"/>
              <w:jc w:val="both"/>
              <w:rPr>
                <w:rFonts w:cs="Segoe UI"/>
                <w:sz w:val="14"/>
                <w:szCs w:val="14"/>
                <w:lang w:val="en-CA"/>
              </w:rPr>
            </w:pPr>
            <w:r w:rsidRPr="00AE439E">
              <w:rPr>
                <w:rFonts w:cs="Segoe UI"/>
                <w:i/>
                <w:sz w:val="14"/>
                <w:szCs w:val="14"/>
                <w:lang w:val="en-CA"/>
              </w:rPr>
              <w:t>Alcohol products</w:t>
            </w:r>
          </w:p>
        </w:tc>
      </w:tr>
      <w:tr w:rsidR="00333258" w:rsidRPr="00AE439E" w14:paraId="09391E7E" w14:textId="77777777" w:rsidTr="005A7B4B">
        <w:trPr>
          <w:jc w:val="center"/>
        </w:trPr>
        <w:tc>
          <w:tcPr>
            <w:tcW w:w="1985" w:type="dxa"/>
          </w:tcPr>
          <w:p w14:paraId="73897F38"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2203</w:t>
            </w:r>
          </w:p>
        </w:tc>
        <w:tc>
          <w:tcPr>
            <w:tcW w:w="2835" w:type="dxa"/>
          </w:tcPr>
          <w:p w14:paraId="7CE2818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Malt beer</w:t>
            </w:r>
          </w:p>
        </w:tc>
        <w:tc>
          <w:tcPr>
            <w:tcW w:w="2410" w:type="dxa"/>
          </w:tcPr>
          <w:p w14:paraId="1890E1F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2.90 per liter</w:t>
            </w:r>
          </w:p>
        </w:tc>
      </w:tr>
      <w:tr w:rsidR="00333258" w:rsidRPr="00AE439E" w14:paraId="405DF2C8" w14:textId="77777777" w:rsidTr="005A7B4B">
        <w:trPr>
          <w:jc w:val="center"/>
        </w:trPr>
        <w:tc>
          <w:tcPr>
            <w:tcW w:w="1985" w:type="dxa"/>
          </w:tcPr>
          <w:p w14:paraId="6F537AD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2204</w:t>
            </w:r>
          </w:p>
        </w:tc>
        <w:tc>
          <w:tcPr>
            <w:tcW w:w="2835" w:type="dxa"/>
          </w:tcPr>
          <w:p w14:paraId="709DB89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Fresh grape wines</w:t>
            </w:r>
          </w:p>
        </w:tc>
        <w:tc>
          <w:tcPr>
            <w:tcW w:w="2410" w:type="dxa"/>
          </w:tcPr>
          <w:p w14:paraId="6DBE80B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none</w:t>
            </w:r>
          </w:p>
        </w:tc>
      </w:tr>
      <w:tr w:rsidR="00333258" w:rsidRPr="00AE439E" w14:paraId="4B14A544" w14:textId="77777777" w:rsidTr="005A7B4B">
        <w:trPr>
          <w:jc w:val="center"/>
        </w:trPr>
        <w:tc>
          <w:tcPr>
            <w:tcW w:w="1985" w:type="dxa"/>
          </w:tcPr>
          <w:p w14:paraId="6F37C2F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2205</w:t>
            </w:r>
          </w:p>
          <w:p w14:paraId="493E5AB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2206</w:t>
            </w:r>
          </w:p>
        </w:tc>
        <w:tc>
          <w:tcPr>
            <w:tcW w:w="2835" w:type="dxa"/>
          </w:tcPr>
          <w:p w14:paraId="7829E22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Vermouths, other fermented beverages except ciders</w:t>
            </w:r>
          </w:p>
        </w:tc>
        <w:tc>
          <w:tcPr>
            <w:tcW w:w="2410" w:type="dxa"/>
          </w:tcPr>
          <w:p w14:paraId="79D7138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16.54 per liter</w:t>
            </w:r>
          </w:p>
        </w:tc>
      </w:tr>
      <w:tr w:rsidR="00333258" w:rsidRPr="00AE439E" w14:paraId="074231D2" w14:textId="77777777" w:rsidTr="005A7B4B">
        <w:trPr>
          <w:jc w:val="center"/>
        </w:trPr>
        <w:tc>
          <w:tcPr>
            <w:tcW w:w="1985" w:type="dxa"/>
          </w:tcPr>
          <w:p w14:paraId="7214F45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2206 00 310</w:t>
            </w:r>
          </w:p>
          <w:p w14:paraId="28EEE196"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2206 00 510</w:t>
            </w:r>
          </w:p>
          <w:p w14:paraId="6F50F6A7"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2206 00 810</w:t>
            </w:r>
          </w:p>
        </w:tc>
        <w:tc>
          <w:tcPr>
            <w:tcW w:w="2835" w:type="dxa"/>
          </w:tcPr>
          <w:p w14:paraId="10136998"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Apple and pear ciders</w:t>
            </w:r>
          </w:p>
        </w:tc>
        <w:tc>
          <w:tcPr>
            <w:tcW w:w="2410" w:type="dxa"/>
          </w:tcPr>
          <w:p w14:paraId="53C6A8A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3.20 per liter</w:t>
            </w:r>
          </w:p>
        </w:tc>
      </w:tr>
      <w:tr w:rsidR="00333258" w:rsidRPr="00AE439E" w14:paraId="766FE190" w14:textId="77777777" w:rsidTr="005A7B4B">
        <w:trPr>
          <w:jc w:val="center"/>
        </w:trPr>
        <w:tc>
          <w:tcPr>
            <w:tcW w:w="1985" w:type="dxa"/>
          </w:tcPr>
          <w:p w14:paraId="117DFC8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2207</w:t>
            </w:r>
          </w:p>
        </w:tc>
        <w:tc>
          <w:tcPr>
            <w:tcW w:w="2835" w:type="dxa"/>
          </w:tcPr>
          <w:p w14:paraId="294D026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Undenatured ethyl alcohol</w:t>
            </w:r>
          </w:p>
        </w:tc>
        <w:tc>
          <w:tcPr>
            <w:tcW w:w="2410" w:type="dxa"/>
          </w:tcPr>
          <w:p w14:paraId="0A62414D"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115.02 per liter of pure alcohol</w:t>
            </w:r>
          </w:p>
        </w:tc>
      </w:tr>
      <w:tr w:rsidR="00333258" w:rsidRPr="00AE439E" w14:paraId="06604189" w14:textId="77777777" w:rsidTr="005A7B4B">
        <w:trPr>
          <w:jc w:val="center"/>
        </w:trPr>
        <w:tc>
          <w:tcPr>
            <w:tcW w:w="1985" w:type="dxa"/>
            <w:tcBorders>
              <w:bottom w:val="single" w:sz="4" w:space="0" w:color="auto"/>
            </w:tcBorders>
          </w:tcPr>
          <w:p w14:paraId="3D2D532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2208</w:t>
            </w:r>
          </w:p>
        </w:tc>
        <w:tc>
          <w:tcPr>
            <w:tcW w:w="2835" w:type="dxa"/>
            <w:tcBorders>
              <w:bottom w:val="single" w:sz="4" w:space="0" w:color="auto"/>
            </w:tcBorders>
          </w:tcPr>
          <w:p w14:paraId="0EDC43D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Spirits, distillates, liqueurs</w:t>
            </w:r>
          </w:p>
        </w:tc>
        <w:tc>
          <w:tcPr>
            <w:tcW w:w="2410" w:type="dxa"/>
            <w:tcBorders>
              <w:bottom w:val="single" w:sz="4" w:space="0" w:color="auto"/>
            </w:tcBorders>
          </w:tcPr>
          <w:p w14:paraId="3323FAF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115.02 per liter of pure alcohol</w:t>
            </w:r>
          </w:p>
        </w:tc>
      </w:tr>
      <w:tr w:rsidR="00333258" w:rsidRPr="00AE439E" w14:paraId="734FF384" w14:textId="77777777" w:rsidTr="005A7B4B">
        <w:trPr>
          <w:jc w:val="center"/>
        </w:trPr>
        <w:tc>
          <w:tcPr>
            <w:tcW w:w="7230" w:type="dxa"/>
            <w:gridSpan w:val="3"/>
            <w:tcBorders>
              <w:top w:val="single" w:sz="4" w:space="0" w:color="auto"/>
            </w:tcBorders>
          </w:tcPr>
          <w:p w14:paraId="35BEC9C9" w14:textId="77777777" w:rsidR="00333258" w:rsidRPr="00AE439E" w:rsidRDefault="00333258" w:rsidP="00E90BA7">
            <w:pPr>
              <w:spacing w:after="0" w:line="240" w:lineRule="auto"/>
              <w:jc w:val="both"/>
              <w:rPr>
                <w:rFonts w:cs="Segoe UI"/>
                <w:sz w:val="14"/>
                <w:szCs w:val="14"/>
                <w:lang w:val="en-CA"/>
              </w:rPr>
            </w:pPr>
            <w:r w:rsidRPr="00AE439E">
              <w:rPr>
                <w:rFonts w:cs="Segoe UI"/>
                <w:i/>
                <w:sz w:val="14"/>
                <w:szCs w:val="14"/>
                <w:lang w:val="en-CA"/>
              </w:rPr>
              <w:t>Tobacco products</w:t>
            </w:r>
          </w:p>
        </w:tc>
      </w:tr>
      <w:tr w:rsidR="00333258" w:rsidRPr="00AE439E" w14:paraId="2A91FA63" w14:textId="77777777" w:rsidTr="005A7B4B">
        <w:trPr>
          <w:jc w:val="center"/>
        </w:trPr>
        <w:tc>
          <w:tcPr>
            <w:tcW w:w="1985" w:type="dxa"/>
          </w:tcPr>
          <w:p w14:paraId="5D3E047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2402 20</w:t>
            </w:r>
          </w:p>
        </w:tc>
        <w:tc>
          <w:tcPr>
            <w:tcW w:w="2835" w:type="dxa"/>
          </w:tcPr>
          <w:p w14:paraId="2F3D35B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Cigarettes</w:t>
            </w:r>
          </w:p>
        </w:tc>
        <w:tc>
          <w:tcPr>
            <w:tcW w:w="2410" w:type="dxa"/>
          </w:tcPr>
          <w:p w14:paraId="5A41D4E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715 per 1,000 pieces + 13%, no less than 959 per 1,000 pieces</w:t>
            </w:r>
          </w:p>
        </w:tc>
      </w:tr>
      <w:tr w:rsidR="00333258" w:rsidRPr="00AE439E" w14:paraId="6FDFAF7D" w14:textId="77777777" w:rsidTr="005A7B4B">
        <w:trPr>
          <w:jc w:val="center"/>
        </w:trPr>
        <w:tc>
          <w:tcPr>
            <w:tcW w:w="1985" w:type="dxa"/>
          </w:tcPr>
          <w:p w14:paraId="3D3F7897"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2402 10</w:t>
            </w:r>
          </w:p>
          <w:p w14:paraId="4701FD6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2402 90</w:t>
            </w:r>
          </w:p>
        </w:tc>
        <w:tc>
          <w:tcPr>
            <w:tcW w:w="2835" w:type="dxa"/>
          </w:tcPr>
          <w:p w14:paraId="3263AD1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Sheet cigarettes, cigars, products containing tobacco substitutes</w:t>
            </w:r>
          </w:p>
        </w:tc>
        <w:tc>
          <w:tcPr>
            <w:tcW w:w="2410" w:type="dxa"/>
          </w:tcPr>
          <w:p w14:paraId="34F32BA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41%</w:t>
            </w:r>
          </w:p>
        </w:tc>
      </w:tr>
      <w:tr w:rsidR="00333258" w:rsidRPr="00AE439E" w14:paraId="54C6179B" w14:textId="77777777" w:rsidTr="005A7B4B">
        <w:trPr>
          <w:jc w:val="center"/>
        </w:trPr>
        <w:tc>
          <w:tcPr>
            <w:tcW w:w="1985" w:type="dxa"/>
          </w:tcPr>
          <w:p w14:paraId="735C4338"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ex 2403 99 900</w:t>
            </w:r>
          </w:p>
        </w:tc>
        <w:tc>
          <w:tcPr>
            <w:tcW w:w="2835" w:type="dxa"/>
          </w:tcPr>
          <w:p w14:paraId="358BC27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Tobacco reserves for tobacco heaters</w:t>
            </w:r>
          </w:p>
        </w:tc>
        <w:tc>
          <w:tcPr>
            <w:tcW w:w="2410" w:type="dxa"/>
          </w:tcPr>
          <w:p w14:paraId="4DAF2FB5"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959 per 1,000 pieces</w:t>
            </w:r>
          </w:p>
        </w:tc>
      </w:tr>
      <w:tr w:rsidR="00333258" w:rsidRPr="00AE439E" w14:paraId="72716A08" w14:textId="77777777" w:rsidTr="005A7B4B">
        <w:trPr>
          <w:jc w:val="center"/>
        </w:trPr>
        <w:tc>
          <w:tcPr>
            <w:tcW w:w="1985" w:type="dxa"/>
          </w:tcPr>
          <w:p w14:paraId="4E8481E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2403</w:t>
            </w:r>
          </w:p>
        </w:tc>
        <w:tc>
          <w:tcPr>
            <w:tcW w:w="2835" w:type="dxa"/>
          </w:tcPr>
          <w:p w14:paraId="4C777625"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Tobacco for smoking</w:t>
            </w:r>
          </w:p>
        </w:tc>
        <w:tc>
          <w:tcPr>
            <w:tcW w:w="2410" w:type="dxa"/>
          </w:tcPr>
          <w:p w14:paraId="1DFC486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165.7 per kg</w:t>
            </w:r>
          </w:p>
        </w:tc>
      </w:tr>
      <w:tr w:rsidR="00333258" w:rsidRPr="00AE439E" w14:paraId="0DAF4E31" w14:textId="77777777" w:rsidTr="005A7B4B">
        <w:trPr>
          <w:jc w:val="center"/>
        </w:trPr>
        <w:tc>
          <w:tcPr>
            <w:tcW w:w="1985" w:type="dxa"/>
          </w:tcPr>
          <w:p w14:paraId="03FDA8F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ex 2403 19</w:t>
            </w:r>
          </w:p>
        </w:tc>
        <w:tc>
          <w:tcPr>
            <w:tcW w:w="2835" w:type="dxa"/>
          </w:tcPr>
          <w:p w14:paraId="354819D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Fine-cut tobacco for rolling</w:t>
            </w:r>
          </w:p>
        </w:tc>
        <w:tc>
          <w:tcPr>
            <w:tcW w:w="2410" w:type="dxa"/>
          </w:tcPr>
          <w:p w14:paraId="2A15497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1323 per kg</w:t>
            </w:r>
          </w:p>
        </w:tc>
      </w:tr>
      <w:tr w:rsidR="00333258" w:rsidRPr="00AE439E" w14:paraId="7DCCFF50" w14:textId="77777777" w:rsidTr="005A7B4B">
        <w:trPr>
          <w:jc w:val="center"/>
        </w:trPr>
        <w:tc>
          <w:tcPr>
            <w:tcW w:w="1985" w:type="dxa"/>
            <w:tcBorders>
              <w:bottom w:val="single" w:sz="4" w:space="0" w:color="auto"/>
            </w:tcBorders>
          </w:tcPr>
          <w:p w14:paraId="195774F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ex 3824 99 960</w:t>
            </w:r>
          </w:p>
        </w:tc>
        <w:tc>
          <w:tcPr>
            <w:tcW w:w="2835" w:type="dxa"/>
            <w:tcBorders>
              <w:bottom w:val="single" w:sz="4" w:space="0" w:color="auto"/>
            </w:tcBorders>
          </w:tcPr>
          <w:p w14:paraId="4B2FB07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Cartridges for electronic cigarettes</w:t>
            </w:r>
          </w:p>
        </w:tc>
        <w:tc>
          <w:tcPr>
            <w:tcW w:w="2410" w:type="dxa"/>
            <w:tcBorders>
              <w:bottom w:val="single" w:sz="4" w:space="0" w:color="auto"/>
            </w:tcBorders>
          </w:tcPr>
          <w:p w14:paraId="7F9121D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1957 per liter</w:t>
            </w:r>
          </w:p>
        </w:tc>
      </w:tr>
      <w:tr w:rsidR="00333258" w:rsidRPr="00AE439E" w14:paraId="0504C414" w14:textId="77777777" w:rsidTr="005A7B4B">
        <w:trPr>
          <w:jc w:val="center"/>
        </w:trPr>
        <w:tc>
          <w:tcPr>
            <w:tcW w:w="7230" w:type="dxa"/>
            <w:gridSpan w:val="3"/>
            <w:tcBorders>
              <w:top w:val="single" w:sz="4" w:space="0" w:color="auto"/>
            </w:tcBorders>
          </w:tcPr>
          <w:p w14:paraId="3C6B8CC9" w14:textId="77777777" w:rsidR="00333258" w:rsidRPr="00AE439E" w:rsidRDefault="00333258" w:rsidP="00E90BA7">
            <w:pPr>
              <w:spacing w:after="0" w:line="240" w:lineRule="auto"/>
              <w:jc w:val="both"/>
              <w:rPr>
                <w:rFonts w:cs="Segoe UI"/>
                <w:sz w:val="14"/>
                <w:szCs w:val="14"/>
                <w:lang w:val="en-CA"/>
              </w:rPr>
            </w:pPr>
            <w:r w:rsidRPr="00AE439E">
              <w:rPr>
                <w:rFonts w:cs="Segoe UI"/>
                <w:i/>
                <w:sz w:val="14"/>
                <w:szCs w:val="14"/>
                <w:lang w:val="en-CA"/>
              </w:rPr>
              <w:t>Fossil energy</w:t>
            </w:r>
          </w:p>
        </w:tc>
      </w:tr>
      <w:tr w:rsidR="00333258" w:rsidRPr="00AE439E" w14:paraId="07AE27A8" w14:textId="77777777" w:rsidTr="005A7B4B">
        <w:trPr>
          <w:jc w:val="center"/>
        </w:trPr>
        <w:tc>
          <w:tcPr>
            <w:tcW w:w="1985" w:type="dxa"/>
          </w:tcPr>
          <w:p w14:paraId="22E2EA9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2701, 2702, 2704</w:t>
            </w:r>
          </w:p>
        </w:tc>
        <w:tc>
          <w:tcPr>
            <w:tcW w:w="2835" w:type="dxa"/>
          </w:tcPr>
          <w:p w14:paraId="764D721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Coal and coke</w:t>
            </w:r>
          </w:p>
        </w:tc>
        <w:tc>
          <w:tcPr>
            <w:tcW w:w="2410" w:type="dxa"/>
          </w:tcPr>
          <w:p w14:paraId="141F167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none</w:t>
            </w:r>
          </w:p>
        </w:tc>
      </w:tr>
      <w:tr w:rsidR="00333258" w:rsidRPr="00AE439E" w14:paraId="5B5D8BD8" w14:textId="77777777" w:rsidTr="005A7B4B">
        <w:trPr>
          <w:jc w:val="center"/>
        </w:trPr>
        <w:tc>
          <w:tcPr>
            <w:tcW w:w="1985" w:type="dxa"/>
          </w:tcPr>
          <w:p w14:paraId="3F3409A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2710 19 510</w:t>
            </w:r>
          </w:p>
          <w:p w14:paraId="4A626F2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2710 19 620 to 2710 19 680</w:t>
            </w:r>
          </w:p>
          <w:p w14:paraId="3D4E38A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2710 20 310 to 2710 20 390</w:t>
            </w:r>
          </w:p>
        </w:tc>
        <w:tc>
          <w:tcPr>
            <w:tcW w:w="2835" w:type="dxa"/>
          </w:tcPr>
          <w:p w14:paraId="7CE1301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Fuel oil</w:t>
            </w:r>
          </w:p>
        </w:tc>
        <w:tc>
          <w:tcPr>
            <w:tcW w:w="2410" w:type="dxa"/>
          </w:tcPr>
          <w:p w14:paraId="65FDF99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409 per ton</w:t>
            </w:r>
          </w:p>
        </w:tc>
      </w:tr>
      <w:tr w:rsidR="00333258" w:rsidRPr="00AE439E" w14:paraId="2FE13DE4" w14:textId="77777777" w:rsidTr="005A7B4B">
        <w:trPr>
          <w:jc w:val="center"/>
        </w:trPr>
        <w:tc>
          <w:tcPr>
            <w:tcW w:w="1985" w:type="dxa"/>
          </w:tcPr>
          <w:p w14:paraId="2ECAC3D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2710 19 310 to 2710 19 480</w:t>
            </w:r>
          </w:p>
          <w:p w14:paraId="33C72DC6"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2710 20 110 to 2710 20 190</w:t>
            </w:r>
          </w:p>
        </w:tc>
        <w:tc>
          <w:tcPr>
            <w:tcW w:w="2835" w:type="dxa"/>
          </w:tcPr>
          <w:p w14:paraId="7B33E0A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Diesel</w:t>
            </w:r>
          </w:p>
        </w:tc>
        <w:tc>
          <w:tcPr>
            <w:tcW w:w="2410" w:type="dxa"/>
          </w:tcPr>
          <w:p w14:paraId="103DDA0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2980 per ton</w:t>
            </w:r>
          </w:p>
        </w:tc>
      </w:tr>
      <w:tr w:rsidR="00333258" w:rsidRPr="00AE439E" w14:paraId="78158F31" w14:textId="77777777" w:rsidTr="005A7B4B">
        <w:trPr>
          <w:jc w:val="center"/>
        </w:trPr>
        <w:tc>
          <w:tcPr>
            <w:tcW w:w="1985" w:type="dxa"/>
          </w:tcPr>
          <w:p w14:paraId="6F10326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2711 12</w:t>
            </w:r>
          </w:p>
          <w:p w14:paraId="5B69E2A5"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2711 13</w:t>
            </w:r>
          </w:p>
          <w:p w14:paraId="0828B65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2711 14</w:t>
            </w:r>
          </w:p>
          <w:p w14:paraId="1CE75496"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2711 19</w:t>
            </w:r>
          </w:p>
        </w:tc>
        <w:tc>
          <w:tcPr>
            <w:tcW w:w="2835" w:type="dxa"/>
          </w:tcPr>
          <w:p w14:paraId="71A4CE7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Propane, butane, ethylene, propylene, butylene, butadiene, other liquefied well gas and other gaseous hydrocarbons</w:t>
            </w:r>
          </w:p>
        </w:tc>
        <w:tc>
          <w:tcPr>
            <w:tcW w:w="2410" w:type="dxa"/>
          </w:tcPr>
          <w:p w14:paraId="5A90979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3947 per ton</w:t>
            </w:r>
          </w:p>
        </w:tc>
      </w:tr>
      <w:tr w:rsidR="00333258" w:rsidRPr="00AE439E" w14:paraId="244E8DCA" w14:textId="77777777" w:rsidTr="005A7B4B">
        <w:trPr>
          <w:jc w:val="center"/>
        </w:trPr>
        <w:tc>
          <w:tcPr>
            <w:tcW w:w="1985" w:type="dxa"/>
          </w:tcPr>
          <w:p w14:paraId="6E23423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2711 11</w:t>
            </w:r>
          </w:p>
          <w:p w14:paraId="59B0E651"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2711 21</w:t>
            </w:r>
          </w:p>
        </w:tc>
        <w:tc>
          <w:tcPr>
            <w:tcW w:w="2835" w:type="dxa"/>
          </w:tcPr>
          <w:p w14:paraId="7280884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Natural gas</w:t>
            </w:r>
          </w:p>
        </w:tc>
        <w:tc>
          <w:tcPr>
            <w:tcW w:w="2410" w:type="dxa"/>
          </w:tcPr>
          <w:p w14:paraId="47F8868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none</w:t>
            </w:r>
          </w:p>
        </w:tc>
      </w:tr>
      <w:tr w:rsidR="00333258" w:rsidRPr="00AE439E" w14:paraId="27E26A52" w14:textId="77777777" w:rsidTr="005A7B4B">
        <w:trPr>
          <w:jc w:val="center"/>
        </w:trPr>
        <w:tc>
          <w:tcPr>
            <w:tcW w:w="1985" w:type="dxa"/>
          </w:tcPr>
          <w:p w14:paraId="74A24B8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2804 30</w:t>
            </w:r>
          </w:p>
        </w:tc>
        <w:tc>
          <w:tcPr>
            <w:tcW w:w="2835" w:type="dxa"/>
          </w:tcPr>
          <w:p w14:paraId="11398A3D"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Nitrogen</w:t>
            </w:r>
          </w:p>
        </w:tc>
        <w:tc>
          <w:tcPr>
            <w:tcW w:w="2410" w:type="dxa"/>
          </w:tcPr>
          <w:p w14:paraId="6778FF2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3837 per ton</w:t>
            </w:r>
          </w:p>
        </w:tc>
      </w:tr>
      <w:tr w:rsidR="00333258" w:rsidRPr="00AE439E" w14:paraId="7D081BFB" w14:textId="77777777" w:rsidTr="005A7B4B">
        <w:trPr>
          <w:jc w:val="center"/>
        </w:trPr>
        <w:tc>
          <w:tcPr>
            <w:tcW w:w="1985" w:type="dxa"/>
          </w:tcPr>
          <w:p w14:paraId="341580C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2804 40</w:t>
            </w:r>
          </w:p>
        </w:tc>
        <w:tc>
          <w:tcPr>
            <w:tcW w:w="2835" w:type="dxa"/>
          </w:tcPr>
          <w:p w14:paraId="37F9A2C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Oxygen</w:t>
            </w:r>
          </w:p>
        </w:tc>
        <w:tc>
          <w:tcPr>
            <w:tcW w:w="2410" w:type="dxa"/>
          </w:tcPr>
          <w:p w14:paraId="7EE6F31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4239 per ton</w:t>
            </w:r>
          </w:p>
        </w:tc>
      </w:tr>
      <w:tr w:rsidR="00333258" w:rsidRPr="00AE439E" w14:paraId="13798657" w14:textId="77777777" w:rsidTr="005A7B4B">
        <w:trPr>
          <w:jc w:val="center"/>
        </w:trPr>
        <w:tc>
          <w:tcPr>
            <w:tcW w:w="1985" w:type="dxa"/>
          </w:tcPr>
          <w:p w14:paraId="3B266498"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2710 12 110 to 2710 19 290</w:t>
            </w:r>
          </w:p>
        </w:tc>
        <w:tc>
          <w:tcPr>
            <w:tcW w:w="2835" w:type="dxa"/>
          </w:tcPr>
          <w:p w14:paraId="4AEDF12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Light and medium oils (including gasoline)</w:t>
            </w:r>
          </w:p>
        </w:tc>
        <w:tc>
          <w:tcPr>
            <w:tcW w:w="2410" w:type="dxa"/>
          </w:tcPr>
          <w:p w14:paraId="254998D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7082 per ton</w:t>
            </w:r>
          </w:p>
        </w:tc>
      </w:tr>
      <w:tr w:rsidR="00333258" w:rsidRPr="00AE439E" w14:paraId="18C01EAE" w14:textId="77777777" w:rsidTr="005A7B4B">
        <w:trPr>
          <w:jc w:val="center"/>
        </w:trPr>
        <w:tc>
          <w:tcPr>
            <w:tcW w:w="1985" w:type="dxa"/>
            <w:tcBorders>
              <w:bottom w:val="single" w:sz="4" w:space="0" w:color="auto"/>
            </w:tcBorders>
          </w:tcPr>
          <w:p w14:paraId="3823725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Various</w:t>
            </w:r>
          </w:p>
        </w:tc>
        <w:tc>
          <w:tcPr>
            <w:tcW w:w="2835" w:type="dxa"/>
            <w:tcBorders>
              <w:bottom w:val="single" w:sz="4" w:space="0" w:color="auto"/>
            </w:tcBorders>
          </w:tcPr>
          <w:p w14:paraId="42E6A9C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Other fuels and chemicals</w:t>
            </w:r>
          </w:p>
        </w:tc>
        <w:tc>
          <w:tcPr>
            <w:tcW w:w="2410" w:type="dxa"/>
            <w:tcBorders>
              <w:bottom w:val="single" w:sz="4" w:space="0" w:color="auto"/>
            </w:tcBorders>
          </w:tcPr>
          <w:p w14:paraId="260B40C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7082 per ton</w:t>
            </w:r>
          </w:p>
        </w:tc>
      </w:tr>
      <w:tr w:rsidR="00333258" w:rsidRPr="00AE439E" w14:paraId="64CEDD5E" w14:textId="77777777" w:rsidTr="005A7B4B">
        <w:trPr>
          <w:jc w:val="center"/>
        </w:trPr>
        <w:tc>
          <w:tcPr>
            <w:tcW w:w="7230" w:type="dxa"/>
            <w:gridSpan w:val="3"/>
            <w:tcBorders>
              <w:top w:val="single" w:sz="4" w:space="0" w:color="auto"/>
            </w:tcBorders>
          </w:tcPr>
          <w:p w14:paraId="1D65C8A3" w14:textId="77777777" w:rsidR="00333258" w:rsidRPr="00AE439E" w:rsidRDefault="00333258" w:rsidP="00E90BA7">
            <w:pPr>
              <w:spacing w:after="0" w:line="240" w:lineRule="auto"/>
              <w:jc w:val="both"/>
              <w:rPr>
                <w:rFonts w:cs="Segoe UI"/>
                <w:sz w:val="14"/>
                <w:szCs w:val="14"/>
                <w:lang w:val="en-CA"/>
              </w:rPr>
            </w:pPr>
            <w:r w:rsidRPr="00AE439E">
              <w:rPr>
                <w:rFonts w:cs="Segoe UI"/>
                <w:i/>
                <w:sz w:val="14"/>
                <w:szCs w:val="14"/>
                <w:lang w:val="en-CA"/>
              </w:rPr>
              <w:t>Means of transport</w:t>
            </w:r>
          </w:p>
        </w:tc>
      </w:tr>
      <w:tr w:rsidR="00333258" w:rsidRPr="00AE439E" w14:paraId="4BF06FEA" w14:textId="77777777" w:rsidTr="005A7B4B">
        <w:trPr>
          <w:jc w:val="center"/>
        </w:trPr>
        <w:tc>
          <w:tcPr>
            <w:tcW w:w="1985" w:type="dxa"/>
          </w:tcPr>
          <w:p w14:paraId="6F0F5C47"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8703 21 to 8703 24</w:t>
            </w:r>
          </w:p>
        </w:tc>
        <w:tc>
          <w:tcPr>
            <w:tcW w:w="2835" w:type="dxa"/>
          </w:tcPr>
          <w:p w14:paraId="3B53F6A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Gasoline cars</w:t>
            </w:r>
          </w:p>
        </w:tc>
        <w:tc>
          <w:tcPr>
            <w:tcW w:w="2410" w:type="dxa"/>
          </w:tcPr>
          <w:p w14:paraId="1F2AE71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9.56 to 161.84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0E8356DA" w14:textId="77777777" w:rsidTr="005A7B4B">
        <w:trPr>
          <w:jc w:val="center"/>
        </w:trPr>
        <w:tc>
          <w:tcPr>
            <w:tcW w:w="1985" w:type="dxa"/>
          </w:tcPr>
          <w:p w14:paraId="620248E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8703 31 to 8703 33</w:t>
            </w:r>
          </w:p>
        </w:tc>
        <w:tc>
          <w:tcPr>
            <w:tcW w:w="2835" w:type="dxa"/>
          </w:tcPr>
          <w:p w14:paraId="0CB4EC5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Diesel cars</w:t>
            </w:r>
          </w:p>
        </w:tc>
        <w:tc>
          <w:tcPr>
            <w:tcW w:w="2410" w:type="dxa"/>
          </w:tcPr>
          <w:p w14:paraId="13DC891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12.23 to 161.84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27C52FD4" w14:textId="77777777" w:rsidTr="005A7B4B">
        <w:trPr>
          <w:jc w:val="center"/>
        </w:trPr>
        <w:tc>
          <w:tcPr>
            <w:tcW w:w="1985" w:type="dxa"/>
          </w:tcPr>
          <w:p w14:paraId="5FA79E78"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8703 40</w:t>
            </w:r>
          </w:p>
        </w:tc>
        <w:tc>
          <w:tcPr>
            <w:tcW w:w="2835" w:type="dxa"/>
          </w:tcPr>
          <w:p w14:paraId="3C77410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Non-plug-in hybrid gasoline cars</w:t>
            </w:r>
          </w:p>
        </w:tc>
        <w:tc>
          <w:tcPr>
            <w:tcW w:w="2410" w:type="dxa"/>
          </w:tcPr>
          <w:p w14:paraId="4607794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7.17 to 121.38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578151BE" w14:textId="77777777" w:rsidTr="005A7B4B">
        <w:trPr>
          <w:jc w:val="center"/>
        </w:trPr>
        <w:tc>
          <w:tcPr>
            <w:tcW w:w="1985" w:type="dxa"/>
          </w:tcPr>
          <w:p w14:paraId="52C89BF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8703 60</w:t>
            </w:r>
          </w:p>
        </w:tc>
        <w:tc>
          <w:tcPr>
            <w:tcW w:w="2835" w:type="dxa"/>
          </w:tcPr>
          <w:p w14:paraId="751495F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Plug-in hybrid gasoline cars</w:t>
            </w:r>
          </w:p>
        </w:tc>
        <w:tc>
          <w:tcPr>
            <w:tcW w:w="2410" w:type="dxa"/>
          </w:tcPr>
          <w:p w14:paraId="31CB18C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4.78 to 80.92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7C88F331" w14:textId="77777777" w:rsidTr="005A7B4B">
        <w:trPr>
          <w:jc w:val="center"/>
        </w:trPr>
        <w:tc>
          <w:tcPr>
            <w:tcW w:w="1985" w:type="dxa"/>
          </w:tcPr>
          <w:p w14:paraId="1729D79E"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8703 50</w:t>
            </w:r>
          </w:p>
        </w:tc>
        <w:tc>
          <w:tcPr>
            <w:tcW w:w="2835" w:type="dxa"/>
          </w:tcPr>
          <w:p w14:paraId="3B4189F6"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Non-plug-in hybrid diesel cars</w:t>
            </w:r>
          </w:p>
        </w:tc>
        <w:tc>
          <w:tcPr>
            <w:tcW w:w="2410" w:type="dxa"/>
          </w:tcPr>
          <w:p w14:paraId="5C5679B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9.17 to 121.38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687B3E28" w14:textId="77777777" w:rsidTr="005A7B4B">
        <w:trPr>
          <w:jc w:val="center"/>
        </w:trPr>
        <w:tc>
          <w:tcPr>
            <w:tcW w:w="1985" w:type="dxa"/>
          </w:tcPr>
          <w:p w14:paraId="2CE68D1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8703 70</w:t>
            </w:r>
          </w:p>
        </w:tc>
        <w:tc>
          <w:tcPr>
            <w:tcW w:w="2835" w:type="dxa"/>
          </w:tcPr>
          <w:p w14:paraId="23BFB9F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Plug-in hybrid diesel cars</w:t>
            </w:r>
          </w:p>
        </w:tc>
        <w:tc>
          <w:tcPr>
            <w:tcW w:w="2410" w:type="dxa"/>
          </w:tcPr>
          <w:p w14:paraId="0D4D45C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6.12 to 80.92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49CA16DE" w14:textId="77777777" w:rsidTr="005A7B4B">
        <w:trPr>
          <w:jc w:val="center"/>
        </w:trPr>
        <w:tc>
          <w:tcPr>
            <w:tcW w:w="1985" w:type="dxa"/>
          </w:tcPr>
          <w:p w14:paraId="5B0C7453"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8711</w:t>
            </w:r>
          </w:p>
        </w:tc>
        <w:tc>
          <w:tcPr>
            <w:tcW w:w="2835" w:type="dxa"/>
          </w:tcPr>
          <w:p w14:paraId="07D76E4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Motorcycles, mopeds</w:t>
            </w:r>
          </w:p>
        </w:tc>
        <w:tc>
          <w:tcPr>
            <w:tcW w:w="2410" w:type="dxa"/>
          </w:tcPr>
          <w:p w14:paraId="6EAEFA6D"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0 to 66.24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75D076DE" w14:textId="77777777" w:rsidTr="005A7B4B">
        <w:trPr>
          <w:jc w:val="center"/>
        </w:trPr>
        <w:tc>
          <w:tcPr>
            <w:tcW w:w="1985" w:type="dxa"/>
          </w:tcPr>
          <w:p w14:paraId="68DC127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9705</w:t>
            </w:r>
          </w:p>
        </w:tc>
        <w:tc>
          <w:tcPr>
            <w:tcW w:w="2835" w:type="dxa"/>
          </w:tcPr>
          <w:p w14:paraId="5DBC8A69"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Collectible vehicles</w:t>
            </w:r>
          </w:p>
        </w:tc>
        <w:tc>
          <w:tcPr>
            <w:tcW w:w="2410" w:type="dxa"/>
          </w:tcPr>
          <w:p w14:paraId="2516C6AC"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20,000 to 40,0000 per vehicle</w:t>
            </w:r>
          </w:p>
        </w:tc>
      </w:tr>
      <w:tr w:rsidR="00333258" w:rsidRPr="00AE439E" w14:paraId="65A32E54" w14:textId="77777777" w:rsidTr="005A7B4B">
        <w:trPr>
          <w:jc w:val="center"/>
        </w:trPr>
        <w:tc>
          <w:tcPr>
            <w:tcW w:w="1985" w:type="dxa"/>
          </w:tcPr>
          <w:p w14:paraId="596D204D"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8701 20</w:t>
            </w:r>
          </w:p>
          <w:p w14:paraId="4A7D1B57"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8701 91 900, 8701 92 900, 8701 93 900, 8701 94 900, 8701 95 900</w:t>
            </w:r>
          </w:p>
        </w:tc>
        <w:tc>
          <w:tcPr>
            <w:tcW w:w="2835" w:type="dxa"/>
          </w:tcPr>
          <w:p w14:paraId="3C8EABA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Road tractors for semi-trailers, crawler tractors, tractors other than wheeled agricultural and forestry tractors</w:t>
            </w:r>
          </w:p>
        </w:tc>
        <w:tc>
          <w:tcPr>
            <w:tcW w:w="2410" w:type="dxa"/>
          </w:tcPr>
          <w:p w14:paraId="485AFCD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0 to 60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5398C752" w14:textId="77777777" w:rsidTr="005A7B4B">
        <w:trPr>
          <w:jc w:val="center"/>
        </w:trPr>
        <w:tc>
          <w:tcPr>
            <w:tcW w:w="1985" w:type="dxa"/>
          </w:tcPr>
          <w:p w14:paraId="4035456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lastRenderedPageBreak/>
              <w:t>8702</w:t>
            </w:r>
          </w:p>
        </w:tc>
        <w:tc>
          <w:tcPr>
            <w:tcW w:w="2835" w:type="dxa"/>
          </w:tcPr>
          <w:p w14:paraId="56B34D3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Buses</w:t>
            </w:r>
          </w:p>
        </w:tc>
        <w:tc>
          <w:tcPr>
            <w:tcW w:w="2410" w:type="dxa"/>
          </w:tcPr>
          <w:p w14:paraId="37A5180F"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0 to 80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68B34BF4" w14:textId="77777777" w:rsidTr="005A7B4B">
        <w:trPr>
          <w:jc w:val="center"/>
        </w:trPr>
        <w:tc>
          <w:tcPr>
            <w:tcW w:w="1985" w:type="dxa"/>
            <w:tcBorders>
              <w:bottom w:val="single" w:sz="4" w:space="0" w:color="auto"/>
            </w:tcBorders>
          </w:tcPr>
          <w:p w14:paraId="272386C2"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8704</w:t>
            </w:r>
          </w:p>
          <w:p w14:paraId="18F57E85"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8705</w:t>
            </w:r>
          </w:p>
        </w:tc>
        <w:tc>
          <w:tcPr>
            <w:tcW w:w="2835" w:type="dxa"/>
            <w:tcBorders>
              <w:bottom w:val="single" w:sz="4" w:space="0" w:color="auto"/>
            </w:tcBorders>
          </w:tcPr>
          <w:p w14:paraId="1D037714"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Vehicles for the transport of goods and special-purpose vehicles</w:t>
            </w:r>
          </w:p>
        </w:tc>
        <w:tc>
          <w:tcPr>
            <w:tcW w:w="2410" w:type="dxa"/>
            <w:tcBorders>
              <w:bottom w:val="single" w:sz="4" w:space="0" w:color="auto"/>
            </w:tcBorders>
          </w:tcPr>
          <w:p w14:paraId="28FC0E0A"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from 0 to 80 per cm</w:t>
            </w:r>
            <w:r w:rsidRPr="00AE439E">
              <w:rPr>
                <w:rFonts w:cs="Segoe UI"/>
                <w:sz w:val="14"/>
                <w:szCs w:val="14"/>
                <w:vertAlign w:val="superscript"/>
                <w:lang w:val="en-CA"/>
              </w:rPr>
              <w:t>3</w:t>
            </w:r>
            <w:r w:rsidRPr="00AE439E">
              <w:rPr>
                <w:rFonts w:cs="Segoe UI"/>
                <w:sz w:val="14"/>
                <w:szCs w:val="14"/>
                <w:lang w:val="en-CA"/>
              </w:rPr>
              <w:t xml:space="preserve"> of cylinder capacity</w:t>
            </w:r>
          </w:p>
        </w:tc>
      </w:tr>
      <w:tr w:rsidR="00333258" w:rsidRPr="00AE439E" w14:paraId="5DEA57B4" w14:textId="77777777" w:rsidTr="005A7B4B">
        <w:trPr>
          <w:jc w:val="center"/>
        </w:trPr>
        <w:tc>
          <w:tcPr>
            <w:tcW w:w="7230" w:type="dxa"/>
            <w:gridSpan w:val="3"/>
            <w:tcBorders>
              <w:top w:val="single" w:sz="4" w:space="0" w:color="auto"/>
            </w:tcBorders>
          </w:tcPr>
          <w:p w14:paraId="4175C3EE" w14:textId="77777777" w:rsidR="00333258" w:rsidRPr="00AE439E" w:rsidRDefault="00333258" w:rsidP="00E90BA7">
            <w:pPr>
              <w:spacing w:after="0" w:line="240" w:lineRule="auto"/>
              <w:jc w:val="both"/>
              <w:rPr>
                <w:rFonts w:cs="Segoe UI"/>
                <w:sz w:val="14"/>
                <w:szCs w:val="14"/>
                <w:lang w:val="en-CA"/>
              </w:rPr>
            </w:pPr>
            <w:r w:rsidRPr="00AE439E">
              <w:rPr>
                <w:rFonts w:cs="Segoe UI"/>
                <w:i/>
                <w:sz w:val="14"/>
                <w:szCs w:val="14"/>
                <w:lang w:val="en-CA"/>
              </w:rPr>
              <w:t>Luxury goods</w:t>
            </w:r>
          </w:p>
        </w:tc>
      </w:tr>
      <w:tr w:rsidR="00333258" w:rsidRPr="00AE439E" w14:paraId="75FA9818" w14:textId="77777777" w:rsidTr="005A7B4B">
        <w:trPr>
          <w:jc w:val="center"/>
        </w:trPr>
        <w:tc>
          <w:tcPr>
            <w:tcW w:w="1985" w:type="dxa"/>
          </w:tcPr>
          <w:p w14:paraId="023370DB"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1604 31</w:t>
            </w:r>
          </w:p>
          <w:p w14:paraId="0A7D3A95"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1604 32</w:t>
            </w:r>
          </w:p>
        </w:tc>
        <w:tc>
          <w:tcPr>
            <w:tcW w:w="2835" w:type="dxa"/>
          </w:tcPr>
          <w:p w14:paraId="013D2261" w14:textId="77777777" w:rsidR="00333258" w:rsidRPr="00F25B13" w:rsidRDefault="00333258" w:rsidP="00E90BA7">
            <w:pPr>
              <w:spacing w:after="0" w:line="240" w:lineRule="auto"/>
              <w:jc w:val="both"/>
              <w:rPr>
                <w:rFonts w:cs="Segoe UI"/>
                <w:sz w:val="14"/>
                <w:szCs w:val="14"/>
              </w:rPr>
            </w:pPr>
            <w:r w:rsidRPr="00F25B13">
              <w:rPr>
                <w:rFonts w:cs="Segoe UI"/>
                <w:sz w:val="14"/>
                <w:szCs w:val="14"/>
              </w:rPr>
              <w:t>Caviar, caviar substitutes</w:t>
            </w:r>
          </w:p>
        </w:tc>
        <w:tc>
          <w:tcPr>
            <w:tcW w:w="2410" w:type="dxa"/>
          </w:tcPr>
          <w:p w14:paraId="215C88D8"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25%</w:t>
            </w:r>
          </w:p>
        </w:tc>
      </w:tr>
      <w:tr w:rsidR="00333258" w:rsidRPr="00AE439E" w14:paraId="5B45FE81" w14:textId="77777777" w:rsidTr="005A7B4B">
        <w:trPr>
          <w:jc w:val="center"/>
        </w:trPr>
        <w:tc>
          <w:tcPr>
            <w:tcW w:w="1985" w:type="dxa"/>
          </w:tcPr>
          <w:p w14:paraId="29A9B610" w14:textId="77777777" w:rsidR="00333258" w:rsidRPr="00AE439E" w:rsidRDefault="00333258" w:rsidP="00E90BA7">
            <w:pPr>
              <w:spacing w:after="0" w:line="240" w:lineRule="auto"/>
              <w:jc w:val="both"/>
              <w:rPr>
                <w:rFonts w:cs="Segoe UI"/>
                <w:sz w:val="14"/>
                <w:szCs w:val="14"/>
                <w:lang w:val="en-CA"/>
              </w:rPr>
            </w:pPr>
            <w:r w:rsidRPr="00AE439E">
              <w:rPr>
                <w:rFonts w:cs="Segoe UI"/>
                <w:sz w:val="14"/>
                <w:szCs w:val="14"/>
                <w:lang w:val="en-CA"/>
              </w:rPr>
              <w:t>3303</w:t>
            </w:r>
          </w:p>
        </w:tc>
        <w:tc>
          <w:tcPr>
            <w:tcW w:w="2835" w:type="dxa"/>
          </w:tcPr>
          <w:p w14:paraId="6EBA3DE1" w14:textId="77777777" w:rsidR="00333258" w:rsidRPr="00D57564" w:rsidRDefault="00333258" w:rsidP="00E90BA7">
            <w:pPr>
              <w:spacing w:after="0" w:line="240" w:lineRule="auto"/>
              <w:jc w:val="both"/>
              <w:rPr>
                <w:rFonts w:cs="Segoe UI"/>
                <w:sz w:val="14"/>
                <w:szCs w:val="14"/>
                <w:lang w:val="fr-FR"/>
              </w:rPr>
            </w:pPr>
            <w:r w:rsidRPr="00D57564">
              <w:rPr>
                <w:rFonts w:cs="Segoe UI"/>
                <w:sz w:val="14"/>
                <w:szCs w:val="14"/>
                <w:lang w:val="fr-FR"/>
              </w:rPr>
              <w:t>Perfumes and eau de toilette</w:t>
            </w:r>
          </w:p>
        </w:tc>
        <w:tc>
          <w:tcPr>
            <w:tcW w:w="2410" w:type="dxa"/>
          </w:tcPr>
          <w:p w14:paraId="79E4D82C" w14:textId="77777777" w:rsidR="00333258" w:rsidRPr="00AE439E" w:rsidRDefault="00333258" w:rsidP="00E90BA7">
            <w:pPr>
              <w:spacing w:after="0" w:line="240" w:lineRule="auto"/>
              <w:jc w:val="both"/>
              <w:rPr>
                <w:rFonts w:cs="Segoe UI"/>
                <w:sz w:val="14"/>
                <w:szCs w:val="14"/>
                <w:lang w:val="fr-CA"/>
              </w:rPr>
            </w:pPr>
            <w:r w:rsidRPr="00AE439E">
              <w:rPr>
                <w:rFonts w:cs="Segoe UI"/>
                <w:sz w:val="14"/>
                <w:szCs w:val="14"/>
                <w:lang w:val="fr-CA"/>
              </w:rPr>
              <w:t>30%</w:t>
            </w:r>
          </w:p>
        </w:tc>
      </w:tr>
      <w:tr w:rsidR="00333258" w:rsidRPr="00AE439E" w14:paraId="5A109B01" w14:textId="77777777" w:rsidTr="005A7B4B">
        <w:trPr>
          <w:jc w:val="center"/>
        </w:trPr>
        <w:tc>
          <w:tcPr>
            <w:tcW w:w="1985" w:type="dxa"/>
            <w:tcBorders>
              <w:bottom w:val="single" w:sz="4" w:space="0" w:color="auto"/>
            </w:tcBorders>
          </w:tcPr>
          <w:p w14:paraId="274171B5" w14:textId="77777777" w:rsidR="00333258" w:rsidRPr="00AE439E" w:rsidRDefault="00333258" w:rsidP="00E90BA7">
            <w:pPr>
              <w:spacing w:after="0" w:line="240" w:lineRule="auto"/>
              <w:jc w:val="both"/>
              <w:rPr>
                <w:rFonts w:cs="Segoe UI"/>
                <w:sz w:val="14"/>
                <w:szCs w:val="14"/>
                <w:lang w:val="fr-CA"/>
              </w:rPr>
            </w:pPr>
            <w:r w:rsidRPr="00AE439E">
              <w:rPr>
                <w:rFonts w:cs="Segoe UI"/>
                <w:sz w:val="14"/>
                <w:szCs w:val="14"/>
                <w:lang w:val="fr-CA"/>
              </w:rPr>
              <w:t>ex 4303 10</w:t>
            </w:r>
          </w:p>
        </w:tc>
        <w:tc>
          <w:tcPr>
            <w:tcW w:w="2835" w:type="dxa"/>
            <w:tcBorders>
              <w:bottom w:val="single" w:sz="4" w:space="0" w:color="auto"/>
            </w:tcBorders>
          </w:tcPr>
          <w:p w14:paraId="14B3F43D" w14:textId="77777777" w:rsidR="00333258" w:rsidRPr="00F25B13" w:rsidRDefault="00333258" w:rsidP="00E90BA7">
            <w:pPr>
              <w:spacing w:after="0" w:line="240" w:lineRule="auto"/>
              <w:jc w:val="both"/>
              <w:rPr>
                <w:rFonts w:cs="Segoe UI"/>
                <w:sz w:val="14"/>
                <w:szCs w:val="14"/>
              </w:rPr>
            </w:pPr>
            <w:r w:rsidRPr="00F25B13">
              <w:rPr>
                <w:rFonts w:cs="Segoe UI"/>
                <w:sz w:val="14"/>
                <w:szCs w:val="14"/>
              </w:rPr>
              <w:t>Fur clothing</w:t>
            </w:r>
          </w:p>
        </w:tc>
        <w:tc>
          <w:tcPr>
            <w:tcW w:w="2410" w:type="dxa"/>
            <w:tcBorders>
              <w:bottom w:val="single" w:sz="4" w:space="0" w:color="auto"/>
            </w:tcBorders>
          </w:tcPr>
          <w:p w14:paraId="56AD8693" w14:textId="77777777" w:rsidR="00333258" w:rsidRPr="00AE439E" w:rsidRDefault="00333258" w:rsidP="00E90BA7">
            <w:pPr>
              <w:spacing w:after="0" w:line="240" w:lineRule="auto"/>
              <w:jc w:val="both"/>
              <w:rPr>
                <w:rFonts w:cs="Segoe UI"/>
                <w:sz w:val="14"/>
                <w:szCs w:val="14"/>
                <w:lang w:val="fr-CA"/>
              </w:rPr>
            </w:pPr>
            <w:r w:rsidRPr="00AE439E">
              <w:rPr>
                <w:rFonts w:cs="Segoe UI"/>
                <w:sz w:val="14"/>
                <w:szCs w:val="14"/>
                <w:lang w:val="fr-CA"/>
              </w:rPr>
              <w:t>25%</w:t>
            </w:r>
          </w:p>
        </w:tc>
      </w:tr>
    </w:tbl>
    <w:p w14:paraId="064FA7A6" w14:textId="77777777" w:rsidR="00333258" w:rsidRPr="008216E8" w:rsidRDefault="00333258" w:rsidP="00E90BA7">
      <w:pPr>
        <w:pStyle w:val="Heading3"/>
        <w:jc w:val="both"/>
        <w:rPr>
          <w:rStyle w:val="RegularDKB"/>
          <w:rFonts w:asciiTheme="majorHAnsi" w:hAnsiTheme="majorHAnsi" w:cstheme="majorHAnsi"/>
          <w:b/>
          <w:bCs/>
          <w:caps w:val="0"/>
          <w:lang w:val="en-CA"/>
        </w:rPr>
      </w:pPr>
      <w:bookmarkStart w:id="25" w:name="_Toc126555827"/>
      <w:r w:rsidRPr="008216E8">
        <w:rPr>
          <w:rStyle w:val="RegularDKB"/>
          <w:rFonts w:asciiTheme="majorHAnsi" w:hAnsiTheme="majorHAnsi" w:cstheme="majorHAnsi"/>
          <w:b/>
          <w:bCs/>
          <w:caps w:val="0"/>
          <w:lang w:val="en-CA"/>
        </w:rPr>
        <w:t>Road Usage Fees</w:t>
      </w:r>
      <w:bookmarkEnd w:id="25"/>
    </w:p>
    <w:p w14:paraId="38DF4753" w14:textId="77777777" w:rsidR="00333258" w:rsidRPr="00DD488D" w:rsidRDefault="00333258" w:rsidP="00E90BA7">
      <w:pPr>
        <w:pStyle w:val="Heading4"/>
        <w:spacing w:after="120" w:line="264" w:lineRule="auto"/>
        <w:jc w:val="both"/>
        <w:rPr>
          <w:rFonts w:ascii="Segoe UI" w:hAnsi="Segoe UI" w:cs="Segoe UI"/>
          <w:color w:val="004C97" w:themeColor="text2"/>
          <w:sz w:val="21"/>
          <w:szCs w:val="21"/>
          <w:lang w:val="en-CA"/>
        </w:rPr>
      </w:pPr>
      <w:r w:rsidRPr="00ED73A2">
        <w:rPr>
          <w:rFonts w:ascii="Segoe UI" w:hAnsi="Segoe UI" w:cs="Segoe UI"/>
          <w:color w:val="004C97" w:themeColor="text2"/>
          <w:sz w:val="21"/>
          <w:szCs w:val="21"/>
          <w:lang w:val="en-CA"/>
        </w:rPr>
        <w:t xml:space="preserve">Common </w:t>
      </w:r>
      <w:r w:rsidRPr="00E85CF3">
        <w:rPr>
          <w:rFonts w:ascii="Segoe UI" w:hAnsi="Segoe UI" w:cs="Segoe UI"/>
          <w:color w:val="004C97" w:themeColor="text2"/>
          <w:sz w:val="21"/>
          <w:szCs w:val="21"/>
          <w:lang w:val="en-CA"/>
        </w:rPr>
        <w:t>A</w:t>
      </w:r>
      <w:r w:rsidRPr="00DD488D">
        <w:rPr>
          <w:rFonts w:ascii="Segoe UI" w:hAnsi="Segoe UI" w:cs="Segoe UI"/>
          <w:color w:val="004C97" w:themeColor="text2"/>
          <w:sz w:val="21"/>
          <w:szCs w:val="21"/>
          <w:lang w:val="en-CA"/>
        </w:rPr>
        <w:t>pproach</w:t>
      </w:r>
    </w:p>
    <w:p w14:paraId="68C00195" w14:textId="77777777" w:rsidR="00333258" w:rsidRPr="00DD488D" w:rsidRDefault="00333258" w:rsidP="00E90BA7">
      <w:pPr>
        <w:jc w:val="both"/>
        <w:rPr>
          <w:rFonts w:ascii="Segoe UI" w:hAnsi="Segoe UI" w:cs="Segoe UI"/>
          <w:lang w:val="en-CA"/>
        </w:rPr>
      </w:pPr>
      <w:r w:rsidRPr="00DD488D">
        <w:rPr>
          <w:rFonts w:ascii="Segoe UI" w:hAnsi="Segoe UI" w:cs="Segoe UI"/>
          <w:lang w:val="en-CA"/>
        </w:rPr>
        <w:t>Road usage fees are imposed on vehicles registered in Moldova as well as on vehicles used by non-residents who sojourn in Moldova (vignettes).</w:t>
      </w:r>
      <w:r w:rsidRPr="00DD488D">
        <w:rPr>
          <w:rStyle w:val="FootnoteReference"/>
          <w:rFonts w:ascii="Segoe UI" w:hAnsi="Segoe UI" w:cs="Segoe UI"/>
          <w:lang w:val="en-CA"/>
        </w:rPr>
        <w:footnoteReference w:id="24"/>
      </w:r>
      <w:r w:rsidRPr="00DD488D">
        <w:rPr>
          <w:rFonts w:ascii="Segoe UI" w:hAnsi="Segoe UI" w:cs="Segoe UI"/>
          <w:lang w:val="en-CA"/>
        </w:rPr>
        <w:t xml:space="preserve"> Road usage fees are intended to reflect costs associated with the use of roads, primarily costs associated with the construction and maintenance of roads in Moldova. The benchmark tax base is therefore defined to cover all motorized vehicles using roads in Moldova, regardless of their mode of propulsion. Applicable rates are broadly aligned with such costs and generally increase with the power or weight of a vehicle, as well as</w:t>
      </w:r>
      <w:r>
        <w:rPr>
          <w:rFonts w:ascii="Segoe UI" w:hAnsi="Segoe UI" w:cs="Segoe UI"/>
          <w:lang w:val="en-CA"/>
        </w:rPr>
        <w:t>—</w:t>
      </w:r>
      <w:r w:rsidRPr="00DD488D">
        <w:rPr>
          <w:rFonts w:ascii="Segoe UI" w:hAnsi="Segoe UI" w:cs="Segoe UI"/>
          <w:lang w:val="en-CA"/>
        </w:rPr>
        <w:t>in the case of foreign sojourners</w:t>
      </w:r>
      <w:r>
        <w:rPr>
          <w:rFonts w:ascii="Segoe UI" w:hAnsi="Segoe UI" w:cs="Segoe UI"/>
          <w:lang w:val="en-CA"/>
        </w:rPr>
        <w:t>—</w:t>
      </w:r>
      <w:r w:rsidRPr="00DD488D">
        <w:rPr>
          <w:rFonts w:ascii="Segoe UI" w:hAnsi="Segoe UI" w:cs="Segoe UI"/>
          <w:lang w:val="en-CA"/>
        </w:rPr>
        <w:t>by the length of a stay in Moldova. Benchmark rates are assumed to correspond to these applicable rates.</w:t>
      </w:r>
    </w:p>
    <w:p w14:paraId="2909A771" w14:textId="77777777" w:rsidR="00333258" w:rsidRPr="00DD488D" w:rsidRDefault="00333258" w:rsidP="00E90BA7">
      <w:pPr>
        <w:pStyle w:val="Heading4"/>
        <w:spacing w:after="120" w:line="264" w:lineRule="auto"/>
        <w:jc w:val="both"/>
        <w:rPr>
          <w:rFonts w:ascii="Segoe UI" w:hAnsi="Segoe UI" w:cs="Segoe UI"/>
          <w:color w:val="004C97" w:themeColor="text2"/>
          <w:sz w:val="21"/>
          <w:szCs w:val="21"/>
          <w:lang w:val="en-CA"/>
        </w:rPr>
      </w:pPr>
      <w:r w:rsidRPr="00ED73A2">
        <w:rPr>
          <w:rFonts w:ascii="Segoe UI" w:hAnsi="Segoe UI" w:cs="Segoe UI"/>
          <w:color w:val="004C97" w:themeColor="text2"/>
          <w:sz w:val="21"/>
          <w:szCs w:val="21"/>
          <w:lang w:val="en-CA"/>
        </w:rPr>
        <w:t xml:space="preserve">Moldovan Design of </w:t>
      </w:r>
      <w:r w:rsidRPr="00E85CF3">
        <w:rPr>
          <w:rFonts w:ascii="Segoe UI" w:hAnsi="Segoe UI" w:cs="Segoe UI"/>
          <w:color w:val="004C97" w:themeColor="text2"/>
          <w:sz w:val="21"/>
          <w:szCs w:val="21"/>
          <w:lang w:val="en-CA"/>
        </w:rPr>
        <w:t>Road Usage Fees</w:t>
      </w:r>
    </w:p>
    <w:p w14:paraId="72696C9E" w14:textId="0D4AD06C" w:rsidR="00333258" w:rsidRPr="00190352" w:rsidRDefault="00333258" w:rsidP="00E90BA7">
      <w:pPr>
        <w:jc w:val="both"/>
        <w:rPr>
          <w:rFonts w:ascii="Segoe UI" w:hAnsi="Segoe UI" w:cs="Segoe UI"/>
          <w:sz w:val="21"/>
          <w:szCs w:val="21"/>
          <w:lang w:val="en-CA"/>
        </w:rPr>
      </w:pPr>
      <w:r w:rsidRPr="00190352">
        <w:rPr>
          <w:rFonts w:ascii="Segoe UI" w:hAnsi="Segoe UI" w:cs="Segoe UI"/>
          <w:lang w:val="en-CA"/>
        </w:rPr>
        <w:t xml:space="preserve">Table </w:t>
      </w:r>
      <w:r w:rsidR="00EF2099" w:rsidRPr="00190352">
        <w:rPr>
          <w:rFonts w:ascii="Segoe UI" w:hAnsi="Segoe UI" w:cs="Segoe UI"/>
          <w:lang w:val="en-CA"/>
        </w:rPr>
        <w:t>5</w:t>
      </w:r>
      <w:r w:rsidRPr="00190352">
        <w:rPr>
          <w:rFonts w:ascii="Segoe UI" w:hAnsi="Segoe UI" w:cs="Segoe UI"/>
          <w:lang w:val="en-CA"/>
        </w:rPr>
        <w:t xml:space="preserve"> below summarizes the rate structures of the road usage fees being levied in Moldova. The non-imposition of road usage fees on agricultural tractors and electric cars registered in Moldova, as well as on non-registered motorcycles, is considered a </w:t>
      </w:r>
      <w:r w:rsidR="00190352" w:rsidRPr="00190352">
        <w:rPr>
          <w:rFonts w:ascii="Segoe UI" w:hAnsi="Segoe UI" w:cs="Segoe UI"/>
          <w:lang w:val="en-CA"/>
        </w:rPr>
        <w:t>TE</w:t>
      </w:r>
      <w:r w:rsidRPr="00190352">
        <w:rPr>
          <w:rFonts w:ascii="Segoe UI" w:hAnsi="Segoe UI" w:cs="Segoe UI"/>
          <w:lang w:val="en-CA"/>
        </w:rPr>
        <w:t xml:space="preserve">, as these vehicles can be used on roads. A limited number of specific exemptions are also treated as </w:t>
      </w:r>
      <w:r w:rsidR="00190352" w:rsidRPr="00190352">
        <w:rPr>
          <w:rFonts w:ascii="Segoe UI" w:hAnsi="Segoe UI" w:cs="Segoe UI"/>
          <w:lang w:val="en-CA"/>
        </w:rPr>
        <w:t>TE</w:t>
      </w:r>
      <w:r w:rsidRPr="00190352">
        <w:rPr>
          <w:rFonts w:ascii="Segoe UI" w:hAnsi="Segoe UI" w:cs="Segoe UI"/>
          <w:sz w:val="21"/>
          <w:szCs w:val="21"/>
          <w:lang w:val="en-CA"/>
        </w:rPr>
        <w:t>s.</w:t>
      </w:r>
    </w:p>
    <w:p w14:paraId="5178F00B" w14:textId="4DFDED3F" w:rsidR="00333258" w:rsidRPr="00AE439E" w:rsidRDefault="00EF2099" w:rsidP="00E90BA7">
      <w:pPr>
        <w:keepNext/>
        <w:jc w:val="both"/>
        <w:rPr>
          <w:rFonts w:ascii="Segoe UI" w:hAnsi="Segoe UI" w:cs="Segoe UI"/>
          <w:b/>
          <w:sz w:val="21"/>
          <w:szCs w:val="21"/>
          <w:lang w:val="en-CA"/>
        </w:rPr>
      </w:pPr>
      <w:r w:rsidRPr="00190352">
        <w:rPr>
          <w:rFonts w:ascii="Segoe UI" w:hAnsi="Segoe UI" w:cs="Segoe UI"/>
          <w:b/>
          <w:sz w:val="21"/>
          <w:szCs w:val="21"/>
        </w:rPr>
        <w:fldChar w:fldCharType="begin"/>
      </w:r>
      <w:r w:rsidRPr="00190352">
        <w:rPr>
          <w:rFonts w:ascii="Segoe UI" w:hAnsi="Segoe UI" w:cs="Segoe UI"/>
          <w:sz w:val="21"/>
          <w:szCs w:val="21"/>
        </w:rPr>
        <w:instrText xml:space="preserve"> TC "5. </w:instrText>
      </w:r>
      <w:r w:rsidRPr="00190352">
        <w:rPr>
          <w:rFonts w:ascii="Segoe UI" w:hAnsi="Segoe UI" w:cs="Segoe UI"/>
          <w:sz w:val="21"/>
          <w:szCs w:val="21"/>
          <w:lang w:val="en-CA"/>
        </w:rPr>
        <w:instrText>Road Usage Fees Applicable, 2022</w:instrText>
      </w:r>
      <w:r w:rsidRPr="00190352">
        <w:rPr>
          <w:rFonts w:ascii="Segoe UI" w:hAnsi="Segoe UI" w:cs="Segoe UI"/>
          <w:sz w:val="21"/>
          <w:szCs w:val="21"/>
        </w:rPr>
        <w:instrText>"\f B</w:instrText>
      </w:r>
      <w:r w:rsidRPr="00190352">
        <w:rPr>
          <w:rFonts w:ascii="Segoe UI" w:hAnsi="Segoe UI" w:cs="Segoe UI"/>
          <w:b/>
          <w:sz w:val="21"/>
          <w:szCs w:val="21"/>
        </w:rPr>
        <w:fldChar w:fldCharType="end"/>
      </w:r>
      <w:r w:rsidR="00333258" w:rsidRPr="00190352">
        <w:rPr>
          <w:rFonts w:ascii="Segoe UI" w:hAnsi="Segoe UI" w:cs="Segoe UI"/>
          <w:b/>
          <w:sz w:val="21"/>
          <w:szCs w:val="21"/>
          <w:lang w:val="en-CA"/>
        </w:rPr>
        <w:t xml:space="preserve">Table </w:t>
      </w:r>
      <w:r w:rsidRPr="00190352">
        <w:rPr>
          <w:rFonts w:ascii="Segoe UI" w:hAnsi="Segoe UI" w:cs="Segoe UI"/>
          <w:b/>
          <w:sz w:val="21"/>
          <w:szCs w:val="21"/>
          <w:lang w:val="en-CA"/>
        </w:rPr>
        <w:t xml:space="preserve">5. </w:t>
      </w:r>
      <w:r w:rsidR="00333258" w:rsidRPr="00190352">
        <w:rPr>
          <w:rFonts w:ascii="Segoe UI" w:hAnsi="Segoe UI" w:cs="Segoe UI"/>
          <w:b/>
          <w:sz w:val="21"/>
          <w:szCs w:val="21"/>
          <w:lang w:val="en-CA"/>
        </w:rPr>
        <w:t>Road</w:t>
      </w:r>
      <w:r w:rsidR="00333258" w:rsidRPr="00DD488D">
        <w:rPr>
          <w:rFonts w:ascii="Segoe UI" w:hAnsi="Segoe UI" w:cs="Segoe UI"/>
          <w:b/>
          <w:sz w:val="21"/>
          <w:szCs w:val="21"/>
          <w:lang w:val="en-CA"/>
        </w:rPr>
        <w:t xml:space="preserve"> Usage Fees Applicable, </w:t>
      </w:r>
      <w:r w:rsidR="00333258" w:rsidRPr="00AE439E">
        <w:rPr>
          <w:rFonts w:ascii="Segoe UI" w:hAnsi="Segoe UI" w:cs="Segoe UI"/>
          <w:b/>
          <w:sz w:val="21"/>
          <w:szCs w:val="21"/>
          <w:lang w:val="en-CA"/>
        </w:rPr>
        <w:t>2022</w:t>
      </w:r>
    </w:p>
    <w:tbl>
      <w:tblPr>
        <w:tblW w:w="8244" w:type="dxa"/>
        <w:jc w:val="center"/>
        <w:tblLayout w:type="fixed"/>
        <w:tblLook w:val="04A0" w:firstRow="1" w:lastRow="0" w:firstColumn="1" w:lastColumn="0" w:noHBand="0" w:noVBand="1"/>
      </w:tblPr>
      <w:tblGrid>
        <w:gridCol w:w="4111"/>
        <w:gridCol w:w="2999"/>
        <w:gridCol w:w="1134"/>
      </w:tblGrid>
      <w:tr w:rsidR="00333258" w:rsidRPr="00B070BE" w14:paraId="69CB1B41" w14:textId="77777777" w:rsidTr="006513F7">
        <w:trPr>
          <w:trHeight w:val="170"/>
          <w:jc w:val="center"/>
        </w:trPr>
        <w:tc>
          <w:tcPr>
            <w:tcW w:w="8244" w:type="dxa"/>
            <w:gridSpan w:val="3"/>
            <w:tcBorders>
              <w:top w:val="single" w:sz="4" w:space="0" w:color="auto"/>
              <w:bottom w:val="single" w:sz="4" w:space="0" w:color="auto"/>
            </w:tcBorders>
            <w:shd w:val="clear" w:color="000000" w:fill="E7E6E6"/>
            <w:vAlign w:val="bottom"/>
          </w:tcPr>
          <w:p w14:paraId="279DBF92" w14:textId="77777777" w:rsidR="00333258" w:rsidRPr="00B070BE" w:rsidRDefault="00333258" w:rsidP="00E90BA7">
            <w:pPr>
              <w:keepNext/>
              <w:spacing w:after="0" w:line="240" w:lineRule="auto"/>
              <w:jc w:val="both"/>
              <w:rPr>
                <w:rFonts w:ascii="Segoe UI" w:eastAsia="Times New Roman" w:hAnsi="Segoe UI" w:cs="Segoe UI"/>
                <w:b/>
                <w:color w:val="000000"/>
                <w:sz w:val="16"/>
                <w:szCs w:val="16"/>
                <w:lang w:val="en-CA" w:eastAsia="en-CA"/>
              </w:rPr>
            </w:pPr>
            <w:r w:rsidRPr="00B070BE">
              <w:rPr>
                <w:rFonts w:ascii="Segoe UI" w:eastAsia="Times New Roman" w:hAnsi="Segoe UI" w:cs="Segoe UI"/>
                <w:b/>
                <w:color w:val="000000"/>
                <w:sz w:val="16"/>
                <w:szCs w:val="16"/>
                <w:lang w:val="en-CA" w:eastAsia="en-CA"/>
              </w:rPr>
              <w:t>Road usage fees on motor vehicles registered in Moldova</w:t>
            </w:r>
          </w:p>
        </w:tc>
      </w:tr>
      <w:tr w:rsidR="00333258" w:rsidRPr="00B070BE" w14:paraId="14CFC88D" w14:textId="77777777" w:rsidTr="006513F7">
        <w:trPr>
          <w:trHeight w:val="170"/>
          <w:jc w:val="center"/>
        </w:trPr>
        <w:tc>
          <w:tcPr>
            <w:tcW w:w="4111" w:type="dxa"/>
            <w:tcBorders>
              <w:top w:val="single" w:sz="4" w:space="0" w:color="auto"/>
              <w:bottom w:val="single" w:sz="4" w:space="0" w:color="auto"/>
            </w:tcBorders>
            <w:shd w:val="clear" w:color="auto" w:fill="auto"/>
            <w:vAlign w:val="bottom"/>
            <w:hideMark/>
          </w:tcPr>
          <w:p w14:paraId="2FE176F0" w14:textId="77777777" w:rsidR="00333258" w:rsidRPr="00B070BE" w:rsidRDefault="00333258" w:rsidP="00E90BA7">
            <w:pPr>
              <w:keepNext/>
              <w:spacing w:after="0" w:line="240" w:lineRule="auto"/>
              <w:jc w:val="both"/>
              <w:rPr>
                <w:rFonts w:ascii="Segoe UI" w:eastAsia="Times New Roman" w:hAnsi="Segoe UI" w:cs="Segoe UI"/>
                <w:b/>
                <w:color w:val="000000"/>
                <w:sz w:val="16"/>
                <w:szCs w:val="16"/>
                <w:lang w:val="en-CA" w:eastAsia="en-CA"/>
              </w:rPr>
            </w:pPr>
            <w:r w:rsidRPr="00B070BE">
              <w:rPr>
                <w:rFonts w:ascii="Segoe UI" w:eastAsia="Times New Roman" w:hAnsi="Segoe UI" w:cs="Segoe UI"/>
                <w:b/>
                <w:color w:val="000000"/>
                <w:sz w:val="16"/>
                <w:szCs w:val="16"/>
                <w:lang w:val="en-CA" w:eastAsia="en-CA"/>
              </w:rPr>
              <w:t>Vehicle</w:t>
            </w:r>
          </w:p>
        </w:tc>
        <w:tc>
          <w:tcPr>
            <w:tcW w:w="2999" w:type="dxa"/>
            <w:tcBorders>
              <w:top w:val="single" w:sz="4" w:space="0" w:color="auto"/>
              <w:bottom w:val="single" w:sz="4" w:space="0" w:color="auto"/>
            </w:tcBorders>
            <w:shd w:val="clear" w:color="auto" w:fill="auto"/>
            <w:vAlign w:val="bottom"/>
            <w:hideMark/>
          </w:tcPr>
          <w:p w14:paraId="779CA55C" w14:textId="77777777" w:rsidR="00333258" w:rsidRPr="00B070BE" w:rsidRDefault="00333258" w:rsidP="00E90BA7">
            <w:pPr>
              <w:keepNext/>
              <w:spacing w:after="0" w:line="240" w:lineRule="auto"/>
              <w:jc w:val="both"/>
              <w:rPr>
                <w:rFonts w:ascii="Segoe UI" w:eastAsia="Times New Roman" w:hAnsi="Segoe UI" w:cs="Segoe UI"/>
                <w:b/>
                <w:color w:val="000000"/>
                <w:sz w:val="16"/>
                <w:szCs w:val="16"/>
                <w:lang w:val="en-CA" w:eastAsia="en-CA"/>
              </w:rPr>
            </w:pPr>
            <w:r w:rsidRPr="00B070BE">
              <w:rPr>
                <w:rFonts w:ascii="Segoe UI" w:eastAsia="Times New Roman" w:hAnsi="Segoe UI" w:cs="Segoe UI"/>
                <w:b/>
                <w:color w:val="000000"/>
                <w:sz w:val="16"/>
                <w:szCs w:val="16"/>
                <w:lang w:val="en-CA" w:eastAsia="en-CA"/>
              </w:rPr>
              <w:t>Unit of measurement</w:t>
            </w:r>
          </w:p>
        </w:tc>
        <w:tc>
          <w:tcPr>
            <w:tcW w:w="1134" w:type="dxa"/>
            <w:tcBorders>
              <w:top w:val="single" w:sz="4" w:space="0" w:color="auto"/>
              <w:bottom w:val="single" w:sz="4" w:space="0" w:color="auto"/>
            </w:tcBorders>
            <w:shd w:val="clear" w:color="auto" w:fill="auto"/>
            <w:vAlign w:val="bottom"/>
            <w:hideMark/>
          </w:tcPr>
          <w:p w14:paraId="4F80A1E6" w14:textId="77777777" w:rsidR="00333258" w:rsidRPr="00B070BE" w:rsidRDefault="00333258" w:rsidP="00E90BA7">
            <w:pPr>
              <w:keepNext/>
              <w:spacing w:after="0" w:line="240" w:lineRule="auto"/>
              <w:jc w:val="both"/>
              <w:rPr>
                <w:rFonts w:ascii="Segoe UI" w:eastAsia="Times New Roman" w:hAnsi="Segoe UI" w:cs="Segoe UI"/>
                <w:b/>
                <w:color w:val="000000"/>
                <w:sz w:val="16"/>
                <w:szCs w:val="16"/>
                <w:lang w:val="en-CA" w:eastAsia="en-CA"/>
              </w:rPr>
            </w:pPr>
            <w:r w:rsidRPr="00B070BE">
              <w:rPr>
                <w:rFonts w:ascii="Segoe UI" w:eastAsia="Times New Roman" w:hAnsi="Segoe UI" w:cs="Segoe UI"/>
                <w:b/>
                <w:color w:val="000000"/>
                <w:sz w:val="16"/>
                <w:szCs w:val="16"/>
                <w:lang w:val="en-CA" w:eastAsia="en-CA"/>
              </w:rPr>
              <w:t>Fee payable</w:t>
            </w:r>
          </w:p>
        </w:tc>
      </w:tr>
      <w:tr w:rsidR="00333258" w:rsidRPr="00B070BE" w14:paraId="2C24EA74" w14:textId="77777777" w:rsidTr="006513F7">
        <w:trPr>
          <w:trHeight w:val="170"/>
          <w:jc w:val="center"/>
        </w:trPr>
        <w:tc>
          <w:tcPr>
            <w:tcW w:w="4111" w:type="dxa"/>
            <w:tcBorders>
              <w:top w:val="single" w:sz="4" w:space="0" w:color="auto"/>
            </w:tcBorders>
            <w:shd w:val="clear" w:color="auto" w:fill="auto"/>
            <w:noWrap/>
            <w:vAlign w:val="bottom"/>
            <w:hideMark/>
          </w:tcPr>
          <w:p w14:paraId="024D9474" w14:textId="77777777" w:rsidR="00333258" w:rsidRPr="00B070BE" w:rsidRDefault="00333258" w:rsidP="00E90BA7">
            <w:pPr>
              <w:keepNext/>
              <w:spacing w:after="0" w:line="240" w:lineRule="auto"/>
              <w:jc w:val="both"/>
              <w:rPr>
                <w:rFonts w:ascii="Segoe UI" w:eastAsia="Times New Roman" w:hAnsi="Segoe UI" w:cs="Segoe UI"/>
                <w:i/>
                <w:color w:val="000000"/>
                <w:sz w:val="16"/>
                <w:szCs w:val="16"/>
                <w:lang w:val="en-CA" w:eastAsia="en-CA"/>
              </w:rPr>
            </w:pPr>
            <w:r w:rsidRPr="00B070BE">
              <w:rPr>
                <w:rFonts w:ascii="Segoe UI" w:eastAsia="Times New Roman" w:hAnsi="Segoe UI" w:cs="Segoe UI"/>
                <w:i/>
                <w:color w:val="000000"/>
                <w:sz w:val="16"/>
                <w:szCs w:val="16"/>
                <w:lang w:val="en-CA" w:eastAsia="en-CA"/>
              </w:rPr>
              <w:t>Motorcycle, moped, scooter, moped</w:t>
            </w:r>
          </w:p>
        </w:tc>
        <w:tc>
          <w:tcPr>
            <w:tcW w:w="2999" w:type="dxa"/>
            <w:tcBorders>
              <w:top w:val="single" w:sz="4" w:space="0" w:color="auto"/>
            </w:tcBorders>
            <w:shd w:val="clear" w:color="auto" w:fill="auto"/>
            <w:noWrap/>
            <w:vAlign w:val="bottom"/>
            <w:hideMark/>
          </w:tcPr>
          <w:p w14:paraId="7544E7B3" w14:textId="77777777" w:rsidR="00333258" w:rsidRPr="00B070BE" w:rsidRDefault="00333258" w:rsidP="00E90BA7">
            <w:pPr>
              <w:keepNext/>
              <w:spacing w:after="0" w:line="240" w:lineRule="auto"/>
              <w:jc w:val="both"/>
              <w:rPr>
                <w:rFonts w:ascii="Segoe UI" w:eastAsia="Times New Roman" w:hAnsi="Segoe UI" w:cs="Segoe UI"/>
                <w:i/>
                <w:color w:val="000000"/>
                <w:sz w:val="16"/>
                <w:szCs w:val="16"/>
                <w:lang w:val="en-CA" w:eastAsia="en-CA"/>
              </w:rPr>
            </w:pPr>
          </w:p>
        </w:tc>
        <w:tc>
          <w:tcPr>
            <w:tcW w:w="1134" w:type="dxa"/>
            <w:tcBorders>
              <w:top w:val="single" w:sz="4" w:space="0" w:color="auto"/>
            </w:tcBorders>
            <w:shd w:val="clear" w:color="auto" w:fill="auto"/>
            <w:noWrap/>
            <w:vAlign w:val="bottom"/>
            <w:hideMark/>
          </w:tcPr>
          <w:p w14:paraId="6F79BBC2" w14:textId="77777777" w:rsidR="00333258" w:rsidRPr="00B070BE" w:rsidRDefault="00333258" w:rsidP="00E90BA7">
            <w:pPr>
              <w:keepNext/>
              <w:spacing w:after="0" w:line="240" w:lineRule="auto"/>
              <w:ind w:right="227"/>
              <w:jc w:val="both"/>
              <w:rPr>
                <w:rFonts w:ascii="Segoe UI" w:eastAsia="Times New Roman" w:hAnsi="Segoe UI" w:cs="Segoe UI"/>
                <w:sz w:val="16"/>
                <w:szCs w:val="16"/>
                <w:lang w:val="en-CA" w:eastAsia="en-CA"/>
              </w:rPr>
            </w:pPr>
          </w:p>
        </w:tc>
      </w:tr>
      <w:tr w:rsidR="00333258" w:rsidRPr="00B070BE" w14:paraId="677F33A4" w14:textId="77777777" w:rsidTr="006513F7">
        <w:trPr>
          <w:trHeight w:val="170"/>
          <w:jc w:val="center"/>
        </w:trPr>
        <w:tc>
          <w:tcPr>
            <w:tcW w:w="4111" w:type="dxa"/>
            <w:shd w:val="clear" w:color="auto" w:fill="auto"/>
            <w:noWrap/>
            <w:vAlign w:val="bottom"/>
            <w:hideMark/>
          </w:tcPr>
          <w:p w14:paraId="1F432A0D"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0 to 500 cm3</w:t>
            </w:r>
          </w:p>
        </w:tc>
        <w:tc>
          <w:tcPr>
            <w:tcW w:w="2999" w:type="dxa"/>
            <w:shd w:val="clear" w:color="auto" w:fill="auto"/>
            <w:noWrap/>
            <w:vAlign w:val="bottom"/>
            <w:hideMark/>
          </w:tcPr>
          <w:p w14:paraId="6EB0FA41"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167D7F09"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300</w:t>
            </w:r>
          </w:p>
        </w:tc>
      </w:tr>
      <w:tr w:rsidR="00333258" w:rsidRPr="00B070BE" w14:paraId="636BE1D1" w14:textId="77777777" w:rsidTr="006513F7">
        <w:trPr>
          <w:trHeight w:val="170"/>
          <w:jc w:val="center"/>
        </w:trPr>
        <w:tc>
          <w:tcPr>
            <w:tcW w:w="4111" w:type="dxa"/>
            <w:tcBorders>
              <w:bottom w:val="single" w:sz="4" w:space="0" w:color="auto"/>
            </w:tcBorders>
            <w:shd w:val="clear" w:color="auto" w:fill="auto"/>
            <w:noWrap/>
            <w:vAlign w:val="bottom"/>
            <w:hideMark/>
          </w:tcPr>
          <w:p w14:paraId="15ECFD56"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over 500 cm3</w:t>
            </w:r>
          </w:p>
        </w:tc>
        <w:tc>
          <w:tcPr>
            <w:tcW w:w="2999" w:type="dxa"/>
            <w:tcBorders>
              <w:bottom w:val="single" w:sz="4" w:space="0" w:color="auto"/>
            </w:tcBorders>
            <w:shd w:val="clear" w:color="auto" w:fill="auto"/>
            <w:noWrap/>
            <w:vAlign w:val="bottom"/>
            <w:hideMark/>
          </w:tcPr>
          <w:p w14:paraId="3FBF8F27"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tcBorders>
              <w:bottom w:val="single" w:sz="4" w:space="0" w:color="auto"/>
            </w:tcBorders>
            <w:shd w:val="clear" w:color="auto" w:fill="auto"/>
            <w:noWrap/>
            <w:vAlign w:val="bottom"/>
            <w:hideMark/>
          </w:tcPr>
          <w:p w14:paraId="32E3ACE0"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600</w:t>
            </w:r>
          </w:p>
        </w:tc>
      </w:tr>
      <w:tr w:rsidR="00333258" w:rsidRPr="00B070BE" w14:paraId="4CCA2913" w14:textId="77777777" w:rsidTr="006513F7">
        <w:trPr>
          <w:trHeight w:val="170"/>
          <w:jc w:val="center"/>
        </w:trPr>
        <w:tc>
          <w:tcPr>
            <w:tcW w:w="7110" w:type="dxa"/>
            <w:gridSpan w:val="2"/>
            <w:tcBorders>
              <w:top w:val="single" w:sz="4" w:space="0" w:color="auto"/>
            </w:tcBorders>
            <w:shd w:val="clear" w:color="auto" w:fill="auto"/>
            <w:noWrap/>
            <w:vAlign w:val="bottom"/>
            <w:hideMark/>
          </w:tcPr>
          <w:p w14:paraId="3CC303F7" w14:textId="77777777" w:rsidR="00333258" w:rsidRPr="00B070BE" w:rsidRDefault="00333258" w:rsidP="00E90BA7">
            <w:pPr>
              <w:spacing w:after="0" w:line="240" w:lineRule="auto"/>
              <w:jc w:val="both"/>
              <w:rPr>
                <w:rFonts w:ascii="Segoe UI" w:eastAsia="Times New Roman" w:hAnsi="Segoe UI" w:cs="Segoe UI"/>
                <w:i/>
                <w:color w:val="000000"/>
                <w:sz w:val="16"/>
                <w:szCs w:val="16"/>
                <w:lang w:val="en-CA" w:eastAsia="en-CA"/>
              </w:rPr>
            </w:pPr>
            <w:r w:rsidRPr="00B070BE">
              <w:rPr>
                <w:rFonts w:ascii="Segoe UI" w:eastAsia="Times New Roman" w:hAnsi="Segoe UI" w:cs="Segoe UI"/>
                <w:i/>
                <w:color w:val="000000"/>
                <w:sz w:val="16"/>
                <w:szCs w:val="16"/>
                <w:lang w:val="en-CA" w:eastAsia="en-CA"/>
              </w:rPr>
              <w:t>Passenger cars, special purpose vehicles on a passenger car chassis</w:t>
            </w:r>
          </w:p>
        </w:tc>
        <w:tc>
          <w:tcPr>
            <w:tcW w:w="1134" w:type="dxa"/>
            <w:tcBorders>
              <w:top w:val="single" w:sz="4" w:space="0" w:color="auto"/>
            </w:tcBorders>
            <w:shd w:val="clear" w:color="auto" w:fill="auto"/>
            <w:noWrap/>
            <w:vAlign w:val="bottom"/>
            <w:hideMark/>
          </w:tcPr>
          <w:p w14:paraId="207BE9EF" w14:textId="77777777" w:rsidR="00333258" w:rsidRPr="00B070BE" w:rsidRDefault="00333258" w:rsidP="00E90BA7">
            <w:pPr>
              <w:spacing w:after="0" w:line="240" w:lineRule="auto"/>
              <w:ind w:right="227"/>
              <w:jc w:val="both"/>
              <w:rPr>
                <w:rFonts w:ascii="Segoe UI" w:eastAsia="Times New Roman" w:hAnsi="Segoe UI" w:cs="Segoe UI"/>
                <w:i/>
                <w:color w:val="000000"/>
                <w:sz w:val="16"/>
                <w:szCs w:val="16"/>
                <w:lang w:val="en-CA" w:eastAsia="en-CA"/>
              </w:rPr>
            </w:pPr>
          </w:p>
        </w:tc>
      </w:tr>
      <w:tr w:rsidR="00333258" w:rsidRPr="00B070BE" w14:paraId="1C3B9276" w14:textId="77777777" w:rsidTr="006513F7">
        <w:trPr>
          <w:trHeight w:val="170"/>
          <w:jc w:val="center"/>
        </w:trPr>
        <w:tc>
          <w:tcPr>
            <w:tcW w:w="4111" w:type="dxa"/>
            <w:shd w:val="clear" w:color="auto" w:fill="auto"/>
            <w:noWrap/>
            <w:vAlign w:val="bottom"/>
            <w:hideMark/>
          </w:tcPr>
          <w:p w14:paraId="0296A109"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0 to 2000 cm3</w:t>
            </w:r>
          </w:p>
        </w:tc>
        <w:tc>
          <w:tcPr>
            <w:tcW w:w="2999" w:type="dxa"/>
            <w:shd w:val="clear" w:color="auto" w:fill="auto"/>
            <w:noWrap/>
            <w:vAlign w:val="bottom"/>
            <w:hideMark/>
          </w:tcPr>
          <w:p w14:paraId="67AC95A8"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cm³ of cylinder capacity</w:t>
            </w:r>
          </w:p>
        </w:tc>
        <w:tc>
          <w:tcPr>
            <w:tcW w:w="1134" w:type="dxa"/>
            <w:shd w:val="clear" w:color="auto" w:fill="auto"/>
            <w:noWrap/>
            <w:vAlign w:val="bottom"/>
            <w:hideMark/>
          </w:tcPr>
          <w:p w14:paraId="62F6417F"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0.60</w:t>
            </w:r>
          </w:p>
        </w:tc>
      </w:tr>
      <w:tr w:rsidR="00333258" w:rsidRPr="00B070BE" w14:paraId="24984ABE" w14:textId="77777777" w:rsidTr="006513F7">
        <w:trPr>
          <w:trHeight w:val="170"/>
          <w:jc w:val="center"/>
        </w:trPr>
        <w:tc>
          <w:tcPr>
            <w:tcW w:w="4111" w:type="dxa"/>
            <w:shd w:val="clear" w:color="auto" w:fill="auto"/>
            <w:noWrap/>
            <w:vAlign w:val="bottom"/>
            <w:hideMark/>
          </w:tcPr>
          <w:p w14:paraId="346E6CDE"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2001 to 3000 cm3</w:t>
            </w:r>
          </w:p>
        </w:tc>
        <w:tc>
          <w:tcPr>
            <w:tcW w:w="2999" w:type="dxa"/>
            <w:shd w:val="clear" w:color="auto" w:fill="auto"/>
            <w:noWrap/>
            <w:vAlign w:val="bottom"/>
            <w:hideMark/>
          </w:tcPr>
          <w:p w14:paraId="0B535CBD"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cm³ of cylinder capacity</w:t>
            </w:r>
          </w:p>
        </w:tc>
        <w:tc>
          <w:tcPr>
            <w:tcW w:w="1134" w:type="dxa"/>
            <w:shd w:val="clear" w:color="auto" w:fill="auto"/>
            <w:noWrap/>
            <w:vAlign w:val="bottom"/>
            <w:hideMark/>
          </w:tcPr>
          <w:p w14:paraId="18197B34"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0.90</w:t>
            </w:r>
          </w:p>
        </w:tc>
      </w:tr>
      <w:tr w:rsidR="00333258" w:rsidRPr="00B070BE" w14:paraId="0BDBFEA1" w14:textId="77777777" w:rsidTr="006513F7">
        <w:trPr>
          <w:trHeight w:val="170"/>
          <w:jc w:val="center"/>
        </w:trPr>
        <w:tc>
          <w:tcPr>
            <w:tcW w:w="4111" w:type="dxa"/>
            <w:shd w:val="clear" w:color="auto" w:fill="auto"/>
            <w:noWrap/>
            <w:vAlign w:val="bottom"/>
            <w:hideMark/>
          </w:tcPr>
          <w:p w14:paraId="01780E21"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3001 to 4000 cm3</w:t>
            </w:r>
          </w:p>
        </w:tc>
        <w:tc>
          <w:tcPr>
            <w:tcW w:w="2999" w:type="dxa"/>
            <w:shd w:val="clear" w:color="auto" w:fill="auto"/>
            <w:noWrap/>
            <w:vAlign w:val="bottom"/>
            <w:hideMark/>
          </w:tcPr>
          <w:p w14:paraId="75C2B6D1"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cm³ of cylinder capacity</w:t>
            </w:r>
          </w:p>
        </w:tc>
        <w:tc>
          <w:tcPr>
            <w:tcW w:w="1134" w:type="dxa"/>
            <w:shd w:val="clear" w:color="auto" w:fill="auto"/>
            <w:noWrap/>
            <w:vAlign w:val="bottom"/>
            <w:hideMark/>
          </w:tcPr>
          <w:p w14:paraId="49EC5DEC"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1,2</w:t>
            </w:r>
          </w:p>
        </w:tc>
      </w:tr>
      <w:tr w:rsidR="00333258" w:rsidRPr="00B070BE" w14:paraId="4AB60C1E" w14:textId="77777777" w:rsidTr="006513F7">
        <w:trPr>
          <w:trHeight w:val="170"/>
          <w:jc w:val="center"/>
        </w:trPr>
        <w:tc>
          <w:tcPr>
            <w:tcW w:w="4111" w:type="dxa"/>
            <w:shd w:val="clear" w:color="auto" w:fill="auto"/>
            <w:noWrap/>
            <w:vAlign w:val="bottom"/>
            <w:hideMark/>
          </w:tcPr>
          <w:p w14:paraId="11C41C71"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4001 to 5000 cm3</w:t>
            </w:r>
          </w:p>
        </w:tc>
        <w:tc>
          <w:tcPr>
            <w:tcW w:w="2999" w:type="dxa"/>
            <w:shd w:val="clear" w:color="auto" w:fill="auto"/>
            <w:noWrap/>
            <w:vAlign w:val="bottom"/>
            <w:hideMark/>
          </w:tcPr>
          <w:p w14:paraId="2B83C623"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cm³ of cylinder capacity</w:t>
            </w:r>
          </w:p>
        </w:tc>
        <w:tc>
          <w:tcPr>
            <w:tcW w:w="1134" w:type="dxa"/>
            <w:shd w:val="clear" w:color="auto" w:fill="auto"/>
            <w:noWrap/>
            <w:vAlign w:val="bottom"/>
            <w:hideMark/>
          </w:tcPr>
          <w:p w14:paraId="7954F132"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1.5</w:t>
            </w:r>
          </w:p>
        </w:tc>
      </w:tr>
      <w:tr w:rsidR="00333258" w:rsidRPr="00B070BE" w14:paraId="0DDB2256" w14:textId="77777777" w:rsidTr="006513F7">
        <w:trPr>
          <w:trHeight w:val="170"/>
          <w:jc w:val="center"/>
        </w:trPr>
        <w:tc>
          <w:tcPr>
            <w:tcW w:w="4111" w:type="dxa"/>
            <w:tcBorders>
              <w:bottom w:val="single" w:sz="4" w:space="0" w:color="auto"/>
            </w:tcBorders>
            <w:shd w:val="clear" w:color="auto" w:fill="auto"/>
            <w:noWrap/>
            <w:vAlign w:val="bottom"/>
            <w:hideMark/>
          </w:tcPr>
          <w:p w14:paraId="44FBA59A"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Engine cylinder capacity: over 5000 cm3</w:t>
            </w:r>
          </w:p>
        </w:tc>
        <w:tc>
          <w:tcPr>
            <w:tcW w:w="2999" w:type="dxa"/>
            <w:tcBorders>
              <w:bottom w:val="single" w:sz="4" w:space="0" w:color="auto"/>
            </w:tcBorders>
            <w:shd w:val="clear" w:color="auto" w:fill="auto"/>
            <w:noWrap/>
            <w:vAlign w:val="bottom"/>
            <w:hideMark/>
          </w:tcPr>
          <w:p w14:paraId="050CE276"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cm³ of cylinder capacity</w:t>
            </w:r>
          </w:p>
        </w:tc>
        <w:tc>
          <w:tcPr>
            <w:tcW w:w="1134" w:type="dxa"/>
            <w:tcBorders>
              <w:bottom w:val="single" w:sz="4" w:space="0" w:color="auto"/>
            </w:tcBorders>
            <w:shd w:val="clear" w:color="auto" w:fill="auto"/>
            <w:noWrap/>
            <w:vAlign w:val="bottom"/>
            <w:hideMark/>
          </w:tcPr>
          <w:p w14:paraId="5A58705A"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1.8</w:t>
            </w:r>
          </w:p>
        </w:tc>
      </w:tr>
      <w:tr w:rsidR="00333258" w:rsidRPr="00B070BE" w14:paraId="187DE172" w14:textId="77777777" w:rsidTr="006513F7">
        <w:trPr>
          <w:trHeight w:val="170"/>
          <w:jc w:val="center"/>
        </w:trPr>
        <w:tc>
          <w:tcPr>
            <w:tcW w:w="4111" w:type="dxa"/>
            <w:tcBorders>
              <w:top w:val="single" w:sz="4" w:space="0" w:color="auto"/>
              <w:bottom w:val="single" w:sz="4" w:space="0" w:color="auto"/>
            </w:tcBorders>
            <w:shd w:val="clear" w:color="auto" w:fill="auto"/>
            <w:noWrap/>
            <w:vAlign w:val="bottom"/>
            <w:hideMark/>
          </w:tcPr>
          <w:p w14:paraId="2AC0F777" w14:textId="77777777" w:rsidR="00333258" w:rsidRPr="00B070BE" w:rsidRDefault="00333258" w:rsidP="00E90BA7">
            <w:pPr>
              <w:spacing w:after="0" w:line="240" w:lineRule="auto"/>
              <w:jc w:val="both"/>
              <w:rPr>
                <w:rFonts w:ascii="Segoe UI" w:eastAsia="Times New Roman" w:hAnsi="Segoe UI" w:cs="Segoe UI"/>
                <w:sz w:val="16"/>
                <w:szCs w:val="16"/>
                <w:lang w:val="en-CA" w:eastAsia="en-CA"/>
              </w:rPr>
            </w:pPr>
            <w:r w:rsidRPr="00B070BE">
              <w:rPr>
                <w:rFonts w:ascii="Segoe UI" w:eastAsia="Times New Roman" w:hAnsi="Segoe UI" w:cs="Segoe UI"/>
                <w:i/>
                <w:color w:val="000000"/>
                <w:sz w:val="16"/>
                <w:szCs w:val="16"/>
                <w:lang w:val="en-CA" w:eastAsia="en-CA"/>
              </w:rPr>
              <w:t>Trailers with the lifting capacity listed in the registration certificate</w:t>
            </w:r>
          </w:p>
        </w:tc>
        <w:tc>
          <w:tcPr>
            <w:tcW w:w="2999" w:type="dxa"/>
            <w:tcBorders>
              <w:top w:val="single" w:sz="4" w:space="0" w:color="auto"/>
              <w:bottom w:val="single" w:sz="4" w:space="0" w:color="auto"/>
            </w:tcBorders>
            <w:shd w:val="clear" w:color="auto" w:fill="auto"/>
            <w:noWrap/>
            <w:vAlign w:val="bottom"/>
            <w:hideMark/>
          </w:tcPr>
          <w:p w14:paraId="47E248E0"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ton</w:t>
            </w:r>
          </w:p>
        </w:tc>
        <w:tc>
          <w:tcPr>
            <w:tcW w:w="1134" w:type="dxa"/>
            <w:tcBorders>
              <w:top w:val="single" w:sz="4" w:space="0" w:color="auto"/>
              <w:bottom w:val="single" w:sz="4" w:space="0" w:color="auto"/>
            </w:tcBorders>
            <w:shd w:val="clear" w:color="auto" w:fill="auto"/>
            <w:noWrap/>
            <w:vAlign w:val="bottom"/>
            <w:hideMark/>
          </w:tcPr>
          <w:p w14:paraId="4F129F80"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270</w:t>
            </w:r>
          </w:p>
        </w:tc>
      </w:tr>
      <w:tr w:rsidR="00333258" w:rsidRPr="00B070BE" w14:paraId="1123981E" w14:textId="77777777" w:rsidTr="006513F7">
        <w:trPr>
          <w:trHeight w:val="170"/>
          <w:jc w:val="center"/>
        </w:trPr>
        <w:tc>
          <w:tcPr>
            <w:tcW w:w="7110" w:type="dxa"/>
            <w:gridSpan w:val="2"/>
            <w:tcBorders>
              <w:top w:val="single" w:sz="4" w:space="0" w:color="auto"/>
            </w:tcBorders>
            <w:shd w:val="clear" w:color="auto" w:fill="auto"/>
            <w:noWrap/>
            <w:vAlign w:val="bottom"/>
            <w:hideMark/>
          </w:tcPr>
          <w:p w14:paraId="303E9421" w14:textId="77777777" w:rsidR="00333258" w:rsidRPr="00B070BE" w:rsidRDefault="00333258" w:rsidP="00E90BA7">
            <w:pPr>
              <w:spacing w:after="0" w:line="240" w:lineRule="auto"/>
              <w:jc w:val="both"/>
              <w:rPr>
                <w:rFonts w:ascii="Segoe UI" w:eastAsia="Times New Roman" w:hAnsi="Segoe UI" w:cs="Segoe UI"/>
                <w:i/>
                <w:color w:val="000000"/>
                <w:sz w:val="16"/>
                <w:szCs w:val="16"/>
                <w:lang w:val="en-CA" w:eastAsia="en-CA"/>
              </w:rPr>
            </w:pPr>
            <w:r w:rsidRPr="00B070BE">
              <w:rPr>
                <w:rFonts w:ascii="Segoe UI" w:eastAsia="Times New Roman" w:hAnsi="Segoe UI" w:cs="Segoe UI"/>
                <w:i/>
                <w:color w:val="000000"/>
                <w:sz w:val="16"/>
                <w:szCs w:val="16"/>
                <w:lang w:val="en-CA" w:eastAsia="en-CA"/>
              </w:rPr>
              <w:t>Semi-trailers with the lifting capacity entered in the registration certificate</w:t>
            </w:r>
          </w:p>
        </w:tc>
        <w:tc>
          <w:tcPr>
            <w:tcW w:w="1134" w:type="dxa"/>
            <w:tcBorders>
              <w:top w:val="single" w:sz="4" w:space="0" w:color="auto"/>
            </w:tcBorders>
            <w:shd w:val="clear" w:color="auto" w:fill="auto"/>
            <w:noWrap/>
            <w:vAlign w:val="bottom"/>
            <w:hideMark/>
          </w:tcPr>
          <w:p w14:paraId="6BC574ED" w14:textId="77777777" w:rsidR="00333258" w:rsidRPr="00B070BE" w:rsidRDefault="00333258" w:rsidP="00E90BA7">
            <w:pPr>
              <w:spacing w:after="0" w:line="240" w:lineRule="auto"/>
              <w:ind w:right="227"/>
              <w:jc w:val="both"/>
              <w:rPr>
                <w:rFonts w:ascii="Segoe UI" w:eastAsia="Times New Roman" w:hAnsi="Segoe UI" w:cs="Segoe UI"/>
                <w:i/>
                <w:color w:val="000000"/>
                <w:sz w:val="16"/>
                <w:szCs w:val="16"/>
                <w:lang w:val="en-CA" w:eastAsia="en-CA"/>
              </w:rPr>
            </w:pPr>
          </w:p>
        </w:tc>
      </w:tr>
      <w:tr w:rsidR="00333258" w:rsidRPr="00B070BE" w14:paraId="4ADE490F" w14:textId="77777777" w:rsidTr="006513F7">
        <w:trPr>
          <w:trHeight w:val="170"/>
          <w:jc w:val="center"/>
        </w:trPr>
        <w:tc>
          <w:tcPr>
            <w:tcW w:w="4111" w:type="dxa"/>
            <w:shd w:val="clear" w:color="auto" w:fill="auto"/>
            <w:noWrap/>
            <w:vAlign w:val="bottom"/>
            <w:hideMark/>
          </w:tcPr>
          <w:p w14:paraId="1D8F7FA8"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Weight: 0 to 20 tons</w:t>
            </w:r>
          </w:p>
        </w:tc>
        <w:tc>
          <w:tcPr>
            <w:tcW w:w="2999" w:type="dxa"/>
            <w:shd w:val="clear" w:color="auto" w:fill="auto"/>
            <w:noWrap/>
            <w:vAlign w:val="bottom"/>
            <w:hideMark/>
          </w:tcPr>
          <w:p w14:paraId="252111D2"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ton</w:t>
            </w:r>
          </w:p>
        </w:tc>
        <w:tc>
          <w:tcPr>
            <w:tcW w:w="1134" w:type="dxa"/>
            <w:shd w:val="clear" w:color="auto" w:fill="auto"/>
            <w:noWrap/>
            <w:vAlign w:val="bottom"/>
            <w:hideMark/>
          </w:tcPr>
          <w:p w14:paraId="00B56B34"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225</w:t>
            </w:r>
          </w:p>
        </w:tc>
      </w:tr>
      <w:tr w:rsidR="00333258" w:rsidRPr="00B070BE" w14:paraId="4600A6B7" w14:textId="77777777" w:rsidTr="006513F7">
        <w:trPr>
          <w:trHeight w:val="170"/>
          <w:jc w:val="center"/>
        </w:trPr>
        <w:tc>
          <w:tcPr>
            <w:tcW w:w="4111" w:type="dxa"/>
            <w:tcBorders>
              <w:bottom w:val="single" w:sz="4" w:space="0" w:color="auto"/>
            </w:tcBorders>
            <w:shd w:val="clear" w:color="auto" w:fill="auto"/>
            <w:noWrap/>
            <w:vAlign w:val="bottom"/>
            <w:hideMark/>
          </w:tcPr>
          <w:p w14:paraId="4CA5B3DE"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Weight: over 20 tons</w:t>
            </w:r>
          </w:p>
        </w:tc>
        <w:tc>
          <w:tcPr>
            <w:tcW w:w="2999" w:type="dxa"/>
            <w:tcBorders>
              <w:bottom w:val="single" w:sz="4" w:space="0" w:color="auto"/>
            </w:tcBorders>
            <w:shd w:val="clear" w:color="auto" w:fill="auto"/>
            <w:noWrap/>
            <w:vAlign w:val="bottom"/>
            <w:hideMark/>
          </w:tcPr>
          <w:p w14:paraId="0BF234C7"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tcBorders>
              <w:bottom w:val="single" w:sz="4" w:space="0" w:color="auto"/>
            </w:tcBorders>
            <w:shd w:val="clear" w:color="auto" w:fill="auto"/>
            <w:noWrap/>
            <w:vAlign w:val="bottom"/>
            <w:hideMark/>
          </w:tcPr>
          <w:p w14:paraId="65DF63B3"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4500</w:t>
            </w:r>
          </w:p>
        </w:tc>
      </w:tr>
      <w:tr w:rsidR="00333258" w:rsidRPr="00B070BE" w14:paraId="3F6860F6" w14:textId="77777777" w:rsidTr="006513F7">
        <w:trPr>
          <w:trHeight w:val="170"/>
          <w:jc w:val="center"/>
        </w:trPr>
        <w:tc>
          <w:tcPr>
            <w:tcW w:w="4111" w:type="dxa"/>
            <w:tcBorders>
              <w:top w:val="single" w:sz="4" w:space="0" w:color="auto"/>
              <w:bottom w:val="single" w:sz="4" w:space="0" w:color="auto"/>
            </w:tcBorders>
            <w:shd w:val="clear" w:color="auto" w:fill="auto"/>
            <w:noWrap/>
            <w:vAlign w:val="bottom"/>
            <w:hideMark/>
          </w:tcPr>
          <w:p w14:paraId="22088868" w14:textId="77777777" w:rsidR="00333258" w:rsidRPr="00B070BE" w:rsidRDefault="00333258" w:rsidP="00E90BA7">
            <w:pPr>
              <w:spacing w:after="0" w:line="240" w:lineRule="auto"/>
              <w:jc w:val="both"/>
              <w:rPr>
                <w:rFonts w:ascii="Segoe UI" w:eastAsia="Times New Roman" w:hAnsi="Segoe UI" w:cs="Segoe UI"/>
                <w:sz w:val="16"/>
                <w:szCs w:val="16"/>
                <w:lang w:val="en-CA" w:eastAsia="en-CA"/>
              </w:rPr>
            </w:pPr>
            <w:r w:rsidRPr="00B070BE">
              <w:rPr>
                <w:rFonts w:ascii="Segoe UI" w:eastAsia="Times New Roman" w:hAnsi="Segoe UI" w:cs="Segoe UI"/>
                <w:i/>
                <w:color w:val="000000"/>
                <w:sz w:val="16"/>
                <w:szCs w:val="16"/>
                <w:lang w:val="en-CA" w:eastAsia="en-CA"/>
              </w:rPr>
              <w:t>Tow trucks, tractors</w:t>
            </w:r>
          </w:p>
        </w:tc>
        <w:tc>
          <w:tcPr>
            <w:tcW w:w="2999" w:type="dxa"/>
            <w:tcBorders>
              <w:top w:val="single" w:sz="4" w:space="0" w:color="auto"/>
              <w:bottom w:val="single" w:sz="4" w:space="0" w:color="auto"/>
            </w:tcBorders>
            <w:shd w:val="clear" w:color="auto" w:fill="auto"/>
            <w:noWrap/>
            <w:vAlign w:val="bottom"/>
            <w:hideMark/>
          </w:tcPr>
          <w:p w14:paraId="3C65D406"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tcBorders>
              <w:top w:val="single" w:sz="4" w:space="0" w:color="auto"/>
              <w:bottom w:val="single" w:sz="4" w:space="0" w:color="auto"/>
            </w:tcBorders>
            <w:shd w:val="clear" w:color="auto" w:fill="auto"/>
            <w:noWrap/>
            <w:vAlign w:val="bottom"/>
            <w:hideMark/>
          </w:tcPr>
          <w:p w14:paraId="2983C6A5"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2250</w:t>
            </w:r>
          </w:p>
        </w:tc>
      </w:tr>
      <w:tr w:rsidR="00333258" w:rsidRPr="00B070BE" w14:paraId="5671EECB" w14:textId="77777777" w:rsidTr="006513F7">
        <w:trPr>
          <w:trHeight w:val="170"/>
          <w:jc w:val="center"/>
        </w:trPr>
        <w:tc>
          <w:tcPr>
            <w:tcW w:w="8244" w:type="dxa"/>
            <w:gridSpan w:val="3"/>
            <w:tcBorders>
              <w:top w:val="single" w:sz="4" w:space="0" w:color="auto"/>
            </w:tcBorders>
            <w:shd w:val="clear" w:color="auto" w:fill="auto"/>
            <w:noWrap/>
            <w:vAlign w:val="bottom"/>
            <w:hideMark/>
          </w:tcPr>
          <w:p w14:paraId="225C9FFA" w14:textId="77777777" w:rsidR="00333258" w:rsidRPr="00B070BE" w:rsidRDefault="00333258" w:rsidP="00E90BA7">
            <w:pPr>
              <w:spacing w:after="0" w:line="240" w:lineRule="auto"/>
              <w:ind w:right="227"/>
              <w:jc w:val="both"/>
              <w:rPr>
                <w:rFonts w:ascii="Segoe UI" w:eastAsia="Times New Roman" w:hAnsi="Segoe UI" w:cs="Segoe UI"/>
                <w:i/>
                <w:color w:val="000000"/>
                <w:sz w:val="16"/>
                <w:szCs w:val="16"/>
                <w:lang w:val="en-CA" w:eastAsia="en-CA"/>
              </w:rPr>
            </w:pPr>
            <w:r w:rsidRPr="00B070BE">
              <w:rPr>
                <w:rFonts w:ascii="Segoe UI" w:eastAsia="Times New Roman" w:hAnsi="Segoe UI" w:cs="Segoe UI"/>
                <w:i/>
                <w:color w:val="000000"/>
                <w:sz w:val="16"/>
                <w:szCs w:val="16"/>
                <w:lang w:val="en-CA" w:eastAsia="en-CA"/>
              </w:rPr>
              <w:t>Trucks, special-purpose vehicles on truck chassis, any other self-propelled vehicles</w:t>
            </w:r>
          </w:p>
        </w:tc>
      </w:tr>
      <w:tr w:rsidR="00333258" w:rsidRPr="00B070BE" w14:paraId="7DE45111" w14:textId="77777777" w:rsidTr="006513F7">
        <w:trPr>
          <w:trHeight w:val="170"/>
          <w:jc w:val="center"/>
        </w:trPr>
        <w:tc>
          <w:tcPr>
            <w:tcW w:w="4111" w:type="dxa"/>
            <w:shd w:val="clear" w:color="auto" w:fill="auto"/>
            <w:noWrap/>
            <w:vAlign w:val="bottom"/>
            <w:hideMark/>
          </w:tcPr>
          <w:p w14:paraId="6BE2CBB1"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Weight: 0 to 1.6 tons</w:t>
            </w:r>
          </w:p>
        </w:tc>
        <w:tc>
          <w:tcPr>
            <w:tcW w:w="2999" w:type="dxa"/>
            <w:shd w:val="clear" w:color="auto" w:fill="auto"/>
            <w:noWrap/>
            <w:vAlign w:val="bottom"/>
            <w:hideMark/>
          </w:tcPr>
          <w:p w14:paraId="76AD3F5B"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6F648236"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1200</w:t>
            </w:r>
          </w:p>
        </w:tc>
      </w:tr>
      <w:tr w:rsidR="00333258" w:rsidRPr="00B070BE" w14:paraId="4730E98C" w14:textId="77777777" w:rsidTr="006513F7">
        <w:trPr>
          <w:trHeight w:val="170"/>
          <w:jc w:val="center"/>
        </w:trPr>
        <w:tc>
          <w:tcPr>
            <w:tcW w:w="4111" w:type="dxa"/>
            <w:shd w:val="clear" w:color="auto" w:fill="auto"/>
            <w:noWrap/>
            <w:vAlign w:val="bottom"/>
            <w:hideMark/>
          </w:tcPr>
          <w:p w14:paraId="3B06F854"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lastRenderedPageBreak/>
              <w:t>Weight: 1.6 to 5.0 tons</w:t>
            </w:r>
          </w:p>
        </w:tc>
        <w:tc>
          <w:tcPr>
            <w:tcW w:w="2999" w:type="dxa"/>
            <w:shd w:val="clear" w:color="auto" w:fill="auto"/>
            <w:noWrap/>
            <w:vAlign w:val="bottom"/>
            <w:hideMark/>
          </w:tcPr>
          <w:p w14:paraId="157191CC"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40F30C70"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2250</w:t>
            </w:r>
          </w:p>
        </w:tc>
      </w:tr>
      <w:tr w:rsidR="00333258" w:rsidRPr="00B070BE" w14:paraId="7230DC97" w14:textId="77777777" w:rsidTr="006513F7">
        <w:trPr>
          <w:trHeight w:val="170"/>
          <w:jc w:val="center"/>
        </w:trPr>
        <w:tc>
          <w:tcPr>
            <w:tcW w:w="4111" w:type="dxa"/>
            <w:shd w:val="clear" w:color="auto" w:fill="auto"/>
            <w:noWrap/>
            <w:vAlign w:val="bottom"/>
            <w:hideMark/>
          </w:tcPr>
          <w:p w14:paraId="3A7C76ED"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Weight: 5.0 to 10.0 tons</w:t>
            </w:r>
          </w:p>
        </w:tc>
        <w:tc>
          <w:tcPr>
            <w:tcW w:w="2999" w:type="dxa"/>
            <w:shd w:val="clear" w:color="auto" w:fill="auto"/>
            <w:noWrap/>
            <w:vAlign w:val="bottom"/>
            <w:hideMark/>
          </w:tcPr>
          <w:p w14:paraId="53EB3E7C"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02C8F377"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3000</w:t>
            </w:r>
          </w:p>
        </w:tc>
      </w:tr>
      <w:tr w:rsidR="00333258" w:rsidRPr="00B070BE" w14:paraId="67A7CE42" w14:textId="77777777" w:rsidTr="006513F7">
        <w:trPr>
          <w:trHeight w:val="170"/>
          <w:jc w:val="center"/>
        </w:trPr>
        <w:tc>
          <w:tcPr>
            <w:tcW w:w="4111" w:type="dxa"/>
            <w:tcBorders>
              <w:bottom w:val="single" w:sz="4" w:space="0" w:color="auto"/>
            </w:tcBorders>
            <w:shd w:val="clear" w:color="auto" w:fill="auto"/>
            <w:noWrap/>
            <w:vAlign w:val="bottom"/>
            <w:hideMark/>
          </w:tcPr>
          <w:p w14:paraId="578B8E2F"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Weight: over 10.0 tons</w:t>
            </w:r>
          </w:p>
        </w:tc>
        <w:tc>
          <w:tcPr>
            <w:tcW w:w="2999" w:type="dxa"/>
            <w:tcBorders>
              <w:bottom w:val="single" w:sz="4" w:space="0" w:color="auto"/>
            </w:tcBorders>
            <w:shd w:val="clear" w:color="auto" w:fill="auto"/>
            <w:noWrap/>
            <w:vAlign w:val="bottom"/>
            <w:hideMark/>
          </w:tcPr>
          <w:p w14:paraId="1FDA7F43"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tcBorders>
              <w:bottom w:val="single" w:sz="4" w:space="0" w:color="auto"/>
            </w:tcBorders>
            <w:shd w:val="clear" w:color="auto" w:fill="auto"/>
            <w:noWrap/>
            <w:vAlign w:val="bottom"/>
            <w:hideMark/>
          </w:tcPr>
          <w:p w14:paraId="1C50ED2E"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4500</w:t>
            </w:r>
          </w:p>
        </w:tc>
      </w:tr>
      <w:tr w:rsidR="00333258" w:rsidRPr="00B070BE" w14:paraId="024CB20F" w14:textId="77777777" w:rsidTr="006513F7">
        <w:trPr>
          <w:trHeight w:val="170"/>
          <w:jc w:val="center"/>
        </w:trPr>
        <w:tc>
          <w:tcPr>
            <w:tcW w:w="4111" w:type="dxa"/>
            <w:tcBorders>
              <w:top w:val="single" w:sz="4" w:space="0" w:color="auto"/>
            </w:tcBorders>
            <w:shd w:val="clear" w:color="auto" w:fill="auto"/>
            <w:noWrap/>
            <w:vAlign w:val="bottom"/>
            <w:hideMark/>
          </w:tcPr>
          <w:p w14:paraId="2BA09DEF" w14:textId="77777777" w:rsidR="00333258" w:rsidRPr="00B070BE" w:rsidRDefault="00333258" w:rsidP="00E90BA7">
            <w:pPr>
              <w:spacing w:after="0" w:line="240" w:lineRule="auto"/>
              <w:jc w:val="both"/>
              <w:rPr>
                <w:rFonts w:ascii="Segoe UI" w:eastAsia="Times New Roman" w:hAnsi="Segoe UI" w:cs="Segoe UI"/>
                <w:i/>
                <w:color w:val="000000"/>
                <w:sz w:val="16"/>
                <w:szCs w:val="16"/>
                <w:lang w:val="en-CA" w:eastAsia="en-CA"/>
              </w:rPr>
            </w:pPr>
            <w:r w:rsidRPr="00B070BE">
              <w:rPr>
                <w:rFonts w:ascii="Segoe UI" w:eastAsia="Times New Roman" w:hAnsi="Segoe UI" w:cs="Segoe UI"/>
                <w:i/>
                <w:color w:val="000000"/>
                <w:sz w:val="16"/>
                <w:szCs w:val="16"/>
                <w:lang w:val="en-CA" w:eastAsia="en-CA"/>
              </w:rPr>
              <w:t>Buses</w:t>
            </w:r>
          </w:p>
        </w:tc>
        <w:tc>
          <w:tcPr>
            <w:tcW w:w="2999" w:type="dxa"/>
            <w:tcBorders>
              <w:top w:val="single" w:sz="4" w:space="0" w:color="auto"/>
            </w:tcBorders>
            <w:shd w:val="clear" w:color="auto" w:fill="auto"/>
            <w:noWrap/>
            <w:vAlign w:val="bottom"/>
            <w:hideMark/>
          </w:tcPr>
          <w:p w14:paraId="4BD79923" w14:textId="77777777" w:rsidR="00333258" w:rsidRPr="00B070BE" w:rsidRDefault="00333258" w:rsidP="00E90BA7">
            <w:pPr>
              <w:spacing w:after="0" w:line="240" w:lineRule="auto"/>
              <w:jc w:val="both"/>
              <w:rPr>
                <w:rFonts w:ascii="Segoe UI" w:eastAsia="Times New Roman" w:hAnsi="Segoe UI" w:cs="Segoe UI"/>
                <w:i/>
                <w:color w:val="000000"/>
                <w:sz w:val="16"/>
                <w:szCs w:val="16"/>
                <w:lang w:val="en-CA" w:eastAsia="en-CA"/>
              </w:rPr>
            </w:pPr>
          </w:p>
        </w:tc>
        <w:tc>
          <w:tcPr>
            <w:tcW w:w="1134" w:type="dxa"/>
            <w:tcBorders>
              <w:top w:val="single" w:sz="4" w:space="0" w:color="auto"/>
            </w:tcBorders>
            <w:shd w:val="clear" w:color="auto" w:fill="auto"/>
            <w:noWrap/>
            <w:vAlign w:val="bottom"/>
            <w:hideMark/>
          </w:tcPr>
          <w:p w14:paraId="291AC036" w14:textId="77777777" w:rsidR="00333258" w:rsidRPr="00B070BE" w:rsidRDefault="00333258" w:rsidP="00E90BA7">
            <w:pPr>
              <w:spacing w:after="0" w:line="240" w:lineRule="auto"/>
              <w:ind w:right="227"/>
              <w:jc w:val="both"/>
              <w:rPr>
                <w:rFonts w:ascii="Segoe UI" w:eastAsia="Times New Roman" w:hAnsi="Segoe UI" w:cs="Segoe UI"/>
                <w:sz w:val="16"/>
                <w:szCs w:val="16"/>
                <w:lang w:val="en-CA" w:eastAsia="en-CA"/>
              </w:rPr>
            </w:pPr>
          </w:p>
        </w:tc>
      </w:tr>
      <w:tr w:rsidR="00333258" w:rsidRPr="00B070BE" w14:paraId="75F07577" w14:textId="77777777" w:rsidTr="006513F7">
        <w:trPr>
          <w:trHeight w:val="170"/>
          <w:jc w:val="center"/>
        </w:trPr>
        <w:tc>
          <w:tcPr>
            <w:tcW w:w="4111" w:type="dxa"/>
            <w:shd w:val="clear" w:color="auto" w:fill="auto"/>
            <w:noWrap/>
            <w:vAlign w:val="bottom"/>
            <w:hideMark/>
          </w:tcPr>
          <w:p w14:paraId="5357A624"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Capacity (excl. driver): 0 to 11</w:t>
            </w:r>
          </w:p>
        </w:tc>
        <w:tc>
          <w:tcPr>
            <w:tcW w:w="2999" w:type="dxa"/>
            <w:shd w:val="clear" w:color="auto" w:fill="auto"/>
            <w:noWrap/>
            <w:vAlign w:val="bottom"/>
            <w:hideMark/>
          </w:tcPr>
          <w:p w14:paraId="648D91DD"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2621B383"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2925</w:t>
            </w:r>
          </w:p>
        </w:tc>
      </w:tr>
      <w:tr w:rsidR="00333258" w:rsidRPr="00B070BE" w14:paraId="767DEB8E" w14:textId="77777777" w:rsidTr="006513F7">
        <w:trPr>
          <w:trHeight w:val="170"/>
          <w:jc w:val="center"/>
        </w:trPr>
        <w:tc>
          <w:tcPr>
            <w:tcW w:w="4111" w:type="dxa"/>
            <w:shd w:val="clear" w:color="auto" w:fill="auto"/>
            <w:noWrap/>
            <w:vAlign w:val="bottom"/>
            <w:hideMark/>
          </w:tcPr>
          <w:p w14:paraId="24D73E02"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Capacity (excl. driver): 12 to 17</w:t>
            </w:r>
          </w:p>
        </w:tc>
        <w:tc>
          <w:tcPr>
            <w:tcW w:w="2999" w:type="dxa"/>
            <w:shd w:val="clear" w:color="auto" w:fill="auto"/>
            <w:noWrap/>
            <w:vAlign w:val="bottom"/>
            <w:hideMark/>
          </w:tcPr>
          <w:p w14:paraId="70729C3B"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77E0648A"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3600</w:t>
            </w:r>
          </w:p>
        </w:tc>
      </w:tr>
      <w:tr w:rsidR="00333258" w:rsidRPr="00B070BE" w14:paraId="2877CAD4" w14:textId="77777777" w:rsidTr="006513F7">
        <w:trPr>
          <w:trHeight w:val="170"/>
          <w:jc w:val="center"/>
        </w:trPr>
        <w:tc>
          <w:tcPr>
            <w:tcW w:w="4111" w:type="dxa"/>
            <w:shd w:val="clear" w:color="auto" w:fill="auto"/>
            <w:noWrap/>
            <w:vAlign w:val="bottom"/>
            <w:hideMark/>
          </w:tcPr>
          <w:p w14:paraId="57C2964E"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Capacity (excl. driver): 18 to 24</w:t>
            </w:r>
          </w:p>
        </w:tc>
        <w:tc>
          <w:tcPr>
            <w:tcW w:w="2999" w:type="dxa"/>
            <w:shd w:val="clear" w:color="auto" w:fill="auto"/>
            <w:noWrap/>
            <w:vAlign w:val="bottom"/>
            <w:hideMark/>
          </w:tcPr>
          <w:p w14:paraId="5F0D0194"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11028367"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4275</w:t>
            </w:r>
          </w:p>
        </w:tc>
      </w:tr>
      <w:tr w:rsidR="00333258" w:rsidRPr="00B070BE" w14:paraId="56FC570C" w14:textId="77777777" w:rsidTr="006513F7">
        <w:trPr>
          <w:trHeight w:val="170"/>
          <w:jc w:val="center"/>
        </w:trPr>
        <w:tc>
          <w:tcPr>
            <w:tcW w:w="4111" w:type="dxa"/>
            <w:shd w:val="clear" w:color="auto" w:fill="auto"/>
            <w:noWrap/>
            <w:vAlign w:val="bottom"/>
            <w:hideMark/>
          </w:tcPr>
          <w:p w14:paraId="16ACFAA3"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Capacity (excl. driver): 25 to 40</w:t>
            </w:r>
          </w:p>
        </w:tc>
        <w:tc>
          <w:tcPr>
            <w:tcW w:w="2999" w:type="dxa"/>
            <w:shd w:val="clear" w:color="auto" w:fill="auto"/>
            <w:noWrap/>
            <w:vAlign w:val="bottom"/>
            <w:hideMark/>
          </w:tcPr>
          <w:p w14:paraId="05180DF8"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shd w:val="clear" w:color="auto" w:fill="auto"/>
            <w:noWrap/>
            <w:vAlign w:val="bottom"/>
            <w:hideMark/>
          </w:tcPr>
          <w:p w14:paraId="06DC92E7"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4725</w:t>
            </w:r>
          </w:p>
        </w:tc>
      </w:tr>
      <w:tr w:rsidR="00333258" w:rsidRPr="00B070BE" w14:paraId="43CFC3C1" w14:textId="77777777" w:rsidTr="006513F7">
        <w:trPr>
          <w:trHeight w:val="170"/>
          <w:jc w:val="center"/>
        </w:trPr>
        <w:tc>
          <w:tcPr>
            <w:tcW w:w="4111" w:type="dxa"/>
            <w:tcBorders>
              <w:bottom w:val="single" w:sz="4" w:space="0" w:color="auto"/>
            </w:tcBorders>
            <w:shd w:val="clear" w:color="auto" w:fill="auto"/>
            <w:noWrap/>
            <w:vAlign w:val="bottom"/>
            <w:hideMark/>
          </w:tcPr>
          <w:p w14:paraId="29A44ADE"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Capacity (excl. driver): over 40</w:t>
            </w:r>
          </w:p>
        </w:tc>
        <w:tc>
          <w:tcPr>
            <w:tcW w:w="2999" w:type="dxa"/>
            <w:tcBorders>
              <w:bottom w:val="single" w:sz="4" w:space="0" w:color="auto"/>
            </w:tcBorders>
            <w:shd w:val="clear" w:color="auto" w:fill="auto"/>
            <w:noWrap/>
            <w:vAlign w:val="bottom"/>
            <w:hideMark/>
          </w:tcPr>
          <w:p w14:paraId="1ED8E285" w14:textId="77777777" w:rsidR="00333258" w:rsidRPr="00B070BE" w:rsidRDefault="00333258" w:rsidP="00E90BA7">
            <w:pPr>
              <w:spacing w:after="0" w:line="240" w:lineRule="auto"/>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MDL per unit</w:t>
            </w:r>
          </w:p>
        </w:tc>
        <w:tc>
          <w:tcPr>
            <w:tcW w:w="1134" w:type="dxa"/>
            <w:tcBorders>
              <w:bottom w:val="single" w:sz="4" w:space="0" w:color="auto"/>
            </w:tcBorders>
            <w:shd w:val="clear" w:color="auto" w:fill="auto"/>
            <w:noWrap/>
            <w:vAlign w:val="bottom"/>
            <w:hideMark/>
          </w:tcPr>
          <w:p w14:paraId="0176C0D1" w14:textId="77777777" w:rsidR="00333258" w:rsidRPr="00B070BE" w:rsidRDefault="00333258" w:rsidP="00E90BA7">
            <w:pPr>
              <w:spacing w:after="0" w:line="240" w:lineRule="auto"/>
              <w:ind w:right="227"/>
              <w:jc w:val="both"/>
              <w:rPr>
                <w:rFonts w:ascii="Segoe UI" w:eastAsia="Times New Roman" w:hAnsi="Segoe UI" w:cs="Segoe UI"/>
                <w:color w:val="000000"/>
                <w:sz w:val="16"/>
                <w:szCs w:val="16"/>
                <w:lang w:val="en-CA" w:eastAsia="en-CA"/>
              </w:rPr>
            </w:pPr>
            <w:r w:rsidRPr="00B070BE">
              <w:rPr>
                <w:rFonts w:ascii="Segoe UI" w:eastAsia="Times New Roman" w:hAnsi="Segoe UI" w:cs="Segoe UI"/>
                <w:color w:val="000000"/>
                <w:sz w:val="16"/>
                <w:szCs w:val="16"/>
                <w:lang w:val="en-CA" w:eastAsia="en-CA"/>
              </w:rPr>
              <w:t>5400</w:t>
            </w:r>
          </w:p>
        </w:tc>
      </w:tr>
    </w:tbl>
    <w:p w14:paraId="149594F0" w14:textId="77777777" w:rsidR="00333258" w:rsidRPr="00AE439E" w:rsidRDefault="00333258" w:rsidP="00E90BA7">
      <w:pPr>
        <w:spacing w:after="120" w:line="240" w:lineRule="auto"/>
        <w:jc w:val="both"/>
        <w:rPr>
          <w:rFonts w:ascii="Segoe UI" w:hAnsi="Segoe UI" w:cs="Segoe UI"/>
          <w:sz w:val="16"/>
          <w:szCs w:val="16"/>
          <w:lang w:val="en-CA"/>
        </w:rPr>
      </w:pPr>
    </w:p>
    <w:tbl>
      <w:tblPr>
        <w:tblW w:w="7854" w:type="dxa"/>
        <w:jc w:val="center"/>
        <w:tblLayout w:type="fixed"/>
        <w:tblLook w:val="04A0" w:firstRow="1" w:lastRow="0" w:firstColumn="1" w:lastColumn="0" w:noHBand="0" w:noVBand="1"/>
      </w:tblPr>
      <w:tblGrid>
        <w:gridCol w:w="3256"/>
        <w:gridCol w:w="708"/>
        <w:gridCol w:w="709"/>
        <w:gridCol w:w="709"/>
        <w:gridCol w:w="709"/>
        <w:gridCol w:w="1019"/>
        <w:gridCol w:w="744"/>
      </w:tblGrid>
      <w:tr w:rsidR="00333258" w:rsidRPr="006513F7" w14:paraId="3C82765D" w14:textId="77777777" w:rsidTr="006513F7">
        <w:trPr>
          <w:trHeight w:val="170"/>
          <w:jc w:val="center"/>
        </w:trPr>
        <w:tc>
          <w:tcPr>
            <w:tcW w:w="7852" w:type="dxa"/>
            <w:gridSpan w:val="7"/>
            <w:tcBorders>
              <w:top w:val="single" w:sz="4" w:space="0" w:color="auto"/>
              <w:bottom w:val="single" w:sz="4" w:space="0" w:color="auto"/>
            </w:tcBorders>
            <w:shd w:val="clear" w:color="auto" w:fill="D9D9D9" w:themeFill="background1" w:themeFillShade="D9"/>
            <w:vAlign w:val="bottom"/>
          </w:tcPr>
          <w:p w14:paraId="497F879D" w14:textId="77777777" w:rsidR="00333258" w:rsidRPr="006513F7" w:rsidRDefault="00333258" w:rsidP="00E90BA7">
            <w:pPr>
              <w:spacing w:after="0" w:line="240" w:lineRule="auto"/>
              <w:jc w:val="both"/>
              <w:rPr>
                <w:rFonts w:ascii="Segoe UI" w:eastAsia="Times New Roman" w:hAnsi="Segoe UI" w:cs="Segoe UI"/>
                <w:i/>
                <w:color w:val="000000"/>
                <w:sz w:val="16"/>
                <w:szCs w:val="16"/>
                <w:lang w:val="en-CA" w:eastAsia="en-CA"/>
              </w:rPr>
            </w:pPr>
            <w:r w:rsidRPr="006513F7">
              <w:rPr>
                <w:rFonts w:ascii="Segoe UI" w:eastAsia="Times New Roman" w:hAnsi="Segoe UI" w:cs="Segoe UI"/>
                <w:b/>
                <w:color w:val="000000"/>
                <w:sz w:val="16"/>
                <w:szCs w:val="16"/>
                <w:lang w:val="en-CA" w:eastAsia="en-CA"/>
              </w:rPr>
              <w:t>Road usage fees on vehicles unregistered in Moldova (vignette)</w:t>
            </w:r>
          </w:p>
        </w:tc>
      </w:tr>
      <w:tr w:rsidR="00333258" w:rsidRPr="006513F7" w14:paraId="205C3371" w14:textId="77777777" w:rsidTr="006513F7">
        <w:trPr>
          <w:trHeight w:val="227"/>
          <w:jc w:val="center"/>
        </w:trPr>
        <w:tc>
          <w:tcPr>
            <w:tcW w:w="3256" w:type="dxa"/>
            <w:tcBorders>
              <w:top w:val="single" w:sz="4" w:space="0" w:color="auto"/>
            </w:tcBorders>
            <w:shd w:val="clear" w:color="auto" w:fill="auto"/>
            <w:vAlign w:val="bottom"/>
          </w:tcPr>
          <w:p w14:paraId="7403AFF0"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c>
          <w:tcPr>
            <w:tcW w:w="4596" w:type="dxa"/>
            <w:gridSpan w:val="6"/>
            <w:tcBorders>
              <w:top w:val="single" w:sz="4" w:space="0" w:color="auto"/>
            </w:tcBorders>
            <w:shd w:val="clear" w:color="auto" w:fill="auto"/>
            <w:vAlign w:val="bottom"/>
          </w:tcPr>
          <w:p w14:paraId="4C818871"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Fee payable (MDL)</w:t>
            </w:r>
          </w:p>
        </w:tc>
      </w:tr>
      <w:tr w:rsidR="00333258" w:rsidRPr="006513F7" w14:paraId="6A3AF6F2" w14:textId="77777777" w:rsidTr="006513F7">
        <w:trPr>
          <w:trHeight w:val="227"/>
          <w:jc w:val="center"/>
        </w:trPr>
        <w:tc>
          <w:tcPr>
            <w:tcW w:w="3256" w:type="dxa"/>
            <w:shd w:val="clear" w:color="auto" w:fill="auto"/>
            <w:vAlign w:val="bottom"/>
            <w:hideMark/>
          </w:tcPr>
          <w:p w14:paraId="0C2E281B"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c>
          <w:tcPr>
            <w:tcW w:w="4596" w:type="dxa"/>
            <w:gridSpan w:val="6"/>
            <w:tcBorders>
              <w:bottom w:val="single" w:sz="4" w:space="0" w:color="auto"/>
            </w:tcBorders>
            <w:shd w:val="clear" w:color="auto" w:fill="auto"/>
            <w:vAlign w:val="bottom"/>
            <w:hideMark/>
          </w:tcPr>
          <w:p w14:paraId="61C5542C" w14:textId="77777777" w:rsidR="00333258" w:rsidRPr="006513F7" w:rsidRDefault="00333258" w:rsidP="00E90BA7">
            <w:pPr>
              <w:spacing w:after="0" w:line="240" w:lineRule="auto"/>
              <w:jc w:val="both"/>
              <w:rPr>
                <w:rFonts w:ascii="Segoe UI" w:eastAsia="Times New Roman" w:hAnsi="Segoe UI" w:cs="Segoe UI"/>
                <w:i/>
                <w:color w:val="000000"/>
                <w:sz w:val="16"/>
                <w:szCs w:val="16"/>
                <w:lang w:val="en-CA" w:eastAsia="en-CA"/>
              </w:rPr>
            </w:pPr>
            <w:r w:rsidRPr="006513F7">
              <w:rPr>
                <w:rFonts w:ascii="Segoe UI" w:eastAsia="Times New Roman" w:hAnsi="Segoe UI" w:cs="Segoe UI"/>
                <w:i/>
                <w:color w:val="000000"/>
                <w:sz w:val="16"/>
                <w:szCs w:val="16"/>
                <w:lang w:val="en-CA" w:eastAsia="en-CA"/>
              </w:rPr>
              <w:t>Duration of sojourn (# days)</w:t>
            </w:r>
          </w:p>
        </w:tc>
      </w:tr>
      <w:tr w:rsidR="00333258" w:rsidRPr="006513F7" w14:paraId="6D55DD17" w14:textId="77777777" w:rsidTr="006513F7">
        <w:trPr>
          <w:trHeight w:val="227"/>
          <w:jc w:val="center"/>
        </w:trPr>
        <w:tc>
          <w:tcPr>
            <w:tcW w:w="3256" w:type="dxa"/>
            <w:shd w:val="clear" w:color="auto" w:fill="auto"/>
            <w:vAlign w:val="bottom"/>
            <w:hideMark/>
          </w:tcPr>
          <w:p w14:paraId="73208F62" w14:textId="77777777" w:rsidR="00333258" w:rsidRPr="006513F7" w:rsidRDefault="00333258" w:rsidP="00E90BA7">
            <w:pPr>
              <w:spacing w:after="0" w:line="240" w:lineRule="auto"/>
              <w:jc w:val="both"/>
              <w:rPr>
                <w:rFonts w:ascii="Segoe UI" w:eastAsia="Times New Roman" w:hAnsi="Segoe UI" w:cs="Segoe UI"/>
                <w:b/>
                <w:color w:val="000000"/>
                <w:sz w:val="16"/>
                <w:szCs w:val="16"/>
                <w:lang w:val="en-CA" w:eastAsia="en-CA"/>
              </w:rPr>
            </w:pPr>
          </w:p>
        </w:tc>
        <w:tc>
          <w:tcPr>
            <w:tcW w:w="708" w:type="dxa"/>
            <w:tcBorders>
              <w:top w:val="single" w:sz="4" w:space="0" w:color="auto"/>
            </w:tcBorders>
            <w:shd w:val="clear" w:color="auto" w:fill="D9D9D9" w:themeFill="background1" w:themeFillShade="D9"/>
            <w:noWrap/>
            <w:vAlign w:val="bottom"/>
            <w:hideMark/>
          </w:tcPr>
          <w:p w14:paraId="43298AE7"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7</w:t>
            </w:r>
          </w:p>
        </w:tc>
        <w:tc>
          <w:tcPr>
            <w:tcW w:w="709" w:type="dxa"/>
            <w:tcBorders>
              <w:top w:val="single" w:sz="4" w:space="0" w:color="auto"/>
            </w:tcBorders>
            <w:shd w:val="clear" w:color="auto" w:fill="D9D9D9" w:themeFill="background1" w:themeFillShade="D9"/>
            <w:noWrap/>
            <w:vAlign w:val="bottom"/>
            <w:hideMark/>
          </w:tcPr>
          <w:p w14:paraId="2BC293C4"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15</w:t>
            </w:r>
          </w:p>
        </w:tc>
        <w:tc>
          <w:tcPr>
            <w:tcW w:w="709" w:type="dxa"/>
            <w:tcBorders>
              <w:top w:val="single" w:sz="4" w:space="0" w:color="auto"/>
            </w:tcBorders>
            <w:shd w:val="clear" w:color="auto" w:fill="D9D9D9" w:themeFill="background1" w:themeFillShade="D9"/>
            <w:noWrap/>
            <w:vAlign w:val="bottom"/>
            <w:hideMark/>
          </w:tcPr>
          <w:p w14:paraId="62AB837E"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30</w:t>
            </w:r>
          </w:p>
        </w:tc>
        <w:tc>
          <w:tcPr>
            <w:tcW w:w="709" w:type="dxa"/>
            <w:tcBorders>
              <w:top w:val="single" w:sz="4" w:space="0" w:color="auto"/>
            </w:tcBorders>
            <w:shd w:val="clear" w:color="auto" w:fill="D9D9D9" w:themeFill="background1" w:themeFillShade="D9"/>
            <w:noWrap/>
            <w:vAlign w:val="bottom"/>
            <w:hideMark/>
          </w:tcPr>
          <w:p w14:paraId="68E068F0"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90</w:t>
            </w:r>
          </w:p>
        </w:tc>
        <w:tc>
          <w:tcPr>
            <w:tcW w:w="1019" w:type="dxa"/>
            <w:tcBorders>
              <w:top w:val="single" w:sz="4" w:space="0" w:color="auto"/>
            </w:tcBorders>
            <w:shd w:val="clear" w:color="auto" w:fill="D9D9D9" w:themeFill="background1" w:themeFillShade="D9"/>
            <w:noWrap/>
            <w:vAlign w:val="bottom"/>
            <w:hideMark/>
          </w:tcPr>
          <w:p w14:paraId="0426BC2C"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180</w:t>
            </w:r>
          </w:p>
        </w:tc>
        <w:tc>
          <w:tcPr>
            <w:tcW w:w="744" w:type="dxa"/>
            <w:tcBorders>
              <w:top w:val="single" w:sz="4" w:space="0" w:color="auto"/>
            </w:tcBorders>
            <w:shd w:val="clear" w:color="auto" w:fill="D9D9D9" w:themeFill="background1" w:themeFillShade="D9"/>
            <w:noWrap/>
            <w:vAlign w:val="bottom"/>
            <w:hideMark/>
          </w:tcPr>
          <w:p w14:paraId="5D0D968F"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over 180</w:t>
            </w:r>
          </w:p>
        </w:tc>
      </w:tr>
      <w:tr w:rsidR="00333258" w:rsidRPr="006513F7" w14:paraId="4E9B3DD6" w14:textId="77777777" w:rsidTr="006513F7">
        <w:trPr>
          <w:trHeight w:val="227"/>
          <w:jc w:val="center"/>
        </w:trPr>
        <w:tc>
          <w:tcPr>
            <w:tcW w:w="3256" w:type="dxa"/>
            <w:shd w:val="clear" w:color="auto" w:fill="auto"/>
            <w:vAlign w:val="bottom"/>
            <w:hideMark/>
          </w:tcPr>
          <w:p w14:paraId="120F9FD6"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Motor vehicles [tariff code 8703] and attached trailers</w:t>
            </w:r>
          </w:p>
        </w:tc>
        <w:tc>
          <w:tcPr>
            <w:tcW w:w="708" w:type="dxa"/>
            <w:shd w:val="clear" w:color="auto" w:fill="auto"/>
            <w:noWrap/>
            <w:vAlign w:val="bottom"/>
            <w:hideMark/>
          </w:tcPr>
          <w:p w14:paraId="7C739E8B"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4</w:t>
            </w:r>
          </w:p>
        </w:tc>
        <w:tc>
          <w:tcPr>
            <w:tcW w:w="709" w:type="dxa"/>
            <w:shd w:val="clear" w:color="auto" w:fill="auto"/>
            <w:noWrap/>
            <w:vAlign w:val="bottom"/>
            <w:hideMark/>
          </w:tcPr>
          <w:p w14:paraId="7A963779"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8</w:t>
            </w:r>
          </w:p>
        </w:tc>
        <w:tc>
          <w:tcPr>
            <w:tcW w:w="709" w:type="dxa"/>
            <w:shd w:val="clear" w:color="auto" w:fill="auto"/>
            <w:noWrap/>
            <w:vAlign w:val="bottom"/>
            <w:hideMark/>
          </w:tcPr>
          <w:p w14:paraId="6FDB1C4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16</w:t>
            </w:r>
          </w:p>
        </w:tc>
        <w:tc>
          <w:tcPr>
            <w:tcW w:w="709" w:type="dxa"/>
            <w:shd w:val="clear" w:color="auto" w:fill="auto"/>
            <w:noWrap/>
            <w:vAlign w:val="bottom"/>
            <w:hideMark/>
          </w:tcPr>
          <w:p w14:paraId="43D80131"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45</w:t>
            </w:r>
          </w:p>
        </w:tc>
        <w:tc>
          <w:tcPr>
            <w:tcW w:w="1019" w:type="dxa"/>
            <w:shd w:val="clear" w:color="auto" w:fill="auto"/>
            <w:noWrap/>
            <w:vAlign w:val="bottom"/>
            <w:hideMark/>
          </w:tcPr>
          <w:p w14:paraId="50B2A05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85</w:t>
            </w:r>
          </w:p>
        </w:tc>
        <w:tc>
          <w:tcPr>
            <w:tcW w:w="744" w:type="dxa"/>
            <w:shd w:val="clear" w:color="auto" w:fill="auto"/>
            <w:noWrap/>
            <w:vAlign w:val="bottom"/>
            <w:hideMark/>
          </w:tcPr>
          <w:p w14:paraId="6FBD5CBA"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180</w:t>
            </w:r>
          </w:p>
        </w:tc>
      </w:tr>
      <w:tr w:rsidR="00333258" w:rsidRPr="006513F7" w14:paraId="776E8AA4" w14:textId="77777777" w:rsidTr="006513F7">
        <w:trPr>
          <w:trHeight w:val="227"/>
          <w:jc w:val="center"/>
        </w:trPr>
        <w:tc>
          <w:tcPr>
            <w:tcW w:w="3256" w:type="dxa"/>
            <w:shd w:val="clear" w:color="auto" w:fill="auto"/>
            <w:vAlign w:val="bottom"/>
            <w:hideMark/>
          </w:tcPr>
          <w:p w14:paraId="34A014BB"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p>
        </w:tc>
        <w:tc>
          <w:tcPr>
            <w:tcW w:w="4596" w:type="dxa"/>
            <w:gridSpan w:val="6"/>
            <w:tcBorders>
              <w:bottom w:val="single" w:sz="4" w:space="0" w:color="auto"/>
            </w:tcBorders>
            <w:shd w:val="clear" w:color="auto" w:fill="auto"/>
            <w:vAlign w:val="bottom"/>
            <w:hideMark/>
          </w:tcPr>
          <w:p w14:paraId="7C48298A" w14:textId="77777777" w:rsidR="00333258" w:rsidRPr="006513F7" w:rsidRDefault="00333258" w:rsidP="00E90BA7">
            <w:pPr>
              <w:spacing w:after="0" w:line="240" w:lineRule="auto"/>
              <w:jc w:val="both"/>
              <w:rPr>
                <w:rFonts w:ascii="Segoe UI" w:eastAsia="Times New Roman" w:hAnsi="Segoe UI" w:cs="Segoe UI"/>
                <w:i/>
                <w:color w:val="000000"/>
                <w:sz w:val="16"/>
                <w:szCs w:val="16"/>
                <w:lang w:val="en-CA" w:eastAsia="en-CA"/>
              </w:rPr>
            </w:pPr>
            <w:r w:rsidRPr="006513F7">
              <w:rPr>
                <w:rFonts w:ascii="Segoe UI" w:eastAsia="Times New Roman" w:hAnsi="Segoe UI" w:cs="Segoe UI"/>
                <w:i/>
                <w:color w:val="000000"/>
                <w:sz w:val="16"/>
                <w:szCs w:val="16"/>
                <w:lang w:val="en-CA" w:eastAsia="en-CA"/>
              </w:rPr>
              <w:t>Duration of sojourn (# days)</w:t>
            </w:r>
          </w:p>
        </w:tc>
      </w:tr>
      <w:tr w:rsidR="00333258" w:rsidRPr="006513F7" w14:paraId="39249A3E" w14:textId="77777777" w:rsidTr="006513F7">
        <w:trPr>
          <w:trHeight w:val="227"/>
          <w:jc w:val="center"/>
        </w:trPr>
        <w:tc>
          <w:tcPr>
            <w:tcW w:w="3256" w:type="dxa"/>
            <w:shd w:val="clear" w:color="auto" w:fill="auto"/>
            <w:vAlign w:val="bottom"/>
            <w:hideMark/>
          </w:tcPr>
          <w:p w14:paraId="66C9AAFD" w14:textId="77777777" w:rsidR="00333258" w:rsidRPr="006513F7" w:rsidRDefault="00333258" w:rsidP="00E90BA7">
            <w:pPr>
              <w:spacing w:after="0" w:line="240" w:lineRule="auto"/>
              <w:jc w:val="both"/>
              <w:rPr>
                <w:rFonts w:ascii="Segoe UI" w:eastAsia="Times New Roman" w:hAnsi="Segoe UI" w:cs="Segoe UI"/>
                <w:b/>
                <w:color w:val="000000"/>
                <w:sz w:val="16"/>
                <w:szCs w:val="16"/>
                <w:lang w:val="en-CA" w:eastAsia="en-CA"/>
              </w:rPr>
            </w:pPr>
          </w:p>
        </w:tc>
        <w:tc>
          <w:tcPr>
            <w:tcW w:w="708" w:type="dxa"/>
            <w:tcBorders>
              <w:top w:val="single" w:sz="4" w:space="0" w:color="auto"/>
            </w:tcBorders>
            <w:shd w:val="clear" w:color="auto" w:fill="D9D9D9" w:themeFill="background1" w:themeFillShade="D9"/>
            <w:noWrap/>
            <w:vAlign w:val="bottom"/>
            <w:hideMark/>
          </w:tcPr>
          <w:p w14:paraId="61B19E06"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w:t>
            </w:r>
          </w:p>
        </w:tc>
        <w:tc>
          <w:tcPr>
            <w:tcW w:w="709" w:type="dxa"/>
            <w:tcBorders>
              <w:top w:val="single" w:sz="4" w:space="0" w:color="auto"/>
            </w:tcBorders>
            <w:shd w:val="clear" w:color="auto" w:fill="D9D9D9" w:themeFill="background1" w:themeFillShade="D9"/>
            <w:noWrap/>
            <w:vAlign w:val="bottom"/>
            <w:hideMark/>
          </w:tcPr>
          <w:p w14:paraId="76083E84"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7</w:t>
            </w:r>
          </w:p>
        </w:tc>
        <w:tc>
          <w:tcPr>
            <w:tcW w:w="709" w:type="dxa"/>
            <w:tcBorders>
              <w:top w:val="single" w:sz="4" w:space="0" w:color="auto"/>
            </w:tcBorders>
            <w:shd w:val="clear" w:color="auto" w:fill="D9D9D9" w:themeFill="background1" w:themeFillShade="D9"/>
            <w:noWrap/>
            <w:vAlign w:val="bottom"/>
            <w:hideMark/>
          </w:tcPr>
          <w:p w14:paraId="35535533"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30</w:t>
            </w:r>
          </w:p>
        </w:tc>
        <w:tc>
          <w:tcPr>
            <w:tcW w:w="709" w:type="dxa"/>
            <w:tcBorders>
              <w:top w:val="single" w:sz="4" w:space="0" w:color="auto"/>
            </w:tcBorders>
            <w:shd w:val="clear" w:color="auto" w:fill="D9D9D9" w:themeFill="background1" w:themeFillShade="D9"/>
            <w:noWrap/>
            <w:vAlign w:val="bottom"/>
            <w:hideMark/>
          </w:tcPr>
          <w:p w14:paraId="58F85A1F"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90</w:t>
            </w:r>
          </w:p>
        </w:tc>
        <w:tc>
          <w:tcPr>
            <w:tcW w:w="1019" w:type="dxa"/>
            <w:tcBorders>
              <w:top w:val="single" w:sz="4" w:space="0" w:color="auto"/>
            </w:tcBorders>
            <w:shd w:val="clear" w:color="auto" w:fill="D9D9D9" w:themeFill="background1" w:themeFillShade="D9"/>
            <w:noWrap/>
            <w:vAlign w:val="bottom"/>
            <w:hideMark/>
          </w:tcPr>
          <w:p w14:paraId="4AA633DF"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12 months</w:t>
            </w:r>
          </w:p>
        </w:tc>
        <w:tc>
          <w:tcPr>
            <w:tcW w:w="744" w:type="dxa"/>
            <w:tcBorders>
              <w:top w:val="single" w:sz="4" w:space="0" w:color="auto"/>
            </w:tcBorders>
            <w:shd w:val="clear" w:color="auto" w:fill="D9D9D9" w:themeFill="background1" w:themeFillShade="D9"/>
            <w:noWrap/>
            <w:vAlign w:val="bottom"/>
            <w:hideMark/>
          </w:tcPr>
          <w:p w14:paraId="6520DF55"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p>
        </w:tc>
      </w:tr>
      <w:tr w:rsidR="00333258" w:rsidRPr="006513F7" w14:paraId="2D50126F" w14:textId="77777777" w:rsidTr="006513F7">
        <w:trPr>
          <w:trHeight w:val="227"/>
          <w:jc w:val="center"/>
        </w:trPr>
        <w:tc>
          <w:tcPr>
            <w:tcW w:w="3256" w:type="dxa"/>
            <w:shd w:val="clear" w:color="auto" w:fill="auto"/>
            <w:vAlign w:val="bottom"/>
            <w:hideMark/>
          </w:tcPr>
          <w:p w14:paraId="4C3E189C"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Buses</w:t>
            </w:r>
          </w:p>
        </w:tc>
        <w:tc>
          <w:tcPr>
            <w:tcW w:w="708" w:type="dxa"/>
            <w:shd w:val="clear" w:color="auto" w:fill="auto"/>
            <w:noWrap/>
            <w:vAlign w:val="bottom"/>
            <w:hideMark/>
          </w:tcPr>
          <w:p w14:paraId="0542FB95" w14:textId="77777777" w:rsidR="00333258" w:rsidRPr="006513F7" w:rsidRDefault="00333258" w:rsidP="00E90BA7">
            <w:pPr>
              <w:spacing w:after="0" w:line="240" w:lineRule="auto"/>
              <w:jc w:val="both"/>
              <w:rPr>
                <w:rFonts w:ascii="Segoe UI" w:eastAsia="Times New Roman" w:hAnsi="Segoe UI" w:cs="Segoe UI"/>
                <w:i/>
                <w:color w:val="000000"/>
                <w:sz w:val="16"/>
                <w:szCs w:val="16"/>
                <w:lang w:val="en-CA" w:eastAsia="en-CA"/>
              </w:rPr>
            </w:pPr>
          </w:p>
        </w:tc>
        <w:tc>
          <w:tcPr>
            <w:tcW w:w="709" w:type="dxa"/>
            <w:shd w:val="clear" w:color="auto" w:fill="auto"/>
            <w:noWrap/>
            <w:vAlign w:val="bottom"/>
            <w:hideMark/>
          </w:tcPr>
          <w:p w14:paraId="75BA2D9C"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c>
          <w:tcPr>
            <w:tcW w:w="709" w:type="dxa"/>
            <w:shd w:val="clear" w:color="auto" w:fill="auto"/>
            <w:noWrap/>
            <w:vAlign w:val="bottom"/>
            <w:hideMark/>
          </w:tcPr>
          <w:p w14:paraId="0274B981"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c>
          <w:tcPr>
            <w:tcW w:w="709" w:type="dxa"/>
            <w:shd w:val="clear" w:color="auto" w:fill="auto"/>
            <w:noWrap/>
            <w:vAlign w:val="bottom"/>
            <w:hideMark/>
          </w:tcPr>
          <w:p w14:paraId="52FD38D8"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c>
          <w:tcPr>
            <w:tcW w:w="1019" w:type="dxa"/>
            <w:shd w:val="clear" w:color="auto" w:fill="auto"/>
            <w:noWrap/>
            <w:vAlign w:val="bottom"/>
            <w:hideMark/>
          </w:tcPr>
          <w:p w14:paraId="577A8C0A"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c>
          <w:tcPr>
            <w:tcW w:w="744" w:type="dxa"/>
            <w:shd w:val="clear" w:color="auto" w:fill="auto"/>
            <w:noWrap/>
            <w:vAlign w:val="bottom"/>
            <w:hideMark/>
          </w:tcPr>
          <w:p w14:paraId="135B36C0" w14:textId="77777777" w:rsidR="00333258" w:rsidRPr="006513F7" w:rsidRDefault="00333258" w:rsidP="00E90BA7">
            <w:pPr>
              <w:spacing w:after="0" w:line="240" w:lineRule="auto"/>
              <w:jc w:val="both"/>
              <w:rPr>
                <w:rFonts w:ascii="Segoe UI" w:eastAsia="Times New Roman" w:hAnsi="Segoe UI" w:cs="Segoe UI"/>
                <w:sz w:val="16"/>
                <w:szCs w:val="16"/>
                <w:lang w:val="en-CA" w:eastAsia="en-CA"/>
              </w:rPr>
            </w:pPr>
          </w:p>
        </w:tc>
      </w:tr>
      <w:tr w:rsidR="00333258" w:rsidRPr="006513F7" w14:paraId="51FCD6FC" w14:textId="77777777" w:rsidTr="006513F7">
        <w:trPr>
          <w:trHeight w:val="227"/>
          <w:jc w:val="center"/>
        </w:trPr>
        <w:tc>
          <w:tcPr>
            <w:tcW w:w="3256" w:type="dxa"/>
            <w:shd w:val="clear" w:color="auto" w:fill="auto"/>
            <w:vAlign w:val="bottom"/>
            <w:hideMark/>
          </w:tcPr>
          <w:p w14:paraId="73DFE604" w14:textId="77777777" w:rsidR="00333258" w:rsidRPr="006513F7" w:rsidRDefault="00333258" w:rsidP="00E90BA7">
            <w:pPr>
              <w:spacing w:after="0" w:line="240" w:lineRule="auto"/>
              <w:ind w:left="113"/>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Capacity (excl. driver): 9 to 24</w:t>
            </w:r>
          </w:p>
        </w:tc>
        <w:tc>
          <w:tcPr>
            <w:tcW w:w="708" w:type="dxa"/>
            <w:shd w:val="clear" w:color="auto" w:fill="auto"/>
            <w:noWrap/>
            <w:vAlign w:val="bottom"/>
            <w:hideMark/>
          </w:tcPr>
          <w:p w14:paraId="6F882268"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6</w:t>
            </w:r>
          </w:p>
        </w:tc>
        <w:tc>
          <w:tcPr>
            <w:tcW w:w="709" w:type="dxa"/>
            <w:shd w:val="clear" w:color="auto" w:fill="auto"/>
            <w:noWrap/>
            <w:vAlign w:val="bottom"/>
            <w:hideMark/>
          </w:tcPr>
          <w:p w14:paraId="549CF2D4"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24</w:t>
            </w:r>
          </w:p>
        </w:tc>
        <w:tc>
          <w:tcPr>
            <w:tcW w:w="709" w:type="dxa"/>
            <w:shd w:val="clear" w:color="auto" w:fill="auto"/>
            <w:noWrap/>
            <w:vAlign w:val="bottom"/>
            <w:hideMark/>
          </w:tcPr>
          <w:p w14:paraId="241CA36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48</w:t>
            </w:r>
          </w:p>
        </w:tc>
        <w:tc>
          <w:tcPr>
            <w:tcW w:w="709" w:type="dxa"/>
            <w:shd w:val="clear" w:color="auto" w:fill="auto"/>
            <w:noWrap/>
            <w:vAlign w:val="bottom"/>
            <w:hideMark/>
          </w:tcPr>
          <w:p w14:paraId="79B49D7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120</w:t>
            </w:r>
          </w:p>
        </w:tc>
        <w:tc>
          <w:tcPr>
            <w:tcW w:w="1019" w:type="dxa"/>
            <w:shd w:val="clear" w:color="auto" w:fill="auto"/>
            <w:noWrap/>
            <w:vAlign w:val="bottom"/>
            <w:hideMark/>
          </w:tcPr>
          <w:p w14:paraId="21091D1F"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480</w:t>
            </w:r>
          </w:p>
        </w:tc>
        <w:tc>
          <w:tcPr>
            <w:tcW w:w="744" w:type="dxa"/>
            <w:shd w:val="clear" w:color="auto" w:fill="auto"/>
            <w:noWrap/>
            <w:vAlign w:val="bottom"/>
            <w:hideMark/>
          </w:tcPr>
          <w:p w14:paraId="75AEE7BB"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p>
        </w:tc>
      </w:tr>
      <w:tr w:rsidR="00333258" w:rsidRPr="006513F7" w14:paraId="6C058BA7" w14:textId="77777777" w:rsidTr="006513F7">
        <w:trPr>
          <w:trHeight w:val="227"/>
          <w:jc w:val="center"/>
        </w:trPr>
        <w:tc>
          <w:tcPr>
            <w:tcW w:w="3256" w:type="dxa"/>
            <w:shd w:val="clear" w:color="auto" w:fill="auto"/>
            <w:vAlign w:val="bottom"/>
            <w:hideMark/>
          </w:tcPr>
          <w:p w14:paraId="6BD06AAB" w14:textId="77777777" w:rsidR="00333258" w:rsidRPr="006513F7" w:rsidRDefault="00333258" w:rsidP="00E90BA7">
            <w:pPr>
              <w:spacing w:after="0" w:line="240" w:lineRule="auto"/>
              <w:ind w:left="113"/>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Capacity (excl. driver): 25 or more</w:t>
            </w:r>
          </w:p>
        </w:tc>
        <w:tc>
          <w:tcPr>
            <w:tcW w:w="708" w:type="dxa"/>
            <w:shd w:val="clear" w:color="auto" w:fill="auto"/>
            <w:noWrap/>
            <w:vAlign w:val="bottom"/>
            <w:hideMark/>
          </w:tcPr>
          <w:p w14:paraId="35991C41"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7</w:t>
            </w:r>
          </w:p>
        </w:tc>
        <w:tc>
          <w:tcPr>
            <w:tcW w:w="709" w:type="dxa"/>
            <w:shd w:val="clear" w:color="auto" w:fill="auto"/>
            <w:noWrap/>
            <w:vAlign w:val="bottom"/>
            <w:hideMark/>
          </w:tcPr>
          <w:p w14:paraId="4DDDC673"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28</w:t>
            </w:r>
          </w:p>
        </w:tc>
        <w:tc>
          <w:tcPr>
            <w:tcW w:w="709" w:type="dxa"/>
            <w:shd w:val="clear" w:color="auto" w:fill="auto"/>
            <w:noWrap/>
            <w:vAlign w:val="bottom"/>
            <w:hideMark/>
          </w:tcPr>
          <w:p w14:paraId="501305A4"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56</w:t>
            </w:r>
          </w:p>
        </w:tc>
        <w:tc>
          <w:tcPr>
            <w:tcW w:w="709" w:type="dxa"/>
            <w:shd w:val="clear" w:color="auto" w:fill="auto"/>
            <w:noWrap/>
            <w:vAlign w:val="bottom"/>
            <w:hideMark/>
          </w:tcPr>
          <w:p w14:paraId="04CC3295"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140</w:t>
            </w:r>
          </w:p>
        </w:tc>
        <w:tc>
          <w:tcPr>
            <w:tcW w:w="1019" w:type="dxa"/>
            <w:shd w:val="clear" w:color="auto" w:fill="auto"/>
            <w:noWrap/>
            <w:vAlign w:val="bottom"/>
            <w:hideMark/>
          </w:tcPr>
          <w:p w14:paraId="28BD34FA"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560</w:t>
            </w:r>
          </w:p>
        </w:tc>
        <w:tc>
          <w:tcPr>
            <w:tcW w:w="744" w:type="dxa"/>
            <w:shd w:val="clear" w:color="auto" w:fill="auto"/>
            <w:noWrap/>
            <w:vAlign w:val="bottom"/>
            <w:hideMark/>
          </w:tcPr>
          <w:p w14:paraId="7DA63328"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p>
        </w:tc>
      </w:tr>
      <w:tr w:rsidR="00333258" w:rsidRPr="006513F7" w14:paraId="5E98638F" w14:textId="77777777" w:rsidTr="006513F7">
        <w:trPr>
          <w:trHeight w:val="383"/>
          <w:jc w:val="center"/>
        </w:trPr>
        <w:tc>
          <w:tcPr>
            <w:tcW w:w="3256" w:type="dxa"/>
            <w:shd w:val="clear" w:color="auto" w:fill="auto"/>
            <w:vAlign w:val="bottom"/>
            <w:hideMark/>
          </w:tcPr>
          <w:p w14:paraId="2BCB64E7"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Trucks with or without trailer, road tractors with or without semi-trailer</w:t>
            </w:r>
          </w:p>
        </w:tc>
        <w:tc>
          <w:tcPr>
            <w:tcW w:w="708" w:type="dxa"/>
            <w:shd w:val="clear" w:color="auto" w:fill="auto"/>
            <w:noWrap/>
            <w:vAlign w:val="bottom"/>
            <w:hideMark/>
          </w:tcPr>
          <w:p w14:paraId="34EAC6AA" w14:textId="77777777" w:rsidR="00333258" w:rsidRPr="006513F7" w:rsidRDefault="00333258" w:rsidP="00E90BA7">
            <w:pPr>
              <w:spacing w:after="0" w:line="240" w:lineRule="auto"/>
              <w:ind w:right="170"/>
              <w:jc w:val="both"/>
              <w:rPr>
                <w:rFonts w:ascii="Segoe UI" w:eastAsia="Times New Roman" w:hAnsi="Segoe UI" w:cs="Segoe UI"/>
                <w:i/>
                <w:color w:val="000000"/>
                <w:sz w:val="16"/>
                <w:szCs w:val="16"/>
                <w:lang w:val="en-CA" w:eastAsia="en-CA"/>
              </w:rPr>
            </w:pPr>
          </w:p>
        </w:tc>
        <w:tc>
          <w:tcPr>
            <w:tcW w:w="709" w:type="dxa"/>
            <w:shd w:val="clear" w:color="auto" w:fill="auto"/>
            <w:noWrap/>
            <w:vAlign w:val="bottom"/>
            <w:hideMark/>
          </w:tcPr>
          <w:p w14:paraId="2DD42BF2" w14:textId="77777777" w:rsidR="00333258" w:rsidRPr="006513F7" w:rsidRDefault="00333258" w:rsidP="00E90BA7">
            <w:pPr>
              <w:spacing w:after="0" w:line="240" w:lineRule="auto"/>
              <w:ind w:right="170"/>
              <w:jc w:val="both"/>
              <w:rPr>
                <w:rFonts w:ascii="Segoe UI" w:eastAsia="Times New Roman" w:hAnsi="Segoe UI" w:cs="Segoe UI"/>
                <w:sz w:val="16"/>
                <w:szCs w:val="16"/>
                <w:lang w:val="en-CA" w:eastAsia="en-CA"/>
              </w:rPr>
            </w:pPr>
          </w:p>
        </w:tc>
        <w:tc>
          <w:tcPr>
            <w:tcW w:w="709" w:type="dxa"/>
            <w:shd w:val="clear" w:color="auto" w:fill="auto"/>
            <w:noWrap/>
            <w:vAlign w:val="bottom"/>
            <w:hideMark/>
          </w:tcPr>
          <w:p w14:paraId="3FA6A1A1" w14:textId="77777777" w:rsidR="00333258" w:rsidRPr="006513F7" w:rsidRDefault="00333258" w:rsidP="00E90BA7">
            <w:pPr>
              <w:spacing w:after="0" w:line="240" w:lineRule="auto"/>
              <w:ind w:right="170"/>
              <w:jc w:val="both"/>
              <w:rPr>
                <w:rFonts w:ascii="Segoe UI" w:eastAsia="Times New Roman" w:hAnsi="Segoe UI" w:cs="Segoe UI"/>
                <w:sz w:val="16"/>
                <w:szCs w:val="16"/>
                <w:lang w:val="en-CA" w:eastAsia="en-CA"/>
              </w:rPr>
            </w:pPr>
          </w:p>
        </w:tc>
        <w:tc>
          <w:tcPr>
            <w:tcW w:w="709" w:type="dxa"/>
            <w:shd w:val="clear" w:color="auto" w:fill="auto"/>
            <w:noWrap/>
            <w:vAlign w:val="bottom"/>
            <w:hideMark/>
          </w:tcPr>
          <w:p w14:paraId="76937899" w14:textId="77777777" w:rsidR="00333258" w:rsidRPr="006513F7" w:rsidRDefault="00333258" w:rsidP="00E90BA7">
            <w:pPr>
              <w:spacing w:after="0" w:line="240" w:lineRule="auto"/>
              <w:ind w:right="170"/>
              <w:jc w:val="both"/>
              <w:rPr>
                <w:rFonts w:ascii="Segoe UI" w:eastAsia="Times New Roman" w:hAnsi="Segoe UI" w:cs="Segoe UI"/>
                <w:sz w:val="16"/>
                <w:szCs w:val="16"/>
                <w:lang w:val="en-CA" w:eastAsia="en-CA"/>
              </w:rPr>
            </w:pPr>
          </w:p>
        </w:tc>
        <w:tc>
          <w:tcPr>
            <w:tcW w:w="1019" w:type="dxa"/>
            <w:shd w:val="clear" w:color="auto" w:fill="auto"/>
            <w:noWrap/>
            <w:vAlign w:val="bottom"/>
            <w:hideMark/>
          </w:tcPr>
          <w:p w14:paraId="128680FE" w14:textId="77777777" w:rsidR="00333258" w:rsidRPr="006513F7" w:rsidRDefault="00333258" w:rsidP="00E90BA7">
            <w:pPr>
              <w:spacing w:after="0" w:line="240" w:lineRule="auto"/>
              <w:ind w:right="170"/>
              <w:jc w:val="both"/>
              <w:rPr>
                <w:rFonts w:ascii="Segoe UI" w:eastAsia="Times New Roman" w:hAnsi="Segoe UI" w:cs="Segoe UI"/>
                <w:sz w:val="16"/>
                <w:szCs w:val="16"/>
                <w:lang w:val="en-CA" w:eastAsia="en-CA"/>
              </w:rPr>
            </w:pPr>
          </w:p>
        </w:tc>
        <w:tc>
          <w:tcPr>
            <w:tcW w:w="744" w:type="dxa"/>
            <w:shd w:val="clear" w:color="auto" w:fill="auto"/>
            <w:noWrap/>
            <w:vAlign w:val="bottom"/>
            <w:hideMark/>
          </w:tcPr>
          <w:p w14:paraId="4D0F4A0B" w14:textId="77777777" w:rsidR="00333258" w:rsidRPr="006513F7" w:rsidRDefault="00333258" w:rsidP="00E90BA7">
            <w:pPr>
              <w:spacing w:after="0" w:line="240" w:lineRule="auto"/>
              <w:ind w:right="170"/>
              <w:jc w:val="both"/>
              <w:rPr>
                <w:rFonts w:ascii="Segoe UI" w:eastAsia="Times New Roman" w:hAnsi="Segoe UI" w:cs="Segoe UI"/>
                <w:sz w:val="16"/>
                <w:szCs w:val="16"/>
                <w:lang w:val="en-CA" w:eastAsia="en-CA"/>
              </w:rPr>
            </w:pPr>
          </w:p>
        </w:tc>
      </w:tr>
      <w:tr w:rsidR="00333258" w:rsidRPr="006513F7" w14:paraId="0A71EB41" w14:textId="77777777" w:rsidTr="006513F7">
        <w:trPr>
          <w:trHeight w:val="227"/>
          <w:jc w:val="center"/>
        </w:trPr>
        <w:tc>
          <w:tcPr>
            <w:tcW w:w="3256" w:type="dxa"/>
            <w:shd w:val="clear" w:color="auto" w:fill="auto"/>
            <w:vAlign w:val="bottom"/>
            <w:hideMark/>
          </w:tcPr>
          <w:p w14:paraId="17303D71" w14:textId="77777777" w:rsidR="00333258" w:rsidRPr="006513F7" w:rsidRDefault="00333258" w:rsidP="00E90BA7">
            <w:pPr>
              <w:spacing w:after="0" w:line="240" w:lineRule="auto"/>
              <w:ind w:left="113"/>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Total mass: 0 to 3,5 tons</w:t>
            </w:r>
          </w:p>
        </w:tc>
        <w:tc>
          <w:tcPr>
            <w:tcW w:w="708" w:type="dxa"/>
            <w:shd w:val="clear" w:color="auto" w:fill="auto"/>
            <w:noWrap/>
            <w:vAlign w:val="bottom"/>
            <w:hideMark/>
          </w:tcPr>
          <w:p w14:paraId="30B1DF6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5</w:t>
            </w:r>
          </w:p>
        </w:tc>
        <w:tc>
          <w:tcPr>
            <w:tcW w:w="709" w:type="dxa"/>
            <w:shd w:val="clear" w:color="auto" w:fill="auto"/>
            <w:noWrap/>
            <w:vAlign w:val="bottom"/>
            <w:hideMark/>
          </w:tcPr>
          <w:p w14:paraId="32D3897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20</w:t>
            </w:r>
          </w:p>
        </w:tc>
        <w:tc>
          <w:tcPr>
            <w:tcW w:w="709" w:type="dxa"/>
            <w:shd w:val="clear" w:color="auto" w:fill="auto"/>
            <w:noWrap/>
            <w:vAlign w:val="bottom"/>
            <w:hideMark/>
          </w:tcPr>
          <w:p w14:paraId="784CA1E4"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40</w:t>
            </w:r>
          </w:p>
        </w:tc>
        <w:tc>
          <w:tcPr>
            <w:tcW w:w="709" w:type="dxa"/>
            <w:shd w:val="clear" w:color="auto" w:fill="auto"/>
            <w:noWrap/>
            <w:vAlign w:val="bottom"/>
            <w:hideMark/>
          </w:tcPr>
          <w:p w14:paraId="2EEBB2F9"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100</w:t>
            </w:r>
          </w:p>
        </w:tc>
        <w:tc>
          <w:tcPr>
            <w:tcW w:w="1019" w:type="dxa"/>
            <w:shd w:val="clear" w:color="auto" w:fill="auto"/>
            <w:noWrap/>
            <w:vAlign w:val="bottom"/>
            <w:hideMark/>
          </w:tcPr>
          <w:p w14:paraId="233DB9C6"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400</w:t>
            </w:r>
          </w:p>
        </w:tc>
        <w:tc>
          <w:tcPr>
            <w:tcW w:w="744" w:type="dxa"/>
            <w:shd w:val="clear" w:color="auto" w:fill="auto"/>
            <w:noWrap/>
            <w:vAlign w:val="bottom"/>
            <w:hideMark/>
          </w:tcPr>
          <w:p w14:paraId="120CA711"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p>
        </w:tc>
      </w:tr>
      <w:tr w:rsidR="00333258" w:rsidRPr="006513F7" w14:paraId="3114E622" w14:textId="77777777" w:rsidTr="006513F7">
        <w:trPr>
          <w:trHeight w:val="227"/>
          <w:jc w:val="center"/>
        </w:trPr>
        <w:tc>
          <w:tcPr>
            <w:tcW w:w="3256" w:type="dxa"/>
            <w:shd w:val="clear" w:color="auto" w:fill="auto"/>
            <w:vAlign w:val="bottom"/>
            <w:hideMark/>
          </w:tcPr>
          <w:p w14:paraId="4F5AD94E" w14:textId="77777777" w:rsidR="00333258" w:rsidRPr="006513F7" w:rsidRDefault="00333258" w:rsidP="00E90BA7">
            <w:pPr>
              <w:spacing w:after="0" w:line="240" w:lineRule="auto"/>
              <w:ind w:left="113"/>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Total mass: 3,5 to 10 tons</w:t>
            </w:r>
          </w:p>
        </w:tc>
        <w:tc>
          <w:tcPr>
            <w:tcW w:w="708" w:type="dxa"/>
            <w:shd w:val="clear" w:color="auto" w:fill="auto"/>
            <w:noWrap/>
            <w:vAlign w:val="bottom"/>
            <w:hideMark/>
          </w:tcPr>
          <w:p w14:paraId="6B4F641E"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8</w:t>
            </w:r>
          </w:p>
        </w:tc>
        <w:tc>
          <w:tcPr>
            <w:tcW w:w="709" w:type="dxa"/>
            <w:shd w:val="clear" w:color="auto" w:fill="auto"/>
            <w:noWrap/>
            <w:vAlign w:val="bottom"/>
            <w:hideMark/>
          </w:tcPr>
          <w:p w14:paraId="5FC0CA7B"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32</w:t>
            </w:r>
          </w:p>
        </w:tc>
        <w:tc>
          <w:tcPr>
            <w:tcW w:w="709" w:type="dxa"/>
            <w:shd w:val="clear" w:color="auto" w:fill="auto"/>
            <w:noWrap/>
            <w:vAlign w:val="bottom"/>
            <w:hideMark/>
          </w:tcPr>
          <w:p w14:paraId="0224CCFE"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64</w:t>
            </w:r>
          </w:p>
        </w:tc>
        <w:tc>
          <w:tcPr>
            <w:tcW w:w="709" w:type="dxa"/>
            <w:shd w:val="clear" w:color="auto" w:fill="auto"/>
            <w:noWrap/>
            <w:vAlign w:val="bottom"/>
            <w:hideMark/>
          </w:tcPr>
          <w:p w14:paraId="58D8ECDC"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160</w:t>
            </w:r>
          </w:p>
        </w:tc>
        <w:tc>
          <w:tcPr>
            <w:tcW w:w="1019" w:type="dxa"/>
            <w:shd w:val="clear" w:color="auto" w:fill="auto"/>
            <w:noWrap/>
            <w:vAlign w:val="bottom"/>
            <w:hideMark/>
          </w:tcPr>
          <w:p w14:paraId="1503A3CC"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640</w:t>
            </w:r>
          </w:p>
        </w:tc>
        <w:tc>
          <w:tcPr>
            <w:tcW w:w="744" w:type="dxa"/>
            <w:shd w:val="clear" w:color="auto" w:fill="auto"/>
            <w:noWrap/>
            <w:vAlign w:val="bottom"/>
            <w:hideMark/>
          </w:tcPr>
          <w:p w14:paraId="47AF747E"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p>
        </w:tc>
      </w:tr>
      <w:tr w:rsidR="00333258" w:rsidRPr="006513F7" w14:paraId="70FEF692" w14:textId="77777777" w:rsidTr="006513F7">
        <w:trPr>
          <w:trHeight w:val="227"/>
          <w:jc w:val="center"/>
        </w:trPr>
        <w:tc>
          <w:tcPr>
            <w:tcW w:w="3256" w:type="dxa"/>
            <w:tcBorders>
              <w:bottom w:val="single" w:sz="4" w:space="0" w:color="auto"/>
            </w:tcBorders>
            <w:shd w:val="clear" w:color="auto" w:fill="auto"/>
            <w:vAlign w:val="bottom"/>
            <w:hideMark/>
          </w:tcPr>
          <w:p w14:paraId="09CD7076" w14:textId="77777777" w:rsidR="00333258" w:rsidRPr="006513F7" w:rsidRDefault="00333258" w:rsidP="00E90BA7">
            <w:pPr>
              <w:spacing w:after="0" w:line="240" w:lineRule="auto"/>
              <w:ind w:left="113"/>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Total mass: 10 to 40 tons</w:t>
            </w:r>
          </w:p>
        </w:tc>
        <w:tc>
          <w:tcPr>
            <w:tcW w:w="708" w:type="dxa"/>
            <w:tcBorders>
              <w:bottom w:val="single" w:sz="4" w:space="0" w:color="auto"/>
            </w:tcBorders>
            <w:shd w:val="clear" w:color="auto" w:fill="auto"/>
            <w:noWrap/>
            <w:vAlign w:val="bottom"/>
            <w:hideMark/>
          </w:tcPr>
          <w:p w14:paraId="296004A2"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11</w:t>
            </w:r>
          </w:p>
        </w:tc>
        <w:tc>
          <w:tcPr>
            <w:tcW w:w="709" w:type="dxa"/>
            <w:tcBorders>
              <w:bottom w:val="single" w:sz="4" w:space="0" w:color="auto"/>
            </w:tcBorders>
            <w:shd w:val="clear" w:color="auto" w:fill="auto"/>
            <w:noWrap/>
            <w:vAlign w:val="bottom"/>
            <w:hideMark/>
          </w:tcPr>
          <w:p w14:paraId="639E834E"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55</w:t>
            </w:r>
          </w:p>
        </w:tc>
        <w:tc>
          <w:tcPr>
            <w:tcW w:w="709" w:type="dxa"/>
            <w:tcBorders>
              <w:bottom w:val="single" w:sz="4" w:space="0" w:color="auto"/>
            </w:tcBorders>
            <w:shd w:val="clear" w:color="auto" w:fill="auto"/>
            <w:noWrap/>
            <w:vAlign w:val="bottom"/>
            <w:hideMark/>
          </w:tcPr>
          <w:p w14:paraId="532039FA"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112</w:t>
            </w:r>
          </w:p>
        </w:tc>
        <w:tc>
          <w:tcPr>
            <w:tcW w:w="709" w:type="dxa"/>
            <w:tcBorders>
              <w:bottom w:val="single" w:sz="4" w:space="0" w:color="auto"/>
            </w:tcBorders>
            <w:shd w:val="clear" w:color="auto" w:fill="auto"/>
            <w:noWrap/>
            <w:vAlign w:val="bottom"/>
            <w:hideMark/>
          </w:tcPr>
          <w:p w14:paraId="165D0237"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280</w:t>
            </w:r>
          </w:p>
        </w:tc>
        <w:tc>
          <w:tcPr>
            <w:tcW w:w="1019" w:type="dxa"/>
            <w:tcBorders>
              <w:bottom w:val="single" w:sz="4" w:space="0" w:color="auto"/>
            </w:tcBorders>
            <w:shd w:val="clear" w:color="auto" w:fill="auto"/>
            <w:noWrap/>
            <w:vAlign w:val="bottom"/>
            <w:hideMark/>
          </w:tcPr>
          <w:p w14:paraId="092ABC05" w14:textId="77777777" w:rsidR="00333258" w:rsidRPr="006513F7" w:rsidRDefault="00333258" w:rsidP="00E90BA7">
            <w:pPr>
              <w:spacing w:after="0" w:line="240" w:lineRule="auto"/>
              <w:ind w:right="170"/>
              <w:jc w:val="both"/>
              <w:rPr>
                <w:rFonts w:ascii="Segoe UI" w:eastAsia="Times New Roman" w:hAnsi="Segoe UI" w:cs="Segoe UI"/>
                <w:color w:val="000000"/>
                <w:sz w:val="16"/>
                <w:szCs w:val="16"/>
                <w:lang w:val="en-CA" w:eastAsia="en-CA"/>
              </w:rPr>
            </w:pPr>
            <w:r w:rsidRPr="006513F7">
              <w:rPr>
                <w:rFonts w:ascii="Segoe UI" w:eastAsia="Times New Roman" w:hAnsi="Segoe UI" w:cs="Segoe UI"/>
                <w:color w:val="000000"/>
                <w:sz w:val="16"/>
                <w:szCs w:val="16"/>
                <w:lang w:val="en-CA" w:eastAsia="en-CA"/>
              </w:rPr>
              <w:t>1120</w:t>
            </w:r>
          </w:p>
        </w:tc>
        <w:tc>
          <w:tcPr>
            <w:tcW w:w="744" w:type="dxa"/>
            <w:tcBorders>
              <w:bottom w:val="single" w:sz="4" w:space="0" w:color="auto"/>
            </w:tcBorders>
            <w:shd w:val="clear" w:color="auto" w:fill="auto"/>
            <w:noWrap/>
            <w:vAlign w:val="bottom"/>
            <w:hideMark/>
          </w:tcPr>
          <w:p w14:paraId="477BBC98" w14:textId="77777777" w:rsidR="00333258" w:rsidRPr="006513F7" w:rsidRDefault="00333258" w:rsidP="00E90BA7">
            <w:pPr>
              <w:spacing w:after="0" w:line="240" w:lineRule="auto"/>
              <w:jc w:val="both"/>
              <w:rPr>
                <w:rFonts w:ascii="Segoe UI" w:eastAsia="Times New Roman" w:hAnsi="Segoe UI" w:cs="Segoe UI"/>
                <w:color w:val="000000"/>
                <w:sz w:val="16"/>
                <w:szCs w:val="16"/>
                <w:lang w:val="en-CA" w:eastAsia="en-CA"/>
              </w:rPr>
            </w:pPr>
          </w:p>
        </w:tc>
      </w:tr>
    </w:tbl>
    <w:p w14:paraId="004639B3" w14:textId="77777777" w:rsidR="00333258" w:rsidRPr="00AE439E" w:rsidRDefault="00333258" w:rsidP="00E90BA7">
      <w:pPr>
        <w:jc w:val="both"/>
        <w:rPr>
          <w:rFonts w:ascii="Segoe UI" w:hAnsi="Segoe UI" w:cs="Segoe UI"/>
          <w:lang w:val="en-CA"/>
        </w:rPr>
      </w:pPr>
    </w:p>
    <w:p w14:paraId="212048D8" w14:textId="77777777" w:rsidR="00333258" w:rsidRPr="008216E8" w:rsidRDefault="00333258" w:rsidP="00E90BA7">
      <w:pPr>
        <w:pStyle w:val="Heading3"/>
        <w:jc w:val="both"/>
        <w:rPr>
          <w:rStyle w:val="RegularDKB"/>
          <w:rFonts w:asciiTheme="majorHAnsi" w:hAnsiTheme="majorHAnsi" w:cstheme="majorHAnsi"/>
          <w:b/>
          <w:bCs/>
          <w:caps w:val="0"/>
          <w:lang w:val="en-CA"/>
        </w:rPr>
      </w:pPr>
      <w:bookmarkStart w:id="26" w:name="_Toc126555828"/>
      <w:r w:rsidRPr="008216E8">
        <w:rPr>
          <w:rStyle w:val="RegularDKB"/>
          <w:rFonts w:asciiTheme="majorHAnsi" w:hAnsiTheme="majorHAnsi" w:cstheme="majorHAnsi"/>
          <w:b/>
          <w:bCs/>
          <w:caps w:val="0"/>
          <w:lang w:val="en-CA"/>
        </w:rPr>
        <w:t>Import Duties</w:t>
      </w:r>
      <w:bookmarkEnd w:id="26"/>
    </w:p>
    <w:p w14:paraId="6E973E84" w14:textId="77777777" w:rsidR="00333258" w:rsidRPr="00AE439E" w:rsidRDefault="00333258" w:rsidP="00E90BA7">
      <w:pPr>
        <w:pStyle w:val="Heading4"/>
        <w:spacing w:after="120" w:line="264" w:lineRule="auto"/>
        <w:jc w:val="both"/>
        <w:rPr>
          <w:rFonts w:ascii="Segoe UI" w:hAnsi="Segoe UI" w:cs="Segoe UI"/>
          <w:color w:val="004C97" w:themeColor="text2"/>
          <w:sz w:val="21"/>
          <w:szCs w:val="21"/>
          <w:lang w:val="en-CA"/>
        </w:rPr>
      </w:pPr>
      <w:r w:rsidRPr="00ED73A2">
        <w:rPr>
          <w:rFonts w:ascii="Segoe UI" w:hAnsi="Segoe UI" w:cs="Segoe UI"/>
          <w:color w:val="004C97" w:themeColor="text2"/>
          <w:sz w:val="21"/>
          <w:szCs w:val="21"/>
          <w:lang w:val="en-CA"/>
        </w:rPr>
        <w:t xml:space="preserve">Common </w:t>
      </w:r>
      <w:r w:rsidRPr="00E85CF3">
        <w:rPr>
          <w:rFonts w:ascii="Segoe UI" w:hAnsi="Segoe UI" w:cs="Segoe UI"/>
          <w:color w:val="004C97" w:themeColor="text2"/>
          <w:sz w:val="21"/>
          <w:szCs w:val="21"/>
          <w:lang w:val="en-CA"/>
        </w:rPr>
        <w:t>A</w:t>
      </w:r>
      <w:r w:rsidRPr="00AE439E">
        <w:rPr>
          <w:rFonts w:ascii="Segoe UI" w:hAnsi="Segoe UI" w:cs="Segoe UI"/>
          <w:color w:val="004C97" w:themeColor="text2"/>
          <w:sz w:val="21"/>
          <w:szCs w:val="21"/>
          <w:lang w:val="en-CA"/>
        </w:rPr>
        <w:t>pproach</w:t>
      </w:r>
    </w:p>
    <w:p w14:paraId="3B463115" w14:textId="5B600A16" w:rsidR="00333258" w:rsidRPr="00345E8B" w:rsidRDefault="00333258" w:rsidP="00E90BA7">
      <w:pPr>
        <w:jc w:val="both"/>
        <w:rPr>
          <w:rFonts w:ascii="Segoe UI" w:hAnsi="Segoe UI" w:cs="Segoe UI"/>
          <w:sz w:val="21"/>
          <w:szCs w:val="21"/>
          <w:lang w:val="en-CA"/>
        </w:rPr>
      </w:pPr>
      <w:r w:rsidRPr="00345E8B">
        <w:rPr>
          <w:rFonts w:ascii="Segoe UI" w:hAnsi="Segoe UI" w:cs="Segoe UI"/>
          <w:sz w:val="21"/>
          <w:szCs w:val="21"/>
          <w:lang w:val="en-CA"/>
        </w:rPr>
        <w:t>Import duties are tariffs levied on foreign goods (and, more rarely, services) imported into a country. Like other countries, Moldova levies import duties in order to raise revenues and to protect domestic producers from foreign competition. Both objectives, however, are of decreasing significance, as revenues from import tariffs represent a small (less than 3</w:t>
      </w:r>
      <w:r w:rsidR="007D1F17" w:rsidRPr="00345E8B">
        <w:rPr>
          <w:rFonts w:ascii="Segoe UI" w:hAnsi="Segoe UI" w:cs="Segoe UI"/>
          <w:sz w:val="21"/>
          <w:szCs w:val="21"/>
          <w:lang w:val="en-CA"/>
        </w:rPr>
        <w:t xml:space="preserve"> percent</w:t>
      </w:r>
      <w:r w:rsidRPr="00345E8B">
        <w:rPr>
          <w:rFonts w:ascii="Segoe UI" w:hAnsi="Segoe UI" w:cs="Segoe UI"/>
          <w:sz w:val="21"/>
          <w:szCs w:val="21"/>
          <w:lang w:val="en-CA"/>
        </w:rPr>
        <w:t xml:space="preserve">) and decreasing share of total government revenues, </w:t>
      </w:r>
      <w:r w:rsidR="001F5117" w:rsidRPr="00345E8B">
        <w:rPr>
          <w:rFonts w:ascii="Segoe UI" w:hAnsi="Segoe UI" w:cs="Segoe UI"/>
          <w:sz w:val="21"/>
          <w:szCs w:val="21"/>
          <w:lang w:val="en-CA"/>
        </w:rPr>
        <w:t xml:space="preserve">reflecting the fact that </w:t>
      </w:r>
      <w:r w:rsidRPr="00345E8B">
        <w:rPr>
          <w:rFonts w:ascii="Segoe UI" w:hAnsi="Segoe UI" w:cs="Segoe UI"/>
          <w:sz w:val="21"/>
          <w:szCs w:val="21"/>
          <w:lang w:val="en-CA"/>
        </w:rPr>
        <w:t>significant share of all imported goods are subject to nil or low tariffs under the existing tariff structure and free trade agreements.</w:t>
      </w:r>
      <w:r w:rsidR="001F5117" w:rsidRPr="00345E8B">
        <w:rPr>
          <w:rStyle w:val="FootnoteReference"/>
          <w:rFonts w:ascii="Segoe UI" w:hAnsi="Segoe UI" w:cs="Segoe UI"/>
          <w:sz w:val="21"/>
          <w:szCs w:val="21"/>
          <w:lang w:val="en-CA"/>
        </w:rPr>
        <w:footnoteReference w:id="25"/>
      </w:r>
    </w:p>
    <w:p w14:paraId="0ED5D876" w14:textId="77777777" w:rsidR="00333258" w:rsidRPr="00345E8B" w:rsidRDefault="00333258" w:rsidP="00E90BA7">
      <w:pPr>
        <w:jc w:val="both"/>
        <w:rPr>
          <w:rFonts w:ascii="Segoe UI" w:hAnsi="Segoe UI" w:cs="Segoe UI"/>
          <w:sz w:val="21"/>
          <w:szCs w:val="21"/>
          <w:lang w:val="en-CA"/>
        </w:rPr>
      </w:pPr>
      <w:r w:rsidRPr="00345E8B">
        <w:rPr>
          <w:rFonts w:ascii="Segoe UI" w:hAnsi="Segoe UI" w:cs="Segoe UI"/>
          <w:sz w:val="21"/>
          <w:szCs w:val="21"/>
          <w:lang w:val="en-CA"/>
        </w:rPr>
        <w:t>On that basis, the benchmark tax base for import duties is considered to consist in all imports of goods intended for consumption by households or use as inputs by businesses. Imports of financial assets (e.g., currencies, securities) is not considered to be part of the benchmark tax base. Benchmark import duty tariffs are assumed to correspond to the applicable tariffs, including tariffs that are set out under a free trade agreement, on the grounds that the existing tariff structure reflects the level of protection desired by the government, and that attempting to identify the tariff structure that would offer an “optimal” level of protection would not be practical.</w:t>
      </w:r>
    </w:p>
    <w:p w14:paraId="3CDDD493" w14:textId="77777777" w:rsidR="00333258" w:rsidRPr="00E85CF3" w:rsidRDefault="00333258" w:rsidP="00E90BA7">
      <w:pPr>
        <w:pStyle w:val="Heading4"/>
        <w:spacing w:after="120" w:line="264" w:lineRule="auto"/>
        <w:jc w:val="both"/>
        <w:rPr>
          <w:rFonts w:ascii="Segoe UI" w:hAnsi="Segoe UI" w:cs="Segoe UI"/>
          <w:color w:val="004C97" w:themeColor="text2"/>
          <w:sz w:val="21"/>
          <w:szCs w:val="21"/>
          <w:lang w:val="en-CA"/>
        </w:rPr>
      </w:pPr>
      <w:r w:rsidRPr="00ED73A2">
        <w:rPr>
          <w:rFonts w:ascii="Segoe UI" w:hAnsi="Segoe UI" w:cs="Segoe UI"/>
          <w:color w:val="004C97" w:themeColor="text2"/>
          <w:sz w:val="21"/>
          <w:szCs w:val="21"/>
          <w:lang w:val="en-CA"/>
        </w:rPr>
        <w:lastRenderedPageBreak/>
        <w:t xml:space="preserve">Moldovan </w:t>
      </w:r>
      <w:r w:rsidRPr="00E85CF3">
        <w:rPr>
          <w:rFonts w:ascii="Segoe UI" w:hAnsi="Segoe UI" w:cs="Segoe UI"/>
          <w:color w:val="004C97" w:themeColor="text2"/>
          <w:sz w:val="21"/>
          <w:szCs w:val="21"/>
          <w:lang w:val="en-CA"/>
        </w:rPr>
        <w:t xml:space="preserve">Import Tariff Structure </w:t>
      </w:r>
    </w:p>
    <w:p w14:paraId="2530DD9A" w14:textId="074C2582" w:rsidR="00333258" w:rsidRPr="00345E8B" w:rsidRDefault="00333258" w:rsidP="00E90BA7">
      <w:pPr>
        <w:jc w:val="both"/>
        <w:rPr>
          <w:rFonts w:ascii="Segoe UI" w:hAnsi="Segoe UI" w:cs="Segoe UI"/>
          <w:sz w:val="21"/>
          <w:szCs w:val="21"/>
          <w:lang w:val="en-CA"/>
        </w:rPr>
      </w:pPr>
      <w:r w:rsidRPr="00345E8B">
        <w:rPr>
          <w:rFonts w:ascii="Segoe UI" w:hAnsi="Segoe UI" w:cs="Segoe UI"/>
          <w:sz w:val="21"/>
          <w:szCs w:val="21"/>
          <w:lang w:val="en-CA"/>
        </w:rPr>
        <w:t>Moldova’s import tariff structure is set out in the Combined Nomenclature of Goods.</w:t>
      </w:r>
      <w:r w:rsidRPr="00345E8B">
        <w:rPr>
          <w:rStyle w:val="FootnoteReference"/>
          <w:rFonts w:ascii="Segoe UI" w:hAnsi="Segoe UI" w:cs="Segoe UI"/>
          <w:sz w:val="21"/>
          <w:szCs w:val="21"/>
          <w:lang w:val="en-CA"/>
        </w:rPr>
        <w:footnoteReference w:id="26"/>
      </w:r>
      <w:r w:rsidRPr="00345E8B">
        <w:rPr>
          <w:rFonts w:ascii="Segoe UI" w:hAnsi="Segoe UI" w:cs="Segoe UI"/>
          <w:sz w:val="21"/>
          <w:szCs w:val="21"/>
          <w:lang w:val="en-CA"/>
        </w:rPr>
        <w:t xml:space="preserve"> Tariffs are set for some 9,600 different line items and are expressed either on a specific or ad valorem basis. Tariffs negotiated under a free trade agreement override the domestic tariffs.</w:t>
      </w:r>
      <w:r w:rsidRPr="00345E8B">
        <w:rPr>
          <w:rStyle w:val="FootnoteReference"/>
          <w:rFonts w:ascii="Segoe UI" w:hAnsi="Segoe UI" w:cs="Segoe UI"/>
          <w:sz w:val="21"/>
          <w:szCs w:val="21"/>
          <w:lang w:val="en-CA"/>
        </w:rPr>
        <w:footnoteReference w:id="27"/>
      </w:r>
    </w:p>
    <w:p w14:paraId="5EB21A63" w14:textId="08AD38AC" w:rsidR="00333258" w:rsidRPr="00345E8B" w:rsidRDefault="00333258" w:rsidP="00E90BA7">
      <w:pPr>
        <w:jc w:val="both"/>
        <w:rPr>
          <w:rFonts w:ascii="Segoe UI" w:hAnsi="Segoe UI" w:cs="Segoe UI"/>
          <w:sz w:val="21"/>
          <w:szCs w:val="21"/>
          <w:lang w:val="en-CA"/>
        </w:rPr>
      </w:pPr>
      <w:r w:rsidRPr="00345E8B">
        <w:rPr>
          <w:rFonts w:ascii="Segoe UI" w:hAnsi="Segoe UI" w:cs="Segoe UI"/>
          <w:sz w:val="21"/>
          <w:szCs w:val="21"/>
          <w:lang w:val="en-CA"/>
        </w:rPr>
        <w:t xml:space="preserve">As the applicable import tariff structure is considered to be part of the benchmark, measures that depart from the benchmark and that are considered </w:t>
      </w:r>
      <w:r w:rsidR="00190352">
        <w:rPr>
          <w:rFonts w:ascii="Segoe UI" w:hAnsi="Segoe UI" w:cs="Segoe UI"/>
          <w:sz w:val="21"/>
          <w:szCs w:val="21"/>
          <w:lang w:val="en-CA"/>
        </w:rPr>
        <w:t>TE</w:t>
      </w:r>
      <w:r w:rsidRPr="00345E8B">
        <w:rPr>
          <w:rFonts w:ascii="Segoe UI" w:hAnsi="Segoe UI" w:cs="Segoe UI"/>
          <w:sz w:val="21"/>
          <w:szCs w:val="21"/>
          <w:lang w:val="en-CA"/>
        </w:rPr>
        <w:t>s are limited to the specific exemptions that are set out under the domestic legislation. These consist primarily in the specific exemptions that are set out under article 28 of the Customs Tariff (Law no. 1380/1997), as well as those included in the new Customs Code. The new Customs Code (Law no. 95/2021), which has been adopted and will become effective on July 1, 2023, includes a revised list of specific exemptions.</w:t>
      </w:r>
      <w:r w:rsidRPr="00345E8B">
        <w:rPr>
          <w:rStyle w:val="FootnoteReference"/>
          <w:rFonts w:ascii="Segoe UI" w:hAnsi="Segoe UI" w:cs="Segoe UI"/>
          <w:sz w:val="21"/>
          <w:szCs w:val="21"/>
          <w:lang w:val="en-CA"/>
        </w:rPr>
        <w:footnoteReference w:id="28"/>
      </w:r>
      <w:r w:rsidRPr="00345E8B">
        <w:rPr>
          <w:rFonts w:ascii="Segoe UI" w:hAnsi="Segoe UI" w:cs="Segoe UI"/>
          <w:sz w:val="21"/>
          <w:szCs w:val="21"/>
          <w:lang w:val="en-CA"/>
        </w:rPr>
        <w:t xml:space="preserve"> Upon entry into effect of the new code, the existing Customs Code (Law no. 1149/2000) and Customs Tariff will cease to have effect, along with Law no. 1569/2002 regarding the manner of introduction and removal of goods from the territory of the Republic of Moldova by natural persons. The </w:t>
      </w:r>
      <w:r w:rsidR="00190352">
        <w:rPr>
          <w:rFonts w:ascii="Segoe UI" w:hAnsi="Segoe UI" w:cs="Segoe UI"/>
          <w:sz w:val="21"/>
          <w:szCs w:val="21"/>
          <w:lang w:val="en-CA"/>
        </w:rPr>
        <w:t>TE</w:t>
      </w:r>
      <w:r w:rsidRPr="00345E8B">
        <w:rPr>
          <w:rFonts w:ascii="Segoe UI" w:hAnsi="Segoe UI" w:cs="Segoe UI"/>
          <w:sz w:val="21"/>
          <w:szCs w:val="21"/>
          <w:lang w:val="en-CA"/>
        </w:rPr>
        <w:t xml:space="preserve">s presented in </w:t>
      </w:r>
      <w:r w:rsidR="00D278EF" w:rsidRPr="00345E8B">
        <w:rPr>
          <w:rFonts w:ascii="Segoe UI" w:hAnsi="Segoe UI" w:cs="Segoe UI"/>
          <w:sz w:val="21"/>
          <w:szCs w:val="21"/>
          <w:lang w:val="en-CA"/>
        </w:rPr>
        <w:t>A</w:t>
      </w:r>
      <w:r w:rsidRPr="00345E8B">
        <w:rPr>
          <w:rFonts w:ascii="Segoe UI" w:hAnsi="Segoe UI" w:cs="Segoe UI"/>
          <w:sz w:val="21"/>
          <w:szCs w:val="21"/>
          <w:lang w:val="en-CA"/>
        </w:rPr>
        <w:t xml:space="preserve">ppendix </w:t>
      </w:r>
      <w:r w:rsidRPr="007E105D">
        <w:rPr>
          <w:rFonts w:ascii="Segoe UI" w:hAnsi="Segoe UI" w:cs="Segoe UI"/>
          <w:sz w:val="21"/>
          <w:szCs w:val="21"/>
          <w:lang w:val="en-CA"/>
        </w:rPr>
        <w:t>6</w:t>
      </w:r>
      <w:r w:rsidRPr="00345E8B">
        <w:rPr>
          <w:rFonts w:ascii="Segoe UI" w:hAnsi="Segoe UI" w:cs="Segoe UI"/>
          <w:sz w:val="21"/>
          <w:szCs w:val="21"/>
          <w:lang w:val="en-CA"/>
        </w:rPr>
        <w:t xml:space="preserve"> to this report include exemptions under both the current and new legislation, including existing exemptions that were not retained under the new Customs Code and that will no longer have effect as of July 1, 2023.</w:t>
      </w:r>
    </w:p>
    <w:p w14:paraId="7C232BF0" w14:textId="04CA2826" w:rsidR="00FE0973" w:rsidRPr="00255CEB" w:rsidRDefault="00FE0973" w:rsidP="00E90BA7">
      <w:pPr>
        <w:pStyle w:val="Heading3"/>
        <w:keepNext/>
        <w:jc w:val="both"/>
        <w:rPr>
          <w:rStyle w:val="RegularDKB"/>
          <w:b/>
          <w:bCs/>
          <w:caps w:val="0"/>
        </w:rPr>
      </w:pPr>
      <w:bookmarkStart w:id="27" w:name="_Toc126555829"/>
      <w:r w:rsidRPr="00255CEB">
        <w:rPr>
          <w:rStyle w:val="RegularDKB"/>
          <w:b/>
          <w:bCs/>
          <w:caps w:val="0"/>
        </w:rPr>
        <w:t>Real Estate Tax</w:t>
      </w:r>
      <w:bookmarkEnd w:id="27"/>
    </w:p>
    <w:p w14:paraId="29CDBE63" w14:textId="77777777" w:rsidR="00C36E68" w:rsidRPr="00CB1E53" w:rsidRDefault="00C36E68" w:rsidP="00E90BA7">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Common approach</w:t>
      </w:r>
    </w:p>
    <w:p w14:paraId="550DA6AB" w14:textId="32E64737" w:rsidR="00C36E68" w:rsidRPr="00CA17C6" w:rsidRDefault="00C36E68" w:rsidP="00E90BA7">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For a comprehensive </w:t>
      </w:r>
      <w:r w:rsidRPr="00CA17C6">
        <w:rPr>
          <w:rFonts w:ascii="Segoe UI" w:hAnsi="Segoe UI" w:cs="Segoe UI"/>
          <w:sz w:val="21"/>
          <w:szCs w:val="21"/>
        </w:rPr>
        <w:t>real estate tax at a uniform rate, the benchmark would be the legislated recurrent property tax imposed on a select</w:t>
      </w:r>
      <w:r w:rsidR="00BF38F1">
        <w:rPr>
          <w:rFonts w:ascii="Segoe UI" w:hAnsi="Segoe UI" w:cs="Segoe UI"/>
          <w:sz w:val="21"/>
          <w:szCs w:val="21"/>
        </w:rPr>
        <w:t>ed</w:t>
      </w:r>
      <w:r w:rsidRPr="00CA17C6">
        <w:rPr>
          <w:rFonts w:ascii="Segoe UI" w:hAnsi="Segoe UI" w:cs="Segoe UI"/>
          <w:sz w:val="21"/>
          <w:szCs w:val="21"/>
        </w:rPr>
        <w:t xml:space="preserve"> tax base</w:t>
      </w:r>
      <w:r w:rsidR="00B71240">
        <w:rPr>
          <w:rFonts w:ascii="Segoe UI" w:hAnsi="Segoe UI" w:cs="Segoe UI"/>
          <w:sz w:val="21"/>
          <w:szCs w:val="21"/>
        </w:rPr>
        <w:t>,</w:t>
      </w:r>
      <w:r w:rsidRPr="00CA17C6">
        <w:rPr>
          <w:rFonts w:ascii="Segoe UI" w:hAnsi="Segoe UI" w:cs="Segoe UI"/>
          <w:sz w:val="21"/>
          <w:szCs w:val="21"/>
        </w:rPr>
        <w:t xml:space="preserve"> with a single statutory tax rate. A rate schedule, differentiated between residential and non-residential use of properties may constitute a deviation from the benchmark regime. Inclusion of any other tax relief measure would clearly represent a TE.</w:t>
      </w:r>
    </w:p>
    <w:p w14:paraId="4A81AD57" w14:textId="3BF52E6B" w:rsidR="00C36E68" w:rsidRPr="00CA17C6" w:rsidRDefault="00C36E68" w:rsidP="00E90BA7">
      <w:pPr>
        <w:jc w:val="both"/>
        <w:rPr>
          <w:rFonts w:ascii="Segoe UI" w:hAnsi="Segoe UI" w:cs="Segoe UI"/>
          <w:sz w:val="21"/>
          <w:szCs w:val="21"/>
        </w:rPr>
      </w:pPr>
      <w:r w:rsidRPr="00CA17C6">
        <w:rPr>
          <w:rFonts w:ascii="Segoe UI" w:hAnsi="Segoe UI" w:cs="Segoe UI"/>
          <w:sz w:val="21"/>
          <w:szCs w:val="21"/>
        </w:rPr>
        <w:t>A standard property tax regime can be based on surface area or a value-based assessment, using commonly the valuation standard of market value</w:t>
      </w:r>
      <w:r w:rsidRPr="00CA17C6">
        <w:rPr>
          <w:rStyle w:val="FootnoteReference"/>
          <w:rFonts w:ascii="Segoe UI" w:hAnsi="Segoe UI" w:cs="Segoe UI"/>
          <w:sz w:val="21"/>
          <w:szCs w:val="21"/>
        </w:rPr>
        <w:footnoteReference w:id="29"/>
      </w:r>
      <w:r>
        <w:rPr>
          <w:rFonts w:ascii="Segoe UI" w:hAnsi="Segoe UI" w:cs="Segoe UI"/>
          <w:sz w:val="21"/>
          <w:szCs w:val="21"/>
        </w:rPr>
        <w:t xml:space="preserve"> of </w:t>
      </w:r>
      <w:r w:rsidRPr="00CA17C6">
        <w:rPr>
          <w:rFonts w:ascii="Segoe UI" w:hAnsi="Segoe UI" w:cs="Segoe UI"/>
          <w:sz w:val="21"/>
          <w:szCs w:val="21"/>
        </w:rPr>
        <w:t xml:space="preserve">the immovable properties. Area-based property tax systems at comparable international tax rates are less revenue-productive than value-based systems. However, it cannot be argued that a jurisdiction employing both systems—i.e., applying the value-based system in urban areas whilst using a surface-based regime in rural undeveloped regions, is offering a </w:t>
      </w:r>
      <w:r w:rsidR="00C30CE3">
        <w:rPr>
          <w:rFonts w:ascii="Segoe UI" w:hAnsi="Segoe UI" w:cs="Segoe UI"/>
          <w:sz w:val="21"/>
          <w:szCs w:val="21"/>
        </w:rPr>
        <w:t>TE</w:t>
      </w:r>
      <w:r w:rsidRPr="00CA17C6">
        <w:rPr>
          <w:rFonts w:ascii="Segoe UI" w:hAnsi="Segoe UI" w:cs="Segoe UI"/>
          <w:sz w:val="21"/>
          <w:szCs w:val="21"/>
        </w:rPr>
        <w:t xml:space="preserve"> to rural property owners. This choice is primarily informed by a jurisdiction’s property valuation capacity (e.g., the inability to periodically but regularly revalue rural properties). Hence, </w:t>
      </w:r>
      <w:r w:rsidR="006F780C">
        <w:rPr>
          <w:rFonts w:ascii="Segoe UI" w:hAnsi="Segoe UI" w:cs="Segoe UI"/>
          <w:sz w:val="21"/>
          <w:szCs w:val="21"/>
        </w:rPr>
        <w:t>b</w:t>
      </w:r>
      <w:r w:rsidR="006F780C" w:rsidRPr="00CA17C6">
        <w:rPr>
          <w:rFonts w:ascii="Segoe UI" w:hAnsi="Segoe UI" w:cs="Segoe UI"/>
          <w:sz w:val="21"/>
          <w:szCs w:val="21"/>
        </w:rPr>
        <w:t>oth systems are benchmark</w:t>
      </w:r>
      <w:r w:rsidR="006F780C">
        <w:rPr>
          <w:rFonts w:ascii="Segoe UI" w:hAnsi="Segoe UI" w:cs="Segoe UI"/>
          <w:sz w:val="21"/>
          <w:szCs w:val="21"/>
        </w:rPr>
        <w:t>, and</w:t>
      </w:r>
      <w:r w:rsidR="006F780C" w:rsidRPr="00CA17C6">
        <w:rPr>
          <w:rFonts w:ascii="Segoe UI" w:hAnsi="Segoe UI" w:cs="Segoe UI"/>
          <w:sz w:val="21"/>
          <w:szCs w:val="21"/>
        </w:rPr>
        <w:t xml:space="preserve"> </w:t>
      </w:r>
      <w:r w:rsidRPr="00CA17C6">
        <w:rPr>
          <w:rFonts w:ascii="Segoe UI" w:hAnsi="Segoe UI" w:cs="Segoe UI"/>
          <w:sz w:val="21"/>
          <w:szCs w:val="21"/>
        </w:rPr>
        <w:t xml:space="preserve">the use of a simpler approach that applies a specific rate to the surface area of rural properties, perhaps many in numbers, is not a deviation </w:t>
      </w:r>
      <w:r w:rsidR="00C72580">
        <w:rPr>
          <w:rFonts w:ascii="Segoe UI" w:hAnsi="Segoe UI" w:cs="Segoe UI"/>
          <w:sz w:val="21"/>
          <w:szCs w:val="21"/>
        </w:rPr>
        <w:t xml:space="preserve">from the </w:t>
      </w:r>
      <w:r w:rsidRPr="00CA17C6">
        <w:rPr>
          <w:rFonts w:ascii="Segoe UI" w:hAnsi="Segoe UI" w:cs="Segoe UI"/>
          <w:sz w:val="21"/>
          <w:szCs w:val="21"/>
        </w:rPr>
        <w:t xml:space="preserve">benchmark. </w:t>
      </w:r>
      <w:r w:rsidR="002C593A">
        <w:rPr>
          <w:rFonts w:ascii="Segoe UI" w:hAnsi="Segoe UI" w:cs="Segoe UI"/>
          <w:sz w:val="21"/>
          <w:szCs w:val="21"/>
        </w:rPr>
        <w:t xml:space="preserve">On the other hand, </w:t>
      </w:r>
      <w:r w:rsidR="00471715">
        <w:rPr>
          <w:rFonts w:ascii="Segoe UI" w:hAnsi="Segoe UI" w:cs="Segoe UI"/>
          <w:sz w:val="21"/>
          <w:szCs w:val="21"/>
        </w:rPr>
        <w:t>s</w:t>
      </w:r>
      <w:r w:rsidRPr="00CA17C6">
        <w:rPr>
          <w:rFonts w:ascii="Segoe UI" w:hAnsi="Segoe UI" w:cs="Segoe UI"/>
          <w:sz w:val="21"/>
          <w:szCs w:val="21"/>
        </w:rPr>
        <w:t>ectoral exclusions</w:t>
      </w:r>
      <w:r w:rsidR="00B57B65">
        <w:rPr>
          <w:rFonts w:ascii="Segoe UI" w:hAnsi="Segoe UI" w:cs="Segoe UI"/>
          <w:sz w:val="21"/>
          <w:szCs w:val="21"/>
        </w:rPr>
        <w:t>,</w:t>
      </w:r>
      <w:r w:rsidRPr="00CA17C6">
        <w:rPr>
          <w:rFonts w:ascii="Segoe UI" w:hAnsi="Segoe UI" w:cs="Segoe UI"/>
          <w:sz w:val="21"/>
          <w:szCs w:val="21"/>
        </w:rPr>
        <w:t xml:space="preserve"> or exemptions of property owners or associated property categories</w:t>
      </w:r>
      <w:r w:rsidR="003D1C4B">
        <w:rPr>
          <w:rFonts w:ascii="Segoe UI" w:hAnsi="Segoe UI" w:cs="Segoe UI"/>
          <w:sz w:val="21"/>
          <w:szCs w:val="21"/>
        </w:rPr>
        <w:t>,</w:t>
      </w:r>
      <w:r w:rsidRPr="00CA17C6">
        <w:rPr>
          <w:rFonts w:ascii="Segoe UI" w:hAnsi="Segoe UI" w:cs="Segoe UI"/>
          <w:sz w:val="21"/>
          <w:szCs w:val="21"/>
        </w:rPr>
        <w:t xml:space="preserve"> constitute a deviation from the benchmark, i.e., </w:t>
      </w:r>
      <w:r w:rsidR="007D6F7E">
        <w:rPr>
          <w:rFonts w:ascii="Segoe UI" w:hAnsi="Segoe UI" w:cs="Segoe UI"/>
          <w:sz w:val="21"/>
          <w:szCs w:val="21"/>
        </w:rPr>
        <w:t>are</w:t>
      </w:r>
      <w:r w:rsidRPr="00CA17C6">
        <w:rPr>
          <w:rFonts w:ascii="Segoe UI" w:hAnsi="Segoe UI" w:cs="Segoe UI"/>
          <w:sz w:val="21"/>
          <w:szCs w:val="21"/>
        </w:rPr>
        <w:t xml:space="preserve"> </w:t>
      </w:r>
      <w:r w:rsidR="00C30CE3">
        <w:rPr>
          <w:rFonts w:ascii="Segoe UI" w:hAnsi="Segoe UI" w:cs="Segoe UI"/>
          <w:sz w:val="21"/>
          <w:szCs w:val="21"/>
        </w:rPr>
        <w:t>TEs</w:t>
      </w:r>
      <w:r w:rsidRPr="00CA17C6">
        <w:rPr>
          <w:rFonts w:ascii="Segoe UI" w:hAnsi="Segoe UI" w:cs="Segoe UI"/>
          <w:sz w:val="21"/>
          <w:szCs w:val="21"/>
        </w:rPr>
        <w:t xml:space="preserve">. </w:t>
      </w:r>
    </w:p>
    <w:p w14:paraId="39CC36EA" w14:textId="2A4F3A60" w:rsidR="00C36E68" w:rsidRPr="00CA17C6" w:rsidRDefault="005B0FB2" w:rsidP="00E90BA7">
      <w:pPr>
        <w:pStyle w:val="ParagraphNumbering"/>
        <w:numPr>
          <w:ilvl w:val="0"/>
          <w:numId w:val="0"/>
        </w:numPr>
        <w:tabs>
          <w:tab w:val="num" w:pos="1530"/>
        </w:tabs>
        <w:spacing w:after="240" w:line="264" w:lineRule="auto"/>
        <w:jc w:val="both"/>
        <w:rPr>
          <w:rFonts w:ascii="Segoe UI" w:hAnsi="Segoe UI" w:cs="Segoe UI"/>
          <w:sz w:val="21"/>
          <w:szCs w:val="21"/>
        </w:rPr>
      </w:pPr>
      <w:r>
        <w:rPr>
          <w:rFonts w:ascii="Segoe UI" w:hAnsi="Segoe UI" w:cs="Segoe UI"/>
          <w:sz w:val="21"/>
          <w:szCs w:val="21"/>
        </w:rPr>
        <w:lastRenderedPageBreak/>
        <w:t>Often</w:t>
      </w:r>
      <w:r w:rsidR="00C36E68" w:rsidRPr="00CA17C6">
        <w:rPr>
          <w:rFonts w:ascii="Segoe UI" w:hAnsi="Segoe UI" w:cs="Segoe UI"/>
          <w:sz w:val="21"/>
          <w:szCs w:val="21"/>
        </w:rPr>
        <w:t>, due to political and socio-economic considerations, differentiated rates, exemptions, exclusions, and tax-free value thresholds</w:t>
      </w:r>
      <w:r>
        <w:rPr>
          <w:rFonts w:ascii="Segoe UI" w:hAnsi="Segoe UI" w:cs="Segoe UI"/>
          <w:sz w:val="21"/>
          <w:szCs w:val="21"/>
        </w:rPr>
        <w:t xml:space="preserve"> are applied</w:t>
      </w:r>
      <w:r w:rsidR="00084D46">
        <w:rPr>
          <w:rFonts w:ascii="Segoe UI" w:hAnsi="Segoe UI" w:cs="Segoe UI"/>
          <w:sz w:val="21"/>
          <w:szCs w:val="21"/>
        </w:rPr>
        <w:t xml:space="preserve"> </w:t>
      </w:r>
      <w:r w:rsidR="00C36E68" w:rsidRPr="00CA17C6">
        <w:rPr>
          <w:rFonts w:ascii="Segoe UI" w:hAnsi="Segoe UI" w:cs="Segoe UI"/>
          <w:sz w:val="21"/>
          <w:szCs w:val="21"/>
        </w:rPr>
        <w:t>to accommodate economic hardship cases. Tax relief through exempting properties from property tax is often extended to so-called “cash poor vs</w:t>
      </w:r>
      <w:r w:rsidR="002A5838">
        <w:rPr>
          <w:rFonts w:ascii="Segoe UI" w:hAnsi="Segoe UI" w:cs="Segoe UI"/>
          <w:sz w:val="21"/>
          <w:szCs w:val="21"/>
        </w:rPr>
        <w:t>.</w:t>
      </w:r>
      <w:r w:rsidR="00C36E68" w:rsidRPr="00CA17C6">
        <w:rPr>
          <w:rFonts w:ascii="Segoe UI" w:hAnsi="Segoe UI" w:cs="Segoe UI"/>
          <w:sz w:val="21"/>
          <w:szCs w:val="21"/>
        </w:rPr>
        <w:t xml:space="preserve"> asset-rich households” (i.e., pensioners that no longer can afford property tax liabilities). Also, some business sectors are incentivized through non-taxation. In assessing whether to exempt certain properties from property tax and regard them as distinct deviations from the benchmark property tax system, the following analytical questions are useful: (1) what cost does the exempt property impose on local (or central) government with regard to service delivery (e.g., utilities and infrastructure); (2) should the property be billed by user-charging for the costs it imposes; (3) does the property owner create public good benefits that exceed the value of tax forgiveness; and (4) would the tax exemption provide the owner with an unfair economic advantage? These questions assist in determining whether a property tax provision represents benchmark treatment or is an explicit discretionary exemption leading to revenue losses and erosion of the tax base. </w:t>
      </w:r>
    </w:p>
    <w:p w14:paraId="04F37C20" w14:textId="493C13CD" w:rsidR="00C36E68" w:rsidRPr="00CA17C6" w:rsidRDefault="00C36E68" w:rsidP="00E90BA7">
      <w:pPr>
        <w:jc w:val="both"/>
        <w:rPr>
          <w:rFonts w:ascii="Segoe UI" w:hAnsi="Segoe UI" w:cs="Segoe UI"/>
          <w:i/>
          <w:sz w:val="21"/>
          <w:szCs w:val="21"/>
        </w:rPr>
      </w:pPr>
      <w:r w:rsidRPr="00CA17C6">
        <w:rPr>
          <w:rFonts w:ascii="Segoe UI" w:hAnsi="Segoe UI" w:cs="Segoe UI"/>
          <w:i/>
          <w:sz w:val="21"/>
          <w:szCs w:val="21"/>
        </w:rPr>
        <w:t>International organizations and public benefit organizations</w:t>
      </w:r>
      <w:r w:rsidR="0019601E" w:rsidRPr="00CA17C6">
        <w:rPr>
          <w:rFonts w:ascii="Segoe UI" w:hAnsi="Segoe UI" w:cs="Segoe UI"/>
          <w:i/>
          <w:sz w:val="21"/>
          <w:szCs w:val="21"/>
        </w:rPr>
        <w:t xml:space="preserve">. </w:t>
      </w:r>
      <w:r w:rsidRPr="00CA17C6">
        <w:rPr>
          <w:rFonts w:ascii="Segoe UI" w:hAnsi="Segoe UI" w:cs="Segoe UI"/>
          <w:sz w:val="21"/>
          <w:szCs w:val="21"/>
        </w:rPr>
        <w:t>Tax relief from property taxes should be restricted to properties that meet narrowly defined criteria.</w:t>
      </w:r>
      <w:r w:rsidRPr="00CA17C6">
        <w:rPr>
          <w:rFonts w:ascii="Segoe UI" w:hAnsi="Segoe UI" w:cs="Segoe UI"/>
          <w:b/>
          <w:sz w:val="21"/>
          <w:szCs w:val="21"/>
        </w:rPr>
        <w:t xml:space="preserve"> </w:t>
      </w:r>
      <w:r w:rsidRPr="00CA17C6">
        <w:rPr>
          <w:rFonts w:ascii="Segoe UI" w:hAnsi="Segoe UI" w:cs="Segoe UI"/>
          <w:sz w:val="21"/>
          <w:szCs w:val="21"/>
        </w:rPr>
        <w:t xml:space="preserve">This includes properties that are tax exempt through international conventions such as embassies and international organizations. Irrespective of the reciprocity requirement and being legitimate exempt properties, the revenue loss should nevertheless be estimated as they are deviations from the benchmark. </w:t>
      </w:r>
      <w:r w:rsidR="00BD30D9" w:rsidRPr="00CA17C6">
        <w:rPr>
          <w:rFonts w:ascii="Segoe UI" w:hAnsi="Segoe UI" w:cs="Segoe UI"/>
          <w:sz w:val="21"/>
          <w:szCs w:val="21"/>
        </w:rPr>
        <w:t>An inclusive approach would suggest the imposition of property taxes on all cultural, religious, and public benefit organizations.</w:t>
      </w:r>
      <w:r w:rsidR="00E667AB">
        <w:rPr>
          <w:rFonts w:ascii="Segoe UI" w:hAnsi="Segoe UI" w:cs="Segoe UI"/>
          <w:sz w:val="21"/>
          <w:szCs w:val="21"/>
        </w:rPr>
        <w:t xml:space="preserve"> </w:t>
      </w:r>
      <w:r w:rsidR="006E6EAE" w:rsidRPr="00CA17C6">
        <w:rPr>
          <w:rFonts w:ascii="Segoe UI" w:hAnsi="Segoe UI" w:cs="Segoe UI"/>
          <w:sz w:val="21"/>
          <w:szCs w:val="21"/>
        </w:rPr>
        <w:t xml:space="preserve">Few countries do so, but the granted exemptions are TEs and their forgone revenues should be reported. </w:t>
      </w:r>
      <w:r w:rsidRPr="00CA17C6">
        <w:rPr>
          <w:rFonts w:ascii="Segoe UI" w:hAnsi="Segoe UI" w:cs="Segoe UI"/>
          <w:sz w:val="21"/>
          <w:szCs w:val="21"/>
        </w:rPr>
        <w:t xml:space="preserve">Properties not directly used for public benefit activities should be taxed and only the church sanctuary should be exempted from property taxes. </w:t>
      </w:r>
      <w:r w:rsidR="00F030B0">
        <w:rPr>
          <w:rFonts w:ascii="Segoe UI" w:hAnsi="Segoe UI" w:cs="Segoe UI"/>
          <w:sz w:val="21"/>
          <w:szCs w:val="21"/>
        </w:rPr>
        <w:t>R</w:t>
      </w:r>
      <w:r w:rsidRPr="00CA17C6">
        <w:rPr>
          <w:rFonts w:ascii="Segoe UI" w:hAnsi="Segoe UI" w:cs="Segoe UI"/>
          <w:sz w:val="21"/>
          <w:szCs w:val="21"/>
        </w:rPr>
        <w:t xml:space="preserve">ental lands owned by the church should attract property tax. </w:t>
      </w:r>
    </w:p>
    <w:p w14:paraId="309FB168" w14:textId="59226FE1" w:rsidR="00C36E68" w:rsidRPr="00CA17C6" w:rsidRDefault="00C36E68" w:rsidP="00E90BA7">
      <w:pPr>
        <w:jc w:val="both"/>
        <w:rPr>
          <w:rFonts w:ascii="Segoe UI" w:hAnsi="Segoe UI" w:cs="Segoe UI"/>
          <w:sz w:val="21"/>
          <w:szCs w:val="21"/>
        </w:rPr>
      </w:pPr>
      <w:r w:rsidRPr="00CA17C6">
        <w:rPr>
          <w:rFonts w:ascii="Segoe UI" w:hAnsi="Segoe UI" w:cs="Segoe UI"/>
          <w:i/>
          <w:sz w:val="21"/>
          <w:szCs w:val="21"/>
        </w:rPr>
        <w:t>Low-income households</w:t>
      </w:r>
      <w:r w:rsidR="0019601E" w:rsidRPr="00CA17C6">
        <w:rPr>
          <w:rFonts w:ascii="Segoe UI" w:hAnsi="Segoe UI" w:cs="Segoe UI"/>
          <w:i/>
          <w:sz w:val="21"/>
          <w:szCs w:val="21"/>
        </w:rPr>
        <w:t xml:space="preserve">. </w:t>
      </w:r>
      <w:r w:rsidRPr="00CA17C6">
        <w:rPr>
          <w:rFonts w:ascii="Segoe UI" w:hAnsi="Segoe UI" w:cs="Segoe UI"/>
          <w:sz w:val="21"/>
          <w:szCs w:val="21"/>
        </w:rPr>
        <w:t>Good reasons exist for introducing relief that shields low-income owners from potential adverse impacts of property taxes.</w:t>
      </w:r>
      <w:r w:rsidRPr="00CA17C6">
        <w:rPr>
          <w:rFonts w:ascii="Segoe UI" w:hAnsi="Segoe UI" w:cs="Segoe UI"/>
          <w:b/>
          <w:sz w:val="21"/>
          <w:szCs w:val="21"/>
        </w:rPr>
        <w:t xml:space="preserve"> </w:t>
      </w:r>
      <w:r w:rsidRPr="00CA17C6">
        <w:rPr>
          <w:rFonts w:ascii="Segoe UI" w:hAnsi="Segoe UI" w:cs="Segoe UI"/>
          <w:sz w:val="21"/>
          <w:szCs w:val="21"/>
        </w:rPr>
        <w:t>Measures may entail forgiving property tax for those living in properties below a stated value or area threshold.</w:t>
      </w:r>
      <w:r w:rsidRPr="00CA17C6">
        <w:rPr>
          <w:rFonts w:ascii="Segoe UI" w:hAnsi="Segoe UI" w:cs="Segoe UI"/>
          <w:b/>
          <w:sz w:val="21"/>
          <w:szCs w:val="21"/>
        </w:rPr>
        <w:t xml:space="preserve"> </w:t>
      </w:r>
      <w:r w:rsidRPr="00CA17C6">
        <w:rPr>
          <w:rFonts w:ascii="Segoe UI" w:hAnsi="Segoe UI" w:cs="Segoe UI"/>
          <w:sz w:val="21"/>
          <w:szCs w:val="21"/>
        </w:rPr>
        <w:t>The poor often live in areas with limited infrastructure or public services generally, and as a consequence, face low assessment values for their properties. A value exemption would then accord some rough justice to areas where tax collection costs likely exceed the revenue take. For this reason, some countries have adopted a tax-free value threshold for a market-value based property tax. Moldova elected such option by providing tax-free value thresholds that is determined autonomously by ATUs.</w:t>
      </w:r>
      <w:r w:rsidRPr="00F65BF2">
        <w:rPr>
          <w:rFonts w:ascii="Segoe UI" w:hAnsi="Segoe UI" w:cs="Segoe UI"/>
          <w:sz w:val="21"/>
          <w:szCs w:val="21"/>
        </w:rPr>
        <w:t xml:space="preserve"> </w:t>
      </w:r>
      <w:r w:rsidRPr="00CA17C6">
        <w:rPr>
          <w:rFonts w:ascii="Segoe UI" w:hAnsi="Segoe UI" w:cs="Segoe UI"/>
          <w:sz w:val="21"/>
          <w:szCs w:val="21"/>
        </w:rPr>
        <w:t xml:space="preserve">The value threshold must be determined carefully so as not to be too generous. All the above examples of property tax relief need to be </w:t>
      </w:r>
      <w:r w:rsidR="002359EF">
        <w:rPr>
          <w:rFonts w:ascii="Segoe UI" w:hAnsi="Segoe UI" w:cs="Segoe UI"/>
          <w:sz w:val="21"/>
          <w:szCs w:val="21"/>
        </w:rPr>
        <w:t>defined</w:t>
      </w:r>
      <w:r w:rsidR="002359EF" w:rsidRPr="00CA17C6">
        <w:rPr>
          <w:rFonts w:ascii="Segoe UI" w:hAnsi="Segoe UI" w:cs="Segoe UI"/>
          <w:sz w:val="21"/>
          <w:szCs w:val="21"/>
        </w:rPr>
        <w:t xml:space="preserve"> </w:t>
      </w:r>
      <w:r w:rsidRPr="00CA17C6">
        <w:rPr>
          <w:rFonts w:ascii="Segoe UI" w:hAnsi="Segoe UI" w:cs="Segoe UI"/>
          <w:sz w:val="21"/>
          <w:szCs w:val="21"/>
        </w:rPr>
        <w:t>as TEs</w:t>
      </w:r>
      <w:r w:rsidR="002359EF">
        <w:rPr>
          <w:rFonts w:ascii="Segoe UI" w:hAnsi="Segoe UI" w:cs="Segoe UI"/>
          <w:sz w:val="21"/>
          <w:szCs w:val="21"/>
        </w:rPr>
        <w:t>, with t</w:t>
      </w:r>
      <w:r w:rsidRPr="00CA17C6">
        <w:rPr>
          <w:rFonts w:ascii="Segoe UI" w:hAnsi="Segoe UI" w:cs="Segoe UI"/>
          <w:sz w:val="21"/>
          <w:szCs w:val="21"/>
        </w:rPr>
        <w:t xml:space="preserve">heir estimated revenue loss </w:t>
      </w:r>
      <w:r w:rsidR="002359EF">
        <w:rPr>
          <w:rFonts w:ascii="Segoe UI" w:hAnsi="Segoe UI" w:cs="Segoe UI"/>
          <w:sz w:val="21"/>
          <w:szCs w:val="21"/>
        </w:rPr>
        <w:t>estimated</w:t>
      </w:r>
      <w:r w:rsidRPr="00CA17C6">
        <w:rPr>
          <w:rFonts w:ascii="Segoe UI" w:hAnsi="Segoe UI" w:cs="Segoe UI"/>
          <w:sz w:val="21"/>
          <w:szCs w:val="21"/>
        </w:rPr>
        <w:t>.</w:t>
      </w:r>
    </w:p>
    <w:p w14:paraId="4D052853" w14:textId="71EAF6A5" w:rsidR="00C36E68" w:rsidRPr="00CA17C6" w:rsidRDefault="00C36E68" w:rsidP="00E90BA7">
      <w:pPr>
        <w:jc w:val="both"/>
        <w:rPr>
          <w:rFonts w:ascii="Segoe UI" w:hAnsi="Segoe UI" w:cs="Segoe UI"/>
          <w:sz w:val="21"/>
          <w:szCs w:val="21"/>
        </w:rPr>
      </w:pPr>
      <w:r w:rsidRPr="00CA17C6">
        <w:rPr>
          <w:rFonts w:ascii="Segoe UI" w:hAnsi="Segoe UI" w:cs="Segoe UI"/>
          <w:i/>
          <w:sz w:val="21"/>
          <w:szCs w:val="21"/>
        </w:rPr>
        <w:t>Exemptions and relief for state-owned properties</w:t>
      </w:r>
      <w:r w:rsidR="0019601E" w:rsidRPr="00CA17C6">
        <w:rPr>
          <w:rFonts w:ascii="Segoe UI" w:hAnsi="Segoe UI" w:cs="Segoe UI"/>
          <w:i/>
          <w:sz w:val="21"/>
          <w:szCs w:val="21"/>
        </w:rPr>
        <w:t xml:space="preserve">. </w:t>
      </w:r>
      <w:r w:rsidRPr="00CA17C6">
        <w:rPr>
          <w:rFonts w:ascii="Segoe UI" w:hAnsi="Segoe UI" w:cs="Segoe UI"/>
          <w:sz w:val="21"/>
          <w:szCs w:val="21"/>
        </w:rPr>
        <w:t>Internationally, organs of the State and Budget-financed entities often benefit from property tax exemptions.</w:t>
      </w:r>
      <w:r w:rsidRPr="00CA17C6">
        <w:rPr>
          <w:rFonts w:ascii="Segoe UI" w:hAnsi="Segoe UI" w:cs="Segoe UI"/>
          <w:b/>
          <w:sz w:val="21"/>
          <w:szCs w:val="21"/>
        </w:rPr>
        <w:t xml:space="preserve"> </w:t>
      </w:r>
      <w:r w:rsidRPr="00CA17C6">
        <w:rPr>
          <w:rFonts w:ascii="Segoe UI" w:hAnsi="Segoe UI" w:cs="Segoe UI"/>
          <w:sz w:val="21"/>
          <w:szCs w:val="21"/>
        </w:rPr>
        <w:t>The suggested rationale is that these are used for physical infrastructure operations, or the properties are used for the delivery of broadly accessible public goods and services such as the supply of electricity, water, road connections, and general administrative services. Numerous countries follow this approach</w:t>
      </w:r>
      <w:r w:rsidR="004F2EA5" w:rsidRPr="004F2EA5">
        <w:rPr>
          <w:rFonts w:ascii="Segoe UI" w:hAnsi="Segoe UI" w:cs="Segoe UI"/>
          <w:sz w:val="21"/>
          <w:szCs w:val="21"/>
        </w:rPr>
        <w:t xml:space="preserve"> </w:t>
      </w:r>
      <w:r w:rsidR="004F2EA5" w:rsidRPr="00CA17C6">
        <w:rPr>
          <w:rFonts w:ascii="Segoe UI" w:hAnsi="Segoe UI" w:cs="Segoe UI"/>
          <w:sz w:val="21"/>
          <w:szCs w:val="21"/>
        </w:rPr>
        <w:t>in taxing real property</w:t>
      </w:r>
      <w:r w:rsidRPr="00CA17C6">
        <w:rPr>
          <w:rFonts w:ascii="Segoe UI" w:hAnsi="Segoe UI" w:cs="Segoe UI"/>
          <w:sz w:val="21"/>
          <w:szCs w:val="21"/>
        </w:rPr>
        <w:t xml:space="preserve">, which seems acceptable. Yet, this tax treatment is a deviation from the benchmark since central government uses facilities provided by local authorities and could therefore contribute through property tax </w:t>
      </w:r>
      <w:r w:rsidRPr="00CA17C6">
        <w:rPr>
          <w:rFonts w:ascii="Segoe UI" w:hAnsi="Segoe UI" w:cs="Segoe UI"/>
          <w:sz w:val="21"/>
          <w:szCs w:val="21"/>
        </w:rPr>
        <w:lastRenderedPageBreak/>
        <w:t xml:space="preserve">payments to the defraying of local government costs. The </w:t>
      </w:r>
      <w:r w:rsidRPr="00CA17C6">
        <w:rPr>
          <w:rFonts w:ascii="Segoe UI" w:hAnsi="Segoe UI" w:cs="Segoe UI"/>
          <w:i/>
          <w:sz w:val="21"/>
          <w:szCs w:val="21"/>
        </w:rPr>
        <w:t>benefit principle</w:t>
      </w:r>
      <w:r w:rsidRPr="00CA17C6">
        <w:rPr>
          <w:rFonts w:ascii="Segoe UI" w:hAnsi="Segoe UI" w:cs="Segoe UI"/>
          <w:sz w:val="21"/>
          <w:szCs w:val="21"/>
        </w:rPr>
        <w:t xml:space="preserve"> indicates the correctness of labeling them as TEs</w:t>
      </w:r>
      <w:r w:rsidR="00BB63AF">
        <w:rPr>
          <w:rFonts w:ascii="Segoe UI" w:hAnsi="Segoe UI" w:cs="Segoe UI"/>
          <w:sz w:val="21"/>
          <w:szCs w:val="21"/>
        </w:rPr>
        <w:t xml:space="preserve">, even if </w:t>
      </w:r>
      <w:r w:rsidRPr="00CA17C6">
        <w:rPr>
          <w:rFonts w:ascii="Segoe UI" w:hAnsi="Segoe UI" w:cs="Segoe UI"/>
          <w:sz w:val="21"/>
          <w:szCs w:val="21"/>
        </w:rPr>
        <w:t>non-taxation continue</w:t>
      </w:r>
      <w:r w:rsidR="00BB63AF">
        <w:rPr>
          <w:rFonts w:ascii="Segoe UI" w:hAnsi="Segoe UI" w:cs="Segoe UI"/>
          <w:sz w:val="21"/>
          <w:szCs w:val="21"/>
        </w:rPr>
        <w:t>s</w:t>
      </w:r>
      <w:r w:rsidRPr="00CA17C6">
        <w:rPr>
          <w:rFonts w:ascii="Segoe UI" w:hAnsi="Segoe UI" w:cs="Segoe UI"/>
          <w:sz w:val="21"/>
          <w:szCs w:val="21"/>
        </w:rPr>
        <w:t xml:space="preserve">. </w:t>
      </w:r>
      <w:r w:rsidR="005E713B">
        <w:rPr>
          <w:rFonts w:ascii="Segoe UI" w:hAnsi="Segoe UI" w:cs="Segoe UI"/>
          <w:sz w:val="21"/>
          <w:szCs w:val="21"/>
        </w:rPr>
        <w:t>T</w:t>
      </w:r>
      <w:r w:rsidRPr="00CA17C6">
        <w:rPr>
          <w:rFonts w:ascii="Segoe UI" w:hAnsi="Segoe UI" w:cs="Segoe UI"/>
          <w:sz w:val="21"/>
          <w:szCs w:val="21"/>
        </w:rPr>
        <w:t>he subsidy by local governments should be reported. There are numerous countries, that impose property taxes on government-owned properties.</w:t>
      </w:r>
      <w:r w:rsidRPr="00CA17C6">
        <w:rPr>
          <w:rStyle w:val="FootnoteReference"/>
          <w:rFonts w:ascii="Segoe UI" w:hAnsi="Segoe UI" w:cs="Segoe UI"/>
          <w:sz w:val="21"/>
          <w:szCs w:val="21"/>
        </w:rPr>
        <w:footnoteReference w:id="30"/>
      </w:r>
      <w:r>
        <w:rPr>
          <w:rFonts w:ascii="Segoe UI" w:hAnsi="Segoe UI" w:cs="Segoe UI"/>
          <w:sz w:val="21"/>
          <w:szCs w:val="21"/>
        </w:rPr>
        <w:t xml:space="preserve"> </w:t>
      </w:r>
    </w:p>
    <w:p w14:paraId="53D28EB0" w14:textId="18DE177F" w:rsidR="00C36E68" w:rsidRPr="003B2D26" w:rsidRDefault="00C36E68" w:rsidP="00E90BA7">
      <w:pPr>
        <w:pStyle w:val="ParagraphNumbering"/>
        <w:numPr>
          <w:ilvl w:val="0"/>
          <w:numId w:val="0"/>
        </w:numPr>
        <w:spacing w:after="240" w:line="264" w:lineRule="auto"/>
        <w:jc w:val="both"/>
        <w:rPr>
          <w:rFonts w:ascii="Segoe UI" w:hAnsi="Segoe UI" w:cs="Segoe UI"/>
          <w:sz w:val="21"/>
          <w:szCs w:val="21"/>
        </w:rPr>
      </w:pPr>
      <w:r w:rsidRPr="00CA17C6">
        <w:rPr>
          <w:rFonts w:ascii="Segoe UI" w:hAnsi="Segoe UI" w:cs="Segoe UI"/>
          <w:i/>
          <w:sz w:val="21"/>
          <w:szCs w:val="21"/>
        </w:rPr>
        <w:t xml:space="preserve">Lower tax rates vis-à-vis the standard rate is a </w:t>
      </w:r>
      <w:r w:rsidR="003B2D26">
        <w:rPr>
          <w:rFonts w:ascii="Segoe UI" w:hAnsi="Segoe UI" w:cs="Segoe UI"/>
          <w:i/>
          <w:sz w:val="21"/>
          <w:szCs w:val="21"/>
        </w:rPr>
        <w:t>TE</w:t>
      </w:r>
      <w:r w:rsidR="0019601E" w:rsidRPr="00CA17C6">
        <w:rPr>
          <w:rFonts w:ascii="Segoe UI" w:hAnsi="Segoe UI" w:cs="Segoe UI"/>
          <w:i/>
          <w:sz w:val="21"/>
          <w:szCs w:val="21"/>
        </w:rPr>
        <w:t xml:space="preserve">. </w:t>
      </w:r>
      <w:r w:rsidRPr="00CA17C6">
        <w:rPr>
          <w:rFonts w:ascii="Segoe UI" w:hAnsi="Segoe UI" w:cs="Segoe UI"/>
          <w:sz w:val="21"/>
          <w:szCs w:val="21"/>
        </w:rPr>
        <w:t xml:space="preserve">Any reduced rate vis-à-vis the statutory uniform property tax rate that applies to a subgroup of property taxpayers should be regarded as a deviation from the benchmark. A complication arises when the national government provides in legislation for a range of rates from which ATUs, informed by their budget needs, can select a property tax rate for residential buildings. Is the benchmark rate the minimum rate or should it be the average from the range’s minimum and maximum rate? Evidence from Moldova suggests that calculating a simple average rate for ATUs’ selected rate may be superfluous, because with the exception of only very few ATUs in 2021 and 2022, the most commonly selected statutory rate was the minimum rate. </w:t>
      </w:r>
      <w:r w:rsidRPr="00AB3969">
        <w:rPr>
          <w:rFonts w:ascii="Segoe UI" w:hAnsi="Segoe UI" w:cs="Segoe UI"/>
          <w:sz w:val="21"/>
          <w:szCs w:val="21"/>
        </w:rPr>
        <w:t xml:space="preserve">Table </w:t>
      </w:r>
      <w:r w:rsidR="00543CDC" w:rsidRPr="003B2D26">
        <w:rPr>
          <w:rFonts w:ascii="Segoe UI" w:hAnsi="Segoe UI" w:cs="Segoe UI"/>
          <w:sz w:val="21"/>
          <w:szCs w:val="21"/>
        </w:rPr>
        <w:t>6</w:t>
      </w:r>
      <w:r w:rsidRPr="00CA17C6">
        <w:rPr>
          <w:rFonts w:ascii="Segoe UI" w:hAnsi="Segoe UI" w:cs="Segoe UI"/>
          <w:sz w:val="21"/>
          <w:szCs w:val="21"/>
        </w:rPr>
        <w:t xml:space="preserve"> summarizes international practices for rate-setting, ordering them also into benchmark and non-standard </w:t>
      </w:r>
      <w:r w:rsidRPr="003B2D26">
        <w:rPr>
          <w:rFonts w:ascii="Segoe UI" w:hAnsi="Segoe UI" w:cs="Segoe UI"/>
          <w:sz w:val="21"/>
          <w:szCs w:val="21"/>
        </w:rPr>
        <w:t>practices.</w:t>
      </w:r>
    </w:p>
    <w:p w14:paraId="4FB8C716" w14:textId="75AD54E5" w:rsidR="00C36E68" w:rsidRPr="00C0566E" w:rsidRDefault="00C36E68" w:rsidP="00E90BA7">
      <w:pPr>
        <w:pStyle w:val="Boxfiguretabletitle"/>
        <w:jc w:val="both"/>
        <w:rPr>
          <w:color w:val="auto"/>
          <w:sz w:val="20"/>
          <w:szCs w:val="18"/>
        </w:rPr>
      </w:pPr>
      <w:r w:rsidRPr="003B2D26">
        <w:rPr>
          <w:b w:val="0"/>
          <w:bCs w:val="0"/>
          <w:color w:val="auto"/>
          <w:sz w:val="20"/>
          <w:szCs w:val="18"/>
        </w:rPr>
        <w:fldChar w:fldCharType="begin"/>
      </w:r>
      <w:r w:rsidRPr="003B2D26">
        <w:rPr>
          <w:b w:val="0"/>
          <w:bCs w:val="0"/>
          <w:color w:val="auto"/>
          <w:sz w:val="20"/>
          <w:szCs w:val="18"/>
        </w:rPr>
        <w:instrText xml:space="preserve"> TC "</w:instrText>
      </w:r>
      <w:r w:rsidR="00AB3969" w:rsidRPr="003B2D26">
        <w:rPr>
          <w:b w:val="0"/>
          <w:bCs w:val="0"/>
          <w:color w:val="auto"/>
          <w:sz w:val="20"/>
          <w:szCs w:val="18"/>
        </w:rPr>
        <w:instrText>6</w:instrText>
      </w:r>
      <w:r w:rsidRPr="003B2D26">
        <w:rPr>
          <w:b w:val="0"/>
          <w:bCs w:val="0"/>
          <w:color w:val="auto"/>
          <w:sz w:val="20"/>
          <w:szCs w:val="18"/>
        </w:rPr>
        <w:instrText xml:space="preserve">. </w:instrText>
      </w:r>
      <w:r w:rsidR="00C0566E" w:rsidRPr="003B2D26">
        <w:rPr>
          <w:b w:val="0"/>
          <w:bCs w:val="0"/>
          <w:color w:val="auto"/>
          <w:sz w:val="20"/>
          <w:szCs w:val="18"/>
        </w:rPr>
        <w:instrText xml:space="preserve">Benchmark or Nonstandard Practices with Property Tax Rates </w:instrText>
      </w:r>
      <w:r w:rsidRPr="003B2D26">
        <w:rPr>
          <w:b w:val="0"/>
          <w:bCs w:val="0"/>
          <w:color w:val="auto"/>
          <w:sz w:val="20"/>
          <w:szCs w:val="18"/>
        </w:rPr>
        <w:instrText xml:space="preserve">"\f B </w:instrText>
      </w:r>
      <w:r w:rsidRPr="003B2D26">
        <w:rPr>
          <w:b w:val="0"/>
          <w:bCs w:val="0"/>
          <w:color w:val="auto"/>
          <w:sz w:val="20"/>
          <w:szCs w:val="18"/>
        </w:rPr>
        <w:fldChar w:fldCharType="end"/>
      </w:r>
      <w:r w:rsidRPr="003B2D26">
        <w:rPr>
          <w:color w:val="auto"/>
          <w:sz w:val="20"/>
          <w:szCs w:val="18"/>
        </w:rPr>
        <w:t xml:space="preserve">Table </w:t>
      </w:r>
      <w:r w:rsidR="00543CDC" w:rsidRPr="003B2D26">
        <w:rPr>
          <w:color w:val="auto"/>
          <w:sz w:val="20"/>
          <w:szCs w:val="18"/>
        </w:rPr>
        <w:t>6</w:t>
      </w:r>
      <w:r w:rsidRPr="003B2D26">
        <w:rPr>
          <w:color w:val="auto"/>
          <w:sz w:val="20"/>
          <w:szCs w:val="18"/>
        </w:rPr>
        <w:t>. Benchmark</w:t>
      </w:r>
      <w:r w:rsidRPr="00C0566E">
        <w:rPr>
          <w:color w:val="auto"/>
          <w:sz w:val="20"/>
          <w:szCs w:val="18"/>
        </w:rPr>
        <w:t xml:space="preserve"> or Nonstandard Practices with Property Tax Rates</w:t>
      </w:r>
    </w:p>
    <w:tbl>
      <w:tblPr>
        <w:tblW w:w="9810" w:type="dxa"/>
        <w:tblLook w:val="04A0" w:firstRow="1" w:lastRow="0" w:firstColumn="1" w:lastColumn="0" w:noHBand="0" w:noVBand="1"/>
      </w:tblPr>
      <w:tblGrid>
        <w:gridCol w:w="3330"/>
        <w:gridCol w:w="2970"/>
        <w:gridCol w:w="3510"/>
      </w:tblGrid>
      <w:tr w:rsidR="00C943A7" w:rsidRPr="00BB2BED" w14:paraId="15504A3C" w14:textId="77777777" w:rsidTr="00B819DE">
        <w:trPr>
          <w:trHeight w:val="368"/>
          <w:tblHeader/>
        </w:trPr>
        <w:tc>
          <w:tcPr>
            <w:tcW w:w="3330" w:type="dxa"/>
            <w:tcBorders>
              <w:top w:val="single" w:sz="4" w:space="0" w:color="auto"/>
              <w:left w:val="nil"/>
              <w:bottom w:val="single" w:sz="4" w:space="0" w:color="auto"/>
              <w:right w:val="nil"/>
            </w:tcBorders>
            <w:shd w:val="clear" w:color="auto" w:fill="D9D9D9" w:themeFill="background1" w:themeFillShade="D9"/>
            <w:vAlign w:val="center"/>
          </w:tcPr>
          <w:p w14:paraId="7EBA65F7" w14:textId="77777777" w:rsidR="00C36E68" w:rsidRPr="002629AE" w:rsidRDefault="00C36E68" w:rsidP="00E90BA7">
            <w:pPr>
              <w:jc w:val="both"/>
              <w:rPr>
                <w:rFonts w:cs="Segoe UI"/>
                <w:sz w:val="18"/>
                <w:szCs w:val="18"/>
              </w:rPr>
            </w:pPr>
            <w:r w:rsidRPr="002629AE">
              <w:rPr>
                <w:rFonts w:cs="Segoe UI"/>
                <w:sz w:val="18"/>
                <w:szCs w:val="18"/>
              </w:rPr>
              <w:t>Practice</w:t>
            </w:r>
          </w:p>
        </w:tc>
        <w:tc>
          <w:tcPr>
            <w:tcW w:w="2970" w:type="dxa"/>
            <w:tcBorders>
              <w:top w:val="single" w:sz="4" w:space="0" w:color="auto"/>
              <w:left w:val="nil"/>
              <w:bottom w:val="single" w:sz="4" w:space="0" w:color="auto"/>
              <w:right w:val="nil"/>
            </w:tcBorders>
            <w:shd w:val="clear" w:color="auto" w:fill="D9D9D9" w:themeFill="background1" w:themeFillShade="D9"/>
            <w:vAlign w:val="center"/>
          </w:tcPr>
          <w:p w14:paraId="4FE69FCD" w14:textId="77777777" w:rsidR="00C36E68" w:rsidRPr="002629AE" w:rsidRDefault="00C36E68" w:rsidP="00E90BA7">
            <w:pPr>
              <w:jc w:val="both"/>
              <w:rPr>
                <w:rFonts w:cs="Segoe UI"/>
                <w:sz w:val="18"/>
                <w:szCs w:val="18"/>
              </w:rPr>
            </w:pPr>
            <w:r w:rsidRPr="002629AE">
              <w:rPr>
                <w:rFonts w:cs="Segoe UI"/>
                <w:sz w:val="18"/>
                <w:szCs w:val="18"/>
              </w:rPr>
              <w:t>Rationale</w:t>
            </w:r>
          </w:p>
        </w:tc>
        <w:tc>
          <w:tcPr>
            <w:tcW w:w="3510" w:type="dxa"/>
            <w:tcBorders>
              <w:top w:val="single" w:sz="4" w:space="0" w:color="auto"/>
              <w:left w:val="nil"/>
              <w:bottom w:val="single" w:sz="4" w:space="0" w:color="auto"/>
              <w:right w:val="nil"/>
            </w:tcBorders>
            <w:shd w:val="clear" w:color="auto" w:fill="D9D9D9" w:themeFill="background1" w:themeFillShade="D9"/>
            <w:vAlign w:val="center"/>
          </w:tcPr>
          <w:p w14:paraId="5D8D6B0A" w14:textId="77777777" w:rsidR="00C36E68" w:rsidRPr="002629AE" w:rsidRDefault="00C36E68" w:rsidP="00E90BA7">
            <w:pPr>
              <w:jc w:val="both"/>
              <w:rPr>
                <w:rFonts w:cs="Segoe UI"/>
                <w:sz w:val="18"/>
                <w:szCs w:val="18"/>
              </w:rPr>
            </w:pPr>
            <w:r>
              <w:rPr>
                <w:rFonts w:cs="Segoe UI"/>
                <w:sz w:val="18"/>
                <w:szCs w:val="18"/>
              </w:rPr>
              <w:t>Benchmark Regime or TE?</w:t>
            </w:r>
          </w:p>
        </w:tc>
      </w:tr>
      <w:tr w:rsidR="00C36E68" w:rsidRPr="00BB2BED" w14:paraId="14127AF0" w14:textId="77777777" w:rsidTr="00841CE9">
        <w:trPr>
          <w:trHeight w:val="213"/>
        </w:trPr>
        <w:tc>
          <w:tcPr>
            <w:tcW w:w="3330" w:type="dxa"/>
            <w:tcBorders>
              <w:top w:val="single" w:sz="4" w:space="0" w:color="auto"/>
              <w:left w:val="nil"/>
              <w:bottom w:val="dashSmallGap" w:sz="4" w:space="0" w:color="auto"/>
              <w:right w:val="nil"/>
            </w:tcBorders>
            <w:shd w:val="clear" w:color="auto" w:fill="auto"/>
          </w:tcPr>
          <w:p w14:paraId="443C8CFB" w14:textId="77777777" w:rsidR="00C36E68" w:rsidRPr="006C1E97" w:rsidRDefault="00C36E68" w:rsidP="00E90BA7">
            <w:pPr>
              <w:spacing w:after="40"/>
              <w:jc w:val="both"/>
              <w:rPr>
                <w:rFonts w:cs="Segoe UI"/>
                <w:sz w:val="16"/>
                <w:szCs w:val="16"/>
              </w:rPr>
            </w:pPr>
            <w:r w:rsidRPr="006C1E97">
              <w:rPr>
                <w:rFonts w:cs="Segoe UI"/>
                <w:sz w:val="16"/>
                <w:szCs w:val="16"/>
              </w:rPr>
              <w:t xml:space="preserve">Flat </w:t>
            </w:r>
            <w:r w:rsidRPr="006C1E97">
              <w:rPr>
                <w:rFonts w:cs="Segoe UI"/>
                <w:i/>
                <w:sz w:val="16"/>
                <w:szCs w:val="16"/>
              </w:rPr>
              <w:t>ad valorem</w:t>
            </w:r>
            <w:r w:rsidRPr="006C1E97">
              <w:rPr>
                <w:rFonts w:cs="Segoe UI"/>
                <w:sz w:val="16"/>
                <w:szCs w:val="16"/>
              </w:rPr>
              <w:t xml:space="preserve"> rate</w:t>
            </w:r>
            <w:r>
              <w:rPr>
                <w:rFonts w:cs="Segoe UI"/>
                <w:sz w:val="16"/>
                <w:szCs w:val="16"/>
              </w:rPr>
              <w:t xml:space="preserve"> on all immovable property categories valued at market value</w:t>
            </w:r>
          </w:p>
        </w:tc>
        <w:tc>
          <w:tcPr>
            <w:tcW w:w="2970" w:type="dxa"/>
            <w:tcBorders>
              <w:top w:val="single" w:sz="4" w:space="0" w:color="auto"/>
              <w:left w:val="nil"/>
              <w:bottom w:val="dashSmallGap" w:sz="4" w:space="0" w:color="auto"/>
              <w:right w:val="nil"/>
            </w:tcBorders>
            <w:shd w:val="clear" w:color="auto" w:fill="auto"/>
          </w:tcPr>
          <w:p w14:paraId="61F940F7" w14:textId="77777777" w:rsidR="00C36E68" w:rsidRPr="006C1E97" w:rsidRDefault="00C36E68" w:rsidP="00E90BA7">
            <w:pPr>
              <w:spacing w:after="40"/>
              <w:jc w:val="both"/>
              <w:rPr>
                <w:rFonts w:cs="Segoe UI"/>
                <w:sz w:val="16"/>
                <w:szCs w:val="16"/>
              </w:rPr>
            </w:pPr>
            <w:r>
              <w:rPr>
                <w:rFonts w:cs="Segoe UI"/>
                <w:sz w:val="16"/>
                <w:szCs w:val="16"/>
              </w:rPr>
              <w:t>Simplest way to tax property values.</w:t>
            </w:r>
          </w:p>
        </w:tc>
        <w:tc>
          <w:tcPr>
            <w:tcW w:w="3510" w:type="dxa"/>
            <w:tcBorders>
              <w:top w:val="single" w:sz="4" w:space="0" w:color="auto"/>
              <w:left w:val="nil"/>
              <w:bottom w:val="dashSmallGap" w:sz="4" w:space="0" w:color="auto"/>
              <w:right w:val="nil"/>
            </w:tcBorders>
            <w:shd w:val="clear" w:color="auto" w:fill="auto"/>
          </w:tcPr>
          <w:p w14:paraId="323E1E05" w14:textId="77777777" w:rsidR="00C36E68" w:rsidRDefault="00C36E68" w:rsidP="00E90BA7">
            <w:pPr>
              <w:spacing w:after="40"/>
              <w:jc w:val="both"/>
              <w:rPr>
                <w:rFonts w:cs="Segoe UI"/>
                <w:sz w:val="16"/>
                <w:szCs w:val="16"/>
              </w:rPr>
            </w:pPr>
            <w:r>
              <w:rPr>
                <w:rFonts w:cs="Segoe UI"/>
                <w:sz w:val="16"/>
                <w:szCs w:val="16"/>
              </w:rPr>
              <w:t>It is a benchmark standard</w:t>
            </w:r>
          </w:p>
        </w:tc>
      </w:tr>
      <w:tr w:rsidR="00C36E68" w:rsidRPr="00BB2BED" w14:paraId="5C361E9B" w14:textId="77777777" w:rsidTr="00841CE9">
        <w:trPr>
          <w:trHeight w:val="205"/>
        </w:trPr>
        <w:tc>
          <w:tcPr>
            <w:tcW w:w="3330" w:type="dxa"/>
            <w:tcBorders>
              <w:top w:val="dashSmallGap" w:sz="4" w:space="0" w:color="auto"/>
              <w:left w:val="nil"/>
              <w:bottom w:val="dashSmallGap" w:sz="4" w:space="0" w:color="auto"/>
              <w:right w:val="nil"/>
            </w:tcBorders>
            <w:shd w:val="clear" w:color="auto" w:fill="auto"/>
          </w:tcPr>
          <w:p w14:paraId="240309DA" w14:textId="77777777" w:rsidR="00C36E68" w:rsidRPr="006C1E97" w:rsidRDefault="00C36E68" w:rsidP="00E90BA7">
            <w:pPr>
              <w:spacing w:after="40"/>
              <w:jc w:val="both"/>
              <w:rPr>
                <w:rFonts w:cs="Segoe UI"/>
                <w:sz w:val="16"/>
                <w:szCs w:val="16"/>
              </w:rPr>
            </w:pPr>
            <w:r>
              <w:rPr>
                <w:rFonts w:cs="Segoe UI"/>
                <w:sz w:val="16"/>
                <w:szCs w:val="16"/>
              </w:rPr>
              <w:t>Single</w:t>
            </w:r>
            <w:r w:rsidRPr="006C1E97">
              <w:rPr>
                <w:rFonts w:cs="Segoe UI"/>
                <w:sz w:val="16"/>
                <w:szCs w:val="16"/>
              </w:rPr>
              <w:t xml:space="preserve"> specific rate</w:t>
            </w:r>
            <w:r>
              <w:rPr>
                <w:rFonts w:cs="Segoe UI"/>
                <w:sz w:val="16"/>
                <w:szCs w:val="16"/>
              </w:rPr>
              <w:t xml:space="preserve"> for all immovable property categories</w:t>
            </w:r>
          </w:p>
        </w:tc>
        <w:tc>
          <w:tcPr>
            <w:tcW w:w="2970" w:type="dxa"/>
            <w:tcBorders>
              <w:top w:val="dashSmallGap" w:sz="4" w:space="0" w:color="auto"/>
              <w:left w:val="nil"/>
              <w:bottom w:val="dashSmallGap" w:sz="4" w:space="0" w:color="auto"/>
              <w:right w:val="nil"/>
            </w:tcBorders>
            <w:shd w:val="clear" w:color="auto" w:fill="auto"/>
          </w:tcPr>
          <w:p w14:paraId="239DC0AC" w14:textId="77777777" w:rsidR="00C36E68" w:rsidRPr="006C1E97" w:rsidRDefault="00C36E68" w:rsidP="00E90BA7">
            <w:pPr>
              <w:spacing w:after="40"/>
              <w:jc w:val="both"/>
              <w:rPr>
                <w:rFonts w:cs="Segoe UI"/>
                <w:sz w:val="16"/>
                <w:szCs w:val="16"/>
              </w:rPr>
            </w:pPr>
            <w:r>
              <w:rPr>
                <w:rFonts w:cs="Segoe UI"/>
                <w:sz w:val="16"/>
                <w:szCs w:val="16"/>
              </w:rPr>
              <w:t>Simplest way to tax area-based property tax.</w:t>
            </w:r>
          </w:p>
        </w:tc>
        <w:tc>
          <w:tcPr>
            <w:tcW w:w="3510" w:type="dxa"/>
            <w:tcBorders>
              <w:top w:val="dashSmallGap" w:sz="4" w:space="0" w:color="auto"/>
              <w:left w:val="nil"/>
              <w:bottom w:val="dashSmallGap" w:sz="4" w:space="0" w:color="auto"/>
              <w:right w:val="nil"/>
            </w:tcBorders>
            <w:shd w:val="clear" w:color="auto" w:fill="auto"/>
          </w:tcPr>
          <w:p w14:paraId="75F53D1B" w14:textId="77777777" w:rsidR="00C36E68" w:rsidRDefault="00C36E68" w:rsidP="00E90BA7">
            <w:pPr>
              <w:spacing w:after="40"/>
              <w:jc w:val="both"/>
              <w:rPr>
                <w:rFonts w:cs="Segoe UI"/>
                <w:sz w:val="16"/>
                <w:szCs w:val="16"/>
              </w:rPr>
            </w:pPr>
            <w:r>
              <w:rPr>
                <w:rFonts w:cs="Segoe UI"/>
                <w:sz w:val="16"/>
                <w:szCs w:val="16"/>
              </w:rPr>
              <w:t>It is a benchmark standard</w:t>
            </w:r>
          </w:p>
        </w:tc>
      </w:tr>
      <w:tr w:rsidR="00C36E68" w:rsidRPr="00BB2BED" w14:paraId="63EE3FD1" w14:textId="77777777" w:rsidTr="00841CE9">
        <w:trPr>
          <w:trHeight w:val="419"/>
        </w:trPr>
        <w:tc>
          <w:tcPr>
            <w:tcW w:w="3330" w:type="dxa"/>
            <w:tcBorders>
              <w:top w:val="dashSmallGap" w:sz="4" w:space="0" w:color="auto"/>
              <w:left w:val="nil"/>
              <w:bottom w:val="dashSmallGap" w:sz="4" w:space="0" w:color="auto"/>
              <w:right w:val="nil"/>
            </w:tcBorders>
            <w:shd w:val="clear" w:color="auto" w:fill="auto"/>
          </w:tcPr>
          <w:p w14:paraId="23410C6F" w14:textId="77777777" w:rsidR="00C36E68" w:rsidRPr="006C1E97" w:rsidRDefault="00C36E68" w:rsidP="00E90BA7">
            <w:pPr>
              <w:spacing w:after="40"/>
              <w:jc w:val="both"/>
              <w:rPr>
                <w:rFonts w:cs="Segoe UI"/>
                <w:sz w:val="16"/>
                <w:szCs w:val="16"/>
              </w:rPr>
            </w:pPr>
            <w:r w:rsidRPr="006C1E97">
              <w:rPr>
                <w:rFonts w:cs="Segoe UI"/>
                <w:sz w:val="16"/>
                <w:szCs w:val="16"/>
              </w:rPr>
              <w:t xml:space="preserve">Progressive </w:t>
            </w:r>
            <w:r w:rsidRPr="006C1E97">
              <w:rPr>
                <w:rFonts w:cs="Segoe UI"/>
                <w:i/>
                <w:sz w:val="16"/>
                <w:szCs w:val="16"/>
              </w:rPr>
              <w:t>ad valorem</w:t>
            </w:r>
            <w:r w:rsidRPr="006C1E97">
              <w:rPr>
                <w:rFonts w:cs="Segoe UI"/>
                <w:sz w:val="16"/>
                <w:szCs w:val="16"/>
              </w:rPr>
              <w:t xml:space="preserve"> rate</w:t>
            </w:r>
          </w:p>
        </w:tc>
        <w:tc>
          <w:tcPr>
            <w:tcW w:w="2970" w:type="dxa"/>
            <w:tcBorders>
              <w:top w:val="dashSmallGap" w:sz="4" w:space="0" w:color="auto"/>
              <w:left w:val="nil"/>
              <w:bottom w:val="dashSmallGap" w:sz="4" w:space="0" w:color="auto"/>
              <w:right w:val="nil"/>
            </w:tcBorders>
            <w:shd w:val="clear" w:color="auto" w:fill="auto"/>
          </w:tcPr>
          <w:p w14:paraId="1186B5ED" w14:textId="77777777" w:rsidR="00C36E68" w:rsidRPr="006C1E97" w:rsidRDefault="00C36E68" w:rsidP="00E90BA7">
            <w:pPr>
              <w:spacing w:after="40"/>
              <w:jc w:val="both"/>
              <w:rPr>
                <w:rFonts w:cs="Segoe UI"/>
                <w:sz w:val="16"/>
                <w:szCs w:val="16"/>
              </w:rPr>
            </w:pPr>
            <w:r>
              <w:rPr>
                <w:rFonts w:cs="Segoe UI"/>
                <w:sz w:val="16"/>
                <w:szCs w:val="16"/>
              </w:rPr>
              <w:t>Seeking to establish more fairness in the system by taxing higher valued properties at higher nominal rates.</w:t>
            </w:r>
          </w:p>
        </w:tc>
        <w:tc>
          <w:tcPr>
            <w:tcW w:w="3510" w:type="dxa"/>
            <w:tcBorders>
              <w:top w:val="dashSmallGap" w:sz="4" w:space="0" w:color="auto"/>
              <w:left w:val="nil"/>
              <w:bottom w:val="dashSmallGap" w:sz="4" w:space="0" w:color="auto"/>
              <w:right w:val="nil"/>
            </w:tcBorders>
            <w:shd w:val="clear" w:color="auto" w:fill="auto"/>
          </w:tcPr>
          <w:p w14:paraId="77FDF007" w14:textId="77777777" w:rsidR="00C36E68" w:rsidRDefault="00C36E68" w:rsidP="00E90BA7">
            <w:pPr>
              <w:spacing w:after="40"/>
              <w:jc w:val="both"/>
              <w:rPr>
                <w:rFonts w:cs="Segoe UI"/>
                <w:sz w:val="16"/>
                <w:szCs w:val="16"/>
              </w:rPr>
            </w:pPr>
            <w:r>
              <w:rPr>
                <w:rFonts w:cs="Segoe UI"/>
                <w:sz w:val="16"/>
                <w:szCs w:val="16"/>
              </w:rPr>
              <w:t>Benchmark treatment, but actually superfluous since a single tax rate applied on a true market value will impose a higher tax burden on high value properties, thereby ensuring distributional fairness.</w:t>
            </w:r>
          </w:p>
        </w:tc>
      </w:tr>
      <w:tr w:rsidR="00C36E68" w:rsidRPr="00BB2BED" w14:paraId="7F673DC2" w14:textId="77777777" w:rsidTr="00841CE9">
        <w:trPr>
          <w:trHeight w:val="1051"/>
        </w:trPr>
        <w:tc>
          <w:tcPr>
            <w:tcW w:w="3330" w:type="dxa"/>
            <w:tcBorders>
              <w:top w:val="dashSmallGap" w:sz="4" w:space="0" w:color="auto"/>
              <w:left w:val="nil"/>
              <w:bottom w:val="dashSmallGap" w:sz="4" w:space="0" w:color="auto"/>
              <w:right w:val="nil"/>
            </w:tcBorders>
            <w:shd w:val="clear" w:color="auto" w:fill="auto"/>
          </w:tcPr>
          <w:p w14:paraId="461317C2" w14:textId="77777777" w:rsidR="00C36E68" w:rsidRPr="006C1E97" w:rsidRDefault="00C36E68" w:rsidP="00E90BA7">
            <w:pPr>
              <w:spacing w:after="40"/>
              <w:jc w:val="both"/>
              <w:rPr>
                <w:rFonts w:cs="Segoe UI"/>
                <w:sz w:val="16"/>
                <w:szCs w:val="16"/>
              </w:rPr>
            </w:pPr>
            <w:r w:rsidRPr="006C1E97">
              <w:rPr>
                <w:rFonts w:cs="Segoe UI"/>
                <w:sz w:val="16"/>
                <w:szCs w:val="16"/>
              </w:rPr>
              <w:t xml:space="preserve">Differential rates applied to different types of property, with non-residential property usually attracting higher rates, </w:t>
            </w:r>
            <w:r>
              <w:rPr>
                <w:rFonts w:cs="Segoe UI"/>
                <w:sz w:val="16"/>
                <w:szCs w:val="16"/>
              </w:rPr>
              <w:t xml:space="preserve">and </w:t>
            </w:r>
            <w:r w:rsidRPr="006C1E97">
              <w:rPr>
                <w:rFonts w:cs="Segoe UI"/>
                <w:sz w:val="16"/>
                <w:szCs w:val="16"/>
              </w:rPr>
              <w:t>agricultural and residential properties benefiting from lower rates.</w:t>
            </w:r>
          </w:p>
        </w:tc>
        <w:tc>
          <w:tcPr>
            <w:tcW w:w="2970" w:type="dxa"/>
            <w:tcBorders>
              <w:top w:val="dashSmallGap" w:sz="4" w:space="0" w:color="auto"/>
              <w:left w:val="nil"/>
              <w:bottom w:val="dashSmallGap" w:sz="4" w:space="0" w:color="auto"/>
              <w:right w:val="nil"/>
            </w:tcBorders>
            <w:shd w:val="clear" w:color="auto" w:fill="auto"/>
          </w:tcPr>
          <w:p w14:paraId="6583375B" w14:textId="77777777" w:rsidR="00C36E68" w:rsidRPr="006C1E97" w:rsidRDefault="00C36E68" w:rsidP="00E90BA7">
            <w:pPr>
              <w:spacing w:after="40"/>
              <w:jc w:val="both"/>
              <w:rPr>
                <w:rFonts w:cs="Segoe UI"/>
                <w:sz w:val="16"/>
                <w:szCs w:val="16"/>
              </w:rPr>
            </w:pPr>
            <w:r>
              <w:rPr>
                <w:rFonts w:cs="Segoe UI"/>
                <w:sz w:val="16"/>
                <w:szCs w:val="16"/>
              </w:rPr>
              <w:t>Usually, to protect agricultural property from higher taxes, and to capture the greatest tax-paying capacity of commercial and industrial land (also being influenced by political economy considerations: large numbers of individual residential property owners vs. relatively few commercial or business owners).</w:t>
            </w:r>
          </w:p>
        </w:tc>
        <w:tc>
          <w:tcPr>
            <w:tcW w:w="3510" w:type="dxa"/>
            <w:tcBorders>
              <w:top w:val="dashSmallGap" w:sz="4" w:space="0" w:color="auto"/>
              <w:left w:val="nil"/>
              <w:bottom w:val="dashSmallGap" w:sz="4" w:space="0" w:color="auto"/>
              <w:right w:val="nil"/>
            </w:tcBorders>
            <w:shd w:val="clear" w:color="auto" w:fill="auto"/>
          </w:tcPr>
          <w:p w14:paraId="75EF7BA4" w14:textId="20D73CE4" w:rsidR="00C36E68" w:rsidRDefault="00C36E68" w:rsidP="00E90BA7">
            <w:pPr>
              <w:spacing w:after="40"/>
              <w:jc w:val="both"/>
              <w:rPr>
                <w:rFonts w:cs="Segoe UI"/>
                <w:sz w:val="16"/>
                <w:szCs w:val="16"/>
              </w:rPr>
            </w:pPr>
            <w:r>
              <w:rPr>
                <w:rFonts w:cs="Segoe UI"/>
                <w:sz w:val="16"/>
                <w:szCs w:val="16"/>
              </w:rPr>
              <w:t xml:space="preserve">Tax purist may argue that the higher rate on commercial properties is deemed to be benchmark, whereas the lower property tax rates on residential and agricultural property owners is a </w:t>
            </w:r>
            <w:r w:rsidR="003B2D26">
              <w:rPr>
                <w:rFonts w:cs="Segoe UI"/>
                <w:sz w:val="16"/>
                <w:szCs w:val="16"/>
              </w:rPr>
              <w:t>TE</w:t>
            </w:r>
            <w:r>
              <w:rPr>
                <w:rFonts w:cs="Segoe UI"/>
                <w:sz w:val="16"/>
                <w:szCs w:val="16"/>
              </w:rPr>
              <w:t>, especially if the property tax is being seen as a benefit tax-- (residential properties consumer a relatively much larger share of local public services than non-residential properties. Releasing such TE budget may be politically very controversial.</w:t>
            </w:r>
          </w:p>
        </w:tc>
      </w:tr>
      <w:tr w:rsidR="00C36E68" w:rsidRPr="00BB2BED" w14:paraId="5EAE584C" w14:textId="77777777" w:rsidTr="00841CE9">
        <w:trPr>
          <w:trHeight w:val="838"/>
        </w:trPr>
        <w:tc>
          <w:tcPr>
            <w:tcW w:w="3330" w:type="dxa"/>
            <w:tcBorders>
              <w:top w:val="dashSmallGap" w:sz="4" w:space="0" w:color="auto"/>
              <w:left w:val="nil"/>
              <w:bottom w:val="dashSmallGap" w:sz="4" w:space="0" w:color="auto"/>
              <w:right w:val="nil"/>
            </w:tcBorders>
            <w:shd w:val="clear" w:color="auto" w:fill="auto"/>
          </w:tcPr>
          <w:p w14:paraId="36B92CFE" w14:textId="77777777" w:rsidR="00C36E68" w:rsidRPr="006C1E97" w:rsidRDefault="00C36E68" w:rsidP="00E90BA7">
            <w:pPr>
              <w:spacing w:after="40"/>
              <w:jc w:val="both"/>
              <w:rPr>
                <w:rFonts w:cs="Segoe UI"/>
                <w:sz w:val="16"/>
                <w:szCs w:val="16"/>
              </w:rPr>
            </w:pPr>
            <w:r>
              <w:rPr>
                <w:rFonts w:cs="Segoe UI"/>
                <w:sz w:val="16"/>
                <w:szCs w:val="16"/>
              </w:rPr>
              <w:t>Different rates applied to land / site and capital improvements or structures; surcharge rate applied as penalty for sterilizing valuable or potentially productive land or a penalty rate for underutilization (</w:t>
            </w:r>
          </w:p>
        </w:tc>
        <w:tc>
          <w:tcPr>
            <w:tcW w:w="2970" w:type="dxa"/>
            <w:tcBorders>
              <w:top w:val="dashSmallGap" w:sz="4" w:space="0" w:color="auto"/>
              <w:left w:val="nil"/>
              <w:bottom w:val="dashSmallGap" w:sz="4" w:space="0" w:color="auto"/>
              <w:right w:val="nil"/>
            </w:tcBorders>
            <w:shd w:val="clear" w:color="auto" w:fill="auto"/>
          </w:tcPr>
          <w:p w14:paraId="78FFED4D" w14:textId="77777777" w:rsidR="00C36E68" w:rsidRPr="006C1E97" w:rsidRDefault="00C36E68" w:rsidP="00E90BA7">
            <w:pPr>
              <w:spacing w:after="40"/>
              <w:jc w:val="both"/>
              <w:rPr>
                <w:rFonts w:cs="Segoe UI"/>
                <w:sz w:val="16"/>
                <w:szCs w:val="16"/>
              </w:rPr>
            </w:pPr>
            <w:r>
              <w:rPr>
                <w:rFonts w:cs="Segoe UI"/>
                <w:sz w:val="16"/>
                <w:szCs w:val="16"/>
              </w:rPr>
              <w:t>To encourage the development of vacant and underutilized land.</w:t>
            </w:r>
          </w:p>
        </w:tc>
        <w:tc>
          <w:tcPr>
            <w:tcW w:w="3510" w:type="dxa"/>
            <w:tcBorders>
              <w:top w:val="dashSmallGap" w:sz="4" w:space="0" w:color="auto"/>
              <w:left w:val="nil"/>
              <w:bottom w:val="dashSmallGap" w:sz="4" w:space="0" w:color="auto"/>
              <w:right w:val="nil"/>
            </w:tcBorders>
            <w:shd w:val="clear" w:color="auto" w:fill="auto"/>
          </w:tcPr>
          <w:p w14:paraId="0D3FABCC" w14:textId="6A7149E6" w:rsidR="00C36E68" w:rsidRDefault="00C36E68" w:rsidP="00E90BA7">
            <w:pPr>
              <w:spacing w:after="40"/>
              <w:jc w:val="both"/>
              <w:rPr>
                <w:rFonts w:cs="Segoe UI"/>
                <w:sz w:val="16"/>
                <w:szCs w:val="16"/>
              </w:rPr>
            </w:pPr>
            <w:r>
              <w:rPr>
                <w:rFonts w:cs="Segoe UI"/>
                <w:sz w:val="16"/>
                <w:szCs w:val="16"/>
              </w:rPr>
              <w:t xml:space="preserve">A negative </w:t>
            </w:r>
            <w:r w:rsidR="003B2D26">
              <w:rPr>
                <w:rFonts w:cs="Segoe UI"/>
                <w:sz w:val="16"/>
                <w:szCs w:val="16"/>
              </w:rPr>
              <w:t>TE</w:t>
            </w:r>
            <w:r>
              <w:rPr>
                <w:rFonts w:cs="Segoe UI"/>
                <w:sz w:val="16"/>
                <w:szCs w:val="16"/>
              </w:rPr>
              <w:t>—penalizing sterilization of potentially productive land for speculative reasons.</w:t>
            </w:r>
          </w:p>
        </w:tc>
      </w:tr>
      <w:tr w:rsidR="00C36E68" w:rsidRPr="00BB2BED" w14:paraId="45E2CEA5" w14:textId="77777777" w:rsidTr="00841CE9">
        <w:trPr>
          <w:trHeight w:val="427"/>
        </w:trPr>
        <w:tc>
          <w:tcPr>
            <w:tcW w:w="3330" w:type="dxa"/>
            <w:tcBorders>
              <w:top w:val="dashSmallGap" w:sz="4" w:space="0" w:color="auto"/>
              <w:left w:val="nil"/>
              <w:bottom w:val="dashSmallGap" w:sz="4" w:space="0" w:color="auto"/>
              <w:right w:val="nil"/>
            </w:tcBorders>
            <w:shd w:val="clear" w:color="auto" w:fill="auto"/>
          </w:tcPr>
          <w:p w14:paraId="617E355F" w14:textId="77777777" w:rsidR="00C36E68" w:rsidRPr="006C1E97" w:rsidRDefault="00C36E68" w:rsidP="00E90BA7">
            <w:pPr>
              <w:spacing w:after="40"/>
              <w:jc w:val="both"/>
              <w:rPr>
                <w:rFonts w:cs="Segoe UI"/>
                <w:sz w:val="16"/>
                <w:szCs w:val="16"/>
              </w:rPr>
            </w:pPr>
            <w:r>
              <w:rPr>
                <w:rFonts w:cs="Segoe UI"/>
                <w:sz w:val="16"/>
                <w:szCs w:val="16"/>
              </w:rPr>
              <w:t>A progressive tax rate is applied to the total value of an individual’s multiple land holdings.</w:t>
            </w:r>
          </w:p>
        </w:tc>
        <w:tc>
          <w:tcPr>
            <w:tcW w:w="2970" w:type="dxa"/>
            <w:tcBorders>
              <w:top w:val="dashSmallGap" w:sz="4" w:space="0" w:color="auto"/>
              <w:left w:val="nil"/>
              <w:bottom w:val="dashSmallGap" w:sz="4" w:space="0" w:color="auto"/>
              <w:right w:val="nil"/>
            </w:tcBorders>
            <w:shd w:val="clear" w:color="auto" w:fill="auto"/>
          </w:tcPr>
          <w:p w14:paraId="41D26E94" w14:textId="77777777" w:rsidR="00C36E68" w:rsidRPr="006C1E97" w:rsidRDefault="00C36E68" w:rsidP="00E90BA7">
            <w:pPr>
              <w:spacing w:after="40"/>
              <w:jc w:val="both"/>
              <w:rPr>
                <w:rFonts w:cs="Segoe UI"/>
                <w:sz w:val="16"/>
                <w:szCs w:val="16"/>
              </w:rPr>
            </w:pPr>
            <w:r>
              <w:rPr>
                <w:rFonts w:cs="Segoe UI"/>
                <w:sz w:val="16"/>
                <w:szCs w:val="16"/>
              </w:rPr>
              <w:t>To put a higher tax burden on a concentration of property holdings or wealth concentration.</w:t>
            </w:r>
          </w:p>
        </w:tc>
        <w:tc>
          <w:tcPr>
            <w:tcW w:w="3510" w:type="dxa"/>
            <w:tcBorders>
              <w:top w:val="dashSmallGap" w:sz="4" w:space="0" w:color="auto"/>
              <w:left w:val="nil"/>
              <w:bottom w:val="dashSmallGap" w:sz="4" w:space="0" w:color="auto"/>
              <w:right w:val="nil"/>
            </w:tcBorders>
            <w:shd w:val="clear" w:color="auto" w:fill="auto"/>
          </w:tcPr>
          <w:p w14:paraId="40E90147" w14:textId="77777777" w:rsidR="00C36E68" w:rsidRDefault="00C36E68" w:rsidP="00E90BA7">
            <w:pPr>
              <w:spacing w:after="40"/>
              <w:jc w:val="both"/>
              <w:rPr>
                <w:rFonts w:cs="Segoe UI"/>
                <w:sz w:val="16"/>
                <w:szCs w:val="16"/>
              </w:rPr>
            </w:pPr>
            <w:r>
              <w:rPr>
                <w:rFonts w:cs="Segoe UI"/>
                <w:sz w:val="16"/>
                <w:szCs w:val="16"/>
              </w:rPr>
              <w:t>If it applies to all immovable property holdings it would be deemed benchmark tax treatment.</w:t>
            </w:r>
          </w:p>
        </w:tc>
      </w:tr>
      <w:tr w:rsidR="00C36E68" w:rsidRPr="00BB2BED" w14:paraId="25395FEB" w14:textId="77777777" w:rsidTr="00841CE9">
        <w:trPr>
          <w:trHeight w:val="693"/>
        </w:trPr>
        <w:tc>
          <w:tcPr>
            <w:tcW w:w="3330" w:type="dxa"/>
            <w:tcBorders>
              <w:top w:val="dashSmallGap" w:sz="4" w:space="0" w:color="auto"/>
              <w:left w:val="nil"/>
              <w:bottom w:val="single" w:sz="4" w:space="0" w:color="auto"/>
              <w:right w:val="nil"/>
            </w:tcBorders>
            <w:shd w:val="clear" w:color="auto" w:fill="auto"/>
          </w:tcPr>
          <w:p w14:paraId="291E5F38" w14:textId="77777777" w:rsidR="00C36E68" w:rsidRPr="006C1E97" w:rsidRDefault="00C36E68" w:rsidP="00E90BA7">
            <w:pPr>
              <w:spacing w:after="30"/>
              <w:jc w:val="both"/>
              <w:rPr>
                <w:rFonts w:cs="Segoe UI"/>
                <w:sz w:val="16"/>
                <w:szCs w:val="16"/>
              </w:rPr>
            </w:pPr>
            <w:r>
              <w:rPr>
                <w:rFonts w:cs="Segoe UI"/>
                <w:sz w:val="16"/>
                <w:szCs w:val="16"/>
              </w:rPr>
              <w:lastRenderedPageBreak/>
              <w:t>Annual increase in tax rates to compensate for the failure to revaluate properties or adjust values through indexing.</w:t>
            </w:r>
          </w:p>
        </w:tc>
        <w:tc>
          <w:tcPr>
            <w:tcW w:w="2970" w:type="dxa"/>
            <w:tcBorders>
              <w:top w:val="dashSmallGap" w:sz="4" w:space="0" w:color="auto"/>
              <w:left w:val="nil"/>
              <w:bottom w:val="single" w:sz="4" w:space="0" w:color="auto"/>
              <w:right w:val="nil"/>
            </w:tcBorders>
            <w:shd w:val="clear" w:color="auto" w:fill="auto"/>
          </w:tcPr>
          <w:p w14:paraId="0D37A191" w14:textId="77777777" w:rsidR="00C36E68" w:rsidRPr="006C1E97" w:rsidRDefault="00C36E68" w:rsidP="00E90BA7">
            <w:pPr>
              <w:spacing w:after="30"/>
              <w:jc w:val="both"/>
              <w:rPr>
                <w:rFonts w:cs="Segoe UI"/>
                <w:sz w:val="16"/>
                <w:szCs w:val="16"/>
              </w:rPr>
            </w:pPr>
            <w:r>
              <w:rPr>
                <w:rFonts w:cs="Segoe UI"/>
                <w:sz w:val="16"/>
                <w:szCs w:val="16"/>
              </w:rPr>
              <w:t>To protect revenues when property revaluations are unduly delayed.</w:t>
            </w:r>
          </w:p>
        </w:tc>
        <w:tc>
          <w:tcPr>
            <w:tcW w:w="3510" w:type="dxa"/>
            <w:tcBorders>
              <w:top w:val="dashSmallGap" w:sz="4" w:space="0" w:color="auto"/>
              <w:left w:val="nil"/>
              <w:bottom w:val="single" w:sz="4" w:space="0" w:color="auto"/>
              <w:right w:val="nil"/>
            </w:tcBorders>
            <w:shd w:val="clear" w:color="auto" w:fill="auto"/>
          </w:tcPr>
          <w:p w14:paraId="2A3DF053" w14:textId="77777777" w:rsidR="00C36E68" w:rsidRDefault="00C36E68" w:rsidP="00E90BA7">
            <w:pPr>
              <w:spacing w:after="30"/>
              <w:jc w:val="both"/>
              <w:rPr>
                <w:rFonts w:cs="Segoe UI"/>
                <w:sz w:val="16"/>
                <w:szCs w:val="16"/>
              </w:rPr>
            </w:pPr>
            <w:r>
              <w:rPr>
                <w:rFonts w:cs="Segoe UI"/>
                <w:sz w:val="16"/>
                <w:szCs w:val="16"/>
              </w:rPr>
              <w:t>Benchmark treatment if it applies to all properties without exception.</w:t>
            </w:r>
          </w:p>
        </w:tc>
      </w:tr>
    </w:tbl>
    <w:p w14:paraId="252183F4" w14:textId="77777777" w:rsidR="00C36E68" w:rsidRPr="00BB75DD" w:rsidRDefault="00C36E68" w:rsidP="00E90BA7">
      <w:pPr>
        <w:pStyle w:val="ParagraphNumbering"/>
        <w:numPr>
          <w:ilvl w:val="0"/>
          <w:numId w:val="0"/>
        </w:numPr>
        <w:jc w:val="both"/>
        <w:rPr>
          <w:bCs/>
          <w:sz w:val="16"/>
          <w:szCs w:val="18"/>
        </w:rPr>
      </w:pPr>
      <w:r w:rsidRPr="000F03AB">
        <w:rPr>
          <w:rFonts w:ascii="Segoe UI" w:hAnsi="Segoe UI" w:cs="Segoe UI"/>
          <w:sz w:val="16"/>
          <w:szCs w:val="18"/>
        </w:rPr>
        <w:t>Source: USAID, 2009 and IMF mission of January 2023</w:t>
      </w:r>
      <w:r>
        <w:rPr>
          <w:bCs/>
          <w:sz w:val="16"/>
          <w:szCs w:val="18"/>
        </w:rPr>
        <w:t>.</w:t>
      </w:r>
    </w:p>
    <w:p w14:paraId="703806FF" w14:textId="3E841C0F" w:rsidR="00C36E68" w:rsidRPr="000F03AB" w:rsidRDefault="00C36E68" w:rsidP="00E90BA7">
      <w:pPr>
        <w:jc w:val="both"/>
        <w:rPr>
          <w:rFonts w:ascii="Segoe UI" w:hAnsi="Segoe UI" w:cs="Segoe UI"/>
          <w:sz w:val="21"/>
          <w:szCs w:val="21"/>
        </w:rPr>
      </w:pPr>
      <w:r w:rsidRPr="000F03AB">
        <w:rPr>
          <w:rFonts w:ascii="Segoe UI" w:hAnsi="Segoe UI" w:cs="Segoe UI"/>
          <w:i/>
          <w:sz w:val="21"/>
          <w:szCs w:val="21"/>
        </w:rPr>
        <w:t>Rate differentiation between commercial vs</w:t>
      </w:r>
      <w:r w:rsidR="00495033">
        <w:rPr>
          <w:rFonts w:ascii="Segoe UI" w:hAnsi="Segoe UI" w:cs="Segoe UI"/>
          <w:i/>
          <w:sz w:val="21"/>
          <w:szCs w:val="21"/>
        </w:rPr>
        <w:t>.</w:t>
      </w:r>
      <w:r w:rsidRPr="000F03AB">
        <w:rPr>
          <w:rFonts w:ascii="Segoe UI" w:hAnsi="Segoe UI" w:cs="Segoe UI"/>
          <w:i/>
          <w:sz w:val="21"/>
          <w:szCs w:val="21"/>
        </w:rPr>
        <w:t xml:space="preserve"> residential properties</w:t>
      </w:r>
      <w:r w:rsidR="00CC5C96">
        <w:rPr>
          <w:rFonts w:ascii="Segoe UI" w:hAnsi="Segoe UI" w:cs="Segoe UI"/>
          <w:i/>
          <w:sz w:val="21"/>
          <w:szCs w:val="21"/>
        </w:rPr>
        <w:t xml:space="preserve">. </w:t>
      </w:r>
      <w:r w:rsidRPr="000F03AB">
        <w:rPr>
          <w:rFonts w:ascii="Segoe UI" w:hAnsi="Segoe UI" w:cs="Segoe UI"/>
          <w:sz w:val="21"/>
          <w:szCs w:val="21"/>
        </w:rPr>
        <w:t xml:space="preserve">Many jurisdictions specifically provide for lower property tax rates in the case of residential properties. </w:t>
      </w:r>
      <w:r>
        <w:rPr>
          <w:rFonts w:ascii="Segoe UI" w:hAnsi="Segoe UI" w:cs="Segoe UI"/>
          <w:sz w:val="21"/>
          <w:szCs w:val="21"/>
        </w:rPr>
        <w:t xml:space="preserve">Alternatively, </w:t>
      </w:r>
      <w:r w:rsidRPr="000F03AB">
        <w:rPr>
          <w:rFonts w:ascii="Segoe UI" w:hAnsi="Segoe UI" w:cs="Segoe UI"/>
          <w:sz w:val="21"/>
          <w:szCs w:val="21"/>
        </w:rPr>
        <w:t>some countries apply higher rates for commercial properties</w:t>
      </w:r>
      <w:r>
        <w:rPr>
          <w:rFonts w:ascii="Segoe UI" w:hAnsi="Segoe UI" w:cs="Segoe UI"/>
          <w:sz w:val="21"/>
          <w:szCs w:val="21"/>
        </w:rPr>
        <w:t xml:space="preserve"> (as is the case in Moldova)</w:t>
      </w:r>
      <w:r w:rsidRPr="000F03AB">
        <w:rPr>
          <w:rFonts w:ascii="Segoe UI" w:hAnsi="Segoe UI" w:cs="Segoe UI"/>
          <w:sz w:val="21"/>
          <w:szCs w:val="21"/>
        </w:rPr>
        <w:t xml:space="preserve">; or lower rates for selected industries and service providers such as </w:t>
      </w:r>
      <w:r>
        <w:rPr>
          <w:rFonts w:ascii="Segoe UI" w:hAnsi="Segoe UI" w:cs="Segoe UI"/>
          <w:sz w:val="21"/>
          <w:szCs w:val="21"/>
        </w:rPr>
        <w:t xml:space="preserve">for </w:t>
      </w:r>
      <w:r w:rsidRPr="000F03AB">
        <w:rPr>
          <w:rFonts w:ascii="Segoe UI" w:hAnsi="Segoe UI" w:cs="Segoe UI"/>
          <w:sz w:val="21"/>
          <w:szCs w:val="21"/>
        </w:rPr>
        <w:t xml:space="preserve">manufacturing and tourism. As indicated above, the differential or favorable tax treatment of residences is not consistent with the concept of a </w:t>
      </w:r>
      <w:r w:rsidRPr="000F03AB">
        <w:rPr>
          <w:rFonts w:ascii="Segoe UI" w:hAnsi="Segoe UI" w:cs="Segoe UI"/>
          <w:i/>
          <w:sz w:val="21"/>
          <w:szCs w:val="21"/>
        </w:rPr>
        <w:t>benefit tax</w:t>
      </w:r>
      <w:r w:rsidRPr="000F03AB">
        <w:rPr>
          <w:rFonts w:ascii="Segoe UI" w:hAnsi="Segoe UI" w:cs="Segoe UI"/>
          <w:sz w:val="21"/>
          <w:szCs w:val="21"/>
        </w:rPr>
        <w:t xml:space="preserve"> and therefore does not recognize the differential use of public services rendered by </w:t>
      </w:r>
      <w:r>
        <w:rPr>
          <w:rFonts w:ascii="Segoe UI" w:hAnsi="Segoe UI" w:cs="Segoe UI"/>
          <w:sz w:val="21"/>
          <w:szCs w:val="21"/>
        </w:rPr>
        <w:t xml:space="preserve">the various tiers of </w:t>
      </w:r>
      <w:r w:rsidRPr="000F03AB">
        <w:rPr>
          <w:rFonts w:ascii="Segoe UI" w:hAnsi="Segoe UI" w:cs="Segoe UI"/>
          <w:sz w:val="21"/>
          <w:szCs w:val="21"/>
        </w:rPr>
        <w:t>government</w:t>
      </w:r>
      <w:r>
        <w:rPr>
          <w:rFonts w:ascii="Segoe UI" w:hAnsi="Segoe UI" w:cs="Segoe UI"/>
          <w:sz w:val="21"/>
          <w:szCs w:val="21"/>
        </w:rPr>
        <w:t xml:space="preserve"> </w:t>
      </w:r>
      <w:r w:rsidRPr="000F03AB">
        <w:rPr>
          <w:rFonts w:ascii="Segoe UI" w:hAnsi="Segoe UI" w:cs="Segoe UI"/>
          <w:sz w:val="21"/>
          <w:szCs w:val="21"/>
        </w:rPr>
        <w:t xml:space="preserve">(central </w:t>
      </w:r>
      <w:r>
        <w:rPr>
          <w:rFonts w:ascii="Segoe UI" w:hAnsi="Segoe UI" w:cs="Segoe UI"/>
          <w:sz w:val="21"/>
          <w:szCs w:val="21"/>
        </w:rPr>
        <w:t>vs. local)</w:t>
      </w:r>
      <w:r w:rsidRPr="000F03AB">
        <w:rPr>
          <w:rFonts w:ascii="Segoe UI" w:hAnsi="Segoe UI" w:cs="Segoe UI"/>
          <w:sz w:val="21"/>
          <w:szCs w:val="21"/>
        </w:rPr>
        <w:t xml:space="preserve">. </w:t>
      </w:r>
      <w:r w:rsidR="00A00EAE">
        <w:rPr>
          <w:rFonts w:ascii="Segoe UI" w:hAnsi="Segoe UI" w:cs="Segoe UI"/>
          <w:sz w:val="21"/>
          <w:szCs w:val="21"/>
        </w:rPr>
        <w:t>I</w:t>
      </w:r>
      <w:r w:rsidRPr="000F03AB">
        <w:rPr>
          <w:rFonts w:ascii="Segoe UI" w:hAnsi="Segoe UI" w:cs="Segoe UI"/>
          <w:sz w:val="21"/>
          <w:szCs w:val="21"/>
        </w:rPr>
        <w:t>f commercial and residential properties benefit from the same level of municipal service, no rate differentiation in favor of residential properties is justified. Hence, a single rate may be the correct approach as market valuations to a large extent already reflect differences in ability-to-pay</w:t>
      </w:r>
      <w:r>
        <w:rPr>
          <w:rFonts w:ascii="Segoe UI" w:hAnsi="Segoe UI" w:cs="Segoe UI"/>
          <w:sz w:val="21"/>
          <w:szCs w:val="21"/>
        </w:rPr>
        <w:t>.</w:t>
      </w:r>
      <w:r w:rsidRPr="000F03AB">
        <w:rPr>
          <w:rFonts w:ascii="Segoe UI" w:hAnsi="Segoe UI" w:cs="Segoe UI"/>
          <w:sz w:val="21"/>
          <w:szCs w:val="21"/>
        </w:rPr>
        <w:t xml:space="preserve"> </w:t>
      </w:r>
      <w:r>
        <w:rPr>
          <w:rFonts w:ascii="Segoe UI" w:hAnsi="Segoe UI" w:cs="Segoe UI"/>
          <w:sz w:val="21"/>
          <w:szCs w:val="21"/>
        </w:rPr>
        <w:t>Lower or zero property tax rates below the standard rate for non-residential (commercial) immovable property are TEs—this is often the case of properties located in Free Economic of Export Zones, etc.</w:t>
      </w:r>
    </w:p>
    <w:p w14:paraId="307154A8" w14:textId="77777777" w:rsidR="00C36E68" w:rsidRPr="00CB1E53" w:rsidRDefault="00C36E68" w:rsidP="00E90BA7">
      <w:pPr>
        <w:pStyle w:val="Heading4"/>
        <w:spacing w:after="120" w:line="264" w:lineRule="auto"/>
        <w:jc w:val="both"/>
        <w:rPr>
          <w:rFonts w:ascii="Segoe UI" w:hAnsi="Segoe UI" w:cs="Segoe UI"/>
          <w:color w:val="004C97" w:themeColor="text2"/>
          <w:sz w:val="21"/>
          <w:szCs w:val="21"/>
        </w:rPr>
      </w:pPr>
      <w:r>
        <w:rPr>
          <w:rFonts w:ascii="Segoe UI" w:hAnsi="Segoe UI" w:cs="Segoe UI"/>
          <w:color w:val="004C97" w:themeColor="text2"/>
          <w:sz w:val="21"/>
          <w:szCs w:val="21"/>
        </w:rPr>
        <w:t>Moldovan RET design for legal and natural persons</w:t>
      </w:r>
    </w:p>
    <w:p w14:paraId="06C979CA" w14:textId="616F614A" w:rsidR="00C36E68" w:rsidRPr="000F03AB" w:rsidRDefault="00C36E68" w:rsidP="00E90BA7">
      <w:pPr>
        <w:autoSpaceDE w:val="0"/>
        <w:autoSpaceDN w:val="0"/>
        <w:adjustRightInd w:val="0"/>
        <w:spacing w:after="120" w:line="264" w:lineRule="auto"/>
        <w:jc w:val="both"/>
        <w:rPr>
          <w:rFonts w:ascii="Segoe UI" w:eastAsia="RotisSemiSans" w:hAnsi="Segoe UI" w:cs="Segoe UI"/>
          <w:sz w:val="21"/>
          <w:szCs w:val="21"/>
        </w:rPr>
      </w:pPr>
      <w:r>
        <w:rPr>
          <w:rFonts w:ascii="Segoe UI" w:hAnsi="Segoe UI" w:cs="Segoe UI"/>
          <w:sz w:val="21"/>
          <w:szCs w:val="21"/>
        </w:rPr>
        <w:t xml:space="preserve">RET </w:t>
      </w:r>
      <w:r w:rsidRPr="000F03AB">
        <w:rPr>
          <w:rFonts w:ascii="Segoe UI" w:hAnsi="Segoe UI" w:cs="Segoe UI"/>
          <w:sz w:val="21"/>
          <w:szCs w:val="21"/>
        </w:rPr>
        <w:t>is payable by resident and non-resident companies</w:t>
      </w:r>
      <w:r>
        <w:rPr>
          <w:rFonts w:ascii="Segoe UI" w:hAnsi="Segoe UI" w:cs="Segoe UI"/>
          <w:sz w:val="21"/>
          <w:szCs w:val="21"/>
        </w:rPr>
        <w:t xml:space="preserve"> and natural persons,</w:t>
      </w:r>
      <w:r w:rsidRPr="0E25DDAF">
        <w:rPr>
          <w:rStyle w:val="FootnoteReference"/>
          <w:rFonts w:ascii="Segoe UI" w:hAnsi="Segoe UI" w:cs="Segoe UI"/>
        </w:rPr>
        <w:footnoteReference w:id="31"/>
      </w:r>
      <w:r>
        <w:rPr>
          <w:rFonts w:ascii="Segoe UI" w:hAnsi="Segoe UI" w:cs="Segoe UI"/>
          <w:sz w:val="21"/>
          <w:szCs w:val="21"/>
        </w:rPr>
        <w:t xml:space="preserve"> </w:t>
      </w:r>
      <w:r w:rsidRPr="000F03AB">
        <w:rPr>
          <w:rFonts w:ascii="Segoe UI" w:hAnsi="Segoe UI" w:cs="Segoe UI"/>
          <w:sz w:val="21"/>
          <w:szCs w:val="21"/>
        </w:rPr>
        <w:t>which are:</w:t>
      </w:r>
      <w:r>
        <w:rPr>
          <w:rFonts w:ascii="Segoe UI" w:hAnsi="Segoe UI" w:cs="Segoe UI"/>
          <w:sz w:val="21"/>
          <w:szCs w:val="21"/>
        </w:rPr>
        <w:t xml:space="preserve"> (1) </w:t>
      </w:r>
      <w:r w:rsidRPr="000F03AB">
        <w:rPr>
          <w:rFonts w:ascii="Segoe UI" w:hAnsi="Segoe UI" w:cs="Segoe UI"/>
          <w:sz w:val="21"/>
          <w:szCs w:val="21"/>
        </w:rPr>
        <w:t>owners of immovable property located in Moldova; or</w:t>
      </w:r>
      <w:r>
        <w:rPr>
          <w:rFonts w:ascii="Segoe UI" w:hAnsi="Segoe UI" w:cs="Segoe UI"/>
          <w:sz w:val="21"/>
          <w:szCs w:val="21"/>
        </w:rPr>
        <w:t xml:space="preserve"> (2) </w:t>
      </w:r>
      <w:r w:rsidRPr="000F03AB">
        <w:rPr>
          <w:rFonts w:ascii="Segoe UI" w:hAnsi="Segoe UI" w:cs="Segoe UI"/>
          <w:sz w:val="21"/>
          <w:szCs w:val="21"/>
        </w:rPr>
        <w:t>holders of patrimonial rights (rights to possess, manage and administer property) over immovable property located in</w:t>
      </w:r>
      <w:r>
        <w:rPr>
          <w:rFonts w:ascii="Segoe UI" w:hAnsi="Segoe UI" w:cs="Segoe UI"/>
          <w:sz w:val="21"/>
          <w:szCs w:val="21"/>
        </w:rPr>
        <w:t xml:space="preserve"> </w:t>
      </w:r>
      <w:r w:rsidRPr="000F03AB">
        <w:rPr>
          <w:rFonts w:ascii="Segoe UI" w:hAnsi="Segoe UI" w:cs="Segoe UI"/>
          <w:sz w:val="21"/>
          <w:szCs w:val="21"/>
        </w:rPr>
        <w:t>Moldova that is public property of the state or public property of the administrative-territorial units</w:t>
      </w:r>
      <w:r>
        <w:rPr>
          <w:rFonts w:ascii="Segoe UI" w:hAnsi="Segoe UI" w:cs="Segoe UI"/>
          <w:sz w:val="21"/>
          <w:szCs w:val="21"/>
        </w:rPr>
        <w:t>.</w:t>
      </w:r>
      <w:r w:rsidRPr="00272136">
        <w:rPr>
          <w:rFonts w:ascii="Segoe UI" w:eastAsia="RotisSemiSans" w:hAnsi="Segoe UI" w:cs="Segoe UI"/>
          <w:sz w:val="21"/>
          <w:szCs w:val="21"/>
        </w:rPr>
        <w:t xml:space="preserve"> </w:t>
      </w:r>
      <w:r w:rsidRPr="00CF7AF8">
        <w:rPr>
          <w:rFonts w:ascii="Segoe UI" w:eastAsia="RotisSemiSans" w:hAnsi="Segoe UI" w:cs="Segoe UI"/>
          <w:sz w:val="21"/>
          <w:szCs w:val="21"/>
        </w:rPr>
        <w:t>There are two property tax assessment methods in use. The new</w:t>
      </w:r>
      <w:r w:rsidRPr="00272136">
        <w:rPr>
          <w:rFonts w:ascii="Segoe UI" w:eastAsia="RotisSemiSans" w:hAnsi="Segoe UI" w:cs="Segoe UI"/>
          <w:sz w:val="21"/>
          <w:szCs w:val="21"/>
        </w:rPr>
        <w:t xml:space="preserve"> </w:t>
      </w:r>
      <w:r>
        <w:rPr>
          <w:rFonts w:ascii="Segoe UI" w:eastAsia="RotisSemiSans" w:hAnsi="Segoe UI" w:cs="Segoe UI"/>
          <w:sz w:val="21"/>
          <w:szCs w:val="21"/>
        </w:rPr>
        <w:t xml:space="preserve">capital value-based </w:t>
      </w:r>
      <w:r w:rsidRPr="00CF7AF8">
        <w:rPr>
          <w:rFonts w:ascii="Segoe UI" w:eastAsia="RotisSemiSans" w:hAnsi="Segoe UI" w:cs="Segoe UI"/>
          <w:sz w:val="21"/>
          <w:szCs w:val="21"/>
        </w:rPr>
        <w:t>property tax assessment</w:t>
      </w:r>
      <w:r w:rsidRPr="00272136">
        <w:rPr>
          <w:rFonts w:ascii="Segoe UI" w:eastAsia="RotisSemiSans" w:hAnsi="Segoe UI" w:cs="Segoe UI"/>
          <w:sz w:val="21"/>
          <w:szCs w:val="21"/>
        </w:rPr>
        <w:t xml:space="preserve"> m</w:t>
      </w:r>
      <w:r w:rsidRPr="00CF7AF8">
        <w:rPr>
          <w:rFonts w:ascii="Segoe UI" w:eastAsia="RotisSemiSans" w:hAnsi="Segoe UI" w:cs="Segoe UI"/>
          <w:sz w:val="21"/>
          <w:szCs w:val="21"/>
        </w:rPr>
        <w:t xml:space="preserve">ethod applies to </w:t>
      </w:r>
      <w:r>
        <w:rPr>
          <w:rFonts w:ascii="Segoe UI" w:hAnsi="Segoe UI" w:cs="Segoe UI"/>
          <w:sz w:val="21"/>
          <w:szCs w:val="21"/>
        </w:rPr>
        <w:t>cadaster-registered</w:t>
      </w:r>
      <w:r w:rsidRPr="00CF7AF8">
        <w:rPr>
          <w:rFonts w:ascii="Segoe UI" w:eastAsia="RotisSemiSans" w:hAnsi="Segoe UI" w:cs="Segoe UI"/>
          <w:sz w:val="21"/>
          <w:szCs w:val="21"/>
        </w:rPr>
        <w:t xml:space="preserve"> properties such as apartments</w:t>
      </w:r>
      <w:r w:rsidRPr="00272136">
        <w:rPr>
          <w:rFonts w:ascii="Segoe UI" w:eastAsia="RotisSemiSans" w:hAnsi="Segoe UI" w:cs="Segoe UI"/>
          <w:sz w:val="21"/>
          <w:szCs w:val="21"/>
        </w:rPr>
        <w:t xml:space="preserve"> </w:t>
      </w:r>
      <w:r w:rsidRPr="00CF7AF8">
        <w:rPr>
          <w:rFonts w:ascii="Segoe UI" w:eastAsia="RotisSemiSans" w:hAnsi="Segoe UI" w:cs="Segoe UI"/>
          <w:sz w:val="21"/>
          <w:szCs w:val="21"/>
        </w:rPr>
        <w:t>and family houses in urban areas, garages in garage owner associations,</w:t>
      </w:r>
      <w:r w:rsidRPr="00272136">
        <w:rPr>
          <w:rFonts w:ascii="Segoe UI" w:eastAsia="RotisSemiSans" w:hAnsi="Segoe UI" w:cs="Segoe UI"/>
          <w:sz w:val="21"/>
          <w:szCs w:val="21"/>
        </w:rPr>
        <w:t xml:space="preserve"> </w:t>
      </w:r>
      <w:r w:rsidRPr="00CF7AF8">
        <w:rPr>
          <w:rFonts w:ascii="Segoe UI" w:eastAsia="RotisSemiSans" w:hAnsi="Segoe UI" w:cs="Segoe UI"/>
          <w:sz w:val="21"/>
          <w:szCs w:val="21"/>
        </w:rPr>
        <w:t xml:space="preserve">land parcels in summer-house owner associations, commercial and industrial property, and agricultural land </w:t>
      </w:r>
      <w:r>
        <w:rPr>
          <w:rFonts w:ascii="Segoe UI" w:eastAsia="RotisSemiSans" w:hAnsi="Segoe UI" w:cs="Segoe UI"/>
          <w:sz w:val="21"/>
          <w:szCs w:val="21"/>
        </w:rPr>
        <w:t>with</w:t>
      </w:r>
      <w:r w:rsidRPr="00CF7AF8">
        <w:rPr>
          <w:rFonts w:ascii="Segoe UI" w:eastAsia="RotisSemiSans" w:hAnsi="Segoe UI" w:cs="Segoe UI"/>
          <w:sz w:val="21"/>
          <w:szCs w:val="21"/>
        </w:rPr>
        <w:t xml:space="preserve"> structures on it </w:t>
      </w:r>
      <w:r>
        <w:rPr>
          <w:rFonts w:ascii="Segoe UI" w:eastAsia="RotisSemiSans" w:hAnsi="Segoe UI" w:cs="Segoe UI"/>
          <w:sz w:val="21"/>
          <w:szCs w:val="21"/>
        </w:rPr>
        <w:t xml:space="preserve">that </w:t>
      </w:r>
      <w:r w:rsidRPr="00CF7AF8">
        <w:rPr>
          <w:rFonts w:ascii="Segoe UI" w:eastAsia="RotisSemiSans" w:hAnsi="Segoe UI" w:cs="Segoe UI"/>
          <w:sz w:val="21"/>
          <w:szCs w:val="21"/>
        </w:rPr>
        <w:t>are used for business.</w:t>
      </w:r>
      <w:r w:rsidRPr="00272136">
        <w:rPr>
          <w:rFonts w:ascii="Segoe UI" w:hAnsi="Segoe UI" w:cs="Segoe UI"/>
          <w:sz w:val="21"/>
          <w:szCs w:val="21"/>
        </w:rPr>
        <w:t xml:space="preserve"> </w:t>
      </w:r>
      <w:r>
        <w:rPr>
          <w:rFonts w:ascii="Segoe UI" w:hAnsi="Segoe UI" w:cs="Segoe UI"/>
          <w:sz w:val="21"/>
          <w:szCs w:val="21"/>
        </w:rPr>
        <w:t>For non-cadaster registered, predominantly, land plots</w:t>
      </w:r>
      <w:r w:rsidR="00E30C24">
        <w:rPr>
          <w:rFonts w:ascii="Segoe UI" w:hAnsi="Segoe UI" w:cs="Segoe UI"/>
          <w:sz w:val="21"/>
          <w:szCs w:val="21"/>
        </w:rPr>
        <w:t>,</w:t>
      </w:r>
      <w:r w:rsidRPr="00272136">
        <w:rPr>
          <w:rFonts w:ascii="Segoe UI" w:eastAsia="RotisSemiSans" w:hAnsi="Segoe UI" w:cs="Segoe UI"/>
          <w:sz w:val="21"/>
          <w:szCs w:val="21"/>
        </w:rPr>
        <w:t xml:space="preserve"> </w:t>
      </w:r>
      <w:r w:rsidRPr="007674B3">
        <w:rPr>
          <w:rFonts w:ascii="Segoe UI" w:eastAsia="RotisSemiSans" w:hAnsi="Segoe UI" w:cs="Segoe UI"/>
          <w:sz w:val="21"/>
          <w:szCs w:val="21"/>
        </w:rPr>
        <w:t xml:space="preserve">the old assessment method applies to agricultural land, houses in rural areas, property in public ownership, engineering infrastructure systems, and specific purpose properties such as power plants, railway stations and airports. </w:t>
      </w:r>
      <w:r>
        <w:rPr>
          <w:rFonts w:ascii="Segoe UI" w:eastAsia="RotisSemiSans" w:hAnsi="Segoe UI" w:cs="Segoe UI"/>
          <w:sz w:val="21"/>
          <w:szCs w:val="21"/>
        </w:rPr>
        <w:t xml:space="preserve">The old assessment method uses an </w:t>
      </w:r>
      <w:r w:rsidRPr="007674B3">
        <w:rPr>
          <w:rFonts w:ascii="Segoe UI" w:eastAsia="RotisSemiSans" w:hAnsi="Segoe UI" w:cs="Segoe UI"/>
          <w:sz w:val="21"/>
          <w:szCs w:val="21"/>
        </w:rPr>
        <w:t>“</w:t>
      </w:r>
      <w:r>
        <w:rPr>
          <w:rFonts w:ascii="Segoe UI" w:eastAsia="RotisSemiSans" w:hAnsi="Segoe UI" w:cs="Segoe UI"/>
          <w:sz w:val="21"/>
          <w:szCs w:val="21"/>
        </w:rPr>
        <w:t>a</w:t>
      </w:r>
      <w:r w:rsidRPr="007674B3">
        <w:rPr>
          <w:rFonts w:ascii="Segoe UI" w:eastAsia="RotisSemiSans" w:hAnsi="Segoe UI" w:cs="Segoe UI"/>
          <w:sz w:val="21"/>
          <w:szCs w:val="21"/>
        </w:rPr>
        <w:t>rea-based assessment approach for agricultural land</w:t>
      </w:r>
      <w:r>
        <w:rPr>
          <w:rFonts w:ascii="Segoe UI" w:eastAsia="RotisSemiSans" w:hAnsi="Segoe UI" w:cs="Segoe UI"/>
          <w:sz w:val="21"/>
          <w:szCs w:val="21"/>
        </w:rPr>
        <w:t>.</w:t>
      </w:r>
      <w:r w:rsidRPr="007674B3">
        <w:rPr>
          <w:rFonts w:ascii="Segoe UI" w:eastAsia="RotisSemiSans" w:hAnsi="Segoe UI" w:cs="Segoe UI"/>
          <w:sz w:val="21"/>
          <w:szCs w:val="21"/>
        </w:rPr>
        <w:t xml:space="preserve">” </w:t>
      </w:r>
      <w:r>
        <w:rPr>
          <w:rFonts w:ascii="Segoe UI" w:eastAsia="RotisSemiSans" w:hAnsi="Segoe UI" w:cs="Segoe UI"/>
          <w:sz w:val="21"/>
          <w:szCs w:val="21"/>
        </w:rPr>
        <w:t>In this instance,</w:t>
      </w:r>
      <w:r w:rsidRPr="007674B3">
        <w:rPr>
          <w:rFonts w:ascii="Segoe UI" w:eastAsia="RotisSemiSans" w:hAnsi="Segoe UI" w:cs="Segoe UI"/>
          <w:sz w:val="21"/>
          <w:szCs w:val="21"/>
        </w:rPr>
        <w:t xml:space="preserve"> the law sets a flat amount payable as tax per hectare of agricultural land</w:t>
      </w:r>
      <w:r>
        <w:rPr>
          <w:rFonts w:ascii="Segoe UI" w:eastAsia="RotisSemiSans" w:hAnsi="Segoe UI" w:cs="Segoe UI"/>
          <w:sz w:val="21"/>
          <w:szCs w:val="21"/>
        </w:rPr>
        <w:t xml:space="preserve">. </w:t>
      </w:r>
      <w:r w:rsidRPr="00F72E16">
        <w:rPr>
          <w:rFonts w:ascii="Segoe UI" w:eastAsia="RotisSemiSans" w:hAnsi="Segoe UI" w:cs="Segoe UI"/>
          <w:sz w:val="21"/>
          <w:szCs w:val="21"/>
        </w:rPr>
        <w:t xml:space="preserve">Currently, agricultural land </w:t>
      </w:r>
      <w:r>
        <w:rPr>
          <w:rFonts w:ascii="Segoe UI" w:eastAsia="RotisSemiSans" w:hAnsi="Segoe UI" w:cs="Segoe UI"/>
          <w:sz w:val="21"/>
          <w:szCs w:val="21"/>
        </w:rPr>
        <w:t xml:space="preserve">constitutes </w:t>
      </w:r>
      <w:r w:rsidRPr="00F72E16">
        <w:rPr>
          <w:rFonts w:ascii="Segoe UI" w:eastAsia="RotisSemiSans" w:hAnsi="Segoe UI" w:cs="Segoe UI"/>
          <w:sz w:val="21"/>
          <w:szCs w:val="21"/>
        </w:rPr>
        <w:t>70 percent of all property</w:t>
      </w:r>
      <w:r>
        <w:rPr>
          <w:rFonts w:ascii="Segoe UI" w:eastAsia="RotisSemiSans" w:hAnsi="Segoe UI" w:cs="Segoe UI"/>
          <w:sz w:val="21"/>
          <w:szCs w:val="21"/>
        </w:rPr>
        <w:t xml:space="preserve"> units</w:t>
      </w:r>
      <w:r w:rsidRPr="00F72E16">
        <w:rPr>
          <w:rFonts w:ascii="Segoe UI" w:eastAsia="RotisSemiSans" w:hAnsi="Segoe UI" w:cs="Segoe UI"/>
          <w:sz w:val="21"/>
          <w:szCs w:val="21"/>
        </w:rPr>
        <w:t xml:space="preserve"> and is assessed for tax according to its area</w:t>
      </w:r>
      <w:r>
        <w:rPr>
          <w:rFonts w:ascii="Segoe UI" w:eastAsia="RotisSemiSans" w:hAnsi="Segoe UI" w:cs="Segoe UI"/>
          <w:sz w:val="21"/>
          <w:szCs w:val="21"/>
        </w:rPr>
        <w:t xml:space="preserve"> (</w:t>
      </w:r>
      <w:r w:rsidR="0093417B">
        <w:rPr>
          <w:rFonts w:ascii="Segoe UI" w:eastAsia="RotisSemiSans" w:hAnsi="Segoe UI" w:cs="Segoe UI"/>
          <w:sz w:val="21"/>
          <w:szCs w:val="21"/>
        </w:rPr>
        <w:t xml:space="preserve">i.e., </w:t>
      </w:r>
      <w:r>
        <w:rPr>
          <w:rFonts w:ascii="Segoe UI" w:eastAsia="RotisSemiSans" w:hAnsi="Segoe UI" w:cs="Segoe UI"/>
          <w:sz w:val="21"/>
          <w:szCs w:val="21"/>
        </w:rPr>
        <w:t xml:space="preserve">the old tax regime). </w:t>
      </w:r>
      <w:r w:rsidRPr="00F72E16">
        <w:rPr>
          <w:rFonts w:ascii="Segoe UI" w:hAnsi="Segoe UI" w:cs="Segoe UI"/>
          <w:sz w:val="21"/>
          <w:szCs w:val="21"/>
        </w:rPr>
        <w:t xml:space="preserve">A fixed rate per hectare </w:t>
      </w:r>
      <w:r>
        <w:rPr>
          <w:rFonts w:ascii="Segoe UI" w:hAnsi="Segoe UI" w:cs="Segoe UI"/>
          <w:sz w:val="21"/>
          <w:szCs w:val="21"/>
        </w:rPr>
        <w:t>i</w:t>
      </w:r>
      <w:r w:rsidRPr="00F72E16">
        <w:rPr>
          <w:rFonts w:ascii="Segoe UI" w:hAnsi="Segoe UI" w:cs="Segoe UI"/>
          <w:sz w:val="21"/>
          <w:szCs w:val="21"/>
        </w:rPr>
        <w:t>s applied to agricultural land and a fixed</w:t>
      </w:r>
      <w:r>
        <w:rPr>
          <w:rFonts w:ascii="Segoe UI" w:hAnsi="Segoe UI" w:cs="Segoe UI"/>
          <w:sz w:val="21"/>
          <w:szCs w:val="21"/>
        </w:rPr>
        <w:t xml:space="preserve"> </w:t>
      </w:r>
      <w:r w:rsidRPr="00F72E16">
        <w:rPr>
          <w:rFonts w:ascii="Segoe UI" w:hAnsi="Segoe UI" w:cs="Segoe UI"/>
          <w:sz w:val="21"/>
          <w:szCs w:val="21"/>
        </w:rPr>
        <w:t xml:space="preserve">rate per hundred </w:t>
      </w:r>
      <w:r w:rsidR="001972E2">
        <w:rPr>
          <w:rFonts w:ascii="Segoe UI" w:hAnsi="Segoe UI" w:cs="Segoe UI"/>
          <w:sz w:val="21"/>
          <w:szCs w:val="21"/>
        </w:rPr>
        <w:t>square meters</w:t>
      </w:r>
      <w:r w:rsidR="001972E2" w:rsidRPr="00F72E16">
        <w:rPr>
          <w:rFonts w:ascii="Segoe UI" w:hAnsi="Segoe UI" w:cs="Segoe UI"/>
          <w:sz w:val="21"/>
          <w:szCs w:val="21"/>
        </w:rPr>
        <w:t xml:space="preserve"> </w:t>
      </w:r>
      <w:r w:rsidRPr="00F72E16">
        <w:rPr>
          <w:rFonts w:ascii="Segoe UI" w:hAnsi="Segoe UI" w:cs="Segoe UI"/>
          <w:sz w:val="21"/>
          <w:szCs w:val="21"/>
        </w:rPr>
        <w:t>for land within settlement</w:t>
      </w:r>
      <w:r>
        <w:rPr>
          <w:rFonts w:ascii="Segoe UI" w:hAnsi="Segoe UI" w:cs="Segoe UI"/>
          <w:sz w:val="21"/>
          <w:szCs w:val="21"/>
        </w:rPr>
        <w:t>s</w:t>
      </w:r>
      <w:r w:rsidRPr="00F72E16">
        <w:rPr>
          <w:rFonts w:ascii="Segoe UI" w:hAnsi="Segoe UI" w:cs="Segoe UI"/>
          <w:sz w:val="21"/>
          <w:szCs w:val="21"/>
        </w:rPr>
        <w:t xml:space="preserve">. </w:t>
      </w:r>
      <w:r>
        <w:rPr>
          <w:rFonts w:ascii="Segoe UI" w:hAnsi="Segoe UI" w:cs="Segoe UI"/>
          <w:sz w:val="21"/>
          <w:szCs w:val="21"/>
        </w:rPr>
        <w:t>Subsequently, t</w:t>
      </w:r>
      <w:r w:rsidRPr="00F72E16">
        <w:rPr>
          <w:rFonts w:ascii="Segoe UI" w:hAnsi="Segoe UI" w:cs="Segoe UI"/>
          <w:sz w:val="21"/>
          <w:szCs w:val="21"/>
        </w:rPr>
        <w:t>he</w:t>
      </w:r>
      <w:r>
        <w:rPr>
          <w:rFonts w:ascii="Segoe UI" w:hAnsi="Segoe UI" w:cs="Segoe UI"/>
          <w:sz w:val="21"/>
          <w:szCs w:val="21"/>
        </w:rPr>
        <w:t xml:space="preserve"> </w:t>
      </w:r>
      <w:r w:rsidRPr="00F72E16">
        <w:rPr>
          <w:rFonts w:ascii="Segoe UI" w:hAnsi="Segoe UI" w:cs="Segoe UI"/>
          <w:sz w:val="21"/>
          <w:szCs w:val="21"/>
        </w:rPr>
        <w:t xml:space="preserve">value of agricultural land was adjusted </w:t>
      </w:r>
      <w:r>
        <w:rPr>
          <w:rFonts w:ascii="Segoe UI" w:hAnsi="Segoe UI" w:cs="Segoe UI"/>
          <w:sz w:val="21"/>
          <w:szCs w:val="21"/>
        </w:rPr>
        <w:t xml:space="preserve">with coefficients </w:t>
      </w:r>
      <w:r w:rsidRPr="00F72E16">
        <w:rPr>
          <w:rFonts w:ascii="Segoe UI" w:hAnsi="Segoe UI" w:cs="Segoe UI"/>
          <w:sz w:val="21"/>
          <w:szCs w:val="21"/>
        </w:rPr>
        <w:t>depending on its soil fertility</w:t>
      </w:r>
      <w:r>
        <w:rPr>
          <w:rFonts w:ascii="Segoe UI" w:hAnsi="Segoe UI" w:cs="Segoe UI"/>
          <w:sz w:val="21"/>
          <w:szCs w:val="21"/>
        </w:rPr>
        <w:t xml:space="preserve"> </w:t>
      </w:r>
      <w:r w:rsidRPr="00F72E16">
        <w:rPr>
          <w:rFonts w:ascii="Segoe UI" w:hAnsi="Segoe UI" w:cs="Segoe UI"/>
          <w:sz w:val="21"/>
          <w:szCs w:val="21"/>
        </w:rPr>
        <w:t xml:space="preserve">(or </w:t>
      </w:r>
      <w:r w:rsidRPr="00F72E16">
        <w:rPr>
          <w:rFonts w:ascii="Segoe UI" w:eastAsia="RotisSemiSans-Italic" w:hAnsi="Segoe UI" w:cs="Segoe UI"/>
          <w:i/>
          <w:sz w:val="21"/>
          <w:szCs w:val="21"/>
        </w:rPr>
        <w:t>bonity</w:t>
      </w:r>
      <w:r w:rsidRPr="00F72E16">
        <w:rPr>
          <w:rFonts w:ascii="Segoe UI" w:hAnsi="Segoe UI" w:cs="Segoe UI"/>
          <w:sz w:val="21"/>
          <w:szCs w:val="21"/>
        </w:rPr>
        <w:t>).</w:t>
      </w:r>
      <w:r w:rsidRPr="0E25DDAF">
        <w:rPr>
          <w:rStyle w:val="FootnoteReference"/>
          <w:rFonts w:ascii="Segoe UI" w:hAnsi="Segoe UI" w:cs="Segoe UI"/>
        </w:rPr>
        <w:footnoteReference w:id="32"/>
      </w:r>
    </w:p>
    <w:p w14:paraId="3643E9E5" w14:textId="25651FA6" w:rsidR="00C36E68" w:rsidRDefault="00C36E68" w:rsidP="00E90BA7">
      <w:pPr>
        <w:spacing w:after="120" w:line="264" w:lineRule="auto"/>
        <w:jc w:val="both"/>
        <w:rPr>
          <w:rFonts w:ascii="Segoe UI" w:hAnsi="Segoe UI" w:cs="Segoe UI"/>
          <w:sz w:val="21"/>
          <w:szCs w:val="21"/>
        </w:rPr>
      </w:pPr>
      <w:r w:rsidRPr="00B13544">
        <w:rPr>
          <w:rFonts w:ascii="Segoe UI" w:hAnsi="Segoe UI" w:cs="Segoe UI"/>
          <w:sz w:val="21"/>
          <w:szCs w:val="21"/>
        </w:rPr>
        <w:t>Immovable</w:t>
      </w:r>
      <w:r w:rsidRPr="000F03AB">
        <w:rPr>
          <w:rFonts w:ascii="Segoe UI" w:hAnsi="Segoe UI" w:cs="Segoe UI"/>
          <w:sz w:val="21"/>
          <w:szCs w:val="21"/>
        </w:rPr>
        <w:t xml:space="preserve"> property includes land, buildings, constructions, </w:t>
      </w:r>
      <w:r w:rsidRPr="00DB2AAE">
        <w:rPr>
          <w:rFonts w:ascii="Segoe UI" w:hAnsi="Segoe UI" w:cs="Segoe UI"/>
          <w:sz w:val="21"/>
          <w:szCs w:val="21"/>
        </w:rPr>
        <w:t>apartments,</w:t>
      </w:r>
      <w:r w:rsidRPr="000F03AB">
        <w:rPr>
          <w:rFonts w:ascii="Segoe UI" w:hAnsi="Segoe UI" w:cs="Segoe UI"/>
          <w:sz w:val="21"/>
          <w:szCs w:val="21"/>
        </w:rPr>
        <w:t xml:space="preserve"> and </w:t>
      </w:r>
      <w:r w:rsidRPr="00DB2AAE">
        <w:rPr>
          <w:rFonts w:ascii="Segoe UI" w:hAnsi="Segoe UI" w:cs="Segoe UI"/>
          <w:sz w:val="21"/>
          <w:szCs w:val="21"/>
        </w:rPr>
        <w:t>other</w:t>
      </w:r>
      <w:r w:rsidRPr="000F03AB">
        <w:rPr>
          <w:rFonts w:ascii="Segoe UI" w:hAnsi="Segoe UI" w:cs="Segoe UI"/>
          <w:sz w:val="21"/>
          <w:szCs w:val="21"/>
        </w:rPr>
        <w:t xml:space="preserve"> similar property.</w:t>
      </w:r>
      <w:r>
        <w:rPr>
          <w:rFonts w:ascii="Segoe UI" w:hAnsi="Segoe UI" w:cs="Segoe UI"/>
          <w:sz w:val="21"/>
          <w:szCs w:val="21"/>
        </w:rPr>
        <w:t xml:space="preserve"> </w:t>
      </w:r>
      <w:r w:rsidRPr="000F03AB">
        <w:rPr>
          <w:rFonts w:ascii="Segoe UI" w:hAnsi="Segoe UI" w:cs="Segoe UI"/>
          <w:sz w:val="21"/>
          <w:szCs w:val="21"/>
        </w:rPr>
        <w:t xml:space="preserve">The taxable base of the tax on immovable property is the estimated value of such property as </w:t>
      </w:r>
      <w:r w:rsidRPr="000F03AB">
        <w:rPr>
          <w:rFonts w:ascii="Segoe UI" w:hAnsi="Segoe UI" w:cs="Segoe UI"/>
          <w:sz w:val="21"/>
          <w:szCs w:val="21"/>
        </w:rPr>
        <w:lastRenderedPageBreak/>
        <w:t>determined by the cadastral</w:t>
      </w:r>
      <w:r>
        <w:rPr>
          <w:rFonts w:ascii="Segoe UI" w:hAnsi="Segoe UI" w:cs="Segoe UI"/>
          <w:sz w:val="21"/>
          <w:szCs w:val="21"/>
        </w:rPr>
        <w:t xml:space="preserve"> </w:t>
      </w:r>
      <w:r w:rsidRPr="000F03AB">
        <w:rPr>
          <w:rFonts w:ascii="Segoe UI" w:hAnsi="Segoe UI" w:cs="Segoe UI"/>
          <w:sz w:val="21"/>
          <w:szCs w:val="21"/>
        </w:rPr>
        <w:t>authorities.</w:t>
      </w:r>
      <w:r>
        <w:rPr>
          <w:rFonts w:ascii="Segoe UI" w:hAnsi="Segoe UI" w:cs="Segoe UI"/>
          <w:sz w:val="21"/>
          <w:szCs w:val="21"/>
        </w:rPr>
        <w:t xml:space="preserve"> </w:t>
      </w:r>
      <w:r w:rsidRPr="000F03AB">
        <w:rPr>
          <w:rFonts w:ascii="Segoe UI" w:hAnsi="Segoe UI" w:cs="Segoe UI"/>
          <w:sz w:val="21"/>
          <w:szCs w:val="21"/>
        </w:rPr>
        <w:t>For companies, th</w:t>
      </w:r>
      <w:r>
        <w:rPr>
          <w:rFonts w:ascii="Segoe UI" w:hAnsi="Segoe UI" w:cs="Segoe UI"/>
          <w:sz w:val="21"/>
          <w:szCs w:val="21"/>
        </w:rPr>
        <w:t>e RET</w:t>
      </w:r>
      <w:r w:rsidRPr="000F03AB">
        <w:rPr>
          <w:rFonts w:ascii="Segoe UI" w:hAnsi="Segoe UI" w:cs="Segoe UI"/>
          <w:sz w:val="21"/>
          <w:szCs w:val="21"/>
        </w:rPr>
        <w:t xml:space="preserve"> is levied at a rate of 0.3</w:t>
      </w:r>
      <w:r>
        <w:rPr>
          <w:rFonts w:ascii="Segoe UI" w:hAnsi="Segoe UI" w:cs="Segoe UI"/>
          <w:sz w:val="21"/>
          <w:szCs w:val="21"/>
        </w:rPr>
        <w:t xml:space="preserve"> percent</w:t>
      </w:r>
      <w:r w:rsidRPr="000F03AB">
        <w:rPr>
          <w:rFonts w:ascii="Segoe UI" w:hAnsi="Segoe UI" w:cs="Segoe UI"/>
          <w:sz w:val="21"/>
          <w:szCs w:val="21"/>
        </w:rPr>
        <w:t xml:space="preserve"> on the taxable base of the immovable </w:t>
      </w:r>
      <w:r>
        <w:rPr>
          <w:rFonts w:ascii="Segoe UI" w:hAnsi="Segoe UI" w:cs="Segoe UI"/>
          <w:sz w:val="21"/>
          <w:szCs w:val="21"/>
        </w:rPr>
        <w:t>p</w:t>
      </w:r>
      <w:r w:rsidRPr="000F03AB">
        <w:rPr>
          <w:rFonts w:ascii="Segoe UI" w:hAnsi="Segoe UI" w:cs="Segoe UI"/>
          <w:sz w:val="21"/>
          <w:szCs w:val="21"/>
        </w:rPr>
        <w:t>roperty.</w:t>
      </w:r>
      <w:r>
        <w:rPr>
          <w:rFonts w:ascii="Segoe UI" w:hAnsi="Segoe UI" w:cs="Segoe UI"/>
          <w:sz w:val="21"/>
          <w:szCs w:val="21"/>
        </w:rPr>
        <w:t xml:space="preserve"> For natural persons</w:t>
      </w:r>
      <w:r w:rsidRPr="00CA56A6">
        <w:rPr>
          <w:rFonts w:ascii="Segoe UI" w:hAnsi="Segoe UI" w:cs="Segoe UI"/>
          <w:sz w:val="21"/>
          <w:szCs w:val="21"/>
        </w:rPr>
        <w:t xml:space="preserve"> </w:t>
      </w:r>
      <w:r>
        <w:rPr>
          <w:rFonts w:ascii="Segoe UI" w:hAnsi="Segoe UI" w:cs="Segoe UI"/>
          <w:sz w:val="21"/>
          <w:szCs w:val="21"/>
        </w:rPr>
        <w:t>t</w:t>
      </w:r>
      <w:r w:rsidRPr="00442DC8">
        <w:rPr>
          <w:rFonts w:ascii="Segoe UI" w:hAnsi="Segoe UI" w:cs="Segoe UI"/>
          <w:sz w:val="21"/>
          <w:szCs w:val="21"/>
        </w:rPr>
        <w:t>he tax on immovable property is levied at the following rates:</w:t>
      </w:r>
      <w:r>
        <w:rPr>
          <w:rFonts w:ascii="Segoe UI" w:hAnsi="Segoe UI" w:cs="Segoe UI"/>
          <w:sz w:val="21"/>
          <w:szCs w:val="21"/>
        </w:rPr>
        <w:t xml:space="preserve"> (1) </w:t>
      </w:r>
      <w:r w:rsidRPr="00442DC8">
        <w:rPr>
          <w:rFonts w:ascii="Segoe UI" w:hAnsi="Segoe UI" w:cs="Segoe UI"/>
          <w:sz w:val="21"/>
          <w:szCs w:val="21"/>
        </w:rPr>
        <w:t xml:space="preserve">in municipalities and cities </w:t>
      </w:r>
      <w:r>
        <w:rPr>
          <w:rFonts w:ascii="Segoe UI" w:hAnsi="Segoe UI" w:cs="Segoe UI"/>
          <w:sz w:val="21"/>
          <w:szCs w:val="21"/>
        </w:rPr>
        <w:t xml:space="preserve">only a minimum rate of </w:t>
      </w:r>
      <w:r w:rsidRPr="00442DC8">
        <w:rPr>
          <w:rFonts w:ascii="Segoe UI" w:hAnsi="Segoe UI" w:cs="Segoe UI"/>
          <w:sz w:val="21"/>
          <w:szCs w:val="21"/>
        </w:rPr>
        <w:t>0.05</w:t>
      </w:r>
      <w:r>
        <w:rPr>
          <w:rFonts w:ascii="Segoe UI" w:hAnsi="Segoe UI" w:cs="Segoe UI"/>
          <w:sz w:val="21"/>
          <w:szCs w:val="21"/>
        </w:rPr>
        <w:t xml:space="preserve"> percent applies—t</w:t>
      </w:r>
      <w:r w:rsidRPr="00442DC8">
        <w:rPr>
          <w:rFonts w:ascii="Segoe UI" w:hAnsi="Segoe UI" w:cs="Segoe UI"/>
          <w:sz w:val="21"/>
          <w:szCs w:val="21"/>
        </w:rPr>
        <w:t>he maximum rate of 0.4</w:t>
      </w:r>
      <w:r>
        <w:rPr>
          <w:rFonts w:ascii="Segoe UI" w:hAnsi="Segoe UI" w:cs="Segoe UI"/>
          <w:sz w:val="21"/>
          <w:szCs w:val="21"/>
        </w:rPr>
        <w:t xml:space="preserve"> percent </w:t>
      </w:r>
      <w:r w:rsidRPr="00442DC8">
        <w:rPr>
          <w:rFonts w:ascii="Segoe UI" w:hAnsi="Segoe UI" w:cs="Segoe UI"/>
          <w:sz w:val="21"/>
          <w:szCs w:val="21"/>
        </w:rPr>
        <w:t xml:space="preserve">of the taxable </w:t>
      </w:r>
      <w:r>
        <w:rPr>
          <w:rFonts w:ascii="Segoe UI" w:hAnsi="Segoe UI" w:cs="Segoe UI"/>
          <w:sz w:val="21"/>
          <w:szCs w:val="21"/>
        </w:rPr>
        <w:t xml:space="preserve">property </w:t>
      </w:r>
      <w:r w:rsidRPr="00442DC8">
        <w:rPr>
          <w:rFonts w:ascii="Segoe UI" w:hAnsi="Segoe UI" w:cs="Segoe UI"/>
          <w:sz w:val="21"/>
          <w:szCs w:val="21"/>
        </w:rPr>
        <w:t xml:space="preserve">base </w:t>
      </w:r>
      <w:r>
        <w:rPr>
          <w:rFonts w:ascii="Segoe UI" w:hAnsi="Segoe UI" w:cs="Segoe UI"/>
          <w:sz w:val="21"/>
          <w:szCs w:val="21"/>
        </w:rPr>
        <w:t xml:space="preserve">has been abolished effective 1 January, 2023. The </w:t>
      </w:r>
      <w:r w:rsidRPr="00442DC8">
        <w:rPr>
          <w:rFonts w:ascii="Segoe UI" w:hAnsi="Segoe UI" w:cs="Segoe UI"/>
          <w:sz w:val="21"/>
          <w:szCs w:val="21"/>
        </w:rPr>
        <w:t>actual tax rates are set annually by the local authorities</w:t>
      </w:r>
      <w:r>
        <w:rPr>
          <w:rFonts w:ascii="Segoe UI" w:hAnsi="Segoe UI" w:cs="Segoe UI"/>
          <w:sz w:val="21"/>
          <w:szCs w:val="21"/>
        </w:rPr>
        <w:t xml:space="preserve"> and cluster around the statutory minimum rate. </w:t>
      </w:r>
      <w:r w:rsidRPr="00442DC8">
        <w:rPr>
          <w:rFonts w:ascii="Segoe UI" w:hAnsi="Segoe UI" w:cs="Segoe UI"/>
          <w:sz w:val="21"/>
          <w:szCs w:val="21"/>
        </w:rPr>
        <w:t>A specified value of immovable property for every municipality and city is exempt (</w:t>
      </w:r>
      <w:r w:rsidRPr="00F443D5">
        <w:rPr>
          <w:rFonts w:ascii="Segoe UI" w:hAnsi="Segoe UI" w:cs="Segoe UI"/>
          <w:sz w:val="21"/>
          <w:szCs w:val="21"/>
        </w:rPr>
        <w:t>A</w:t>
      </w:r>
      <w:r w:rsidRPr="000F03AB">
        <w:rPr>
          <w:rFonts w:ascii="Segoe UI" w:hAnsi="Segoe UI" w:cs="Segoe UI"/>
          <w:sz w:val="21"/>
          <w:szCs w:val="21"/>
        </w:rPr>
        <w:t>rt. 283(2)</w:t>
      </w:r>
      <w:r w:rsidR="006D1461">
        <w:rPr>
          <w:rFonts w:ascii="Segoe UI" w:hAnsi="Segoe UI" w:cs="Segoe UI"/>
          <w:sz w:val="21"/>
          <w:szCs w:val="21"/>
        </w:rPr>
        <w:t>)</w:t>
      </w:r>
      <w:r w:rsidRPr="00F443D5">
        <w:rPr>
          <w:rFonts w:ascii="Segoe UI" w:hAnsi="Segoe UI" w:cs="Segoe UI"/>
          <w:sz w:val="21"/>
          <w:szCs w:val="21"/>
        </w:rPr>
        <w:t>.</w:t>
      </w:r>
      <w:r>
        <w:rPr>
          <w:rFonts w:ascii="Segoe UI" w:hAnsi="Segoe UI" w:cs="Segoe UI"/>
          <w:sz w:val="21"/>
          <w:szCs w:val="21"/>
        </w:rPr>
        <w:t xml:space="preserve"> </w:t>
      </w:r>
    </w:p>
    <w:p w14:paraId="0DE17780" w14:textId="3CAB3DCC" w:rsidR="00C36E68" w:rsidRPr="000F03AB" w:rsidRDefault="007A2D4C" w:rsidP="00E90BA7">
      <w:pPr>
        <w:spacing w:line="264" w:lineRule="auto"/>
        <w:jc w:val="both"/>
        <w:rPr>
          <w:rFonts w:ascii="Segoe UI" w:hAnsi="Segoe UI" w:cs="Segoe UI"/>
          <w:sz w:val="21"/>
          <w:szCs w:val="21"/>
        </w:rPr>
      </w:pPr>
      <w:r w:rsidRPr="0041197E">
        <w:rPr>
          <w:rFonts w:ascii="Segoe UI" w:hAnsi="Segoe UI" w:cs="Segoe UI"/>
          <w:i/>
          <w:iCs/>
          <w:sz w:val="21"/>
          <w:szCs w:val="21"/>
        </w:rPr>
        <w:t xml:space="preserve">Exemptions for public authorities, religious organization, </w:t>
      </w:r>
      <w:r w:rsidR="00321917" w:rsidRPr="0041197E">
        <w:rPr>
          <w:rFonts w:ascii="Segoe UI" w:hAnsi="Segoe UI" w:cs="Segoe UI"/>
          <w:i/>
          <w:iCs/>
          <w:sz w:val="21"/>
          <w:szCs w:val="21"/>
        </w:rPr>
        <w:t>diplomatic</w:t>
      </w:r>
      <w:r w:rsidRPr="0041197E">
        <w:rPr>
          <w:rFonts w:ascii="Segoe UI" w:hAnsi="Segoe UI" w:cs="Segoe UI"/>
          <w:i/>
          <w:iCs/>
          <w:sz w:val="21"/>
          <w:szCs w:val="21"/>
        </w:rPr>
        <w:t xml:space="preserve"> and </w:t>
      </w:r>
      <w:r w:rsidR="00321917" w:rsidRPr="0041197E">
        <w:rPr>
          <w:rFonts w:ascii="Segoe UI" w:hAnsi="Segoe UI" w:cs="Segoe UI"/>
          <w:i/>
          <w:iCs/>
          <w:sz w:val="21"/>
          <w:szCs w:val="21"/>
        </w:rPr>
        <w:t>consular missions, etc.</w:t>
      </w:r>
      <w:r w:rsidRPr="0041197E">
        <w:rPr>
          <w:rFonts w:ascii="Segoe UI" w:hAnsi="Segoe UI" w:cs="Segoe UI"/>
          <w:i/>
          <w:iCs/>
          <w:sz w:val="21"/>
          <w:szCs w:val="21"/>
        </w:rPr>
        <w:t xml:space="preserve"> </w:t>
      </w:r>
      <w:r w:rsidR="00C36E68">
        <w:rPr>
          <w:rFonts w:ascii="Segoe UI" w:hAnsi="Segoe UI" w:cs="Segoe UI"/>
          <w:sz w:val="21"/>
          <w:szCs w:val="21"/>
        </w:rPr>
        <w:t>Numerous e</w:t>
      </w:r>
      <w:r w:rsidR="00C36E68" w:rsidRPr="000F03AB">
        <w:rPr>
          <w:rFonts w:ascii="Segoe UI" w:hAnsi="Segoe UI" w:cs="Segoe UI"/>
          <w:sz w:val="21"/>
          <w:szCs w:val="21"/>
        </w:rPr>
        <w:t xml:space="preserve">xemptions </w:t>
      </w:r>
      <w:r w:rsidR="00C36E68">
        <w:rPr>
          <w:rFonts w:ascii="Segoe UI" w:hAnsi="Segoe UI" w:cs="Segoe UI"/>
          <w:sz w:val="21"/>
          <w:szCs w:val="21"/>
        </w:rPr>
        <w:t xml:space="preserve">(Articles 283(1) and (4)) </w:t>
      </w:r>
      <w:r w:rsidR="00C36E68" w:rsidRPr="000F03AB">
        <w:rPr>
          <w:rFonts w:ascii="Segoe UI" w:hAnsi="Segoe UI" w:cs="Segoe UI"/>
          <w:sz w:val="21"/>
          <w:szCs w:val="21"/>
        </w:rPr>
        <w:t>are available to the public authorities and budget</w:t>
      </w:r>
      <w:r w:rsidR="00C36E68">
        <w:rPr>
          <w:rFonts w:ascii="Segoe UI" w:hAnsi="Segoe UI" w:cs="Segoe UI"/>
          <w:sz w:val="21"/>
          <w:szCs w:val="21"/>
        </w:rPr>
        <w:t xml:space="preserve">-funded </w:t>
      </w:r>
      <w:r w:rsidR="00C36E68" w:rsidRPr="000F03AB">
        <w:rPr>
          <w:rFonts w:ascii="Segoe UI" w:hAnsi="Segoe UI" w:cs="Segoe UI"/>
          <w:sz w:val="21"/>
          <w:szCs w:val="21"/>
        </w:rPr>
        <w:t>institutions, religious organizations</w:t>
      </w:r>
      <w:r w:rsidR="00C36E68">
        <w:rPr>
          <w:rFonts w:ascii="Segoe UI" w:hAnsi="Segoe UI" w:cs="Segoe UI"/>
          <w:sz w:val="21"/>
          <w:szCs w:val="21"/>
        </w:rPr>
        <w:t>’ places of worship</w:t>
      </w:r>
      <w:r w:rsidR="00C36E68" w:rsidRPr="000F03AB">
        <w:rPr>
          <w:rFonts w:ascii="Segoe UI" w:hAnsi="Segoe UI" w:cs="Segoe UI"/>
          <w:sz w:val="21"/>
          <w:szCs w:val="21"/>
        </w:rPr>
        <w:t xml:space="preserve">, diplomatic and </w:t>
      </w:r>
      <w:r w:rsidR="00C36E68">
        <w:rPr>
          <w:rFonts w:ascii="Segoe UI" w:hAnsi="Segoe UI" w:cs="Segoe UI"/>
          <w:sz w:val="21"/>
          <w:szCs w:val="21"/>
        </w:rPr>
        <w:t>consular</w:t>
      </w:r>
      <w:r w:rsidR="00C36E68" w:rsidRPr="000F03AB">
        <w:rPr>
          <w:rFonts w:ascii="Segoe UI" w:hAnsi="Segoe UI" w:cs="Segoe UI"/>
          <w:sz w:val="21"/>
          <w:szCs w:val="21"/>
        </w:rPr>
        <w:t xml:space="preserve"> missions</w:t>
      </w:r>
      <w:r w:rsidR="00C36E68">
        <w:rPr>
          <w:rFonts w:ascii="Segoe UI" w:hAnsi="Segoe UI" w:cs="Segoe UI"/>
          <w:sz w:val="21"/>
          <w:szCs w:val="21"/>
        </w:rPr>
        <w:t>, war veterans and their family members, retired persons, and owners of conservation areas</w:t>
      </w:r>
      <w:r w:rsidR="00C36E68" w:rsidRPr="000F03AB">
        <w:rPr>
          <w:rFonts w:ascii="Segoe UI" w:hAnsi="Segoe UI" w:cs="Segoe UI"/>
          <w:sz w:val="21"/>
          <w:szCs w:val="21"/>
        </w:rPr>
        <w:t>.</w:t>
      </w:r>
      <w:r w:rsidR="00C36E68">
        <w:rPr>
          <w:rFonts w:ascii="Segoe UI" w:hAnsi="Segoe UI" w:cs="Segoe UI"/>
          <w:sz w:val="21"/>
          <w:szCs w:val="21"/>
        </w:rPr>
        <w:t xml:space="preserve"> </w:t>
      </w:r>
      <w:r w:rsidR="00C36E68" w:rsidRPr="000F03AB">
        <w:rPr>
          <w:rFonts w:ascii="Segoe UI" w:hAnsi="Segoe UI" w:cs="Segoe UI"/>
          <w:sz w:val="21"/>
          <w:szCs w:val="21"/>
        </w:rPr>
        <w:t>The owners and users of immovable property occupied by scientific, artistic, cinematographic, educational, health care or</w:t>
      </w:r>
      <w:r w:rsidR="00C36E68">
        <w:rPr>
          <w:rFonts w:ascii="Segoe UI" w:hAnsi="Segoe UI" w:cs="Segoe UI"/>
          <w:sz w:val="21"/>
          <w:szCs w:val="21"/>
        </w:rPr>
        <w:t xml:space="preserve"> </w:t>
      </w:r>
      <w:r w:rsidR="00C36E68" w:rsidRPr="000F03AB">
        <w:rPr>
          <w:rFonts w:ascii="Segoe UI" w:hAnsi="Segoe UI" w:cs="Segoe UI"/>
          <w:sz w:val="21"/>
          <w:szCs w:val="21"/>
        </w:rPr>
        <w:t>sporting institutions (with the exception of holiday resorts), as well as historical, cultural and natural monuments maintained by</w:t>
      </w:r>
      <w:r w:rsidR="00C36E68">
        <w:rPr>
          <w:rFonts w:ascii="Segoe UI" w:hAnsi="Segoe UI" w:cs="Segoe UI"/>
          <w:sz w:val="21"/>
          <w:szCs w:val="21"/>
        </w:rPr>
        <w:t xml:space="preserve"> </w:t>
      </w:r>
      <w:r w:rsidR="00C36E68" w:rsidRPr="000F03AB">
        <w:rPr>
          <w:rFonts w:ascii="Segoe UI" w:hAnsi="Segoe UI" w:cs="Segoe UI"/>
          <w:sz w:val="21"/>
          <w:szCs w:val="21"/>
        </w:rPr>
        <w:t xml:space="preserve">the state or trade unions, are also </w:t>
      </w:r>
      <w:r w:rsidR="00C36E68">
        <w:rPr>
          <w:rFonts w:ascii="Segoe UI" w:hAnsi="Segoe UI" w:cs="Segoe UI"/>
          <w:sz w:val="21"/>
          <w:szCs w:val="21"/>
        </w:rPr>
        <w:t>RET-</w:t>
      </w:r>
      <w:r w:rsidR="00C36E68" w:rsidRPr="000F03AB">
        <w:rPr>
          <w:rFonts w:ascii="Segoe UI" w:hAnsi="Segoe UI" w:cs="Segoe UI"/>
          <w:sz w:val="21"/>
          <w:szCs w:val="21"/>
        </w:rPr>
        <w:t>exempt</w:t>
      </w:r>
      <w:r w:rsidR="00C36E68">
        <w:rPr>
          <w:rFonts w:ascii="Segoe UI" w:hAnsi="Segoe UI" w:cs="Segoe UI"/>
          <w:sz w:val="21"/>
          <w:szCs w:val="21"/>
        </w:rPr>
        <w:t xml:space="preserve">. </w:t>
      </w:r>
      <w:r w:rsidR="00C36E68" w:rsidRPr="000F03AB">
        <w:rPr>
          <w:rFonts w:ascii="Segoe UI" w:hAnsi="Segoe UI" w:cs="Segoe UI"/>
          <w:sz w:val="21"/>
          <w:szCs w:val="21"/>
        </w:rPr>
        <w:t xml:space="preserve">Additional exemptions and an extension of deadlines for </w:t>
      </w:r>
      <w:r w:rsidR="00C36E68">
        <w:rPr>
          <w:rFonts w:ascii="Segoe UI" w:hAnsi="Segoe UI" w:cs="Segoe UI"/>
          <w:sz w:val="21"/>
          <w:szCs w:val="21"/>
        </w:rPr>
        <w:t xml:space="preserve">the </w:t>
      </w:r>
      <w:r w:rsidR="00C36E68" w:rsidRPr="000F03AB">
        <w:rPr>
          <w:rFonts w:ascii="Segoe UI" w:hAnsi="Segoe UI" w:cs="Segoe UI"/>
          <w:sz w:val="21"/>
          <w:szCs w:val="21"/>
        </w:rPr>
        <w:t xml:space="preserve">payment of </w:t>
      </w:r>
      <w:r w:rsidR="00C36E68">
        <w:rPr>
          <w:rFonts w:ascii="Segoe UI" w:hAnsi="Segoe UI" w:cs="Segoe UI"/>
          <w:sz w:val="21"/>
          <w:szCs w:val="21"/>
        </w:rPr>
        <w:t>RET</w:t>
      </w:r>
      <w:r w:rsidR="00C36E68" w:rsidRPr="000F03AB">
        <w:rPr>
          <w:rFonts w:ascii="Segoe UI" w:hAnsi="Segoe UI" w:cs="Segoe UI"/>
          <w:sz w:val="21"/>
          <w:szCs w:val="21"/>
        </w:rPr>
        <w:t xml:space="preserve"> may be granted by the </w:t>
      </w:r>
      <w:r w:rsidR="003642A1">
        <w:rPr>
          <w:rFonts w:ascii="Segoe UI" w:hAnsi="Segoe UI" w:cs="Segoe UI"/>
          <w:sz w:val="21"/>
          <w:szCs w:val="21"/>
        </w:rPr>
        <w:t>l</w:t>
      </w:r>
      <w:r w:rsidR="009153C8">
        <w:rPr>
          <w:rFonts w:ascii="Segoe UI" w:hAnsi="Segoe UI" w:cs="Segoe UI"/>
          <w:sz w:val="21"/>
          <w:szCs w:val="21"/>
        </w:rPr>
        <w:t xml:space="preserve">ocal public administrations </w:t>
      </w:r>
      <w:r w:rsidR="003642A1">
        <w:rPr>
          <w:rFonts w:ascii="Segoe UI" w:hAnsi="Segoe UI" w:cs="Segoe UI"/>
          <w:sz w:val="21"/>
          <w:szCs w:val="21"/>
        </w:rPr>
        <w:t>(</w:t>
      </w:r>
      <w:r w:rsidR="00C36E68">
        <w:rPr>
          <w:rFonts w:ascii="Segoe UI" w:hAnsi="Segoe UI" w:cs="Segoe UI"/>
          <w:sz w:val="21"/>
          <w:szCs w:val="21"/>
        </w:rPr>
        <w:t>LPA</w:t>
      </w:r>
      <w:r w:rsidR="003642A1">
        <w:rPr>
          <w:rFonts w:ascii="Segoe UI" w:hAnsi="Segoe UI" w:cs="Segoe UI"/>
          <w:sz w:val="21"/>
          <w:szCs w:val="21"/>
        </w:rPr>
        <w:t>)</w:t>
      </w:r>
      <w:r w:rsidR="00C36E68">
        <w:rPr>
          <w:rFonts w:ascii="Segoe UI" w:hAnsi="Segoe UI" w:cs="Segoe UI"/>
          <w:sz w:val="21"/>
          <w:szCs w:val="21"/>
        </w:rPr>
        <w:t>s.</w:t>
      </w:r>
    </w:p>
    <w:p w14:paraId="1DB21CAE" w14:textId="6A803EEB" w:rsidR="00C36E68" w:rsidRDefault="00321917" w:rsidP="00E90BA7">
      <w:pPr>
        <w:spacing w:line="264" w:lineRule="auto"/>
        <w:jc w:val="both"/>
        <w:rPr>
          <w:rFonts w:ascii="Segoe UI" w:hAnsi="Segoe UI" w:cs="Segoe UI"/>
          <w:sz w:val="21"/>
          <w:szCs w:val="21"/>
        </w:rPr>
      </w:pPr>
      <w:r w:rsidRPr="00F24780">
        <w:rPr>
          <w:rFonts w:ascii="Segoe UI" w:hAnsi="Segoe UI" w:cs="Segoe UI"/>
          <w:i/>
          <w:iCs/>
          <w:sz w:val="21"/>
          <w:szCs w:val="21"/>
        </w:rPr>
        <w:t xml:space="preserve">Reduced RET rate </w:t>
      </w:r>
      <w:r w:rsidR="0057699A" w:rsidRPr="00F24780">
        <w:rPr>
          <w:rFonts w:ascii="Segoe UI" w:hAnsi="Segoe UI" w:cs="Segoe UI"/>
          <w:i/>
          <w:iCs/>
          <w:sz w:val="21"/>
          <w:szCs w:val="21"/>
        </w:rPr>
        <w:t xml:space="preserve">for </w:t>
      </w:r>
      <w:r w:rsidR="001834F0" w:rsidRPr="00F24780">
        <w:rPr>
          <w:rFonts w:ascii="Segoe UI" w:hAnsi="Segoe UI" w:cs="Segoe UI"/>
          <w:i/>
          <w:iCs/>
          <w:sz w:val="21"/>
          <w:szCs w:val="21"/>
        </w:rPr>
        <w:t>early payments (</w:t>
      </w:r>
      <w:r w:rsidR="004F0EB4" w:rsidRPr="00F24780">
        <w:rPr>
          <w:rFonts w:ascii="Segoe UI" w:hAnsi="Segoe UI" w:cs="Segoe UI"/>
          <w:i/>
          <w:iCs/>
          <w:sz w:val="21"/>
          <w:szCs w:val="21"/>
        </w:rPr>
        <w:t>abandoned star</w:t>
      </w:r>
      <w:r w:rsidR="008559A5">
        <w:rPr>
          <w:rFonts w:ascii="Segoe UI" w:hAnsi="Segoe UI" w:cs="Segoe UI"/>
          <w:i/>
          <w:iCs/>
          <w:sz w:val="21"/>
          <w:szCs w:val="21"/>
        </w:rPr>
        <w:t>ing</w:t>
      </w:r>
      <w:r w:rsidR="004F0EB4" w:rsidRPr="00F24780">
        <w:rPr>
          <w:rFonts w:ascii="Segoe UI" w:hAnsi="Segoe UI" w:cs="Segoe UI"/>
          <w:i/>
          <w:iCs/>
          <w:sz w:val="21"/>
          <w:szCs w:val="21"/>
        </w:rPr>
        <w:t xml:space="preserve"> January </w:t>
      </w:r>
      <w:r w:rsidR="009711C7" w:rsidRPr="00F24780">
        <w:rPr>
          <w:rFonts w:ascii="Segoe UI" w:hAnsi="Segoe UI" w:cs="Segoe UI"/>
          <w:i/>
          <w:iCs/>
          <w:sz w:val="21"/>
          <w:szCs w:val="21"/>
        </w:rPr>
        <w:t>2021)</w:t>
      </w:r>
      <w:r w:rsidR="001834F0" w:rsidRPr="00F24780">
        <w:rPr>
          <w:rFonts w:ascii="Segoe UI" w:hAnsi="Segoe UI" w:cs="Segoe UI"/>
          <w:i/>
          <w:iCs/>
          <w:sz w:val="21"/>
          <w:szCs w:val="21"/>
        </w:rPr>
        <w:t xml:space="preserve">. </w:t>
      </w:r>
      <w:r w:rsidR="00C36E68" w:rsidRPr="000F03AB">
        <w:rPr>
          <w:rFonts w:ascii="Segoe UI" w:hAnsi="Segoe UI" w:cs="Segoe UI"/>
          <w:sz w:val="21"/>
          <w:szCs w:val="21"/>
        </w:rPr>
        <w:t>T</w:t>
      </w:r>
      <w:r w:rsidR="006E71DE">
        <w:rPr>
          <w:rFonts w:ascii="Segoe UI" w:hAnsi="Segoe UI" w:cs="Segoe UI"/>
          <w:sz w:val="21"/>
          <w:szCs w:val="21"/>
        </w:rPr>
        <w:t>he t</w:t>
      </w:r>
      <w:r w:rsidR="00C36E68" w:rsidRPr="000F03AB">
        <w:rPr>
          <w:rFonts w:ascii="Segoe UI" w:hAnsi="Segoe UI" w:cs="Segoe UI"/>
          <w:sz w:val="21"/>
          <w:szCs w:val="21"/>
        </w:rPr>
        <w:t>ax liability is calculated by self-assessment</w:t>
      </w:r>
      <w:r w:rsidR="00C36E68">
        <w:rPr>
          <w:rFonts w:ascii="Segoe UI" w:hAnsi="Segoe UI" w:cs="Segoe UI"/>
          <w:sz w:val="21"/>
          <w:szCs w:val="21"/>
        </w:rPr>
        <w:t xml:space="preserve"> for legal persons, whereas in the case of residential properties natural persons are billed by local tax administration. </w:t>
      </w:r>
      <w:r w:rsidR="00C36E68" w:rsidRPr="000F03AB">
        <w:rPr>
          <w:rFonts w:ascii="Segoe UI" w:hAnsi="Segoe UI" w:cs="Segoe UI"/>
          <w:sz w:val="21"/>
          <w:szCs w:val="21"/>
        </w:rPr>
        <w:t>Until 31 December 2020, if the tax was paid by 30 June of the relevant tax year, the taxpayer was entitled to a 15</w:t>
      </w:r>
      <w:r w:rsidR="00C36E68">
        <w:rPr>
          <w:rFonts w:ascii="Segoe UI" w:hAnsi="Segoe UI" w:cs="Segoe UI"/>
          <w:sz w:val="21"/>
          <w:szCs w:val="21"/>
        </w:rPr>
        <w:t xml:space="preserve"> percent</w:t>
      </w:r>
      <w:r w:rsidR="00C36E68" w:rsidRPr="000F03AB">
        <w:rPr>
          <w:rFonts w:ascii="Segoe UI" w:hAnsi="Segoe UI" w:cs="Segoe UI"/>
          <w:sz w:val="21"/>
          <w:szCs w:val="21"/>
        </w:rPr>
        <w:t xml:space="preserve"> tax</w:t>
      </w:r>
      <w:r w:rsidR="00C36E68">
        <w:rPr>
          <w:rFonts w:ascii="Segoe UI" w:hAnsi="Segoe UI" w:cs="Segoe UI"/>
          <w:sz w:val="21"/>
          <w:szCs w:val="21"/>
        </w:rPr>
        <w:t xml:space="preserve"> </w:t>
      </w:r>
      <w:r w:rsidR="00C36E68" w:rsidRPr="000F03AB">
        <w:rPr>
          <w:rFonts w:ascii="Segoe UI" w:hAnsi="Segoe UI" w:cs="Segoe UI"/>
          <w:sz w:val="21"/>
          <w:szCs w:val="21"/>
        </w:rPr>
        <w:t>reduction</w:t>
      </w:r>
      <w:r w:rsidR="00C36E68">
        <w:rPr>
          <w:rFonts w:ascii="Segoe UI" w:hAnsi="Segoe UI" w:cs="Segoe UI"/>
          <w:sz w:val="21"/>
          <w:szCs w:val="21"/>
        </w:rPr>
        <w:t>, which was one the costl</w:t>
      </w:r>
      <w:r w:rsidR="00A92892">
        <w:rPr>
          <w:rFonts w:ascii="Segoe UI" w:hAnsi="Segoe UI" w:cs="Segoe UI"/>
          <w:sz w:val="21"/>
          <w:szCs w:val="21"/>
        </w:rPr>
        <w:t>iest</w:t>
      </w:r>
      <w:r w:rsidR="00C36E68">
        <w:rPr>
          <w:rFonts w:ascii="Segoe UI" w:hAnsi="Segoe UI" w:cs="Segoe UI"/>
          <w:sz w:val="21"/>
          <w:szCs w:val="21"/>
        </w:rPr>
        <w:t xml:space="preserve"> TEs in the system and, for that reason was abolished</w:t>
      </w:r>
      <w:r w:rsidR="000B4D11">
        <w:rPr>
          <w:rFonts w:ascii="Segoe UI" w:hAnsi="Segoe UI" w:cs="Segoe UI"/>
          <w:sz w:val="21"/>
          <w:szCs w:val="21"/>
        </w:rPr>
        <w:t>.</w:t>
      </w:r>
      <w:r w:rsidR="00C36E68">
        <w:rPr>
          <w:rFonts w:ascii="Segoe UI" w:hAnsi="Segoe UI" w:cs="Segoe UI"/>
          <w:sz w:val="21"/>
          <w:szCs w:val="21"/>
        </w:rPr>
        <w:t xml:space="preserve"> </w:t>
      </w:r>
      <w:r w:rsidR="00C36E68" w:rsidRPr="000F03AB">
        <w:rPr>
          <w:rFonts w:ascii="Segoe UI" w:hAnsi="Segoe UI" w:cs="Segoe UI"/>
          <w:sz w:val="21"/>
          <w:szCs w:val="21"/>
        </w:rPr>
        <w:t xml:space="preserve">The tax on immovable property is </w:t>
      </w:r>
      <w:r w:rsidR="00C36E68">
        <w:rPr>
          <w:rFonts w:ascii="Segoe UI" w:hAnsi="Segoe UI" w:cs="Segoe UI"/>
          <w:sz w:val="21"/>
          <w:szCs w:val="21"/>
        </w:rPr>
        <w:t xml:space="preserve">a </w:t>
      </w:r>
      <w:r w:rsidR="00C36E68" w:rsidRPr="000F03AB">
        <w:rPr>
          <w:rFonts w:ascii="Segoe UI" w:hAnsi="Segoe UI" w:cs="Segoe UI"/>
          <w:sz w:val="21"/>
          <w:szCs w:val="21"/>
        </w:rPr>
        <w:t xml:space="preserve">deductible </w:t>
      </w:r>
      <w:r w:rsidR="00C36E68">
        <w:rPr>
          <w:rFonts w:ascii="Segoe UI" w:hAnsi="Segoe UI" w:cs="Segoe UI"/>
          <w:sz w:val="21"/>
          <w:szCs w:val="21"/>
        </w:rPr>
        <w:t>business expense, but not for individual income tax purposes</w:t>
      </w:r>
      <w:r w:rsidR="00C36E68" w:rsidRPr="000F03AB">
        <w:rPr>
          <w:rFonts w:ascii="Segoe UI" w:hAnsi="Segoe UI" w:cs="Segoe UI"/>
          <w:sz w:val="21"/>
          <w:szCs w:val="21"/>
        </w:rPr>
        <w:t>.</w:t>
      </w:r>
      <w:r w:rsidR="00C36E68">
        <w:rPr>
          <w:rFonts w:ascii="Segoe UI" w:hAnsi="Segoe UI" w:cs="Segoe UI"/>
          <w:sz w:val="21"/>
          <w:szCs w:val="21"/>
        </w:rPr>
        <w:t xml:space="preserve"> </w:t>
      </w:r>
      <w:r w:rsidR="00C36E68" w:rsidRPr="000F03AB">
        <w:rPr>
          <w:rFonts w:ascii="Segoe UI" w:hAnsi="Segoe UI" w:cs="Segoe UI"/>
          <w:sz w:val="21"/>
          <w:szCs w:val="21"/>
        </w:rPr>
        <w:t xml:space="preserve">The tax on land </w:t>
      </w:r>
      <w:r w:rsidR="00C36E68">
        <w:rPr>
          <w:rFonts w:ascii="Segoe UI" w:hAnsi="Segoe UI" w:cs="Segoe UI"/>
          <w:sz w:val="21"/>
          <w:szCs w:val="21"/>
        </w:rPr>
        <w:t>i</w:t>
      </w:r>
      <w:r w:rsidR="00C36E68" w:rsidRPr="000F03AB">
        <w:rPr>
          <w:rFonts w:ascii="Segoe UI" w:hAnsi="Segoe UI" w:cs="Segoe UI"/>
          <w:sz w:val="21"/>
          <w:szCs w:val="21"/>
        </w:rPr>
        <w:t xml:space="preserve">s not deductible for corporate </w:t>
      </w:r>
      <w:r w:rsidR="00C36E68">
        <w:rPr>
          <w:rFonts w:ascii="Segoe UI" w:hAnsi="Segoe UI" w:cs="Segoe UI"/>
          <w:sz w:val="21"/>
          <w:szCs w:val="21"/>
        </w:rPr>
        <w:t xml:space="preserve">and individual </w:t>
      </w:r>
      <w:r w:rsidR="00C36E68" w:rsidRPr="000F03AB">
        <w:rPr>
          <w:rFonts w:ascii="Segoe UI" w:hAnsi="Segoe UI" w:cs="Segoe UI"/>
          <w:sz w:val="21"/>
          <w:szCs w:val="21"/>
        </w:rPr>
        <w:t>income tax purposes.</w:t>
      </w:r>
    </w:p>
    <w:p w14:paraId="7A232F52" w14:textId="3B481A93" w:rsidR="00C36E68" w:rsidRPr="003112F0" w:rsidRDefault="00737C8D" w:rsidP="00E90BA7">
      <w:pPr>
        <w:pStyle w:val="ListBullet"/>
        <w:keepNext/>
        <w:numPr>
          <w:ilvl w:val="0"/>
          <w:numId w:val="0"/>
        </w:numPr>
        <w:spacing w:after="240" w:line="264" w:lineRule="auto"/>
        <w:jc w:val="both"/>
        <w:rPr>
          <w:rFonts w:ascii="Segoe UI" w:hAnsi="Segoe UI" w:cs="Segoe UI"/>
          <w:sz w:val="21"/>
          <w:szCs w:val="21"/>
        </w:rPr>
      </w:pPr>
      <w:r w:rsidRPr="009B75F0">
        <w:rPr>
          <w:rFonts w:ascii="Segoe UI" w:hAnsi="Segoe UI" w:cs="Segoe UI"/>
          <w:i/>
          <w:iCs/>
          <w:sz w:val="21"/>
          <w:szCs w:val="21"/>
        </w:rPr>
        <w:t>Special tax regimes for residen</w:t>
      </w:r>
      <w:r w:rsidR="004B24E0" w:rsidRPr="009B75F0">
        <w:rPr>
          <w:rFonts w:ascii="Segoe UI" w:hAnsi="Segoe UI" w:cs="Segoe UI"/>
          <w:i/>
          <w:iCs/>
          <w:sz w:val="21"/>
          <w:szCs w:val="21"/>
        </w:rPr>
        <w:t xml:space="preserve">ts of </w:t>
      </w:r>
      <w:r w:rsidR="00C36E68" w:rsidRPr="009B75F0">
        <w:rPr>
          <w:rFonts w:ascii="Segoe UI" w:hAnsi="Segoe UI" w:cs="Segoe UI"/>
          <w:i/>
          <w:iCs/>
          <w:sz w:val="21"/>
          <w:szCs w:val="21"/>
        </w:rPr>
        <w:t xml:space="preserve">IT Parks </w:t>
      </w:r>
      <w:r w:rsidR="004B24E0" w:rsidRPr="009B75F0">
        <w:rPr>
          <w:rFonts w:ascii="Segoe UI" w:hAnsi="Segoe UI" w:cs="Segoe UI"/>
          <w:i/>
          <w:iCs/>
          <w:sz w:val="21"/>
          <w:szCs w:val="21"/>
        </w:rPr>
        <w:t xml:space="preserve">and </w:t>
      </w:r>
      <w:r w:rsidR="000177D4" w:rsidRPr="009B75F0">
        <w:rPr>
          <w:rFonts w:ascii="Segoe UI" w:hAnsi="Segoe UI" w:cs="Segoe UI"/>
          <w:i/>
          <w:iCs/>
          <w:sz w:val="21"/>
          <w:szCs w:val="21"/>
        </w:rPr>
        <w:t xml:space="preserve">Free </w:t>
      </w:r>
      <w:r w:rsidR="002F7153" w:rsidRPr="009B75F0">
        <w:rPr>
          <w:rFonts w:ascii="Segoe UI" w:hAnsi="Segoe UI" w:cs="Segoe UI"/>
          <w:i/>
          <w:iCs/>
          <w:sz w:val="21"/>
          <w:szCs w:val="21"/>
        </w:rPr>
        <w:t xml:space="preserve">Economic </w:t>
      </w:r>
      <w:r w:rsidR="00754259" w:rsidRPr="009B75F0">
        <w:rPr>
          <w:rFonts w:ascii="Segoe UI" w:hAnsi="Segoe UI" w:cs="Segoe UI"/>
          <w:i/>
          <w:iCs/>
          <w:sz w:val="21"/>
          <w:szCs w:val="21"/>
        </w:rPr>
        <w:t>Zones (F</w:t>
      </w:r>
      <w:r w:rsidR="002F7153" w:rsidRPr="009B75F0">
        <w:rPr>
          <w:rFonts w:ascii="Segoe UI" w:hAnsi="Segoe UI" w:cs="Segoe UI"/>
          <w:i/>
          <w:iCs/>
          <w:sz w:val="21"/>
          <w:szCs w:val="21"/>
        </w:rPr>
        <w:t>E</w:t>
      </w:r>
      <w:r w:rsidR="00754259" w:rsidRPr="009B75F0">
        <w:rPr>
          <w:rFonts w:ascii="Segoe UI" w:hAnsi="Segoe UI" w:cs="Segoe UI"/>
          <w:i/>
          <w:iCs/>
          <w:sz w:val="21"/>
          <w:szCs w:val="21"/>
        </w:rPr>
        <w:t>Z)</w:t>
      </w:r>
      <w:r w:rsidR="002F7153" w:rsidRPr="009B75F0">
        <w:rPr>
          <w:rFonts w:ascii="Segoe UI" w:hAnsi="Segoe UI" w:cs="Segoe UI"/>
          <w:i/>
          <w:iCs/>
          <w:sz w:val="21"/>
          <w:szCs w:val="21"/>
        </w:rPr>
        <w:t>.</w:t>
      </w:r>
      <w:r w:rsidR="002F7153" w:rsidRPr="009B75F0">
        <w:rPr>
          <w:i/>
          <w:iCs/>
          <w:sz w:val="21"/>
          <w:szCs w:val="21"/>
        </w:rPr>
        <w:t xml:space="preserve"> </w:t>
      </w:r>
      <w:r w:rsidR="002E7E01" w:rsidRPr="009B75F0">
        <w:rPr>
          <w:rFonts w:ascii="Segoe UI" w:hAnsi="Segoe UI" w:cs="Segoe UI"/>
          <w:i/>
          <w:iCs/>
          <w:sz w:val="21"/>
          <w:szCs w:val="21"/>
        </w:rPr>
        <w:t>As</w:t>
      </w:r>
      <w:r w:rsidR="002E7E01">
        <w:rPr>
          <w:rFonts w:ascii="Segoe UI" w:hAnsi="Segoe UI" w:cs="Segoe UI"/>
          <w:sz w:val="21"/>
          <w:szCs w:val="21"/>
        </w:rPr>
        <w:t xml:space="preserve"> discussed in Box 1 above, r</w:t>
      </w:r>
      <w:r w:rsidR="00C36E68" w:rsidRPr="003112F0">
        <w:rPr>
          <w:rFonts w:ascii="Segoe UI" w:hAnsi="Segoe UI" w:cs="Segoe UI"/>
          <w:sz w:val="21"/>
          <w:szCs w:val="21"/>
        </w:rPr>
        <w:t xml:space="preserve">esidents of the IT Park </w:t>
      </w:r>
      <w:r w:rsidR="00232F5B">
        <w:rPr>
          <w:rFonts w:ascii="Segoe UI" w:hAnsi="Segoe UI" w:cs="Segoe UI"/>
          <w:sz w:val="21"/>
          <w:szCs w:val="21"/>
        </w:rPr>
        <w:t>p</w:t>
      </w:r>
      <w:r w:rsidR="00C36E68" w:rsidRPr="003112F0">
        <w:rPr>
          <w:rFonts w:ascii="Segoe UI" w:hAnsi="Segoe UI" w:cs="Segoe UI"/>
          <w:sz w:val="21"/>
          <w:szCs w:val="21"/>
        </w:rPr>
        <w:t xml:space="preserve">ay a single tax </w:t>
      </w:r>
      <w:r w:rsidR="00C36E68">
        <w:rPr>
          <w:rFonts w:ascii="Segoe UI" w:hAnsi="Segoe UI" w:cs="Segoe UI"/>
          <w:sz w:val="21"/>
          <w:szCs w:val="21"/>
        </w:rPr>
        <w:t>in the amount of 7 percent on turnover (Art. 15(a))</w:t>
      </w:r>
      <w:r w:rsidR="009B75F0">
        <w:rPr>
          <w:rFonts w:ascii="Segoe UI" w:hAnsi="Segoe UI" w:cs="Segoe UI"/>
          <w:sz w:val="21"/>
          <w:szCs w:val="21"/>
        </w:rPr>
        <w:t xml:space="preserve"> </w:t>
      </w:r>
      <w:r w:rsidR="00C36E68">
        <w:rPr>
          <w:rFonts w:ascii="Segoe UI" w:hAnsi="Segoe UI" w:cs="Segoe UI"/>
          <w:sz w:val="21"/>
          <w:szCs w:val="21"/>
        </w:rPr>
        <w:t>that substitutes</w:t>
      </w:r>
      <w:r w:rsidR="0001148D">
        <w:rPr>
          <w:rFonts w:ascii="Segoe UI" w:hAnsi="Segoe UI" w:cs="Segoe UI"/>
          <w:sz w:val="21"/>
          <w:szCs w:val="21"/>
        </w:rPr>
        <w:t xml:space="preserve">, among others, </w:t>
      </w:r>
      <w:r w:rsidR="00AD05BF">
        <w:rPr>
          <w:rFonts w:ascii="Segoe UI" w:hAnsi="Segoe UI" w:cs="Segoe UI"/>
          <w:sz w:val="21"/>
          <w:szCs w:val="21"/>
        </w:rPr>
        <w:t xml:space="preserve">the </w:t>
      </w:r>
      <w:r w:rsidR="0056687B">
        <w:rPr>
          <w:rFonts w:ascii="Segoe UI" w:hAnsi="Segoe UI" w:cs="Segoe UI"/>
          <w:sz w:val="21"/>
          <w:szCs w:val="21"/>
        </w:rPr>
        <w:t>RET</w:t>
      </w:r>
      <w:r w:rsidR="00597E1E">
        <w:rPr>
          <w:rFonts w:ascii="Segoe UI" w:hAnsi="Segoe UI" w:cs="Segoe UI"/>
          <w:sz w:val="21"/>
          <w:szCs w:val="21"/>
        </w:rPr>
        <w:t xml:space="preserve">. </w:t>
      </w:r>
      <w:r w:rsidR="00BF10B3">
        <w:rPr>
          <w:rFonts w:ascii="Segoe UI" w:hAnsi="Segoe UI" w:cs="Segoe UI"/>
          <w:sz w:val="21"/>
          <w:szCs w:val="21"/>
        </w:rPr>
        <w:t>I</w:t>
      </w:r>
      <w:r w:rsidR="00CC3484">
        <w:rPr>
          <w:rFonts w:ascii="Segoe UI" w:hAnsi="Segoe UI" w:cs="Segoe UI"/>
          <w:sz w:val="21"/>
          <w:szCs w:val="21"/>
        </w:rPr>
        <w:t xml:space="preserve">n lieu of </w:t>
      </w:r>
      <w:r w:rsidR="00BF10B3">
        <w:rPr>
          <w:rFonts w:ascii="Segoe UI" w:hAnsi="Segoe UI" w:cs="Segoe UI"/>
          <w:sz w:val="21"/>
          <w:szCs w:val="21"/>
        </w:rPr>
        <w:t>RET</w:t>
      </w:r>
      <w:r w:rsidR="00437EDD">
        <w:rPr>
          <w:rFonts w:ascii="Segoe UI" w:hAnsi="Segoe UI" w:cs="Segoe UI"/>
          <w:sz w:val="21"/>
          <w:szCs w:val="21"/>
        </w:rPr>
        <w:t xml:space="preserve">, 0.1 percent of the single payment is </w:t>
      </w:r>
      <w:r w:rsidR="00A431B8">
        <w:rPr>
          <w:rFonts w:ascii="Segoe UI" w:hAnsi="Segoe UI" w:cs="Segoe UI"/>
          <w:sz w:val="21"/>
          <w:szCs w:val="21"/>
        </w:rPr>
        <w:t>allocated</w:t>
      </w:r>
      <w:r w:rsidR="00A042F6">
        <w:rPr>
          <w:rFonts w:ascii="Segoe UI" w:hAnsi="Segoe UI" w:cs="Segoe UI"/>
          <w:sz w:val="21"/>
          <w:szCs w:val="21"/>
        </w:rPr>
        <w:t xml:space="preserve"> to the local </w:t>
      </w:r>
      <w:r w:rsidR="00A431B8">
        <w:rPr>
          <w:rFonts w:ascii="Segoe UI" w:hAnsi="Segoe UI" w:cs="Segoe UI"/>
          <w:sz w:val="21"/>
          <w:szCs w:val="21"/>
        </w:rPr>
        <w:t xml:space="preserve">budgets. </w:t>
      </w:r>
      <w:r w:rsidR="00D73036">
        <w:rPr>
          <w:rFonts w:ascii="Segoe UI" w:hAnsi="Segoe UI" w:cs="Segoe UI"/>
          <w:sz w:val="21"/>
          <w:szCs w:val="21"/>
        </w:rPr>
        <w:t>A</w:t>
      </w:r>
      <w:r w:rsidR="00C36E68">
        <w:rPr>
          <w:rFonts w:ascii="Segoe UI" w:hAnsi="Segoe UI" w:cs="Segoe UI"/>
          <w:sz w:val="21"/>
          <w:szCs w:val="21"/>
        </w:rPr>
        <w:t xml:space="preserve">ny changes to the </w:t>
      </w:r>
      <w:r w:rsidR="00201F34">
        <w:rPr>
          <w:rFonts w:ascii="Segoe UI" w:hAnsi="Segoe UI" w:cs="Segoe UI"/>
          <w:sz w:val="21"/>
          <w:szCs w:val="21"/>
        </w:rPr>
        <w:t xml:space="preserve">RET </w:t>
      </w:r>
      <w:r w:rsidR="00C36E68">
        <w:rPr>
          <w:rFonts w:ascii="Segoe UI" w:hAnsi="Segoe UI" w:cs="Segoe UI"/>
          <w:sz w:val="21"/>
          <w:szCs w:val="21"/>
        </w:rPr>
        <w:t>structure and rates do not lead to a commensurate rate adjustment of the single IT Park tax.</w:t>
      </w:r>
      <w:r w:rsidR="004D399A">
        <w:rPr>
          <w:rFonts w:ascii="Segoe UI" w:hAnsi="Segoe UI" w:cs="Segoe UI"/>
          <w:sz w:val="21"/>
          <w:szCs w:val="21"/>
        </w:rPr>
        <w:t xml:space="preserve"> Further, t</w:t>
      </w:r>
      <w:r w:rsidR="00C36E68">
        <w:rPr>
          <w:rFonts w:ascii="Segoe UI" w:hAnsi="Segoe UI" w:cs="Segoe UI"/>
          <w:sz w:val="21"/>
          <w:szCs w:val="21"/>
        </w:rPr>
        <w:t xml:space="preserve">he RET exemption for FEZ operators provided under Art. 283(5) is an obvious and high profile TE. It should cause a significant revenue loss since there are currently 7 registered FEZs with 38 subzones and in which 229 zone operators are registered. Estimation of forgone revenues </w:t>
      </w:r>
      <w:r w:rsidR="008D64AD">
        <w:rPr>
          <w:rFonts w:ascii="Segoe UI" w:hAnsi="Segoe UI" w:cs="Segoe UI"/>
          <w:sz w:val="21"/>
          <w:szCs w:val="21"/>
        </w:rPr>
        <w:t xml:space="preserve">in the case of FEZs </w:t>
      </w:r>
      <w:r w:rsidR="00FB6CF4">
        <w:rPr>
          <w:rFonts w:ascii="Segoe UI" w:hAnsi="Segoe UI" w:cs="Segoe UI"/>
          <w:sz w:val="21"/>
          <w:szCs w:val="21"/>
        </w:rPr>
        <w:t>are not available at this stage</w:t>
      </w:r>
      <w:r w:rsidR="00C36E68">
        <w:rPr>
          <w:rFonts w:ascii="Segoe UI" w:hAnsi="Segoe UI" w:cs="Segoe UI"/>
          <w:sz w:val="21"/>
          <w:szCs w:val="21"/>
        </w:rPr>
        <w:t>.</w:t>
      </w:r>
    </w:p>
    <w:p w14:paraId="7716C616" w14:textId="280BEDAC" w:rsidR="00C36E68" w:rsidRPr="007E1294" w:rsidRDefault="00C36E68" w:rsidP="00E90BA7">
      <w:pPr>
        <w:pStyle w:val="Heading3"/>
        <w:jc w:val="both"/>
        <w:rPr>
          <w:rStyle w:val="RegularDKB"/>
          <w:b/>
          <w:bCs/>
          <w:caps w:val="0"/>
        </w:rPr>
      </w:pPr>
      <w:bookmarkStart w:id="28" w:name="_Toc126555830"/>
      <w:r w:rsidRPr="00445E0C">
        <w:rPr>
          <w:rStyle w:val="RegularDKB"/>
          <w:b/>
          <w:bCs/>
          <w:caps w:val="0"/>
        </w:rPr>
        <w:t>Natural Resources Fees</w:t>
      </w:r>
      <w:bookmarkEnd w:id="28"/>
    </w:p>
    <w:p w14:paraId="3FBA3207" w14:textId="6CA9A889" w:rsidR="00C36E68" w:rsidRDefault="00C36E68" w:rsidP="00E90BA7">
      <w:pPr>
        <w:spacing w:after="120" w:line="264" w:lineRule="auto"/>
        <w:jc w:val="both"/>
        <w:rPr>
          <w:rFonts w:ascii="Segoe UI" w:hAnsi="Segoe UI" w:cs="Segoe UI"/>
          <w:sz w:val="21"/>
          <w:szCs w:val="21"/>
        </w:rPr>
      </w:pPr>
      <w:r>
        <w:rPr>
          <w:rFonts w:ascii="Segoe UI" w:hAnsi="Segoe UI" w:cs="Segoe UI"/>
          <w:sz w:val="21"/>
          <w:szCs w:val="21"/>
        </w:rPr>
        <w:t>W</w:t>
      </w:r>
      <w:r w:rsidRPr="00B97F67">
        <w:rPr>
          <w:rFonts w:ascii="Segoe UI" w:hAnsi="Segoe UI" w:cs="Segoe UI"/>
          <w:sz w:val="21"/>
          <w:szCs w:val="21"/>
        </w:rPr>
        <w:t>ith effect from 1 January</w:t>
      </w:r>
      <w:r>
        <w:rPr>
          <w:rFonts w:ascii="Segoe UI" w:hAnsi="Segoe UI" w:cs="Segoe UI"/>
          <w:sz w:val="21"/>
          <w:szCs w:val="21"/>
        </w:rPr>
        <w:t xml:space="preserve"> </w:t>
      </w:r>
      <w:r w:rsidRPr="00B97F67">
        <w:rPr>
          <w:rFonts w:ascii="Segoe UI" w:hAnsi="Segoe UI" w:cs="Segoe UI"/>
          <w:sz w:val="21"/>
          <w:szCs w:val="21"/>
        </w:rPr>
        <w:t>2021</w:t>
      </w:r>
      <w:r>
        <w:rPr>
          <w:rFonts w:ascii="Segoe UI" w:hAnsi="Segoe UI" w:cs="Segoe UI"/>
          <w:sz w:val="21"/>
          <w:szCs w:val="21"/>
        </w:rPr>
        <w:t>,</w:t>
      </w:r>
      <w:r w:rsidRPr="00B97F67">
        <w:rPr>
          <w:rFonts w:ascii="Segoe UI" w:hAnsi="Segoe UI" w:cs="Segoe UI"/>
          <w:sz w:val="21"/>
          <w:szCs w:val="21"/>
        </w:rPr>
        <w:t xml:space="preserve"> </w:t>
      </w:r>
      <w:r>
        <w:rPr>
          <w:rFonts w:ascii="Segoe UI" w:hAnsi="Segoe UI" w:cs="Segoe UI"/>
          <w:sz w:val="21"/>
          <w:szCs w:val="21"/>
        </w:rPr>
        <w:t xml:space="preserve">the amended natural resource fee regime imposes extraction fees </w:t>
      </w:r>
      <w:r w:rsidRPr="00B97F67">
        <w:rPr>
          <w:rFonts w:ascii="Segoe UI" w:hAnsi="Segoe UI" w:cs="Segoe UI"/>
          <w:sz w:val="21"/>
          <w:szCs w:val="21"/>
        </w:rPr>
        <w:t xml:space="preserve">for water use; </w:t>
      </w:r>
      <w:r>
        <w:rPr>
          <w:rFonts w:ascii="Segoe UI" w:hAnsi="Segoe UI" w:cs="Segoe UI"/>
          <w:sz w:val="21"/>
          <w:szCs w:val="21"/>
        </w:rPr>
        <w:t>for</w:t>
      </w:r>
      <w:r w:rsidRPr="00B97F67">
        <w:rPr>
          <w:rFonts w:ascii="Segoe UI" w:hAnsi="Segoe UI" w:cs="Segoe UI"/>
          <w:sz w:val="21"/>
          <w:szCs w:val="21"/>
        </w:rPr>
        <w:t xml:space="preserve"> useful minerals; and for </w:t>
      </w:r>
      <w:r>
        <w:rPr>
          <w:rFonts w:ascii="Segoe UI" w:hAnsi="Segoe UI" w:cs="Segoe UI"/>
          <w:sz w:val="21"/>
          <w:szCs w:val="21"/>
        </w:rPr>
        <w:t xml:space="preserve">the use of </w:t>
      </w:r>
      <w:r w:rsidRPr="00B97F67">
        <w:rPr>
          <w:rFonts w:ascii="Segoe UI" w:hAnsi="Segoe UI" w:cs="Segoe UI"/>
          <w:sz w:val="21"/>
          <w:szCs w:val="21"/>
        </w:rPr>
        <w:t>subsoil resources.</w:t>
      </w:r>
      <w:r>
        <w:rPr>
          <w:rFonts w:ascii="Segoe UI" w:hAnsi="Segoe UI" w:cs="Segoe UI"/>
          <w:sz w:val="21"/>
          <w:szCs w:val="21"/>
        </w:rPr>
        <w:t xml:space="preserve"> </w:t>
      </w:r>
      <w:r w:rsidRPr="000F03AB">
        <w:rPr>
          <w:rFonts w:ascii="Segoe UI" w:hAnsi="Segoe UI" w:cs="Segoe UI"/>
          <w:sz w:val="21"/>
          <w:szCs w:val="21"/>
        </w:rPr>
        <w:t xml:space="preserve">Tax reports on natural resources fees are submitted </w:t>
      </w:r>
      <w:r w:rsidRPr="00B97F67">
        <w:rPr>
          <w:rFonts w:ascii="Segoe UI" w:hAnsi="Segoe UI" w:cs="Segoe UI"/>
          <w:sz w:val="21"/>
          <w:szCs w:val="21"/>
        </w:rPr>
        <w:t>using</w:t>
      </w:r>
      <w:r w:rsidRPr="000F03AB">
        <w:rPr>
          <w:rFonts w:ascii="Segoe UI" w:hAnsi="Segoe UI" w:cs="Segoe UI"/>
          <w:sz w:val="21"/>
          <w:szCs w:val="21"/>
        </w:rPr>
        <w:t xml:space="preserve"> obligatory,</w:t>
      </w:r>
      <w:r w:rsidRPr="00B97F67">
        <w:rPr>
          <w:rFonts w:ascii="Segoe UI" w:hAnsi="Segoe UI" w:cs="Segoe UI"/>
          <w:sz w:val="21"/>
          <w:szCs w:val="21"/>
        </w:rPr>
        <w:t xml:space="preserve"> </w:t>
      </w:r>
      <w:r w:rsidRPr="000F03AB">
        <w:rPr>
          <w:rFonts w:ascii="Segoe UI" w:hAnsi="Segoe UI" w:cs="Segoe UI"/>
          <w:sz w:val="21"/>
          <w:szCs w:val="21"/>
        </w:rPr>
        <w:t>automated electronic reporting methods, under the conditions provided by Article 187</w:t>
      </w:r>
      <w:r>
        <w:rPr>
          <w:rFonts w:ascii="Segoe UI" w:hAnsi="Segoe UI" w:cs="Segoe UI"/>
          <w:sz w:val="21"/>
          <w:szCs w:val="21"/>
        </w:rPr>
        <w:t>(</w:t>
      </w:r>
      <w:r w:rsidRPr="000F03AB">
        <w:rPr>
          <w:rFonts w:ascii="Segoe UI" w:hAnsi="Segoe UI" w:cs="Segoe UI"/>
          <w:sz w:val="21"/>
          <w:szCs w:val="21"/>
        </w:rPr>
        <w:t>21).</w:t>
      </w:r>
      <w:r>
        <w:rPr>
          <w:rFonts w:ascii="Segoe UI" w:hAnsi="Segoe UI" w:cs="Segoe UI"/>
          <w:sz w:val="21"/>
          <w:szCs w:val="21"/>
        </w:rPr>
        <w:t xml:space="preserve"> Art. 300 of the TC provides for the types of fees for natural resources, rates, the calculation, and payment method. The relevant provisions in the TC restrict the natural resource fee structure to Chapter 2 (water fees); Chapter 3 (mineral extraction fees); and Chapter 4 (fees for using subsoil). </w:t>
      </w:r>
    </w:p>
    <w:p w14:paraId="4D5BD1CA" w14:textId="6603ECD2" w:rsidR="00C36E68" w:rsidRDefault="00445E0C" w:rsidP="00E90BA7">
      <w:pPr>
        <w:spacing w:after="120" w:line="264" w:lineRule="auto"/>
        <w:jc w:val="both"/>
        <w:rPr>
          <w:rFonts w:ascii="Segoe UI" w:hAnsi="Segoe UI" w:cs="Segoe UI"/>
          <w:sz w:val="21"/>
          <w:szCs w:val="21"/>
        </w:rPr>
      </w:pPr>
      <w:r w:rsidRPr="00DC02FF">
        <w:rPr>
          <w:rFonts w:ascii="Segoe UI" w:hAnsi="Segoe UI" w:cs="Segoe UI"/>
          <w:bCs/>
          <w:i/>
          <w:iCs/>
          <w:sz w:val="21"/>
          <w:szCs w:val="21"/>
        </w:rPr>
        <w:lastRenderedPageBreak/>
        <w:t xml:space="preserve">Water fees. </w:t>
      </w:r>
      <w:r w:rsidR="00C36E68">
        <w:rPr>
          <w:rFonts w:ascii="Segoe UI" w:hAnsi="Segoe UI" w:cs="Segoe UI"/>
          <w:sz w:val="21"/>
          <w:szCs w:val="21"/>
        </w:rPr>
        <w:t>The</w:t>
      </w:r>
      <w:r w:rsidR="00C36E68" w:rsidRPr="000F03AB">
        <w:rPr>
          <w:rFonts w:ascii="Segoe UI" w:hAnsi="Segoe UI" w:cs="Segoe UI"/>
          <w:sz w:val="21"/>
          <w:szCs w:val="21"/>
        </w:rPr>
        <w:t xml:space="preserve"> water fee </w:t>
      </w:r>
      <w:r w:rsidR="00C36E68">
        <w:rPr>
          <w:rFonts w:ascii="Segoe UI" w:hAnsi="Segoe UI" w:cs="Segoe UI"/>
          <w:sz w:val="21"/>
          <w:szCs w:val="21"/>
        </w:rPr>
        <w:t xml:space="preserve">is imposed on </w:t>
      </w:r>
      <w:r w:rsidR="00C36E68" w:rsidRPr="00394786">
        <w:rPr>
          <w:rFonts w:ascii="Segoe UI" w:hAnsi="Segoe UI" w:cs="Segoe UI"/>
          <w:sz w:val="21"/>
          <w:szCs w:val="21"/>
        </w:rPr>
        <w:t>extract</w:t>
      </w:r>
      <w:r w:rsidR="00C36E68">
        <w:rPr>
          <w:rFonts w:ascii="Segoe UI" w:hAnsi="Segoe UI" w:cs="Segoe UI"/>
          <w:sz w:val="21"/>
          <w:szCs w:val="21"/>
        </w:rPr>
        <w:t xml:space="preserve">ed </w:t>
      </w:r>
      <w:r w:rsidR="00C36E68" w:rsidRPr="000F03AB">
        <w:rPr>
          <w:rFonts w:ascii="Segoe UI" w:hAnsi="Segoe UI" w:cs="Segoe UI"/>
          <w:sz w:val="21"/>
          <w:szCs w:val="21"/>
        </w:rPr>
        <w:t>water from surface and groundwater sources, drinking water from any source for bottling purposes, natural mineral water</w:t>
      </w:r>
      <w:r w:rsidR="00C36E68">
        <w:rPr>
          <w:rFonts w:ascii="Segoe UI" w:hAnsi="Segoe UI" w:cs="Segoe UI"/>
          <w:sz w:val="21"/>
          <w:szCs w:val="21"/>
        </w:rPr>
        <w:t>,</w:t>
      </w:r>
      <w:r w:rsidR="00C36E68" w:rsidRPr="000F03AB">
        <w:rPr>
          <w:rFonts w:ascii="Segoe UI" w:hAnsi="Segoe UI" w:cs="Segoe UI"/>
          <w:sz w:val="21"/>
          <w:szCs w:val="21"/>
        </w:rPr>
        <w:t xml:space="preserve"> and water used at hydropower plants. </w:t>
      </w:r>
      <w:r w:rsidR="00C36E68">
        <w:rPr>
          <w:rFonts w:ascii="Segoe UI" w:hAnsi="Segoe UI" w:cs="Segoe UI"/>
          <w:sz w:val="21"/>
          <w:szCs w:val="21"/>
        </w:rPr>
        <w:t xml:space="preserve">Taxpayers are natural and legal persons (Art. 302). </w:t>
      </w:r>
      <w:r w:rsidR="00C36E68" w:rsidRPr="000F03AB">
        <w:rPr>
          <w:rFonts w:ascii="Segoe UI" w:hAnsi="Segoe UI" w:cs="Segoe UI"/>
          <w:sz w:val="21"/>
          <w:szCs w:val="21"/>
        </w:rPr>
        <w:t>In all cases</w:t>
      </w:r>
      <w:r w:rsidR="00C36E68">
        <w:rPr>
          <w:rFonts w:ascii="Segoe UI" w:hAnsi="Segoe UI" w:cs="Segoe UI"/>
          <w:sz w:val="21"/>
          <w:szCs w:val="21"/>
        </w:rPr>
        <w:t>,</w:t>
      </w:r>
      <w:r w:rsidR="00C36E68" w:rsidRPr="000F03AB">
        <w:rPr>
          <w:rFonts w:ascii="Segoe UI" w:hAnsi="Segoe UI" w:cs="Segoe UI"/>
          <w:sz w:val="21"/>
          <w:szCs w:val="21"/>
        </w:rPr>
        <w:t xml:space="preserve"> extraction </w:t>
      </w:r>
      <w:r w:rsidR="00C36E68">
        <w:rPr>
          <w:rFonts w:ascii="Segoe UI" w:hAnsi="Segoe UI" w:cs="Segoe UI"/>
          <w:sz w:val="21"/>
          <w:szCs w:val="21"/>
        </w:rPr>
        <w:t xml:space="preserve">of </w:t>
      </w:r>
      <w:r w:rsidR="00C36E68" w:rsidRPr="000F03AB">
        <w:rPr>
          <w:rFonts w:ascii="Segoe UI" w:hAnsi="Segoe UI" w:cs="Segoe UI"/>
          <w:sz w:val="21"/>
          <w:szCs w:val="21"/>
        </w:rPr>
        <w:t xml:space="preserve">volume </w:t>
      </w:r>
      <w:r w:rsidR="00C36E68">
        <w:rPr>
          <w:rFonts w:ascii="Segoe UI" w:hAnsi="Segoe UI" w:cs="Segoe UI"/>
          <w:sz w:val="21"/>
          <w:szCs w:val="21"/>
        </w:rPr>
        <w:t>of water measured in cubic meter attracts different tax rates for the different water categories</w:t>
      </w:r>
      <w:r w:rsidR="00C36E68" w:rsidRPr="000F03AB">
        <w:rPr>
          <w:rFonts w:ascii="Segoe UI" w:hAnsi="Segoe UI" w:cs="Segoe UI"/>
          <w:sz w:val="21"/>
          <w:szCs w:val="21"/>
        </w:rPr>
        <w:t xml:space="preserve"> and </w:t>
      </w:r>
      <w:r w:rsidR="00C36E68">
        <w:rPr>
          <w:rFonts w:ascii="Segoe UI" w:hAnsi="Segoe UI" w:cs="Segoe UI"/>
          <w:sz w:val="21"/>
          <w:szCs w:val="21"/>
        </w:rPr>
        <w:t>represents</w:t>
      </w:r>
      <w:r w:rsidR="00C36E68" w:rsidRPr="000F03AB">
        <w:rPr>
          <w:rFonts w:ascii="Segoe UI" w:hAnsi="Segoe UI" w:cs="Segoe UI"/>
          <w:sz w:val="21"/>
          <w:szCs w:val="21"/>
        </w:rPr>
        <w:t xml:space="preserve"> a consideration for the extraction of a valuable natural resource. </w:t>
      </w:r>
      <w:r w:rsidR="00C36E68">
        <w:rPr>
          <w:rFonts w:ascii="Segoe UI" w:hAnsi="Segoe UI" w:cs="Segoe UI"/>
          <w:sz w:val="21"/>
          <w:szCs w:val="21"/>
        </w:rPr>
        <w:t xml:space="preserve">The taxable object is the volume of water extracted (Art. 303) or used and the tax rates (Art. 304) are ranging from MDL 0.06 (for hydroelectric power plant) to MDL 16 (mineral water for bottling) per each </w:t>
      </w:r>
      <w:r w:rsidR="00D82225">
        <w:rPr>
          <w:rFonts w:ascii="Segoe UI" w:hAnsi="Segoe UI" w:cs="Segoe UI"/>
          <w:sz w:val="21"/>
          <w:szCs w:val="21"/>
        </w:rPr>
        <w:t>cubic meter</w:t>
      </w:r>
      <w:r w:rsidR="00C36E68">
        <w:rPr>
          <w:rFonts w:ascii="Segoe UI" w:hAnsi="Segoe UI" w:cs="Segoe UI"/>
          <w:sz w:val="21"/>
          <w:szCs w:val="21"/>
        </w:rPr>
        <w:t>. This is the benchmark water fee regime against which all exemptions should be measured to calculate the revenue loss if the water fee were to be exempted.</w:t>
      </w:r>
    </w:p>
    <w:p w14:paraId="412590C1" w14:textId="77777777" w:rsidR="00EF155E" w:rsidRDefault="00C36E68" w:rsidP="00E90BA7">
      <w:pPr>
        <w:spacing w:after="120" w:line="264" w:lineRule="auto"/>
        <w:jc w:val="both"/>
        <w:rPr>
          <w:rFonts w:ascii="Segoe UI" w:hAnsi="Segoe UI" w:cs="Segoe UI"/>
          <w:sz w:val="21"/>
          <w:szCs w:val="21"/>
        </w:rPr>
      </w:pPr>
      <w:r>
        <w:rPr>
          <w:rFonts w:ascii="Segoe UI" w:hAnsi="Segoe UI" w:cs="Segoe UI"/>
          <w:sz w:val="21"/>
          <w:szCs w:val="21"/>
        </w:rPr>
        <w:t>Hence, t</w:t>
      </w:r>
      <w:r w:rsidRPr="00717BB0">
        <w:rPr>
          <w:rFonts w:ascii="Segoe UI" w:hAnsi="Segoe UI" w:cs="Segoe UI"/>
          <w:sz w:val="21"/>
          <w:szCs w:val="21"/>
        </w:rPr>
        <w:t xml:space="preserve">he only </w:t>
      </w:r>
      <w:r w:rsidRPr="000F03AB">
        <w:rPr>
          <w:rFonts w:ascii="Segoe UI" w:hAnsi="Segoe UI" w:cs="Segoe UI"/>
          <w:i/>
          <w:sz w:val="21"/>
          <w:szCs w:val="21"/>
        </w:rPr>
        <w:t>legislated natural resource fee exemption applies to the</w:t>
      </w:r>
      <w:r w:rsidRPr="00717BB0">
        <w:rPr>
          <w:rFonts w:ascii="Segoe UI" w:hAnsi="Segoe UI" w:cs="Segoe UI"/>
          <w:sz w:val="21"/>
          <w:szCs w:val="21"/>
        </w:rPr>
        <w:t xml:space="preserve"> </w:t>
      </w:r>
      <w:r w:rsidRPr="000F03AB">
        <w:rPr>
          <w:rFonts w:ascii="Segoe UI" w:hAnsi="Segoe UI" w:cs="Segoe UI"/>
          <w:i/>
          <w:sz w:val="21"/>
          <w:szCs w:val="21"/>
        </w:rPr>
        <w:t xml:space="preserve">use </w:t>
      </w:r>
      <w:r>
        <w:rPr>
          <w:rFonts w:ascii="Segoe UI" w:hAnsi="Segoe UI" w:cs="Segoe UI"/>
          <w:i/>
          <w:sz w:val="21"/>
          <w:szCs w:val="21"/>
        </w:rPr>
        <w:t>of</w:t>
      </w:r>
      <w:r w:rsidRPr="000F03AB">
        <w:rPr>
          <w:rFonts w:ascii="Segoe UI" w:hAnsi="Segoe UI" w:cs="Segoe UI"/>
          <w:i/>
          <w:sz w:val="21"/>
          <w:szCs w:val="21"/>
        </w:rPr>
        <w:t xml:space="preserve"> water </w:t>
      </w:r>
      <w:r w:rsidRPr="000F03AB">
        <w:rPr>
          <w:rFonts w:ascii="Segoe UI" w:hAnsi="Segoe UI" w:cs="Segoe UI"/>
          <w:sz w:val="21"/>
          <w:szCs w:val="21"/>
        </w:rPr>
        <w:t>(Art. 306</w:t>
      </w:r>
      <w:r>
        <w:rPr>
          <w:rFonts w:ascii="Segoe UI" w:hAnsi="Segoe UI" w:cs="Segoe UI"/>
          <w:sz w:val="21"/>
          <w:szCs w:val="21"/>
        </w:rPr>
        <w:t xml:space="preserve">) </w:t>
      </w:r>
      <w:r w:rsidRPr="000F03AB">
        <w:rPr>
          <w:rFonts w:ascii="Segoe UI" w:hAnsi="Segoe UI" w:cs="Segoe UI"/>
          <w:sz w:val="21"/>
          <w:szCs w:val="21"/>
        </w:rPr>
        <w:t>when it is associated with</w:t>
      </w:r>
      <w:r w:rsidR="00EF155E">
        <w:rPr>
          <w:rFonts w:ascii="Segoe UI" w:hAnsi="Segoe UI" w:cs="Segoe UI"/>
          <w:sz w:val="21"/>
          <w:szCs w:val="21"/>
        </w:rPr>
        <w:t>:</w:t>
      </w:r>
    </w:p>
    <w:p w14:paraId="7E2AC627" w14:textId="110F1A8F" w:rsidR="00EF155E" w:rsidRDefault="00C36E68" w:rsidP="00E90BA7">
      <w:pPr>
        <w:spacing w:after="120" w:line="264" w:lineRule="auto"/>
        <w:jc w:val="both"/>
        <w:rPr>
          <w:rFonts w:ascii="Segoe UI" w:hAnsi="Segoe UI" w:cs="Segoe UI"/>
          <w:sz w:val="21"/>
          <w:szCs w:val="21"/>
        </w:rPr>
      </w:pPr>
      <w:r>
        <w:rPr>
          <w:rFonts w:ascii="Segoe UI" w:hAnsi="Segoe UI" w:cs="Segoe UI"/>
          <w:sz w:val="21"/>
          <w:szCs w:val="21"/>
        </w:rPr>
        <w:t>(1) T</w:t>
      </w:r>
      <w:r w:rsidRPr="000F03AB">
        <w:rPr>
          <w:rFonts w:ascii="Segoe UI" w:hAnsi="Segoe UI" w:cs="Segoe UI"/>
          <w:sz w:val="21"/>
          <w:szCs w:val="21"/>
        </w:rPr>
        <w:t xml:space="preserve">he extraction of mineral ores or preventative water extraction in order not to pollute </w:t>
      </w:r>
      <w:r>
        <w:rPr>
          <w:rFonts w:ascii="Segoe UI" w:hAnsi="Segoe UI" w:cs="Segoe UI"/>
          <w:sz w:val="21"/>
          <w:szCs w:val="21"/>
        </w:rPr>
        <w:t xml:space="preserve">the </w:t>
      </w:r>
      <w:r w:rsidRPr="000F03AB">
        <w:rPr>
          <w:rFonts w:ascii="Segoe UI" w:hAnsi="Segoe UI" w:cs="Segoe UI"/>
          <w:sz w:val="21"/>
          <w:szCs w:val="21"/>
        </w:rPr>
        <w:t>underground water table due to mineral extraction</w:t>
      </w:r>
    </w:p>
    <w:p w14:paraId="1CCC64FB" w14:textId="0B7A9993" w:rsidR="00EF155E" w:rsidRDefault="00C36E68" w:rsidP="00E90BA7">
      <w:pPr>
        <w:spacing w:after="120" w:line="264" w:lineRule="auto"/>
        <w:jc w:val="both"/>
        <w:rPr>
          <w:rFonts w:ascii="Segoe UI" w:hAnsi="Segoe UI" w:cs="Segoe UI"/>
          <w:sz w:val="21"/>
          <w:szCs w:val="21"/>
        </w:rPr>
      </w:pPr>
      <w:r>
        <w:rPr>
          <w:rFonts w:ascii="Segoe UI" w:hAnsi="Segoe UI" w:cs="Segoe UI"/>
          <w:sz w:val="21"/>
          <w:szCs w:val="21"/>
        </w:rPr>
        <w:t>(2) W</w:t>
      </w:r>
      <w:r w:rsidRPr="000F03AB">
        <w:rPr>
          <w:rFonts w:ascii="Segoe UI" w:hAnsi="Segoe UI" w:cs="Segoe UI"/>
          <w:sz w:val="21"/>
          <w:szCs w:val="21"/>
        </w:rPr>
        <w:t xml:space="preserve">ater extraction by public authorities or budget funded agencies that deliver </w:t>
      </w:r>
      <w:r>
        <w:rPr>
          <w:rFonts w:ascii="Segoe UI" w:hAnsi="Segoe UI" w:cs="Segoe UI"/>
          <w:sz w:val="21"/>
          <w:szCs w:val="21"/>
        </w:rPr>
        <w:t xml:space="preserve">an </w:t>
      </w:r>
      <w:r w:rsidRPr="000F03AB">
        <w:rPr>
          <w:rFonts w:ascii="Segoe UI" w:hAnsi="Segoe UI" w:cs="Segoe UI"/>
          <w:sz w:val="21"/>
          <w:szCs w:val="21"/>
        </w:rPr>
        <w:t>economic service to the public</w:t>
      </w:r>
    </w:p>
    <w:p w14:paraId="176721D9" w14:textId="796243A9" w:rsidR="00EF155E" w:rsidRDefault="00C36E68" w:rsidP="00E90BA7">
      <w:pPr>
        <w:spacing w:after="120" w:line="264" w:lineRule="auto"/>
        <w:jc w:val="both"/>
        <w:rPr>
          <w:rFonts w:ascii="Segoe UI" w:hAnsi="Segoe UI" w:cs="Segoe UI"/>
          <w:sz w:val="21"/>
          <w:szCs w:val="21"/>
        </w:rPr>
      </w:pPr>
      <w:r>
        <w:rPr>
          <w:rFonts w:ascii="Segoe UI" w:hAnsi="Segoe UI" w:cs="Segoe UI"/>
          <w:sz w:val="21"/>
          <w:szCs w:val="21"/>
        </w:rPr>
        <w:t>(3) W</w:t>
      </w:r>
      <w:r w:rsidRPr="000F03AB">
        <w:rPr>
          <w:rFonts w:ascii="Segoe UI" w:hAnsi="Segoe UI" w:cs="Segoe UI"/>
          <w:sz w:val="21"/>
          <w:szCs w:val="21"/>
        </w:rPr>
        <w:t>ater extracted for firefighting</w:t>
      </w:r>
    </w:p>
    <w:p w14:paraId="53DB417B" w14:textId="49CAB17D" w:rsidR="00EF155E" w:rsidRDefault="00C36E68" w:rsidP="00E90BA7">
      <w:pPr>
        <w:spacing w:after="120" w:line="264" w:lineRule="auto"/>
        <w:jc w:val="both"/>
        <w:rPr>
          <w:rFonts w:ascii="Segoe UI" w:hAnsi="Segoe UI" w:cs="Segoe UI"/>
          <w:sz w:val="21"/>
          <w:szCs w:val="21"/>
        </w:rPr>
      </w:pPr>
      <w:r>
        <w:rPr>
          <w:rFonts w:ascii="Segoe UI" w:hAnsi="Segoe UI" w:cs="Segoe UI"/>
          <w:sz w:val="21"/>
          <w:szCs w:val="21"/>
        </w:rPr>
        <w:t>(4) W</w:t>
      </w:r>
      <w:r w:rsidRPr="000F03AB">
        <w:rPr>
          <w:rFonts w:ascii="Segoe UI" w:hAnsi="Segoe UI" w:cs="Segoe UI"/>
          <w:sz w:val="21"/>
          <w:szCs w:val="21"/>
        </w:rPr>
        <w:t xml:space="preserve">ater </w:t>
      </w:r>
      <w:r>
        <w:rPr>
          <w:rFonts w:ascii="Segoe UI" w:hAnsi="Segoe UI" w:cs="Segoe UI"/>
          <w:sz w:val="21"/>
          <w:szCs w:val="21"/>
        </w:rPr>
        <w:t>us</w:t>
      </w:r>
      <w:r w:rsidRPr="000F03AB">
        <w:rPr>
          <w:rFonts w:ascii="Segoe UI" w:hAnsi="Segoe UI" w:cs="Segoe UI"/>
          <w:sz w:val="21"/>
          <w:szCs w:val="21"/>
        </w:rPr>
        <w:t>ed by enterprises for the care of the blind, deaf, disabled, and public healthcare</w:t>
      </w:r>
    </w:p>
    <w:p w14:paraId="51D21A83" w14:textId="77777777" w:rsidR="00EF155E" w:rsidRDefault="00C36E68" w:rsidP="00E90BA7">
      <w:pPr>
        <w:spacing w:after="120" w:line="264" w:lineRule="auto"/>
        <w:jc w:val="both"/>
        <w:rPr>
          <w:rFonts w:ascii="Segoe UI" w:hAnsi="Segoe UI" w:cs="Segoe UI"/>
          <w:sz w:val="21"/>
          <w:szCs w:val="21"/>
        </w:rPr>
      </w:pPr>
      <w:r>
        <w:rPr>
          <w:rFonts w:ascii="Segoe UI" w:hAnsi="Segoe UI" w:cs="Segoe UI"/>
          <w:sz w:val="21"/>
          <w:szCs w:val="21"/>
        </w:rPr>
        <w:t>(5) W</w:t>
      </w:r>
      <w:r w:rsidRPr="000F03AB">
        <w:rPr>
          <w:rFonts w:ascii="Segoe UI" w:hAnsi="Segoe UI" w:cs="Segoe UI"/>
          <w:sz w:val="21"/>
          <w:szCs w:val="21"/>
        </w:rPr>
        <w:t xml:space="preserve">ater </w:t>
      </w:r>
      <w:r>
        <w:rPr>
          <w:rFonts w:ascii="Segoe UI" w:hAnsi="Segoe UI" w:cs="Segoe UI"/>
          <w:sz w:val="21"/>
          <w:szCs w:val="21"/>
        </w:rPr>
        <w:t>us</w:t>
      </w:r>
      <w:r w:rsidRPr="000F03AB">
        <w:rPr>
          <w:rFonts w:ascii="Segoe UI" w:hAnsi="Segoe UI" w:cs="Segoe UI"/>
          <w:sz w:val="21"/>
          <w:szCs w:val="21"/>
        </w:rPr>
        <w:t xml:space="preserve">ed by enterprises </w:t>
      </w:r>
      <w:r>
        <w:rPr>
          <w:rFonts w:ascii="Segoe UI" w:hAnsi="Segoe UI" w:cs="Segoe UI"/>
          <w:sz w:val="21"/>
          <w:szCs w:val="21"/>
        </w:rPr>
        <w:t>operat</w:t>
      </w:r>
      <w:r w:rsidRPr="000F03AB">
        <w:rPr>
          <w:rFonts w:ascii="Segoe UI" w:hAnsi="Segoe UI" w:cs="Segoe UI"/>
          <w:sz w:val="21"/>
          <w:szCs w:val="21"/>
        </w:rPr>
        <w:t xml:space="preserve">ing </w:t>
      </w:r>
      <w:r>
        <w:rPr>
          <w:rFonts w:ascii="Segoe UI" w:hAnsi="Segoe UI" w:cs="Segoe UI"/>
          <w:sz w:val="21"/>
          <w:szCs w:val="21"/>
        </w:rPr>
        <w:t>prisons and detention centers</w:t>
      </w:r>
      <w:r w:rsidRPr="000F03AB">
        <w:rPr>
          <w:rFonts w:ascii="Segoe UI" w:hAnsi="Segoe UI" w:cs="Segoe UI"/>
          <w:sz w:val="21"/>
          <w:szCs w:val="21"/>
        </w:rPr>
        <w:t>.</w:t>
      </w:r>
    </w:p>
    <w:p w14:paraId="568C1C41" w14:textId="1A86FC02" w:rsidR="00C36E68" w:rsidRDefault="007852E1" w:rsidP="00E90BA7">
      <w:pPr>
        <w:spacing w:after="120" w:line="264" w:lineRule="auto"/>
        <w:jc w:val="both"/>
        <w:rPr>
          <w:rFonts w:ascii="Segoe UI" w:hAnsi="Segoe UI" w:cs="Segoe UI"/>
          <w:sz w:val="21"/>
          <w:szCs w:val="21"/>
        </w:rPr>
      </w:pPr>
      <w:r>
        <w:rPr>
          <w:rFonts w:ascii="Segoe UI" w:hAnsi="Segoe UI" w:cs="Segoe UI"/>
          <w:sz w:val="21"/>
          <w:szCs w:val="21"/>
        </w:rPr>
        <w:t xml:space="preserve">Forgone revenue </w:t>
      </w:r>
      <w:r w:rsidR="00C36E68">
        <w:rPr>
          <w:rFonts w:ascii="Segoe UI" w:hAnsi="Segoe UI" w:cs="Segoe UI"/>
          <w:sz w:val="21"/>
          <w:szCs w:val="21"/>
        </w:rPr>
        <w:t>can be calculated on the basis of extracted volume of water per category</w:t>
      </w:r>
      <w:r w:rsidR="0000393D">
        <w:rPr>
          <w:rFonts w:ascii="Segoe UI" w:hAnsi="Segoe UI" w:cs="Segoe UI"/>
          <w:sz w:val="21"/>
          <w:szCs w:val="21"/>
        </w:rPr>
        <w:t xml:space="preserve">, </w:t>
      </w:r>
      <w:r w:rsidR="00C36E68">
        <w:rPr>
          <w:rFonts w:ascii="Segoe UI" w:hAnsi="Segoe UI" w:cs="Segoe UI"/>
          <w:sz w:val="21"/>
          <w:szCs w:val="21"/>
        </w:rPr>
        <w:t xml:space="preserve">multiplied by a </w:t>
      </w:r>
      <w:r w:rsidR="005E6E57">
        <w:rPr>
          <w:rFonts w:ascii="Segoe UI" w:hAnsi="Segoe UI" w:cs="Segoe UI"/>
          <w:sz w:val="21"/>
          <w:szCs w:val="21"/>
        </w:rPr>
        <w:t>corresponding</w:t>
      </w:r>
      <w:r w:rsidR="00C36E68">
        <w:rPr>
          <w:rFonts w:ascii="Segoe UI" w:hAnsi="Segoe UI" w:cs="Segoe UI"/>
          <w:sz w:val="21"/>
          <w:szCs w:val="21"/>
        </w:rPr>
        <w:t xml:space="preserve"> rate</w:t>
      </w:r>
      <w:r w:rsidR="00B11694">
        <w:rPr>
          <w:rFonts w:ascii="Segoe UI" w:hAnsi="Segoe UI" w:cs="Segoe UI"/>
          <w:sz w:val="21"/>
          <w:szCs w:val="21"/>
        </w:rPr>
        <w:t xml:space="preserve">. </w:t>
      </w:r>
      <w:r w:rsidR="00C36E68">
        <w:rPr>
          <w:rFonts w:ascii="Segoe UI" w:hAnsi="Segoe UI" w:cs="Segoe UI"/>
          <w:sz w:val="21"/>
          <w:szCs w:val="21"/>
        </w:rPr>
        <w:t>T</w:t>
      </w:r>
      <w:r w:rsidR="00B11694">
        <w:rPr>
          <w:rFonts w:ascii="Segoe UI" w:hAnsi="Segoe UI" w:cs="Segoe UI"/>
          <w:sz w:val="21"/>
          <w:szCs w:val="21"/>
        </w:rPr>
        <w:t xml:space="preserve">Es </w:t>
      </w:r>
      <w:r w:rsidR="00C36E68">
        <w:rPr>
          <w:rFonts w:ascii="Segoe UI" w:hAnsi="Segoe UI" w:cs="Segoe UI"/>
          <w:sz w:val="21"/>
          <w:szCs w:val="21"/>
        </w:rPr>
        <w:t xml:space="preserve">for the different exempt water categories is recorded in Appendix </w:t>
      </w:r>
      <w:r w:rsidR="005E6E57">
        <w:rPr>
          <w:rFonts w:ascii="Segoe UI" w:hAnsi="Segoe UI" w:cs="Segoe UI"/>
          <w:sz w:val="21"/>
          <w:szCs w:val="21"/>
        </w:rPr>
        <w:t>8</w:t>
      </w:r>
      <w:r w:rsidR="00C36E68">
        <w:rPr>
          <w:rFonts w:ascii="Segoe UI" w:hAnsi="Segoe UI" w:cs="Segoe UI"/>
          <w:sz w:val="21"/>
          <w:szCs w:val="21"/>
        </w:rPr>
        <w:t>.</w:t>
      </w:r>
    </w:p>
    <w:p w14:paraId="713C0C1A" w14:textId="4555B5AF" w:rsidR="00C36E68" w:rsidRPr="007E1294" w:rsidRDefault="007E1294" w:rsidP="00E90BA7">
      <w:pPr>
        <w:spacing w:after="120" w:line="264" w:lineRule="auto"/>
        <w:jc w:val="both"/>
        <w:rPr>
          <w:rFonts w:ascii="Segoe UI" w:hAnsi="Segoe UI" w:cs="Segoe UI"/>
          <w:sz w:val="21"/>
          <w:szCs w:val="21"/>
        </w:rPr>
      </w:pPr>
      <w:r w:rsidRPr="005E1240">
        <w:rPr>
          <w:rFonts w:ascii="Segoe UI" w:hAnsi="Segoe UI" w:cs="Segoe UI"/>
          <w:bCs/>
          <w:i/>
          <w:iCs/>
          <w:sz w:val="21"/>
          <w:szCs w:val="21"/>
        </w:rPr>
        <w:t>Fees for mineral extraction.</w:t>
      </w:r>
      <w:r w:rsidRPr="007E1294">
        <w:rPr>
          <w:rFonts w:ascii="Segoe UI" w:hAnsi="Segoe UI" w:cs="Segoe UI"/>
          <w:sz w:val="21"/>
          <w:szCs w:val="21"/>
        </w:rPr>
        <w:t xml:space="preserve"> </w:t>
      </w:r>
      <w:r w:rsidR="00C36E68" w:rsidRPr="007E1294">
        <w:rPr>
          <w:rFonts w:ascii="Segoe UI" w:hAnsi="Segoe UI" w:cs="Segoe UI"/>
          <w:sz w:val="21"/>
          <w:szCs w:val="21"/>
        </w:rPr>
        <w:t>Natural and legal persons, extracting economically useful minerals, attract a mineral extraction fee at rates provided for in Annex 2 to Title VIII of the TC. No fee exemptions are provided in Law.</w:t>
      </w:r>
    </w:p>
    <w:p w14:paraId="1784EAEB" w14:textId="6A15F43B" w:rsidR="00241F6F" w:rsidRPr="00F63BDE" w:rsidRDefault="00C36E68" w:rsidP="00E90BA7">
      <w:pPr>
        <w:spacing w:after="120" w:line="264" w:lineRule="auto"/>
        <w:jc w:val="both"/>
        <w:rPr>
          <w:rFonts w:ascii="Segoe UI" w:hAnsi="Segoe UI" w:cs="Segoe UI"/>
          <w:sz w:val="21"/>
          <w:szCs w:val="21"/>
        </w:rPr>
      </w:pPr>
      <w:r w:rsidRPr="005E1240">
        <w:rPr>
          <w:rFonts w:ascii="Segoe UI" w:hAnsi="Segoe UI" w:cs="Segoe UI"/>
          <w:bCs/>
          <w:i/>
          <w:iCs/>
          <w:sz w:val="21"/>
          <w:szCs w:val="21"/>
        </w:rPr>
        <w:t>Fee for Using the Subsoil or Underground Spaces (Caves)</w:t>
      </w:r>
      <w:r w:rsidR="007E1294" w:rsidRPr="005E1240">
        <w:rPr>
          <w:rFonts w:ascii="Segoe UI" w:hAnsi="Segoe UI" w:cs="Segoe UI"/>
          <w:bCs/>
          <w:i/>
          <w:iCs/>
          <w:sz w:val="21"/>
          <w:szCs w:val="21"/>
        </w:rPr>
        <w:t>.</w:t>
      </w:r>
      <w:r w:rsidR="007E1294" w:rsidRPr="007E1294">
        <w:rPr>
          <w:rFonts w:ascii="Segoe UI" w:hAnsi="Segoe UI" w:cs="Segoe UI"/>
          <w:b/>
          <w:sz w:val="21"/>
          <w:szCs w:val="21"/>
        </w:rPr>
        <w:t xml:space="preserve"> </w:t>
      </w:r>
      <w:r w:rsidRPr="00B23D4B">
        <w:rPr>
          <w:rFonts w:ascii="Segoe UI" w:hAnsi="Segoe UI" w:cs="Segoe UI"/>
          <w:sz w:val="21"/>
          <w:szCs w:val="21"/>
        </w:rPr>
        <w:t xml:space="preserve">Natural and legal persons, making use of underground soils and spaces (caves), attract an ad valorem rate of 3 percent on the value of the construction works and 0.2 percent on the accounting value of underground construction works (Art. 313 of the TC). </w:t>
      </w:r>
      <w:r w:rsidR="005E1240">
        <w:rPr>
          <w:rFonts w:ascii="Segoe UI" w:hAnsi="Segoe UI" w:cs="Segoe UI"/>
          <w:sz w:val="21"/>
          <w:szCs w:val="21"/>
        </w:rPr>
        <w:t>N</w:t>
      </w:r>
      <w:r w:rsidRPr="00B23D4B">
        <w:rPr>
          <w:rFonts w:ascii="Segoe UI" w:hAnsi="Segoe UI" w:cs="Segoe UI"/>
          <w:sz w:val="21"/>
          <w:szCs w:val="21"/>
        </w:rPr>
        <w:t>o fee exemptions are provided in Law.</w:t>
      </w:r>
    </w:p>
    <w:p w14:paraId="71D249EC" w14:textId="76062256" w:rsidR="00F77F6D" w:rsidRPr="00CB1E53" w:rsidRDefault="00F77F6D" w:rsidP="00E90BA7">
      <w:pPr>
        <w:pStyle w:val="Heading2"/>
        <w:numPr>
          <w:ilvl w:val="0"/>
          <w:numId w:val="14"/>
        </w:numPr>
        <w:ind w:left="720"/>
        <w:jc w:val="both"/>
      </w:pPr>
      <w:bookmarkStart w:id="29" w:name="_Toc126555831"/>
      <w:r w:rsidRPr="00696E42">
        <w:t>Inventory</w:t>
      </w:r>
      <w:r w:rsidRPr="00CB1E53">
        <w:t xml:space="preserve"> of Identified Variation</w:t>
      </w:r>
      <w:r w:rsidR="00644BD6" w:rsidRPr="00CB1E53">
        <w:t>s</w:t>
      </w:r>
      <w:r w:rsidRPr="00CB1E53">
        <w:t xml:space="preserve"> from the Benchmark</w:t>
      </w:r>
      <w:bookmarkEnd w:id="29"/>
      <w:r w:rsidRPr="00CB1E53">
        <w:t xml:space="preserve"> </w:t>
      </w:r>
    </w:p>
    <w:p w14:paraId="2B6AE4A9" w14:textId="4C3E3495"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 xml:space="preserve">In order </w:t>
      </w:r>
      <w:r w:rsidR="00644BD6" w:rsidRPr="00CB1E53">
        <w:rPr>
          <w:rFonts w:ascii="Segoe UI" w:hAnsi="Segoe UI" w:cs="Segoe UI"/>
          <w:sz w:val="21"/>
          <w:szCs w:val="21"/>
        </w:rPr>
        <w:t xml:space="preserve">to </w:t>
      </w:r>
      <w:r w:rsidRPr="00CB1E53">
        <w:rPr>
          <w:rFonts w:ascii="Segoe UI" w:hAnsi="Segoe UI" w:cs="Segoe UI"/>
          <w:sz w:val="21"/>
          <w:szCs w:val="21"/>
        </w:rPr>
        <w:t>report on the range of tax relief measures under each tax instrument, the TEA</w:t>
      </w:r>
      <w:r w:rsidR="009430CA" w:rsidRPr="00CB1E53">
        <w:rPr>
          <w:rFonts w:ascii="Segoe UI" w:hAnsi="Segoe UI" w:cs="Segoe UI"/>
          <w:sz w:val="21"/>
          <w:szCs w:val="21"/>
        </w:rPr>
        <w:t>R</w:t>
      </w:r>
      <w:r w:rsidRPr="00CB1E53">
        <w:rPr>
          <w:rFonts w:ascii="Segoe UI" w:hAnsi="Segoe UI" w:cs="Segoe UI"/>
          <w:sz w:val="21"/>
          <w:szCs w:val="21"/>
        </w:rPr>
        <w:t xml:space="preserve"> records an inventory of </w:t>
      </w:r>
      <w:r w:rsidR="009430CA" w:rsidRPr="00CB1E53">
        <w:rPr>
          <w:rFonts w:ascii="Segoe UI" w:hAnsi="Segoe UI" w:cs="Segoe UI"/>
          <w:sz w:val="21"/>
          <w:szCs w:val="21"/>
        </w:rPr>
        <w:t>TEs</w:t>
      </w:r>
      <w:r w:rsidRPr="00CB1E53">
        <w:rPr>
          <w:rFonts w:ascii="Segoe UI" w:hAnsi="Segoe UI" w:cs="Segoe UI"/>
          <w:sz w:val="21"/>
          <w:szCs w:val="21"/>
        </w:rPr>
        <w:t>, as comprehensive</w:t>
      </w:r>
      <w:r w:rsidR="00644BD6" w:rsidRPr="00CB1E53">
        <w:rPr>
          <w:rFonts w:ascii="Segoe UI" w:hAnsi="Segoe UI" w:cs="Segoe UI"/>
          <w:sz w:val="21"/>
          <w:szCs w:val="21"/>
        </w:rPr>
        <w:t>ly</w:t>
      </w:r>
      <w:r w:rsidRPr="00CB1E53">
        <w:rPr>
          <w:rFonts w:ascii="Segoe UI" w:hAnsi="Segoe UI" w:cs="Segoe UI"/>
          <w:sz w:val="21"/>
          <w:szCs w:val="21"/>
        </w:rPr>
        <w:t xml:space="preserve"> as possible. This is accomplished by comparing the actual provisions of </w:t>
      </w:r>
      <w:r w:rsidR="00644BD6" w:rsidRPr="00CB1E53">
        <w:rPr>
          <w:rFonts w:ascii="Segoe UI" w:hAnsi="Segoe UI" w:cs="Segoe UI"/>
          <w:sz w:val="21"/>
          <w:szCs w:val="21"/>
        </w:rPr>
        <w:t>Moldovan</w:t>
      </w:r>
      <w:r w:rsidRPr="00CB1E53">
        <w:rPr>
          <w:rFonts w:ascii="Segoe UI" w:hAnsi="Segoe UI" w:cs="Segoe UI"/>
          <w:sz w:val="21"/>
          <w:szCs w:val="21"/>
        </w:rPr>
        <w:t xml:space="preserve"> tax system</w:t>
      </w:r>
      <w:r w:rsidR="00644BD6" w:rsidRPr="00CB1E53">
        <w:rPr>
          <w:rFonts w:ascii="Segoe UI" w:hAnsi="Segoe UI" w:cs="Segoe UI"/>
          <w:sz w:val="21"/>
          <w:szCs w:val="21"/>
        </w:rPr>
        <w:t xml:space="preserve"> </w:t>
      </w:r>
      <w:r w:rsidRPr="00CB1E53">
        <w:rPr>
          <w:rFonts w:ascii="Segoe UI" w:hAnsi="Segoe UI" w:cs="Segoe UI"/>
          <w:sz w:val="21"/>
          <w:szCs w:val="21"/>
        </w:rPr>
        <w:t xml:space="preserve">against the established benchmark. For each identified </w:t>
      </w:r>
      <w:r w:rsidR="009430CA" w:rsidRPr="00CB1E53">
        <w:rPr>
          <w:rFonts w:ascii="Segoe UI" w:hAnsi="Segoe UI" w:cs="Segoe UI"/>
          <w:sz w:val="21"/>
          <w:szCs w:val="21"/>
        </w:rPr>
        <w:t>TE</w:t>
      </w:r>
      <w:r w:rsidRPr="00CB1E53">
        <w:rPr>
          <w:rFonts w:ascii="Segoe UI" w:hAnsi="Segoe UI" w:cs="Segoe UI"/>
          <w:sz w:val="21"/>
          <w:szCs w:val="21"/>
        </w:rPr>
        <w:t xml:space="preserve"> arising from this comparison, </w:t>
      </w:r>
      <w:r w:rsidR="00644BD6" w:rsidRPr="00CB1E53">
        <w:rPr>
          <w:rFonts w:ascii="Segoe UI" w:hAnsi="Segoe UI" w:cs="Segoe UI"/>
          <w:sz w:val="21"/>
          <w:szCs w:val="21"/>
        </w:rPr>
        <w:t>a standardized</w:t>
      </w:r>
      <w:r w:rsidR="00E810C6" w:rsidRPr="00CB1E53">
        <w:rPr>
          <w:rFonts w:ascii="Segoe UI" w:hAnsi="Segoe UI" w:cs="Segoe UI"/>
          <w:sz w:val="21"/>
          <w:szCs w:val="21"/>
        </w:rPr>
        <w:t xml:space="preserve"> template—a</w:t>
      </w:r>
      <w:r w:rsidR="00644BD6" w:rsidRPr="00CB1E53">
        <w:rPr>
          <w:rFonts w:ascii="Segoe UI" w:hAnsi="Segoe UI" w:cs="Segoe UI"/>
          <w:sz w:val="21"/>
          <w:szCs w:val="21"/>
        </w:rPr>
        <w:t xml:space="preserve"> </w:t>
      </w:r>
      <w:r w:rsidR="00E810C6" w:rsidRPr="00CB1E53">
        <w:rPr>
          <w:rFonts w:ascii="Segoe UI" w:hAnsi="Segoe UI" w:cs="Segoe UI"/>
          <w:sz w:val="21"/>
          <w:szCs w:val="21"/>
        </w:rPr>
        <w:t xml:space="preserve">TE </w:t>
      </w:r>
      <w:r w:rsidR="00644BD6" w:rsidRPr="00CB1E53">
        <w:rPr>
          <w:rFonts w:ascii="Segoe UI" w:hAnsi="Segoe UI" w:cs="Segoe UI"/>
          <w:sz w:val="21"/>
          <w:szCs w:val="21"/>
        </w:rPr>
        <w:t>summary sheet</w:t>
      </w:r>
      <w:r w:rsidR="00E810C6" w:rsidRPr="00CB1E53">
        <w:rPr>
          <w:rFonts w:ascii="Segoe UI" w:hAnsi="Segoe UI" w:cs="Segoe UI"/>
          <w:sz w:val="21"/>
          <w:szCs w:val="21"/>
        </w:rPr>
        <w:t>—</w:t>
      </w:r>
      <w:r w:rsidR="00644BD6" w:rsidRPr="00CB1E53">
        <w:rPr>
          <w:rFonts w:ascii="Segoe UI" w:hAnsi="Segoe UI" w:cs="Segoe UI"/>
          <w:sz w:val="21"/>
          <w:szCs w:val="21"/>
        </w:rPr>
        <w:t xml:space="preserve">is prepared to </w:t>
      </w:r>
      <w:r w:rsidRPr="00CB1E53">
        <w:rPr>
          <w:rFonts w:ascii="Segoe UI" w:hAnsi="Segoe UI" w:cs="Segoe UI"/>
          <w:sz w:val="21"/>
          <w:szCs w:val="21"/>
        </w:rPr>
        <w:t xml:space="preserve">enable a consistent analysis </w:t>
      </w:r>
      <w:r w:rsidR="00644BD6" w:rsidRPr="00CB1E53">
        <w:rPr>
          <w:rFonts w:ascii="Segoe UI" w:hAnsi="Segoe UI" w:cs="Segoe UI"/>
          <w:sz w:val="21"/>
          <w:szCs w:val="21"/>
        </w:rPr>
        <w:t>of TEs</w:t>
      </w:r>
      <w:r w:rsidRPr="00CB1E53">
        <w:rPr>
          <w:rFonts w:ascii="Segoe UI" w:hAnsi="Segoe UI" w:cs="Segoe UI"/>
          <w:sz w:val="21"/>
          <w:szCs w:val="21"/>
        </w:rPr>
        <w:t>.</w:t>
      </w:r>
    </w:p>
    <w:p w14:paraId="2E4EE73C" w14:textId="77777777" w:rsidR="00644BD6" w:rsidRPr="00CB1E53" w:rsidRDefault="00644BD6" w:rsidP="00E90BA7">
      <w:pPr>
        <w:spacing w:after="120" w:line="264" w:lineRule="auto"/>
        <w:jc w:val="both"/>
        <w:rPr>
          <w:rFonts w:ascii="Segoe UI" w:hAnsi="Segoe UI" w:cs="Segoe UI"/>
          <w:sz w:val="21"/>
          <w:szCs w:val="21"/>
        </w:rPr>
      </w:pPr>
      <w:r w:rsidRPr="00CB1E53">
        <w:rPr>
          <w:rFonts w:ascii="Segoe UI" w:hAnsi="Segoe UI" w:cs="Segoe UI"/>
          <w:sz w:val="21"/>
          <w:szCs w:val="21"/>
        </w:rPr>
        <w:t>Each TE summary includes</w:t>
      </w:r>
      <w:r w:rsidR="00F77F6D" w:rsidRPr="00CB1E53">
        <w:rPr>
          <w:rFonts w:ascii="Segoe UI" w:hAnsi="Segoe UI" w:cs="Segoe UI"/>
          <w:sz w:val="21"/>
          <w:szCs w:val="21"/>
        </w:rPr>
        <w:t xml:space="preserve">—in line with good international practice—a description of the key features: </w:t>
      </w:r>
    </w:p>
    <w:p w14:paraId="2468C54E" w14:textId="2E34FB01"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how the </w:t>
      </w:r>
      <w:r w:rsidR="00644BD6" w:rsidRPr="00CB1E53">
        <w:rPr>
          <w:rFonts w:ascii="Segoe UI" w:hAnsi="Segoe UI" w:cs="Segoe UI"/>
          <w:sz w:val="21"/>
          <w:szCs w:val="21"/>
        </w:rPr>
        <w:t>TE</w:t>
      </w:r>
      <w:r w:rsidRPr="00CB1E53">
        <w:rPr>
          <w:rFonts w:ascii="Segoe UI" w:hAnsi="Segoe UI" w:cs="Segoe UI"/>
          <w:sz w:val="21"/>
          <w:szCs w:val="21"/>
        </w:rPr>
        <w:t xml:space="preserve"> functions; </w:t>
      </w:r>
    </w:p>
    <w:p w14:paraId="367EFA62" w14:textId="244DD25E"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why the measure is a deviation from the benchmark; </w:t>
      </w:r>
    </w:p>
    <w:p w14:paraId="15E7389A" w14:textId="77777777"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lastRenderedPageBreak/>
        <w:t xml:space="preserve">who benefits from the measure; </w:t>
      </w:r>
    </w:p>
    <w:p w14:paraId="3150485F" w14:textId="77777777"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what policy objectives are being pursued; </w:t>
      </w:r>
    </w:p>
    <w:p w14:paraId="27508AD2" w14:textId="793D350F"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the legislative reference providing for the </w:t>
      </w:r>
      <w:r w:rsidR="00644BD6" w:rsidRPr="00CB1E53">
        <w:rPr>
          <w:rFonts w:ascii="Segoe UI" w:hAnsi="Segoe UI" w:cs="Segoe UI"/>
          <w:sz w:val="21"/>
          <w:szCs w:val="21"/>
        </w:rPr>
        <w:t>TE</w:t>
      </w:r>
      <w:r w:rsidRPr="00CB1E53">
        <w:rPr>
          <w:rFonts w:ascii="Segoe UI" w:hAnsi="Segoe UI" w:cs="Segoe UI"/>
          <w:sz w:val="21"/>
          <w:szCs w:val="21"/>
        </w:rPr>
        <w:t xml:space="preserve">; </w:t>
      </w:r>
    </w:p>
    <w:p w14:paraId="1E5362C3" w14:textId="77777777"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when was </w:t>
      </w:r>
      <w:r w:rsidR="00644BD6" w:rsidRPr="00CB1E53">
        <w:rPr>
          <w:rFonts w:ascii="Segoe UI" w:hAnsi="Segoe UI" w:cs="Segoe UI"/>
          <w:sz w:val="21"/>
          <w:szCs w:val="21"/>
        </w:rPr>
        <w:t xml:space="preserve">the TE </w:t>
      </w:r>
      <w:r w:rsidRPr="00CB1E53">
        <w:rPr>
          <w:rFonts w:ascii="Segoe UI" w:hAnsi="Segoe UI" w:cs="Segoe UI"/>
          <w:sz w:val="21"/>
          <w:szCs w:val="21"/>
        </w:rPr>
        <w:t xml:space="preserve">introduced, whether it has changed over time, and whether there is a stipulated sunset or expiry date; </w:t>
      </w:r>
    </w:p>
    <w:p w14:paraId="72628AB8" w14:textId="77777777" w:rsidR="00644BD6"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the number of recorded beneficiaries; and </w:t>
      </w:r>
    </w:p>
    <w:p w14:paraId="3ED30009" w14:textId="4970B040" w:rsidR="00F77F6D" w:rsidRPr="00CB1E53" w:rsidRDefault="00F77F6D" w:rsidP="00E90BA7">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information on data sources and the applied estimation method(s).</w:t>
      </w:r>
    </w:p>
    <w:p w14:paraId="3FB52E8A" w14:textId="565395EB" w:rsidR="00F77F6D" w:rsidRPr="00CB1E53" w:rsidRDefault="00F77F6D" w:rsidP="00E90BA7">
      <w:pPr>
        <w:spacing w:after="120" w:line="264" w:lineRule="auto"/>
        <w:jc w:val="both"/>
        <w:rPr>
          <w:rFonts w:ascii="Segoe UI" w:hAnsi="Segoe UI" w:cs="Segoe UI"/>
          <w:sz w:val="21"/>
          <w:szCs w:val="21"/>
        </w:rPr>
      </w:pPr>
      <w:r w:rsidRPr="00CB1E53">
        <w:rPr>
          <w:rFonts w:ascii="Segoe UI" w:hAnsi="Segoe UI" w:cs="Segoe UI"/>
          <w:sz w:val="21"/>
          <w:szCs w:val="21"/>
        </w:rPr>
        <w:t>This TEAR contains</w:t>
      </w:r>
      <w:r w:rsidR="009265EE" w:rsidRPr="00CB1E53">
        <w:rPr>
          <w:rFonts w:ascii="Segoe UI" w:hAnsi="Segoe UI" w:cs="Segoe UI"/>
          <w:sz w:val="21"/>
          <w:szCs w:val="21"/>
        </w:rPr>
        <w:t xml:space="preserve"> TE summary sheets </w:t>
      </w:r>
      <w:r w:rsidRPr="00CB1E53">
        <w:rPr>
          <w:rFonts w:ascii="Segoe UI" w:hAnsi="Segoe UI" w:cs="Segoe UI"/>
          <w:sz w:val="21"/>
          <w:szCs w:val="21"/>
        </w:rPr>
        <w:t>for the PIT, BIT</w:t>
      </w:r>
      <w:r w:rsidR="004F2053">
        <w:rPr>
          <w:rFonts w:ascii="Segoe UI" w:hAnsi="Segoe UI" w:cs="Segoe UI"/>
          <w:sz w:val="21"/>
          <w:szCs w:val="21"/>
        </w:rPr>
        <w:t>,</w:t>
      </w:r>
      <w:r w:rsidRPr="00CB1E53">
        <w:rPr>
          <w:rFonts w:ascii="Segoe UI" w:hAnsi="Segoe UI" w:cs="Segoe UI"/>
          <w:sz w:val="21"/>
          <w:szCs w:val="21"/>
        </w:rPr>
        <w:t xml:space="preserve"> VAT</w:t>
      </w:r>
      <w:r w:rsidR="004F2053">
        <w:rPr>
          <w:rFonts w:ascii="Segoe UI" w:hAnsi="Segoe UI" w:cs="Segoe UI"/>
          <w:sz w:val="21"/>
          <w:szCs w:val="21"/>
        </w:rPr>
        <w:t xml:space="preserve">, excise </w:t>
      </w:r>
      <w:r w:rsidR="004F2053" w:rsidRPr="39DF3741">
        <w:rPr>
          <w:rFonts w:ascii="Segoe UI" w:hAnsi="Segoe UI" w:cs="Segoe UI"/>
          <w:sz w:val="21"/>
          <w:szCs w:val="21"/>
        </w:rPr>
        <w:t>duties</w:t>
      </w:r>
      <w:r w:rsidR="004F2053">
        <w:rPr>
          <w:rFonts w:ascii="Segoe UI" w:hAnsi="Segoe UI" w:cs="Segoe UI"/>
          <w:sz w:val="21"/>
          <w:szCs w:val="21"/>
        </w:rPr>
        <w:t xml:space="preserve">, road </w:t>
      </w:r>
      <w:r w:rsidR="004F2053" w:rsidRPr="39DF3741">
        <w:rPr>
          <w:rFonts w:ascii="Segoe UI" w:hAnsi="Segoe UI" w:cs="Segoe UI"/>
          <w:sz w:val="21"/>
          <w:szCs w:val="21"/>
        </w:rPr>
        <w:t xml:space="preserve">usage </w:t>
      </w:r>
      <w:r w:rsidR="004F2053">
        <w:rPr>
          <w:rFonts w:ascii="Segoe UI" w:hAnsi="Segoe UI" w:cs="Segoe UI"/>
          <w:sz w:val="21"/>
          <w:szCs w:val="21"/>
        </w:rPr>
        <w:t xml:space="preserve">fees, </w:t>
      </w:r>
      <w:r w:rsidR="004F2053" w:rsidRPr="39DF3741">
        <w:rPr>
          <w:rFonts w:ascii="Segoe UI" w:hAnsi="Segoe UI" w:cs="Segoe UI"/>
          <w:sz w:val="21"/>
          <w:szCs w:val="21"/>
        </w:rPr>
        <w:t xml:space="preserve">import </w:t>
      </w:r>
      <w:r w:rsidR="004F2053">
        <w:rPr>
          <w:rFonts w:ascii="Segoe UI" w:hAnsi="Segoe UI" w:cs="Segoe UI"/>
          <w:sz w:val="21"/>
          <w:szCs w:val="21"/>
        </w:rPr>
        <w:t>duties, RET, and resource extraction fees</w:t>
      </w:r>
      <w:r w:rsidRPr="00CB1E53">
        <w:rPr>
          <w:rFonts w:ascii="Segoe UI" w:hAnsi="Segoe UI" w:cs="Segoe UI"/>
          <w:sz w:val="21"/>
          <w:szCs w:val="21"/>
        </w:rPr>
        <w:t xml:space="preserve"> systems</w:t>
      </w:r>
      <w:r w:rsidR="009265EE" w:rsidRPr="00CB1E53">
        <w:rPr>
          <w:rFonts w:ascii="Segoe UI" w:hAnsi="Segoe UI" w:cs="Segoe UI"/>
          <w:sz w:val="21"/>
          <w:szCs w:val="21"/>
        </w:rPr>
        <w:t>, included in Appendices 1-</w:t>
      </w:r>
      <w:r w:rsidR="004F2053">
        <w:rPr>
          <w:rFonts w:ascii="Segoe UI" w:hAnsi="Segoe UI" w:cs="Segoe UI"/>
          <w:sz w:val="21"/>
          <w:szCs w:val="21"/>
        </w:rPr>
        <w:t>8</w:t>
      </w:r>
      <w:r w:rsidRPr="00CB1E53">
        <w:rPr>
          <w:rFonts w:ascii="Segoe UI" w:hAnsi="Segoe UI" w:cs="Segoe UI"/>
          <w:sz w:val="21"/>
          <w:szCs w:val="21"/>
        </w:rPr>
        <w:t xml:space="preserve">. Over time the contained information on </w:t>
      </w:r>
      <w:r w:rsidR="00F310A8" w:rsidRPr="00CB1E53">
        <w:rPr>
          <w:rFonts w:ascii="Segoe UI" w:hAnsi="Segoe UI" w:cs="Segoe UI"/>
          <w:sz w:val="21"/>
          <w:szCs w:val="21"/>
        </w:rPr>
        <w:t xml:space="preserve">TEs </w:t>
      </w:r>
      <w:r w:rsidR="007B27B9" w:rsidRPr="00CB1E53">
        <w:rPr>
          <w:rFonts w:ascii="Segoe UI" w:hAnsi="Segoe UI" w:cs="Segoe UI"/>
          <w:sz w:val="21"/>
          <w:szCs w:val="21"/>
        </w:rPr>
        <w:t xml:space="preserve">will </w:t>
      </w:r>
      <w:r w:rsidRPr="00CB1E53">
        <w:rPr>
          <w:rFonts w:ascii="Segoe UI" w:hAnsi="Segoe UI" w:cs="Segoe UI"/>
          <w:sz w:val="21"/>
          <w:szCs w:val="21"/>
        </w:rPr>
        <w:t xml:space="preserve">be further enriched and modified to enhance the transparency of </w:t>
      </w:r>
      <w:r w:rsidR="007B27B9" w:rsidRPr="00CB1E53">
        <w:rPr>
          <w:rFonts w:ascii="Segoe UI" w:hAnsi="Segoe UI" w:cs="Segoe UI"/>
          <w:sz w:val="21"/>
          <w:szCs w:val="21"/>
        </w:rPr>
        <w:t>TE</w:t>
      </w:r>
      <w:r w:rsidRPr="00CB1E53">
        <w:rPr>
          <w:rFonts w:ascii="Segoe UI" w:hAnsi="Segoe UI" w:cs="Segoe UI"/>
          <w:sz w:val="21"/>
          <w:szCs w:val="21"/>
        </w:rPr>
        <w:t xml:space="preserve"> reporting and to facilitate an intelligent evaluation and record of important lessons about previously introduced </w:t>
      </w:r>
      <w:r w:rsidR="009430CA" w:rsidRPr="00CB1E53">
        <w:rPr>
          <w:rFonts w:ascii="Segoe UI" w:hAnsi="Segoe UI" w:cs="Segoe UI"/>
          <w:sz w:val="21"/>
          <w:szCs w:val="21"/>
        </w:rPr>
        <w:t>TEs</w:t>
      </w:r>
      <w:r w:rsidRPr="00CB1E53">
        <w:rPr>
          <w:rFonts w:ascii="Segoe UI" w:hAnsi="Segoe UI" w:cs="Segoe UI"/>
          <w:sz w:val="21"/>
          <w:szCs w:val="21"/>
        </w:rPr>
        <w:t>.</w:t>
      </w:r>
    </w:p>
    <w:p w14:paraId="728C7984" w14:textId="21E8F428" w:rsidR="00F77F6D" w:rsidRPr="00CB1E53" w:rsidRDefault="00F77F6D" w:rsidP="00E90BA7">
      <w:pPr>
        <w:pStyle w:val="Heading2"/>
        <w:keepNext/>
        <w:numPr>
          <w:ilvl w:val="0"/>
          <w:numId w:val="14"/>
        </w:numPr>
        <w:ind w:left="720"/>
        <w:jc w:val="both"/>
      </w:pPr>
      <w:bookmarkStart w:id="30" w:name="_Toc126555832"/>
      <w:r w:rsidRPr="00CB1E53">
        <w:t>Estimation of the Cost of Tax Expenditures</w:t>
      </w:r>
      <w:bookmarkEnd w:id="30"/>
    </w:p>
    <w:p w14:paraId="17728CE0" w14:textId="1E572491" w:rsidR="007575C3" w:rsidRPr="00CB1E53" w:rsidRDefault="007575C3" w:rsidP="00E90BA7">
      <w:pPr>
        <w:pStyle w:val="Heading3"/>
        <w:keepNext/>
        <w:jc w:val="both"/>
        <w:rPr>
          <w:rFonts w:ascii="Segoe UI" w:hAnsi="Segoe UI" w:cs="Segoe UI"/>
          <w:sz w:val="21"/>
          <w:szCs w:val="21"/>
        </w:rPr>
      </w:pPr>
      <w:bookmarkStart w:id="31" w:name="_58e0ozuibdsg"/>
      <w:bookmarkStart w:id="32" w:name="_Toc126555833"/>
      <w:bookmarkEnd w:id="31"/>
      <w:r w:rsidRPr="00CB1E53">
        <w:rPr>
          <w:rStyle w:val="RegularDKB"/>
          <w:caps w:val="0"/>
        </w:rPr>
        <w:t>Tax Expenditures Methodology for PIT</w:t>
      </w:r>
      <w:bookmarkEnd w:id="32"/>
      <w:r w:rsidR="009850C1" w:rsidRPr="00CB1E53">
        <w:rPr>
          <w:rFonts w:ascii="Segoe UI" w:hAnsi="Segoe UI" w:cs="Segoe UI"/>
          <w:sz w:val="21"/>
          <w:szCs w:val="21"/>
        </w:rPr>
        <w:t xml:space="preserve"> </w:t>
      </w:r>
    </w:p>
    <w:p w14:paraId="1CD5F893" w14:textId="77777777" w:rsidR="00466661" w:rsidRPr="001F0EFE" w:rsidRDefault="00466661" w:rsidP="00E90BA7">
      <w:pPr>
        <w:pStyle w:val="Heading4"/>
        <w:jc w:val="both"/>
        <w:rPr>
          <w:rFonts w:ascii="Segoe UI" w:hAnsi="Segoe UI" w:cs="Segoe UI"/>
          <w:color w:val="004C97" w:themeColor="text2"/>
        </w:rPr>
      </w:pPr>
      <w:r w:rsidRPr="001F0EFE">
        <w:rPr>
          <w:rFonts w:ascii="Segoe UI" w:hAnsi="Segoe UI" w:cs="Segoe UI"/>
          <w:color w:val="004C97" w:themeColor="text2"/>
        </w:rPr>
        <w:t>Data Sources</w:t>
      </w:r>
    </w:p>
    <w:p w14:paraId="44C75928" w14:textId="5476017C" w:rsidR="00466661" w:rsidRPr="00706F15" w:rsidRDefault="00466661" w:rsidP="00E90BA7">
      <w:pPr>
        <w:spacing w:after="200"/>
        <w:jc w:val="both"/>
        <w:rPr>
          <w:rFonts w:ascii="Segoe UI" w:hAnsi="Segoe UI" w:cs="Segoe UI"/>
          <w:sz w:val="21"/>
          <w:szCs w:val="21"/>
        </w:rPr>
      </w:pPr>
      <w:r w:rsidRPr="00706F15">
        <w:rPr>
          <w:rFonts w:ascii="Segoe UI" w:hAnsi="Segoe UI" w:cs="Segoe UI"/>
          <w:sz w:val="21"/>
          <w:szCs w:val="21"/>
        </w:rPr>
        <w:t xml:space="preserve">Personal income tax </w:t>
      </w:r>
      <w:r w:rsidR="00871A71">
        <w:rPr>
          <w:rFonts w:ascii="Segoe UI" w:hAnsi="Segoe UI" w:cs="Segoe UI"/>
          <w:sz w:val="21"/>
          <w:szCs w:val="21"/>
        </w:rPr>
        <w:t xml:space="preserve">at a benchmark rate of </w:t>
      </w:r>
      <w:r w:rsidRPr="00706F15">
        <w:rPr>
          <w:rFonts w:ascii="Segoe UI" w:hAnsi="Segoe UI" w:cs="Segoe UI"/>
          <w:sz w:val="21"/>
          <w:szCs w:val="21"/>
        </w:rPr>
        <w:t>12</w:t>
      </w:r>
      <w:r w:rsidR="00215F5D">
        <w:rPr>
          <w:rFonts w:ascii="Segoe UI" w:hAnsi="Segoe UI" w:cs="Segoe UI"/>
          <w:sz w:val="21"/>
          <w:szCs w:val="21"/>
        </w:rPr>
        <w:t xml:space="preserve"> percent </w:t>
      </w:r>
      <w:r w:rsidRPr="00706F15">
        <w:rPr>
          <w:rFonts w:ascii="Segoe UI" w:hAnsi="Segoe UI" w:cs="Segoe UI"/>
          <w:sz w:val="21"/>
          <w:szCs w:val="21"/>
        </w:rPr>
        <w:t>is applied for employment income and income from other sources.</w:t>
      </w:r>
      <w:r w:rsidR="00871A71">
        <w:rPr>
          <w:rFonts w:ascii="Segoe UI" w:hAnsi="Segoe UI" w:cs="Segoe UI"/>
          <w:sz w:val="21"/>
          <w:szCs w:val="21"/>
        </w:rPr>
        <w:t xml:space="preserve"> All</w:t>
      </w:r>
      <w:r w:rsidRPr="00706F15">
        <w:rPr>
          <w:rFonts w:ascii="Segoe UI" w:hAnsi="Segoe UI" w:cs="Segoe UI"/>
          <w:sz w:val="21"/>
          <w:szCs w:val="21"/>
        </w:rPr>
        <w:t xml:space="preserve"> deviations from the benchmark, including non-taxation of pensions, inheritances and other incomes, </w:t>
      </w:r>
      <w:r w:rsidR="00143B57" w:rsidRPr="00706F15">
        <w:rPr>
          <w:rFonts w:ascii="Segoe UI" w:hAnsi="Segoe UI" w:cs="Segoe UI"/>
          <w:sz w:val="21"/>
          <w:szCs w:val="21"/>
        </w:rPr>
        <w:t>children’s</w:t>
      </w:r>
      <w:r w:rsidRPr="00706F15">
        <w:rPr>
          <w:rFonts w:ascii="Segoe UI" w:hAnsi="Segoe UI" w:cs="Segoe UI"/>
          <w:sz w:val="21"/>
          <w:szCs w:val="21"/>
        </w:rPr>
        <w:t xml:space="preserve"> allowances, </w:t>
      </w:r>
      <w:r w:rsidR="00143B57">
        <w:rPr>
          <w:rFonts w:ascii="Segoe UI" w:hAnsi="Segoe UI" w:cs="Segoe UI"/>
          <w:sz w:val="21"/>
          <w:szCs w:val="21"/>
        </w:rPr>
        <w:t xml:space="preserve">and </w:t>
      </w:r>
      <w:r w:rsidRPr="00706F15">
        <w:rPr>
          <w:rFonts w:ascii="Segoe UI" w:hAnsi="Segoe UI" w:cs="Segoe UI"/>
          <w:sz w:val="21"/>
          <w:szCs w:val="21"/>
        </w:rPr>
        <w:t xml:space="preserve">reduced income tax rates for capital income are treated as </w:t>
      </w:r>
      <w:r w:rsidR="00871A71">
        <w:rPr>
          <w:rFonts w:ascii="Segoe UI" w:hAnsi="Segoe UI" w:cs="Segoe UI"/>
          <w:sz w:val="21"/>
          <w:szCs w:val="21"/>
        </w:rPr>
        <w:t>TEs</w:t>
      </w:r>
      <w:r w:rsidRPr="00706F15">
        <w:rPr>
          <w:rFonts w:ascii="Segoe UI" w:hAnsi="Segoe UI" w:cs="Segoe UI"/>
          <w:sz w:val="21"/>
          <w:szCs w:val="21"/>
        </w:rPr>
        <w:t>.</w:t>
      </w:r>
    </w:p>
    <w:p w14:paraId="2EB43457" w14:textId="1D47F6C8" w:rsidR="00466661" w:rsidRPr="00706F15" w:rsidRDefault="00871A71" w:rsidP="00E90BA7">
      <w:pPr>
        <w:spacing w:after="200"/>
        <w:jc w:val="both"/>
        <w:rPr>
          <w:rFonts w:ascii="Segoe UI" w:hAnsi="Segoe UI" w:cs="Segoe UI"/>
          <w:sz w:val="21"/>
          <w:szCs w:val="21"/>
          <w:lang w:val="en-GB"/>
        </w:rPr>
      </w:pPr>
      <w:r>
        <w:rPr>
          <w:rFonts w:ascii="Segoe UI" w:hAnsi="Segoe UI" w:cs="Segoe UI"/>
          <w:sz w:val="21"/>
          <w:szCs w:val="21"/>
          <w:lang w:val="en-GB"/>
        </w:rPr>
        <w:t>Estimation of the PIT TEs was based on</w:t>
      </w:r>
      <w:r w:rsidR="00143B57">
        <w:rPr>
          <w:rFonts w:ascii="Segoe UI" w:hAnsi="Segoe UI" w:cs="Segoe UI"/>
          <w:sz w:val="21"/>
          <w:szCs w:val="21"/>
          <w:lang w:val="en-GB"/>
        </w:rPr>
        <w:t xml:space="preserve"> data from the following tax forms:</w:t>
      </w:r>
    </w:p>
    <w:p w14:paraId="50139B9D" w14:textId="3C26B46C" w:rsidR="009F15B1" w:rsidRPr="009F15B1" w:rsidRDefault="00466661" w:rsidP="00E90BA7">
      <w:pPr>
        <w:pStyle w:val="ListParagraph"/>
        <w:numPr>
          <w:ilvl w:val="0"/>
          <w:numId w:val="21"/>
        </w:numPr>
        <w:spacing w:after="200"/>
        <w:jc w:val="both"/>
        <w:rPr>
          <w:rFonts w:ascii="Segoe UI" w:hAnsi="Segoe UI" w:cs="Segoe UI"/>
          <w:sz w:val="21"/>
          <w:szCs w:val="21"/>
          <w:lang w:val="ro-MD"/>
        </w:rPr>
      </w:pPr>
      <w:r w:rsidRPr="009F15B1">
        <w:rPr>
          <w:rFonts w:ascii="Segoe UI" w:hAnsi="Segoe UI" w:cs="Segoe UI"/>
          <w:sz w:val="21"/>
          <w:szCs w:val="21"/>
          <w:lang w:val="ro-MD"/>
        </w:rPr>
        <w:t>IALS18</w:t>
      </w:r>
      <w:r w:rsidR="00143B57">
        <w:rPr>
          <w:rFonts w:ascii="Segoe UI" w:hAnsi="Segoe UI" w:cs="Segoe UI"/>
          <w:sz w:val="21"/>
          <w:szCs w:val="21"/>
          <w:lang w:val="ro-MD"/>
        </w:rPr>
        <w:t>—</w:t>
      </w:r>
      <w:r w:rsidRPr="009F15B1">
        <w:rPr>
          <w:rFonts w:ascii="Segoe UI" w:hAnsi="Segoe UI" w:cs="Segoe UI"/>
          <w:sz w:val="21"/>
          <w:szCs w:val="21"/>
        </w:rPr>
        <w:t>The information note regarding the salary and other payments made by th</w:t>
      </w:r>
      <w:r w:rsidR="009F15B1">
        <w:rPr>
          <w:rFonts w:ascii="Segoe UI" w:hAnsi="Segoe UI" w:cs="Segoe UI"/>
          <w:sz w:val="21"/>
          <w:szCs w:val="21"/>
        </w:rPr>
        <w:t>e</w:t>
      </w:r>
      <w:r w:rsidRPr="009F15B1">
        <w:rPr>
          <w:rFonts w:ascii="Segoe UI" w:hAnsi="Segoe UI" w:cs="Segoe UI"/>
          <w:sz w:val="21"/>
          <w:szCs w:val="21"/>
        </w:rPr>
        <w:t xml:space="preserve"> employer in favor of employees, as well as the payments paid to the residents from other sources of income than the salary and the income tax withheld from these payments;</w:t>
      </w:r>
    </w:p>
    <w:p w14:paraId="6B7CCF92" w14:textId="1636E4C5" w:rsidR="00466661" w:rsidRPr="009F15B1" w:rsidRDefault="00466661" w:rsidP="00E90BA7">
      <w:pPr>
        <w:pStyle w:val="ListParagraph"/>
        <w:numPr>
          <w:ilvl w:val="0"/>
          <w:numId w:val="21"/>
        </w:numPr>
        <w:spacing w:after="200"/>
        <w:jc w:val="both"/>
        <w:rPr>
          <w:rFonts w:ascii="Segoe UI" w:hAnsi="Segoe UI" w:cs="Segoe UI"/>
          <w:sz w:val="21"/>
          <w:szCs w:val="21"/>
          <w:lang w:val="ro-MD"/>
        </w:rPr>
      </w:pPr>
      <w:r w:rsidRPr="009F15B1">
        <w:rPr>
          <w:rFonts w:ascii="Segoe UI" w:hAnsi="Segoe UI" w:cs="Segoe UI"/>
          <w:sz w:val="21"/>
          <w:szCs w:val="21"/>
          <w:lang w:val="ro-MD"/>
        </w:rPr>
        <w:t>CET18</w:t>
      </w:r>
      <w:r w:rsidR="00143B57">
        <w:rPr>
          <w:rFonts w:ascii="Segoe UI" w:hAnsi="Segoe UI" w:cs="Segoe UI"/>
          <w:sz w:val="21"/>
          <w:szCs w:val="21"/>
          <w:lang w:val="ro-MD"/>
        </w:rPr>
        <w:t>—</w:t>
      </w:r>
      <w:r w:rsidRPr="009F15B1">
        <w:rPr>
          <w:rFonts w:ascii="Segoe UI" w:hAnsi="Segoe UI" w:cs="Segoe UI"/>
          <w:sz w:val="21"/>
          <w:szCs w:val="21"/>
          <w:lang w:val="ro-MD"/>
        </w:rPr>
        <w:t>Personal income tax return</w:t>
      </w:r>
    </w:p>
    <w:p w14:paraId="1D2D74F7" w14:textId="33F5F8A3" w:rsidR="00466661" w:rsidRPr="00706F15" w:rsidRDefault="009F15B1" w:rsidP="00E90BA7">
      <w:pPr>
        <w:spacing w:after="200"/>
        <w:jc w:val="both"/>
        <w:rPr>
          <w:rFonts w:ascii="Segoe UI" w:hAnsi="Segoe UI" w:cs="Segoe UI"/>
          <w:sz w:val="21"/>
          <w:szCs w:val="21"/>
        </w:rPr>
      </w:pPr>
      <w:r>
        <w:rPr>
          <w:rFonts w:ascii="Segoe UI" w:hAnsi="Segoe UI" w:cs="Segoe UI"/>
          <w:sz w:val="21"/>
          <w:szCs w:val="21"/>
        </w:rPr>
        <w:t>In addition,</w:t>
      </w:r>
      <w:r w:rsidR="00466661" w:rsidRPr="00706F15">
        <w:rPr>
          <w:rFonts w:ascii="Segoe UI" w:hAnsi="Segoe UI" w:cs="Segoe UI"/>
          <w:sz w:val="21"/>
          <w:szCs w:val="21"/>
        </w:rPr>
        <w:t xml:space="preserve"> the actual expenditures of the na</w:t>
      </w:r>
      <w:r w:rsidR="00466661" w:rsidRPr="003F7C00">
        <w:rPr>
          <w:rFonts w:ascii="Segoe UI" w:hAnsi="Segoe UI" w:cs="Segoe UI"/>
          <w:sz w:val="21"/>
          <w:szCs w:val="21"/>
        </w:rPr>
        <w:t>tional public budget were analy</w:t>
      </w:r>
      <w:r w:rsidR="00466661">
        <w:rPr>
          <w:rFonts w:ascii="Segoe UI" w:hAnsi="Segoe UI" w:cs="Segoe UI"/>
          <w:sz w:val="21"/>
          <w:szCs w:val="21"/>
        </w:rPr>
        <w:t>z</w:t>
      </w:r>
      <w:r w:rsidR="00466661" w:rsidRPr="00706F15">
        <w:rPr>
          <w:rFonts w:ascii="Segoe UI" w:hAnsi="Segoe UI" w:cs="Segoe UI"/>
          <w:sz w:val="21"/>
          <w:szCs w:val="21"/>
        </w:rPr>
        <w:t>ed.</w:t>
      </w:r>
      <w:r>
        <w:rPr>
          <w:rFonts w:ascii="Segoe UI" w:hAnsi="Segoe UI" w:cs="Segoe UI"/>
          <w:sz w:val="21"/>
          <w:szCs w:val="21"/>
        </w:rPr>
        <w:t xml:space="preserve"> I</w:t>
      </w:r>
      <w:r w:rsidR="00466661" w:rsidRPr="00706F15">
        <w:rPr>
          <w:rFonts w:ascii="Segoe UI" w:hAnsi="Segoe UI" w:cs="Segoe UI"/>
          <w:sz w:val="21"/>
          <w:szCs w:val="21"/>
        </w:rPr>
        <w:t xml:space="preserve">t is </w:t>
      </w:r>
      <w:r>
        <w:rPr>
          <w:rFonts w:ascii="Segoe UI" w:hAnsi="Segoe UI" w:cs="Segoe UI"/>
          <w:sz w:val="21"/>
          <w:szCs w:val="21"/>
        </w:rPr>
        <w:t xml:space="preserve">important to note </w:t>
      </w:r>
      <w:r w:rsidR="00466661" w:rsidRPr="00706F15">
        <w:rPr>
          <w:rFonts w:ascii="Segoe UI" w:hAnsi="Segoe UI" w:cs="Segoe UI"/>
          <w:sz w:val="21"/>
          <w:szCs w:val="21"/>
        </w:rPr>
        <w:t xml:space="preserve">that the analysis was based on the available data, </w:t>
      </w:r>
      <w:r>
        <w:rPr>
          <w:rFonts w:ascii="Segoe UI" w:hAnsi="Segoe UI" w:cs="Segoe UI"/>
          <w:sz w:val="21"/>
          <w:szCs w:val="21"/>
        </w:rPr>
        <w:t xml:space="preserve">and so the accuracy of the estimates is limited by the data’s </w:t>
      </w:r>
      <w:r w:rsidR="00466661" w:rsidRPr="00706F15">
        <w:rPr>
          <w:rFonts w:ascii="Segoe UI" w:hAnsi="Segoe UI" w:cs="Segoe UI"/>
          <w:sz w:val="21"/>
          <w:szCs w:val="21"/>
        </w:rPr>
        <w:t>coverage and quality</w:t>
      </w:r>
      <w:r>
        <w:rPr>
          <w:rFonts w:ascii="Segoe UI" w:hAnsi="Segoe UI" w:cs="Segoe UI"/>
          <w:sz w:val="21"/>
          <w:szCs w:val="21"/>
        </w:rPr>
        <w:t>. The model</w:t>
      </w:r>
      <w:r w:rsidR="00143B57">
        <w:rPr>
          <w:rFonts w:ascii="Segoe UI" w:hAnsi="Segoe UI" w:cs="Segoe UI"/>
          <w:sz w:val="21"/>
          <w:szCs w:val="21"/>
        </w:rPr>
        <w:t>s</w:t>
      </w:r>
      <w:r>
        <w:rPr>
          <w:rFonts w:ascii="Segoe UI" w:hAnsi="Segoe UI" w:cs="Segoe UI"/>
          <w:sz w:val="21"/>
          <w:szCs w:val="21"/>
        </w:rPr>
        <w:t xml:space="preserve"> w</w:t>
      </w:r>
      <w:r w:rsidR="00143B57">
        <w:rPr>
          <w:rFonts w:ascii="Segoe UI" w:hAnsi="Segoe UI" w:cs="Segoe UI"/>
          <w:sz w:val="21"/>
          <w:szCs w:val="21"/>
        </w:rPr>
        <w:t>ere</w:t>
      </w:r>
      <w:r>
        <w:rPr>
          <w:rFonts w:ascii="Segoe UI" w:hAnsi="Segoe UI" w:cs="Segoe UI"/>
          <w:sz w:val="21"/>
          <w:szCs w:val="21"/>
        </w:rPr>
        <w:t xml:space="preserve"> built in</w:t>
      </w:r>
      <w:r w:rsidR="00466661" w:rsidRPr="00706F15">
        <w:rPr>
          <w:rFonts w:ascii="Segoe UI" w:hAnsi="Segoe UI" w:cs="Segoe UI"/>
          <w:sz w:val="21"/>
          <w:szCs w:val="21"/>
        </w:rPr>
        <w:t xml:space="preserve"> Microsoft Excel.</w:t>
      </w:r>
    </w:p>
    <w:p w14:paraId="73ECE8EA" w14:textId="77777777" w:rsidR="00466661" w:rsidRPr="000340B7" w:rsidRDefault="00466661" w:rsidP="00E90BA7">
      <w:pPr>
        <w:pStyle w:val="Heading4"/>
        <w:jc w:val="both"/>
        <w:rPr>
          <w:rFonts w:ascii="Segoe UI" w:hAnsi="Segoe UI" w:cs="Segoe UI"/>
          <w:color w:val="004C97" w:themeColor="text2"/>
        </w:rPr>
      </w:pPr>
      <w:r w:rsidRPr="000340B7">
        <w:rPr>
          <w:rFonts w:ascii="Segoe UI" w:hAnsi="Segoe UI" w:cs="Segoe UI"/>
          <w:color w:val="004C97" w:themeColor="text2"/>
        </w:rPr>
        <w:t>Estimation methodology</w:t>
      </w:r>
    </w:p>
    <w:p w14:paraId="22837C8E" w14:textId="5F6E6B45" w:rsidR="00466661" w:rsidRDefault="00274C60" w:rsidP="00E90BA7">
      <w:pPr>
        <w:spacing w:after="200"/>
        <w:jc w:val="both"/>
        <w:rPr>
          <w:rFonts w:ascii="Segoe UI" w:hAnsi="Segoe UI" w:cs="Segoe UI"/>
          <w:sz w:val="21"/>
          <w:szCs w:val="21"/>
          <w:lang w:val="en-GB"/>
        </w:rPr>
      </w:pPr>
      <w:r>
        <w:rPr>
          <w:rFonts w:ascii="Segoe UI" w:hAnsi="Segoe UI" w:cs="Segoe UI"/>
          <w:sz w:val="21"/>
          <w:szCs w:val="21"/>
        </w:rPr>
        <w:t>The TEs are estimate</w:t>
      </w:r>
      <w:r w:rsidR="00143B57">
        <w:rPr>
          <w:rFonts w:ascii="Segoe UI" w:hAnsi="Segoe UI" w:cs="Segoe UI"/>
          <w:sz w:val="21"/>
          <w:szCs w:val="21"/>
        </w:rPr>
        <w:t>d</w:t>
      </w:r>
      <w:r>
        <w:rPr>
          <w:rFonts w:ascii="Segoe UI" w:hAnsi="Segoe UI" w:cs="Segoe UI"/>
          <w:sz w:val="21"/>
          <w:szCs w:val="21"/>
        </w:rPr>
        <w:t xml:space="preserve"> using the </w:t>
      </w:r>
      <w:r>
        <w:rPr>
          <w:rFonts w:ascii="Segoe UI" w:hAnsi="Segoe UI" w:cs="Segoe UI"/>
          <w:sz w:val="21"/>
          <w:szCs w:val="21"/>
          <w:lang w:val="en-GB"/>
        </w:rPr>
        <w:t>r</w:t>
      </w:r>
      <w:r w:rsidR="00466661">
        <w:rPr>
          <w:rFonts w:ascii="Segoe UI" w:hAnsi="Segoe UI" w:cs="Segoe UI"/>
          <w:sz w:val="21"/>
          <w:szCs w:val="21"/>
          <w:lang w:val="en-GB"/>
        </w:rPr>
        <w:t xml:space="preserve">evenue forgone method. Using this method, we </w:t>
      </w:r>
      <w:r>
        <w:rPr>
          <w:rFonts w:ascii="Segoe UI" w:hAnsi="Segoe UI" w:cs="Segoe UI"/>
          <w:sz w:val="21"/>
          <w:szCs w:val="21"/>
          <w:lang w:val="en-GB"/>
        </w:rPr>
        <w:t>c</w:t>
      </w:r>
      <w:r w:rsidR="00466661">
        <w:rPr>
          <w:rFonts w:ascii="Segoe UI" w:hAnsi="Segoe UI" w:cs="Segoe UI"/>
          <w:sz w:val="21"/>
          <w:szCs w:val="21"/>
          <w:lang w:val="en-GB"/>
        </w:rPr>
        <w:t xml:space="preserve">alculate the difference between the revenue raised </w:t>
      </w:r>
      <w:r>
        <w:rPr>
          <w:rFonts w:ascii="Segoe UI" w:hAnsi="Segoe UI" w:cs="Segoe UI"/>
          <w:sz w:val="21"/>
          <w:szCs w:val="21"/>
          <w:lang w:val="en-GB"/>
        </w:rPr>
        <w:t>with and without</w:t>
      </w:r>
      <w:r w:rsidR="00466661">
        <w:rPr>
          <w:rFonts w:ascii="Segoe UI" w:hAnsi="Segoe UI" w:cs="Segoe UI"/>
          <w:sz w:val="21"/>
          <w:szCs w:val="21"/>
          <w:lang w:val="en-GB"/>
        </w:rPr>
        <w:t xml:space="preserve"> the individual </w:t>
      </w:r>
      <w:r w:rsidR="00596CAC">
        <w:rPr>
          <w:rFonts w:ascii="Segoe UI" w:hAnsi="Segoe UI" w:cs="Segoe UI"/>
          <w:sz w:val="21"/>
          <w:szCs w:val="21"/>
          <w:lang w:val="en-GB"/>
        </w:rPr>
        <w:t>TE</w:t>
      </w:r>
      <w:r w:rsidR="00466661">
        <w:rPr>
          <w:rFonts w:ascii="Segoe UI" w:hAnsi="Segoe UI" w:cs="Segoe UI"/>
          <w:sz w:val="21"/>
          <w:szCs w:val="21"/>
          <w:lang w:val="en-GB"/>
        </w:rPr>
        <w:t xml:space="preserve">. </w:t>
      </w:r>
      <w:r>
        <w:rPr>
          <w:rFonts w:ascii="Segoe UI" w:hAnsi="Segoe UI" w:cs="Segoe UI"/>
          <w:sz w:val="21"/>
          <w:szCs w:val="21"/>
          <w:lang w:val="en-GB"/>
        </w:rPr>
        <w:t>The e</w:t>
      </w:r>
      <w:r w:rsidR="00466661">
        <w:rPr>
          <w:rFonts w:ascii="Segoe UI" w:hAnsi="Segoe UI" w:cs="Segoe UI"/>
          <w:sz w:val="21"/>
          <w:szCs w:val="21"/>
          <w:lang w:val="en-GB"/>
        </w:rPr>
        <w:t xml:space="preserve">stimates do not reflect the actual amount of revenues that would be raised if an individual </w:t>
      </w:r>
      <w:r w:rsidR="00596CAC">
        <w:rPr>
          <w:rFonts w:ascii="Segoe UI" w:hAnsi="Segoe UI" w:cs="Segoe UI"/>
          <w:sz w:val="21"/>
          <w:szCs w:val="21"/>
          <w:lang w:val="en-GB"/>
        </w:rPr>
        <w:t>TE</w:t>
      </w:r>
      <w:r w:rsidR="00466661">
        <w:rPr>
          <w:rFonts w:ascii="Segoe UI" w:hAnsi="Segoe UI" w:cs="Segoe UI"/>
          <w:sz w:val="21"/>
          <w:szCs w:val="21"/>
          <w:lang w:val="en-GB"/>
        </w:rPr>
        <w:t xml:space="preserve"> were repealed as it does not take into account interactions with other </w:t>
      </w:r>
      <w:r w:rsidR="00596CAC">
        <w:rPr>
          <w:rFonts w:ascii="Segoe UI" w:hAnsi="Segoe UI" w:cs="Segoe UI"/>
          <w:sz w:val="21"/>
          <w:szCs w:val="21"/>
          <w:lang w:val="en-GB"/>
        </w:rPr>
        <w:t>TE</w:t>
      </w:r>
      <w:r w:rsidR="00466661">
        <w:rPr>
          <w:rFonts w:ascii="Segoe UI" w:hAnsi="Segoe UI" w:cs="Segoe UI"/>
          <w:sz w:val="21"/>
          <w:szCs w:val="21"/>
          <w:lang w:val="en-GB"/>
        </w:rPr>
        <w:t xml:space="preserve">s nor behavioural effects. </w:t>
      </w:r>
      <w:r w:rsidR="000340B7">
        <w:rPr>
          <w:rFonts w:ascii="Segoe UI" w:hAnsi="Segoe UI" w:cs="Segoe UI"/>
          <w:sz w:val="21"/>
          <w:szCs w:val="21"/>
          <w:lang w:val="en-GB"/>
        </w:rPr>
        <w:t>The</w:t>
      </w:r>
      <w:r w:rsidR="00466661">
        <w:rPr>
          <w:rFonts w:ascii="Segoe UI" w:hAnsi="Segoe UI" w:cs="Segoe UI"/>
          <w:sz w:val="21"/>
          <w:szCs w:val="21"/>
          <w:lang w:val="en-GB"/>
        </w:rPr>
        <w:t xml:space="preserve"> microsimulation model </w:t>
      </w:r>
      <w:r w:rsidR="000340B7">
        <w:rPr>
          <w:rFonts w:ascii="Segoe UI" w:hAnsi="Segoe UI" w:cs="Segoe UI"/>
          <w:sz w:val="21"/>
          <w:szCs w:val="21"/>
          <w:lang w:val="en-GB"/>
        </w:rPr>
        <w:t xml:space="preserve">hence </w:t>
      </w:r>
      <w:r w:rsidR="00466661">
        <w:rPr>
          <w:rFonts w:ascii="Segoe UI" w:hAnsi="Segoe UI" w:cs="Segoe UI"/>
          <w:sz w:val="21"/>
          <w:szCs w:val="21"/>
          <w:lang w:val="en-GB"/>
        </w:rPr>
        <w:t xml:space="preserve">provides revenue impact estimates </w:t>
      </w:r>
      <w:r>
        <w:rPr>
          <w:rFonts w:ascii="Segoe UI" w:hAnsi="Segoe UI" w:cs="Segoe UI"/>
          <w:sz w:val="21"/>
          <w:szCs w:val="21"/>
          <w:lang w:val="en-GB"/>
        </w:rPr>
        <w:t>at</w:t>
      </w:r>
      <w:r w:rsidR="00466661">
        <w:rPr>
          <w:rFonts w:ascii="Segoe UI" w:hAnsi="Segoe UI" w:cs="Segoe UI"/>
          <w:sz w:val="21"/>
          <w:szCs w:val="21"/>
          <w:lang w:val="en-GB"/>
        </w:rPr>
        <w:t xml:space="preserve"> the individual level in</w:t>
      </w:r>
      <w:r w:rsidR="00CA6EDE">
        <w:rPr>
          <w:rFonts w:ascii="Segoe UI" w:hAnsi="Segoe UI" w:cs="Segoe UI"/>
          <w:sz w:val="21"/>
          <w:szCs w:val="21"/>
          <w:lang w:val="en-GB"/>
        </w:rPr>
        <w:t xml:space="preserve"> a</w:t>
      </w:r>
      <w:r w:rsidR="00466661">
        <w:rPr>
          <w:rFonts w:ascii="Segoe UI" w:hAnsi="Segoe UI" w:cs="Segoe UI"/>
          <w:sz w:val="21"/>
          <w:szCs w:val="21"/>
          <w:lang w:val="en-GB"/>
        </w:rPr>
        <w:t xml:space="preserve"> static setting while assuming zero behavioural responses.</w:t>
      </w:r>
    </w:p>
    <w:p w14:paraId="294E209D" w14:textId="1138EC1E" w:rsidR="00466661" w:rsidRPr="000340B7" w:rsidRDefault="00466661" w:rsidP="00E90BA7">
      <w:pPr>
        <w:pStyle w:val="Heading4"/>
        <w:jc w:val="both"/>
        <w:rPr>
          <w:rFonts w:ascii="Segoe UI" w:hAnsi="Segoe UI" w:cs="Segoe UI"/>
          <w:color w:val="004C97" w:themeColor="text2"/>
        </w:rPr>
      </w:pPr>
      <w:r w:rsidRPr="000340B7">
        <w:rPr>
          <w:rFonts w:ascii="Segoe UI" w:hAnsi="Segoe UI" w:cs="Segoe UI"/>
          <w:color w:val="004C97" w:themeColor="text2"/>
        </w:rPr>
        <w:lastRenderedPageBreak/>
        <w:t>Calculations</w:t>
      </w:r>
    </w:p>
    <w:p w14:paraId="3545F663" w14:textId="3338EE70" w:rsidR="00466661" w:rsidRDefault="002A77A9" w:rsidP="00E90BA7">
      <w:pPr>
        <w:spacing w:after="200"/>
        <w:jc w:val="both"/>
        <w:rPr>
          <w:rFonts w:ascii="Segoe UI" w:hAnsi="Segoe UI" w:cs="Segoe UI"/>
          <w:sz w:val="21"/>
          <w:szCs w:val="21"/>
          <w:lang w:val="en-GB"/>
        </w:rPr>
      </w:pPr>
      <w:r>
        <w:rPr>
          <w:rFonts w:ascii="Segoe UI" w:hAnsi="Segoe UI" w:cs="Segoe UI"/>
          <w:sz w:val="21"/>
          <w:szCs w:val="21"/>
          <w:lang w:val="en-GB"/>
        </w:rPr>
        <w:t>The analysis is based on the following data:</w:t>
      </w:r>
    </w:p>
    <w:p w14:paraId="756E3BD7"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Wage income</w:t>
      </w:r>
    </w:p>
    <w:p w14:paraId="693C2830"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 xml:space="preserve">Personal allowance </w:t>
      </w:r>
    </w:p>
    <w:p w14:paraId="001DE719"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Major personal allowance</w:t>
      </w:r>
    </w:p>
    <w:p w14:paraId="7EF1241A"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Spouse major allowance</w:t>
      </w:r>
    </w:p>
    <w:p w14:paraId="613EE944"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Allowance for child and other dependent</w:t>
      </w:r>
    </w:p>
    <w:p w14:paraId="4667D820"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Major allowance for a child and other dependent</w:t>
      </w:r>
    </w:p>
    <w:p w14:paraId="797207A1" w14:textId="77777777" w:rsid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State social contributions</w:t>
      </w:r>
    </w:p>
    <w:p w14:paraId="1E32B58D" w14:textId="2097C51F" w:rsidR="00466661" w:rsidRPr="00274C60" w:rsidRDefault="00466661" w:rsidP="00E90BA7">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Medical insurance contributions</w:t>
      </w:r>
    </w:p>
    <w:p w14:paraId="7CC8FE0F" w14:textId="15F3B0C8" w:rsidR="008B1346" w:rsidRDefault="00466661" w:rsidP="00E90BA7">
      <w:pPr>
        <w:spacing w:after="200"/>
        <w:jc w:val="both"/>
        <w:rPr>
          <w:rFonts w:ascii="Segoe UI" w:hAnsi="Segoe UI" w:cs="Segoe UI"/>
          <w:sz w:val="21"/>
          <w:szCs w:val="21"/>
          <w:lang w:val="en-GB"/>
        </w:rPr>
      </w:pPr>
      <w:r>
        <w:rPr>
          <w:rFonts w:ascii="Segoe UI" w:hAnsi="Segoe UI" w:cs="Segoe UI"/>
          <w:sz w:val="21"/>
          <w:szCs w:val="21"/>
          <w:lang w:val="en-GB"/>
        </w:rPr>
        <w:t xml:space="preserve">This </w:t>
      </w:r>
      <w:r w:rsidR="00274C60">
        <w:rPr>
          <w:rFonts w:ascii="Segoe UI" w:hAnsi="Segoe UI" w:cs="Segoe UI"/>
          <w:sz w:val="21"/>
          <w:szCs w:val="21"/>
          <w:lang w:val="en-GB"/>
        </w:rPr>
        <w:t>data is contained</w:t>
      </w:r>
      <w:r>
        <w:rPr>
          <w:rFonts w:ascii="Segoe UI" w:hAnsi="Segoe UI" w:cs="Segoe UI"/>
          <w:sz w:val="21"/>
          <w:szCs w:val="21"/>
          <w:lang w:val="en-GB"/>
        </w:rPr>
        <w:t xml:space="preserve"> in </w:t>
      </w:r>
      <w:r w:rsidR="00274C60">
        <w:rPr>
          <w:rFonts w:ascii="Segoe UI" w:hAnsi="Segoe UI" w:cs="Segoe UI"/>
          <w:sz w:val="21"/>
          <w:szCs w:val="21"/>
          <w:lang w:val="en-GB"/>
        </w:rPr>
        <w:t xml:space="preserve">an </w:t>
      </w:r>
      <w:r>
        <w:rPr>
          <w:rFonts w:ascii="Segoe UI" w:hAnsi="Segoe UI" w:cs="Segoe UI"/>
          <w:sz w:val="21"/>
          <w:szCs w:val="21"/>
          <w:lang w:val="en-GB"/>
        </w:rPr>
        <w:t xml:space="preserve">Excel </w:t>
      </w:r>
      <w:r w:rsidR="00274C60">
        <w:rPr>
          <w:rFonts w:ascii="Segoe UI" w:hAnsi="Segoe UI" w:cs="Segoe UI"/>
          <w:sz w:val="21"/>
          <w:szCs w:val="21"/>
          <w:lang w:val="en-GB"/>
        </w:rPr>
        <w:t>spreadsheet</w:t>
      </w:r>
      <w:r>
        <w:rPr>
          <w:rFonts w:ascii="Segoe UI" w:hAnsi="Segoe UI" w:cs="Segoe UI"/>
          <w:sz w:val="21"/>
          <w:szCs w:val="21"/>
          <w:lang w:val="en-GB"/>
        </w:rPr>
        <w:t xml:space="preserve"> where each row corresponds </w:t>
      </w:r>
      <w:r w:rsidR="00E07597">
        <w:rPr>
          <w:rFonts w:ascii="Segoe UI" w:hAnsi="Segoe UI" w:cs="Segoe UI"/>
          <w:sz w:val="21"/>
          <w:szCs w:val="21"/>
          <w:lang w:val="en-GB"/>
        </w:rPr>
        <w:t>to</w:t>
      </w:r>
      <w:r>
        <w:rPr>
          <w:rFonts w:ascii="Segoe UI" w:hAnsi="Segoe UI" w:cs="Segoe UI"/>
          <w:sz w:val="21"/>
          <w:szCs w:val="21"/>
          <w:lang w:val="en-GB"/>
        </w:rPr>
        <w:t xml:space="preserve"> an individual’s return and the columns correspond with the fields such as income by source/type (in our estimation we </w:t>
      </w:r>
      <w:r w:rsidR="00274C60">
        <w:rPr>
          <w:rFonts w:ascii="Segoe UI" w:hAnsi="Segoe UI" w:cs="Segoe UI"/>
          <w:sz w:val="21"/>
          <w:szCs w:val="21"/>
          <w:lang w:val="en-GB"/>
        </w:rPr>
        <w:t>used</w:t>
      </w:r>
      <w:r>
        <w:rPr>
          <w:rFonts w:ascii="Segoe UI" w:hAnsi="Segoe UI" w:cs="Segoe UI"/>
          <w:sz w:val="21"/>
          <w:szCs w:val="21"/>
          <w:lang w:val="en-GB"/>
        </w:rPr>
        <w:t xml:space="preserve"> wage income), personal allowances, allowances for dependents, social and medical contributions and other various deductions and allowances.</w:t>
      </w:r>
      <w:r w:rsidR="008B1346">
        <w:rPr>
          <w:rFonts w:ascii="Segoe UI" w:hAnsi="Segoe UI" w:cs="Segoe UI"/>
          <w:sz w:val="21"/>
          <w:szCs w:val="21"/>
          <w:lang w:val="en-GB"/>
        </w:rPr>
        <w:t xml:space="preserve"> </w:t>
      </w:r>
      <w:r w:rsidR="002A77A9">
        <w:rPr>
          <w:rFonts w:ascii="Segoe UI" w:hAnsi="Segoe UI" w:cs="Segoe UI"/>
          <w:sz w:val="21"/>
          <w:szCs w:val="21"/>
          <w:lang w:val="en-GB"/>
        </w:rPr>
        <w:t>Estimation is done by multiplying the</w:t>
      </w:r>
      <w:r w:rsidRPr="00706F15">
        <w:rPr>
          <w:rFonts w:ascii="Segoe UI" w:hAnsi="Segoe UI" w:cs="Segoe UI"/>
          <w:sz w:val="21"/>
          <w:szCs w:val="21"/>
          <w:lang w:val="en-GB"/>
        </w:rPr>
        <w:t xml:space="preserve"> effective expenditures </w:t>
      </w:r>
      <w:r w:rsidR="002A77A9">
        <w:rPr>
          <w:rFonts w:ascii="Segoe UI" w:hAnsi="Segoe UI" w:cs="Segoe UI"/>
          <w:sz w:val="21"/>
          <w:szCs w:val="21"/>
          <w:lang w:val="en-GB"/>
        </w:rPr>
        <w:t xml:space="preserve">by the benchmark rate of </w:t>
      </w:r>
      <w:r>
        <w:rPr>
          <w:rFonts w:ascii="Segoe UI" w:hAnsi="Segoe UI" w:cs="Segoe UI"/>
          <w:sz w:val="21"/>
          <w:szCs w:val="21"/>
          <w:lang w:val="en-GB"/>
        </w:rPr>
        <w:t>12</w:t>
      </w:r>
      <w:r w:rsidR="007D1F17">
        <w:rPr>
          <w:rFonts w:ascii="Segoe UI" w:hAnsi="Segoe UI" w:cs="Segoe UI"/>
          <w:sz w:val="21"/>
          <w:szCs w:val="21"/>
          <w:lang w:val="en-GB"/>
        </w:rPr>
        <w:t xml:space="preserve"> percent</w:t>
      </w:r>
      <w:r>
        <w:rPr>
          <w:rFonts w:ascii="Segoe UI" w:hAnsi="Segoe UI" w:cs="Segoe UI"/>
          <w:sz w:val="21"/>
          <w:szCs w:val="21"/>
          <w:lang w:val="en-GB"/>
        </w:rPr>
        <w:t xml:space="preserve"> rate </w:t>
      </w:r>
      <w:r w:rsidR="002A77A9">
        <w:rPr>
          <w:rFonts w:ascii="Segoe UI" w:hAnsi="Segoe UI" w:cs="Segoe UI"/>
          <w:sz w:val="21"/>
          <w:szCs w:val="21"/>
          <w:lang w:val="en-GB"/>
        </w:rPr>
        <w:t>while</w:t>
      </w:r>
      <w:r>
        <w:rPr>
          <w:rFonts w:ascii="Segoe UI" w:hAnsi="Segoe UI" w:cs="Segoe UI"/>
          <w:sz w:val="21"/>
          <w:szCs w:val="21"/>
          <w:lang w:val="en-GB"/>
        </w:rPr>
        <w:t xml:space="preserve"> </w:t>
      </w:r>
      <w:r w:rsidR="008B1346">
        <w:rPr>
          <w:rFonts w:ascii="Segoe UI" w:hAnsi="Segoe UI" w:cs="Segoe UI"/>
          <w:sz w:val="21"/>
          <w:szCs w:val="21"/>
          <w:lang w:val="en-GB"/>
        </w:rPr>
        <w:t>accounting for</w:t>
      </w:r>
      <w:r>
        <w:rPr>
          <w:rFonts w:ascii="Segoe UI" w:hAnsi="Segoe UI" w:cs="Segoe UI"/>
          <w:sz w:val="21"/>
          <w:szCs w:val="21"/>
          <w:lang w:val="en-GB"/>
        </w:rPr>
        <w:t xml:space="preserve"> </w:t>
      </w:r>
      <w:r w:rsidR="008B1346">
        <w:rPr>
          <w:rFonts w:ascii="Segoe UI" w:hAnsi="Segoe UI" w:cs="Segoe UI"/>
          <w:sz w:val="21"/>
          <w:szCs w:val="21"/>
          <w:lang w:val="en-GB"/>
        </w:rPr>
        <w:t xml:space="preserve">the </w:t>
      </w:r>
      <w:r>
        <w:rPr>
          <w:rFonts w:ascii="Segoe UI" w:hAnsi="Segoe UI" w:cs="Segoe UI"/>
          <w:sz w:val="21"/>
          <w:szCs w:val="21"/>
          <w:lang w:val="en-GB"/>
        </w:rPr>
        <w:t>personal allowance.</w:t>
      </w:r>
      <w:r w:rsidR="008B1346">
        <w:rPr>
          <w:rFonts w:ascii="Segoe UI" w:hAnsi="Segoe UI" w:cs="Segoe UI"/>
          <w:sz w:val="21"/>
          <w:szCs w:val="21"/>
          <w:lang w:val="en-GB"/>
        </w:rPr>
        <w:t xml:space="preserve"> </w:t>
      </w:r>
    </w:p>
    <w:p w14:paraId="0770AD7C" w14:textId="77777777" w:rsidR="00466661" w:rsidRPr="008B1346" w:rsidRDefault="00466661" w:rsidP="00E90BA7">
      <w:pPr>
        <w:pStyle w:val="Heading4"/>
        <w:jc w:val="both"/>
        <w:rPr>
          <w:rFonts w:ascii="Segoe UI" w:hAnsi="Segoe UI" w:cs="Segoe UI"/>
          <w:color w:val="004C97" w:themeColor="text2"/>
        </w:rPr>
      </w:pPr>
      <w:r w:rsidRPr="008B1346">
        <w:rPr>
          <w:rFonts w:ascii="Segoe UI" w:hAnsi="Segoe UI" w:cs="Segoe UI"/>
          <w:color w:val="004C97" w:themeColor="text2"/>
        </w:rPr>
        <w:t>Interpretation of Estimates</w:t>
      </w:r>
    </w:p>
    <w:p w14:paraId="08BC1131" w14:textId="77777777" w:rsidR="00466661" w:rsidRDefault="00466661" w:rsidP="00E90BA7">
      <w:pPr>
        <w:spacing w:after="200"/>
        <w:jc w:val="both"/>
        <w:rPr>
          <w:rFonts w:ascii="Segoe UI" w:hAnsi="Segoe UI" w:cs="Segoe UI"/>
          <w:sz w:val="21"/>
          <w:szCs w:val="21"/>
          <w:lang w:val="en-GB"/>
        </w:rPr>
      </w:pPr>
      <w:r>
        <w:rPr>
          <w:rFonts w:ascii="Segoe UI" w:hAnsi="Segoe UI" w:cs="Segoe UI"/>
          <w:sz w:val="21"/>
          <w:szCs w:val="21"/>
          <w:lang w:val="en-GB"/>
        </w:rPr>
        <w:t>The methods of estimation combine exogenous data from tax returns/budget execution report with endogenous environmental parameters from tax code to determine tax obligations under current system and simulate tax obligations under the benchmark system.</w:t>
      </w:r>
    </w:p>
    <w:p w14:paraId="31EC3F8C" w14:textId="6A8E3E54" w:rsidR="00466661" w:rsidRDefault="00466661" w:rsidP="00E90BA7">
      <w:pPr>
        <w:spacing w:after="200"/>
        <w:jc w:val="both"/>
        <w:rPr>
          <w:rFonts w:ascii="Segoe UI" w:hAnsi="Segoe UI" w:cs="Segoe UI"/>
          <w:sz w:val="21"/>
          <w:szCs w:val="21"/>
          <w:lang w:val="en-GB"/>
        </w:rPr>
      </w:pPr>
      <w:r>
        <w:rPr>
          <w:rFonts w:ascii="Segoe UI" w:hAnsi="Segoe UI" w:cs="Segoe UI"/>
          <w:sz w:val="21"/>
          <w:szCs w:val="21"/>
          <w:lang w:val="en-GB"/>
        </w:rPr>
        <w:t>31 income tax measures for individuals were identified. Almost all of them are contained in articles 20, 33</w:t>
      </w:r>
      <w:r w:rsidR="00E07597">
        <w:rPr>
          <w:rFonts w:ascii="Segoe UI" w:hAnsi="Segoe UI" w:cs="Segoe UI"/>
          <w:sz w:val="21"/>
          <w:szCs w:val="21"/>
          <w:lang w:val="en-GB"/>
        </w:rPr>
        <w:t>–3</w:t>
      </w:r>
      <w:r>
        <w:rPr>
          <w:rFonts w:ascii="Segoe UI" w:hAnsi="Segoe UI" w:cs="Segoe UI"/>
          <w:sz w:val="21"/>
          <w:szCs w:val="21"/>
          <w:lang w:val="en-GB"/>
        </w:rPr>
        <w:t>5 of Tax Code.</w:t>
      </w:r>
    </w:p>
    <w:p w14:paraId="20BFF240" w14:textId="7B0CB702" w:rsidR="00D964F3" w:rsidRDefault="00653D7A" w:rsidP="00E90BA7">
      <w:pPr>
        <w:spacing w:after="200"/>
        <w:jc w:val="both"/>
        <w:rPr>
          <w:rFonts w:ascii="Segoe UI" w:hAnsi="Segoe UI" w:cs="Segoe UI"/>
          <w:sz w:val="21"/>
          <w:szCs w:val="21"/>
          <w:lang w:val="en-GB"/>
        </w:rPr>
      </w:pPr>
      <w:r>
        <w:rPr>
          <w:rFonts w:ascii="Segoe UI" w:hAnsi="Segoe UI" w:cs="Segoe UI"/>
          <w:sz w:val="21"/>
          <w:szCs w:val="21"/>
          <w:lang w:val="en-GB"/>
        </w:rPr>
        <w:t>U</w:t>
      </w:r>
      <w:r w:rsidR="00466661" w:rsidRPr="00CE68E7">
        <w:rPr>
          <w:rFonts w:ascii="Segoe UI" w:hAnsi="Segoe UI" w:cs="Segoe UI"/>
          <w:sz w:val="21"/>
          <w:szCs w:val="21"/>
          <w:lang w:val="en-GB"/>
        </w:rPr>
        <w:t>sing data from tax returns alone</w:t>
      </w:r>
      <w:r>
        <w:rPr>
          <w:rFonts w:ascii="Segoe UI" w:hAnsi="Segoe UI" w:cs="Segoe UI"/>
          <w:sz w:val="21"/>
          <w:szCs w:val="21"/>
          <w:lang w:val="en-GB"/>
        </w:rPr>
        <w:t>, however,</w:t>
      </w:r>
      <w:r w:rsidR="00466661" w:rsidRPr="00CE68E7">
        <w:rPr>
          <w:rFonts w:ascii="Segoe UI" w:hAnsi="Segoe UI" w:cs="Segoe UI"/>
          <w:sz w:val="21"/>
          <w:szCs w:val="21"/>
          <w:lang w:val="en-GB"/>
        </w:rPr>
        <w:t xml:space="preserve"> generally fails to yield a complete representation of income </w:t>
      </w:r>
      <w:r w:rsidR="00596CAC">
        <w:rPr>
          <w:rFonts w:ascii="Segoe UI" w:hAnsi="Segoe UI" w:cs="Segoe UI"/>
          <w:sz w:val="21"/>
          <w:szCs w:val="21"/>
          <w:lang w:val="en-GB"/>
        </w:rPr>
        <w:t>TE</w:t>
      </w:r>
      <w:r w:rsidR="00466661" w:rsidRPr="00CE68E7">
        <w:rPr>
          <w:rFonts w:ascii="Segoe UI" w:hAnsi="Segoe UI" w:cs="Segoe UI"/>
          <w:sz w:val="21"/>
          <w:szCs w:val="21"/>
          <w:lang w:val="en-GB"/>
        </w:rPr>
        <w:t xml:space="preserve">s. There are frequently other data elements relevant to estimating income </w:t>
      </w:r>
      <w:r w:rsidR="00596CAC">
        <w:rPr>
          <w:rFonts w:ascii="Segoe UI" w:hAnsi="Segoe UI" w:cs="Segoe UI"/>
          <w:sz w:val="21"/>
          <w:szCs w:val="21"/>
          <w:lang w:val="en-GB"/>
        </w:rPr>
        <w:t>TE</w:t>
      </w:r>
      <w:r w:rsidR="00466661" w:rsidRPr="00CE68E7">
        <w:rPr>
          <w:rFonts w:ascii="Segoe UI" w:hAnsi="Segoe UI" w:cs="Segoe UI"/>
          <w:sz w:val="21"/>
          <w:szCs w:val="21"/>
          <w:lang w:val="en-GB"/>
        </w:rPr>
        <w:t xml:space="preserve">s not included in standard tax returns or even </w:t>
      </w:r>
      <w:r>
        <w:rPr>
          <w:rFonts w:ascii="Segoe UI" w:hAnsi="Segoe UI" w:cs="Segoe UI"/>
          <w:sz w:val="21"/>
          <w:szCs w:val="21"/>
          <w:lang w:val="en-GB"/>
        </w:rPr>
        <w:t xml:space="preserve">not </w:t>
      </w:r>
      <w:r w:rsidR="00466661" w:rsidRPr="00CE68E7">
        <w:rPr>
          <w:rFonts w:ascii="Segoe UI" w:hAnsi="Segoe UI" w:cs="Segoe UI"/>
          <w:sz w:val="21"/>
          <w:szCs w:val="21"/>
          <w:lang w:val="en-GB"/>
        </w:rPr>
        <w:t>collected in tax data. For exam</w:t>
      </w:r>
      <w:r w:rsidR="00466661">
        <w:rPr>
          <w:rFonts w:ascii="Segoe UI" w:hAnsi="Segoe UI" w:cs="Segoe UI"/>
          <w:sz w:val="21"/>
          <w:szCs w:val="21"/>
          <w:lang w:val="en-GB"/>
        </w:rPr>
        <w:t>ple, in the Moldovan legislation</w:t>
      </w:r>
      <w:r w:rsidR="00466661" w:rsidRPr="00CE68E7">
        <w:rPr>
          <w:rFonts w:ascii="Segoe UI" w:hAnsi="Segoe UI" w:cs="Segoe UI"/>
          <w:sz w:val="21"/>
          <w:szCs w:val="21"/>
          <w:lang w:val="en-GB"/>
        </w:rPr>
        <w:t>, individual-level tax returns do not report data on income from inheritances or from pensions. In order to address this gap, one must incorporate data from alternative sources that can be matched to the tax return data.</w:t>
      </w:r>
    </w:p>
    <w:p w14:paraId="2C35B2A9" w14:textId="424FC2C6" w:rsidR="00E07597" w:rsidRPr="00706F15" w:rsidRDefault="00E07597" w:rsidP="00E90BA7">
      <w:pPr>
        <w:spacing w:after="200"/>
        <w:jc w:val="both"/>
        <w:rPr>
          <w:rFonts w:ascii="Segoe UI" w:hAnsi="Segoe UI" w:cs="Segoe UI"/>
          <w:sz w:val="21"/>
          <w:szCs w:val="21"/>
          <w:lang w:val="en-GB"/>
        </w:rPr>
      </w:pPr>
      <w:r>
        <w:rPr>
          <w:rFonts w:ascii="Segoe UI" w:hAnsi="Segoe UI" w:cs="Segoe UI"/>
          <w:sz w:val="21"/>
          <w:szCs w:val="21"/>
          <w:lang w:val="en-GB"/>
        </w:rPr>
        <w:t>In cases where the data could not be derived from tax returns—like the exemption of pension income—it was not possible to accurately determine the magnitude of revenues forgone because the standard pension is below the personal allowance, which is part of the benchmark. Since the recipients could not be matched to a tax return, it was not possible to identify if they earned other income that would push them above the personal allowance threshold.</w:t>
      </w:r>
    </w:p>
    <w:p w14:paraId="2A492633" w14:textId="53F859E3" w:rsidR="007575C3" w:rsidRPr="00CB1E53" w:rsidRDefault="007575C3" w:rsidP="00E90BA7">
      <w:pPr>
        <w:pStyle w:val="Heading3"/>
        <w:jc w:val="both"/>
        <w:rPr>
          <w:rStyle w:val="RegularDKB"/>
          <w:caps w:val="0"/>
        </w:rPr>
      </w:pPr>
      <w:bookmarkStart w:id="33" w:name="_Toc126555834"/>
      <w:r w:rsidRPr="00CB1E53">
        <w:rPr>
          <w:rStyle w:val="RegularDKB"/>
          <w:caps w:val="0"/>
        </w:rPr>
        <w:t xml:space="preserve">Tax Expenditures Methodology for </w:t>
      </w:r>
      <w:r w:rsidR="00D964F3" w:rsidRPr="00CB1E53">
        <w:rPr>
          <w:rStyle w:val="RegularDKB"/>
          <w:caps w:val="0"/>
        </w:rPr>
        <w:t>BIT</w:t>
      </w:r>
      <w:bookmarkEnd w:id="33"/>
    </w:p>
    <w:p w14:paraId="7F4E8340" w14:textId="0DACFE70" w:rsidR="00A11A5B" w:rsidRDefault="00A11A5B" w:rsidP="00E90BA7">
      <w:pPr>
        <w:spacing w:after="120"/>
        <w:jc w:val="both"/>
        <w:rPr>
          <w:rFonts w:ascii="Segoe UI" w:hAnsi="Segoe UI" w:cs="Segoe UI"/>
          <w:sz w:val="21"/>
          <w:szCs w:val="21"/>
          <w:lang w:val="en-CA"/>
        </w:rPr>
      </w:pPr>
      <w:r w:rsidRPr="00A11A5B">
        <w:rPr>
          <w:rFonts w:ascii="Segoe UI" w:hAnsi="Segoe UI" w:cs="Segoe UI"/>
          <w:sz w:val="21"/>
          <w:szCs w:val="21"/>
          <w:lang w:val="en-CA"/>
        </w:rPr>
        <w:t>T</w:t>
      </w:r>
      <w:r w:rsidR="00596CAC">
        <w:rPr>
          <w:rFonts w:ascii="Segoe UI" w:hAnsi="Segoe UI" w:cs="Segoe UI"/>
          <w:sz w:val="21"/>
          <w:szCs w:val="21"/>
          <w:lang w:val="en-CA"/>
        </w:rPr>
        <w:t>E</w:t>
      </w:r>
      <w:r w:rsidRPr="00A11A5B">
        <w:rPr>
          <w:rFonts w:ascii="Segoe UI" w:hAnsi="Segoe UI" w:cs="Segoe UI"/>
          <w:sz w:val="21"/>
          <w:szCs w:val="21"/>
          <w:lang w:val="en-CA"/>
        </w:rPr>
        <w:t xml:space="preserve">s estimates based on the revenues forgone approach are estimates of the additional revenues that would be raised in the absence of each </w:t>
      </w:r>
      <w:r w:rsidR="00596CAC">
        <w:rPr>
          <w:rFonts w:ascii="Segoe UI" w:hAnsi="Segoe UI" w:cs="Segoe UI"/>
          <w:sz w:val="21"/>
          <w:szCs w:val="21"/>
          <w:lang w:val="en-CA"/>
        </w:rPr>
        <w:t>TE</w:t>
      </w:r>
      <w:r w:rsidRPr="00A11A5B">
        <w:rPr>
          <w:rFonts w:ascii="Segoe UI" w:hAnsi="Segoe UI" w:cs="Segoe UI"/>
          <w:sz w:val="21"/>
          <w:szCs w:val="21"/>
          <w:lang w:val="en-CA"/>
        </w:rPr>
        <w:t xml:space="preserve"> without accounting for behavioral </w:t>
      </w:r>
      <w:r w:rsidRPr="00CF59AA">
        <w:rPr>
          <w:rFonts w:ascii="Segoe UI" w:hAnsi="Segoe UI" w:cs="Segoe UI"/>
          <w:sz w:val="21"/>
          <w:szCs w:val="21"/>
          <w:lang w:val="en-CA"/>
        </w:rPr>
        <w:t xml:space="preserve">responses. BIT </w:t>
      </w:r>
      <w:r w:rsidR="00596CAC">
        <w:rPr>
          <w:rFonts w:ascii="Segoe UI" w:hAnsi="Segoe UI" w:cs="Segoe UI"/>
          <w:sz w:val="21"/>
          <w:szCs w:val="21"/>
          <w:lang w:val="en-CA"/>
        </w:rPr>
        <w:t>TE</w:t>
      </w:r>
      <w:r w:rsidRPr="00CF59AA">
        <w:rPr>
          <w:rFonts w:ascii="Segoe UI" w:hAnsi="Segoe UI" w:cs="Segoe UI"/>
          <w:sz w:val="21"/>
          <w:szCs w:val="21"/>
          <w:lang w:val="en-CA"/>
        </w:rPr>
        <w:t xml:space="preserve">s are generally estimated using microsimulations, which is the simulation of each tax return under alternative </w:t>
      </w:r>
      <w:r w:rsidRPr="00CF59AA">
        <w:rPr>
          <w:rFonts w:ascii="Segoe UI" w:hAnsi="Segoe UI" w:cs="Segoe UI"/>
          <w:sz w:val="21"/>
          <w:szCs w:val="21"/>
          <w:lang w:val="en-CA"/>
        </w:rPr>
        <w:lastRenderedPageBreak/>
        <w:t xml:space="preserve">assumptions. Removing a </w:t>
      </w:r>
      <w:r w:rsidR="00596CAC">
        <w:rPr>
          <w:rFonts w:ascii="Segoe UI" w:hAnsi="Segoe UI" w:cs="Segoe UI"/>
          <w:sz w:val="21"/>
          <w:szCs w:val="21"/>
          <w:lang w:val="en-CA"/>
        </w:rPr>
        <w:t>TE</w:t>
      </w:r>
      <w:r w:rsidRPr="00CF59AA">
        <w:rPr>
          <w:rFonts w:ascii="Segoe UI" w:hAnsi="Segoe UI" w:cs="Segoe UI"/>
          <w:sz w:val="21"/>
          <w:szCs w:val="21"/>
          <w:lang w:val="en-CA"/>
        </w:rPr>
        <w:t>—like a deduction or an allowance—in a microsimulation model provides an estimate of the</w:t>
      </w:r>
      <w:r w:rsidRPr="008052A9">
        <w:rPr>
          <w:rFonts w:ascii="Segoe UI" w:hAnsi="Segoe UI" w:cs="Segoe UI"/>
          <w:sz w:val="21"/>
          <w:szCs w:val="21"/>
          <w:lang w:val="en-CA"/>
        </w:rPr>
        <w:t xml:space="preserve"> BIT revenues in the absence of that policy, which is consistent with the above definition of revenues forgone.</w:t>
      </w:r>
    </w:p>
    <w:p w14:paraId="0DF486D3" w14:textId="1A2ADB3C" w:rsidR="008052A9" w:rsidRPr="008052A9" w:rsidRDefault="008052A9" w:rsidP="00E90BA7">
      <w:pPr>
        <w:spacing w:after="120"/>
        <w:jc w:val="both"/>
        <w:rPr>
          <w:rFonts w:ascii="Segoe UI" w:hAnsi="Segoe UI" w:cs="Segoe UI"/>
          <w:sz w:val="21"/>
          <w:szCs w:val="21"/>
          <w:lang w:val="en-CA"/>
        </w:rPr>
      </w:pPr>
      <w:r w:rsidRPr="0011356A">
        <w:rPr>
          <w:rFonts w:ascii="Segoe UI" w:hAnsi="Segoe UI" w:cs="Segoe UI"/>
          <w:i/>
          <w:iCs/>
          <w:sz w:val="21"/>
          <w:szCs w:val="21"/>
          <w:lang w:val="en-CA"/>
        </w:rPr>
        <w:t xml:space="preserve">IT Park regime. </w:t>
      </w:r>
      <w:r>
        <w:rPr>
          <w:rFonts w:ascii="Segoe UI" w:hAnsi="Segoe UI" w:cs="Segoe UI"/>
          <w:sz w:val="21"/>
          <w:szCs w:val="21"/>
          <w:lang w:val="en-CA"/>
        </w:rPr>
        <w:t xml:space="preserve">Evaluation of TE for the IT Park </w:t>
      </w:r>
      <w:r w:rsidR="005B162E">
        <w:rPr>
          <w:rFonts w:ascii="Segoe UI" w:hAnsi="Segoe UI" w:cs="Segoe UI"/>
          <w:sz w:val="21"/>
          <w:szCs w:val="21"/>
          <w:lang w:val="en-CA"/>
        </w:rPr>
        <w:t>regime follows the methodology presented in Box 1</w:t>
      </w:r>
      <w:r w:rsidR="004B52F8">
        <w:rPr>
          <w:rFonts w:ascii="Segoe UI" w:hAnsi="Segoe UI" w:cs="Segoe UI"/>
          <w:sz w:val="21"/>
          <w:szCs w:val="21"/>
          <w:lang w:val="en-CA"/>
        </w:rPr>
        <w:t xml:space="preserve">, </w:t>
      </w:r>
      <w:r w:rsidR="00756F01">
        <w:rPr>
          <w:rFonts w:ascii="Segoe UI" w:hAnsi="Segoe UI" w:cs="Segoe UI"/>
          <w:sz w:val="21"/>
          <w:szCs w:val="21"/>
          <w:lang w:val="en-CA"/>
        </w:rPr>
        <w:t>and involves</w:t>
      </w:r>
      <w:r w:rsidR="004B52F8">
        <w:rPr>
          <w:rFonts w:ascii="Segoe UI" w:hAnsi="Segoe UI" w:cs="Segoe UI"/>
          <w:sz w:val="21"/>
          <w:szCs w:val="21"/>
          <w:lang w:val="en-CA"/>
        </w:rPr>
        <w:t xml:space="preserve"> the steps </w:t>
      </w:r>
      <w:r w:rsidR="00F61680">
        <w:rPr>
          <w:rFonts w:ascii="Segoe UI" w:hAnsi="Segoe UI" w:cs="Segoe UI"/>
          <w:sz w:val="21"/>
          <w:szCs w:val="21"/>
          <w:lang w:val="en-CA"/>
        </w:rPr>
        <w:t>below:</w:t>
      </w:r>
      <w:r w:rsidR="005B162E">
        <w:rPr>
          <w:rFonts w:ascii="Segoe UI" w:hAnsi="Segoe UI" w:cs="Segoe UI"/>
          <w:sz w:val="21"/>
          <w:szCs w:val="21"/>
          <w:lang w:val="en-CA"/>
        </w:rPr>
        <w:t xml:space="preserve"> </w:t>
      </w:r>
    </w:p>
    <w:p w14:paraId="2B128151" w14:textId="33AF84B8" w:rsidR="00F61680" w:rsidRPr="009D590B" w:rsidRDefault="0003385C" w:rsidP="00E90BA7">
      <w:pPr>
        <w:pStyle w:val="ListBullet"/>
        <w:jc w:val="both"/>
        <w:rPr>
          <w:rFonts w:ascii="Segoe UI" w:hAnsi="Segoe UI" w:cs="Segoe UI"/>
          <w:sz w:val="21"/>
          <w:szCs w:val="21"/>
        </w:rPr>
      </w:pPr>
      <w:r>
        <w:rPr>
          <w:rFonts w:ascii="Segoe UI" w:hAnsi="Segoe UI" w:cs="Segoe UI"/>
          <w:sz w:val="21"/>
          <w:szCs w:val="21"/>
        </w:rPr>
        <w:t xml:space="preserve">Utilizing the </w:t>
      </w:r>
      <w:r w:rsidR="009F7278" w:rsidRPr="001B12F8">
        <w:rPr>
          <w:rFonts w:ascii="Segoe UI" w:hAnsi="Segoe UI" w:cs="Segoe UI"/>
          <w:sz w:val="21"/>
          <w:szCs w:val="21"/>
        </w:rPr>
        <w:t xml:space="preserve">Bureau van Dijk </w:t>
      </w:r>
      <w:r w:rsidR="009F7278" w:rsidRPr="00D858FD">
        <w:rPr>
          <w:rFonts w:ascii="Segoe UI" w:hAnsi="Segoe UI" w:cs="Segoe UI"/>
          <w:sz w:val="21"/>
          <w:szCs w:val="21"/>
        </w:rPr>
        <w:t xml:space="preserve">Orbis </w:t>
      </w:r>
      <w:r>
        <w:rPr>
          <w:rFonts w:ascii="Segoe UI" w:hAnsi="Segoe UI" w:cs="Segoe UI"/>
          <w:sz w:val="21"/>
          <w:szCs w:val="21"/>
        </w:rPr>
        <w:t xml:space="preserve">database, </w:t>
      </w:r>
      <w:r w:rsidR="004D0ACD">
        <w:rPr>
          <w:rFonts w:ascii="Segoe UI" w:hAnsi="Segoe UI" w:cs="Segoe UI"/>
          <w:sz w:val="21"/>
          <w:szCs w:val="21"/>
        </w:rPr>
        <w:t>estimate</w:t>
      </w:r>
      <w:r w:rsidR="0042216D">
        <w:rPr>
          <w:rFonts w:ascii="Segoe UI" w:hAnsi="Segoe UI" w:cs="Segoe UI"/>
          <w:sz w:val="21"/>
          <w:szCs w:val="21"/>
        </w:rPr>
        <w:t xml:space="preserve"> the ratio of </w:t>
      </w:r>
      <w:r w:rsidR="009D590B">
        <w:rPr>
          <w:rFonts w:ascii="Segoe UI" w:hAnsi="Segoe UI" w:cs="Segoe UI"/>
          <w:sz w:val="21"/>
          <w:szCs w:val="21"/>
        </w:rPr>
        <w:t xml:space="preserve">taxable profit to turnover </w:t>
      </w:r>
      <w:r w:rsidR="0011585C">
        <w:rPr>
          <w:rFonts w:ascii="Segoe UI" w:hAnsi="Segoe UI" w:cs="Segoe UI"/>
          <w:sz w:val="21"/>
          <w:szCs w:val="21"/>
        </w:rPr>
        <w:t xml:space="preserve">for </w:t>
      </w:r>
      <w:r w:rsidR="00834546">
        <w:rPr>
          <w:rFonts w:ascii="Segoe UI" w:hAnsi="Segoe UI" w:cs="Segoe UI"/>
          <w:sz w:val="21"/>
          <w:szCs w:val="21"/>
        </w:rPr>
        <w:t xml:space="preserve">global </w:t>
      </w:r>
      <w:r w:rsidR="00E25FE1">
        <w:rPr>
          <w:rFonts w:ascii="Segoe UI" w:hAnsi="Segoe UI" w:cs="Segoe UI"/>
          <w:sz w:val="21"/>
          <w:szCs w:val="21"/>
        </w:rPr>
        <w:t xml:space="preserve">Information </w:t>
      </w:r>
      <w:r w:rsidR="00834546">
        <w:rPr>
          <w:rFonts w:ascii="Segoe UI" w:hAnsi="Segoe UI" w:cs="Segoe UI"/>
          <w:sz w:val="21"/>
          <w:szCs w:val="21"/>
        </w:rPr>
        <w:t>Technology companies</w:t>
      </w:r>
      <w:r w:rsidR="00267497">
        <w:rPr>
          <w:rFonts w:ascii="Segoe UI" w:hAnsi="Segoe UI" w:cs="Segoe UI"/>
          <w:sz w:val="21"/>
          <w:szCs w:val="21"/>
        </w:rPr>
        <w:t xml:space="preserve">. The ratio is </w:t>
      </w:r>
      <w:r w:rsidR="00F2553F">
        <w:rPr>
          <w:rFonts w:ascii="Segoe UI" w:hAnsi="Segoe UI" w:cs="Segoe UI"/>
          <w:sz w:val="21"/>
          <w:szCs w:val="21"/>
        </w:rPr>
        <w:t xml:space="preserve">estimated at </w:t>
      </w:r>
      <w:r w:rsidR="002C412E">
        <w:rPr>
          <w:rFonts w:ascii="Segoe UI" w:hAnsi="Segoe UI" w:cs="Segoe UI"/>
          <w:sz w:val="21"/>
          <w:szCs w:val="21"/>
        </w:rPr>
        <w:t>14.1 percent</w:t>
      </w:r>
      <w:r w:rsidR="007271DE">
        <w:rPr>
          <w:rFonts w:ascii="Segoe UI" w:hAnsi="Segoe UI" w:cs="Segoe UI"/>
          <w:sz w:val="21"/>
          <w:szCs w:val="21"/>
        </w:rPr>
        <w:t>.</w:t>
      </w:r>
    </w:p>
    <w:p w14:paraId="6E902AB3" w14:textId="77777777" w:rsidR="0039175E" w:rsidRDefault="007271DE" w:rsidP="00E90BA7">
      <w:pPr>
        <w:pStyle w:val="ListBullet"/>
        <w:spacing w:after="120"/>
        <w:jc w:val="both"/>
        <w:rPr>
          <w:rFonts w:ascii="Segoe UI" w:hAnsi="Segoe UI" w:cs="Segoe UI"/>
          <w:sz w:val="21"/>
          <w:szCs w:val="21"/>
        </w:rPr>
      </w:pPr>
      <w:r>
        <w:rPr>
          <w:rFonts w:ascii="Segoe UI" w:hAnsi="Segoe UI" w:cs="Segoe UI"/>
          <w:sz w:val="21"/>
          <w:szCs w:val="21"/>
        </w:rPr>
        <w:t xml:space="preserve">Applying the </w:t>
      </w:r>
      <w:r w:rsidR="002C412E">
        <w:rPr>
          <w:rFonts w:ascii="Segoe UI" w:hAnsi="Segoe UI" w:cs="Segoe UI"/>
          <w:sz w:val="21"/>
          <w:szCs w:val="21"/>
        </w:rPr>
        <w:t xml:space="preserve">derived </w:t>
      </w:r>
      <w:r>
        <w:rPr>
          <w:rFonts w:ascii="Segoe UI" w:hAnsi="Segoe UI" w:cs="Segoe UI"/>
          <w:sz w:val="21"/>
          <w:szCs w:val="21"/>
        </w:rPr>
        <w:t xml:space="preserve">ratio of </w:t>
      </w:r>
      <w:r w:rsidR="002C412E">
        <w:rPr>
          <w:rFonts w:ascii="Segoe UI" w:hAnsi="Segoe UI" w:cs="Segoe UI"/>
          <w:sz w:val="21"/>
          <w:szCs w:val="21"/>
        </w:rPr>
        <w:t xml:space="preserve">14.1 percent to the turnover </w:t>
      </w:r>
      <w:r w:rsidR="006A488C">
        <w:rPr>
          <w:rFonts w:ascii="Segoe UI" w:hAnsi="Segoe UI" w:cs="Segoe UI"/>
          <w:sz w:val="21"/>
          <w:szCs w:val="21"/>
        </w:rPr>
        <w:t>reported by I</w:t>
      </w:r>
      <w:r w:rsidR="00287DA3">
        <w:rPr>
          <w:rFonts w:ascii="Segoe UI" w:hAnsi="Segoe UI" w:cs="Segoe UI"/>
          <w:sz w:val="21"/>
          <w:szCs w:val="21"/>
        </w:rPr>
        <w:t>T</w:t>
      </w:r>
      <w:r w:rsidR="006A488C">
        <w:rPr>
          <w:rFonts w:ascii="Segoe UI" w:hAnsi="Segoe UI" w:cs="Segoe UI"/>
          <w:sz w:val="21"/>
          <w:szCs w:val="21"/>
        </w:rPr>
        <w:t xml:space="preserve"> Park </w:t>
      </w:r>
      <w:r w:rsidR="00B04428">
        <w:rPr>
          <w:rFonts w:ascii="Segoe UI" w:hAnsi="Segoe UI" w:cs="Segoe UI"/>
          <w:sz w:val="21"/>
          <w:szCs w:val="21"/>
        </w:rPr>
        <w:t>resident</w:t>
      </w:r>
      <w:r w:rsidR="00F2553F">
        <w:rPr>
          <w:rFonts w:ascii="Segoe UI" w:hAnsi="Segoe UI" w:cs="Segoe UI"/>
          <w:sz w:val="21"/>
          <w:szCs w:val="21"/>
        </w:rPr>
        <w:t>s</w:t>
      </w:r>
      <w:r w:rsidR="00287DA3">
        <w:rPr>
          <w:rFonts w:ascii="Segoe UI" w:hAnsi="Segoe UI" w:cs="Segoe UI"/>
          <w:sz w:val="21"/>
          <w:szCs w:val="21"/>
        </w:rPr>
        <w:t xml:space="preserve"> (form </w:t>
      </w:r>
      <w:r w:rsidR="00287DA3" w:rsidRPr="00A11A5B">
        <w:rPr>
          <w:rFonts w:ascii="Segoe UI" w:hAnsi="Segoe UI" w:cs="Segoe UI"/>
          <w:sz w:val="21"/>
          <w:szCs w:val="21"/>
        </w:rPr>
        <w:t>IU17</w:t>
      </w:r>
      <w:r w:rsidR="00287DA3">
        <w:rPr>
          <w:rFonts w:ascii="Segoe UI" w:hAnsi="Segoe UI" w:cs="Segoe UI"/>
          <w:sz w:val="21"/>
          <w:szCs w:val="21"/>
        </w:rPr>
        <w:t>)</w:t>
      </w:r>
      <w:r w:rsidR="002C412E">
        <w:rPr>
          <w:rFonts w:ascii="Segoe UI" w:hAnsi="Segoe UI" w:cs="Segoe UI"/>
          <w:sz w:val="21"/>
          <w:szCs w:val="21"/>
        </w:rPr>
        <w:t xml:space="preserve"> </w:t>
      </w:r>
      <w:r w:rsidR="006E626F">
        <w:rPr>
          <w:rFonts w:ascii="Segoe UI" w:hAnsi="Segoe UI" w:cs="Segoe UI"/>
          <w:sz w:val="21"/>
          <w:szCs w:val="21"/>
        </w:rPr>
        <w:t>to derive at the</w:t>
      </w:r>
      <w:r w:rsidR="00870CFB">
        <w:rPr>
          <w:rFonts w:ascii="Segoe UI" w:hAnsi="Segoe UI" w:cs="Segoe UI"/>
          <w:sz w:val="21"/>
          <w:szCs w:val="21"/>
        </w:rPr>
        <w:t xml:space="preserve"> benchmark tax base</w:t>
      </w:r>
      <w:r w:rsidR="00D46146">
        <w:rPr>
          <w:rFonts w:ascii="Segoe UI" w:hAnsi="Segoe UI" w:cs="Segoe UI"/>
          <w:sz w:val="21"/>
          <w:szCs w:val="21"/>
        </w:rPr>
        <w:t>—taxable profit of IT park residents</w:t>
      </w:r>
    </w:p>
    <w:p w14:paraId="162A3DAE" w14:textId="21B3195E" w:rsidR="00D41652" w:rsidRPr="0011356A" w:rsidRDefault="00D41652" w:rsidP="00E90BA7">
      <w:pPr>
        <w:pStyle w:val="ListBullet"/>
        <w:spacing w:after="120"/>
        <w:jc w:val="both"/>
        <w:rPr>
          <w:rFonts w:ascii="Segoe UI" w:hAnsi="Segoe UI" w:cs="Segoe UI"/>
          <w:sz w:val="21"/>
          <w:szCs w:val="21"/>
        </w:rPr>
      </w:pPr>
      <w:r w:rsidRPr="0011356A">
        <w:rPr>
          <w:rFonts w:ascii="Segoe UI" w:hAnsi="Segoe UI" w:cs="Segoe UI"/>
          <w:sz w:val="21"/>
          <w:szCs w:val="21"/>
        </w:rPr>
        <w:t>Estimat</w:t>
      </w:r>
      <w:r w:rsidR="00AF34FC">
        <w:rPr>
          <w:rFonts w:ascii="Segoe UI" w:hAnsi="Segoe UI" w:cs="Segoe UI"/>
          <w:sz w:val="21"/>
          <w:szCs w:val="21"/>
        </w:rPr>
        <w:t>ing</w:t>
      </w:r>
      <w:r w:rsidRPr="0011356A">
        <w:rPr>
          <w:rFonts w:ascii="Segoe UI" w:hAnsi="Segoe UI" w:cs="Segoe UI"/>
          <w:sz w:val="21"/>
          <w:szCs w:val="21"/>
        </w:rPr>
        <w:t xml:space="preserve"> the Benchmark tax (B</w:t>
      </w:r>
      <w:r w:rsidR="00AF34FC">
        <w:rPr>
          <w:rFonts w:ascii="Segoe UI" w:hAnsi="Segoe UI" w:cs="Segoe UI"/>
          <w:sz w:val="21"/>
          <w:szCs w:val="21"/>
          <w:vertAlign w:val="subscript"/>
        </w:rPr>
        <w:t>BIT</w:t>
      </w:r>
      <w:r w:rsidRPr="0011356A">
        <w:rPr>
          <w:rFonts w:ascii="Segoe UI" w:hAnsi="Segoe UI" w:cs="Segoe UI"/>
          <w:sz w:val="21"/>
          <w:szCs w:val="21"/>
        </w:rPr>
        <w:t>) that would be payable in the absence of the IT Park regime</w:t>
      </w:r>
      <w:r w:rsidR="00AF34FC">
        <w:rPr>
          <w:rFonts w:ascii="Segoe UI" w:hAnsi="Segoe UI" w:cs="Segoe UI"/>
          <w:sz w:val="21"/>
          <w:szCs w:val="21"/>
        </w:rPr>
        <w:t xml:space="preserve">, by applying the </w:t>
      </w:r>
      <w:r w:rsidR="00184ED3">
        <w:rPr>
          <w:rFonts w:ascii="Segoe UI" w:hAnsi="Segoe UI" w:cs="Segoe UI"/>
          <w:sz w:val="21"/>
          <w:szCs w:val="21"/>
        </w:rPr>
        <w:t xml:space="preserve">statutory rate of 12 percent to the derived Benchmark </w:t>
      </w:r>
      <w:r w:rsidR="002A202B">
        <w:rPr>
          <w:rFonts w:ascii="Segoe UI" w:hAnsi="Segoe UI" w:cs="Segoe UI"/>
          <w:sz w:val="21"/>
          <w:szCs w:val="21"/>
        </w:rPr>
        <w:t>taxable base.</w:t>
      </w:r>
      <w:r w:rsidRPr="0011356A">
        <w:rPr>
          <w:rFonts w:ascii="Segoe UI" w:hAnsi="Segoe UI" w:cs="Segoe UI"/>
          <w:sz w:val="21"/>
          <w:szCs w:val="21"/>
        </w:rPr>
        <w:t xml:space="preserve"> </w:t>
      </w:r>
    </w:p>
    <w:p w14:paraId="6D8CEC16" w14:textId="6BDDE53A" w:rsidR="00D41652" w:rsidRPr="0011356A" w:rsidRDefault="00E73B84" w:rsidP="00E90BA7">
      <w:pPr>
        <w:pStyle w:val="ListBullet"/>
        <w:spacing w:after="120"/>
        <w:jc w:val="both"/>
        <w:rPr>
          <w:rFonts w:ascii="Segoe UI" w:hAnsi="Segoe UI" w:cs="Segoe UI"/>
          <w:sz w:val="21"/>
          <w:szCs w:val="21"/>
        </w:rPr>
      </w:pPr>
      <w:r>
        <w:rPr>
          <w:rFonts w:ascii="Segoe UI" w:hAnsi="Segoe UI" w:cs="Segoe UI"/>
          <w:sz w:val="21"/>
          <w:szCs w:val="21"/>
        </w:rPr>
        <w:t xml:space="preserve">Deriving at </w:t>
      </w:r>
      <w:r w:rsidR="00312885">
        <w:rPr>
          <w:rFonts w:ascii="Segoe UI" w:hAnsi="Segoe UI" w:cs="Segoe UI"/>
          <w:sz w:val="21"/>
          <w:szCs w:val="21"/>
        </w:rPr>
        <w:t xml:space="preserve">the </w:t>
      </w:r>
      <w:r>
        <w:rPr>
          <w:rFonts w:ascii="Segoe UI" w:hAnsi="Segoe UI" w:cs="Segoe UI"/>
          <w:sz w:val="21"/>
          <w:szCs w:val="21"/>
        </w:rPr>
        <w:t>TE by s</w:t>
      </w:r>
      <w:r w:rsidR="00D41652" w:rsidRPr="0011356A">
        <w:rPr>
          <w:rFonts w:ascii="Segoe UI" w:hAnsi="Segoe UI" w:cs="Segoe UI"/>
          <w:sz w:val="21"/>
          <w:szCs w:val="21"/>
        </w:rPr>
        <w:t>ubtract</w:t>
      </w:r>
      <w:r w:rsidR="0090151A">
        <w:rPr>
          <w:rFonts w:ascii="Segoe UI" w:hAnsi="Segoe UI" w:cs="Segoe UI"/>
          <w:sz w:val="21"/>
          <w:szCs w:val="21"/>
        </w:rPr>
        <w:t>ing</w:t>
      </w:r>
      <w:r w:rsidR="00D41652" w:rsidRPr="0011356A">
        <w:rPr>
          <w:rFonts w:ascii="Segoe UI" w:hAnsi="Segoe UI" w:cs="Segoe UI"/>
          <w:sz w:val="21"/>
          <w:szCs w:val="21"/>
        </w:rPr>
        <w:t xml:space="preserve"> </w:t>
      </w:r>
      <w:r w:rsidR="00AD4991">
        <w:rPr>
          <w:rFonts w:ascii="Segoe UI" w:hAnsi="Segoe UI" w:cs="Segoe UI"/>
          <w:sz w:val="21"/>
          <w:szCs w:val="21"/>
        </w:rPr>
        <w:t xml:space="preserve">from the </w:t>
      </w:r>
      <w:r w:rsidR="009E0C7E">
        <w:rPr>
          <w:rFonts w:ascii="Segoe UI" w:hAnsi="Segoe UI" w:cs="Segoe UI"/>
          <w:sz w:val="21"/>
          <w:szCs w:val="21"/>
        </w:rPr>
        <w:t>B</w:t>
      </w:r>
      <w:r w:rsidR="009E0C7E" w:rsidRPr="0011356A">
        <w:rPr>
          <w:rFonts w:ascii="Segoe UI" w:hAnsi="Segoe UI" w:cs="Segoe UI"/>
          <w:sz w:val="21"/>
          <w:szCs w:val="21"/>
          <w:vertAlign w:val="subscript"/>
        </w:rPr>
        <w:t>BIT</w:t>
      </w:r>
      <w:r w:rsidR="009E0C7E">
        <w:rPr>
          <w:rFonts w:ascii="Segoe UI" w:hAnsi="Segoe UI" w:cs="Segoe UI"/>
          <w:sz w:val="21"/>
          <w:szCs w:val="21"/>
        </w:rPr>
        <w:t xml:space="preserve"> </w:t>
      </w:r>
      <w:r w:rsidR="00F60D02">
        <w:rPr>
          <w:rFonts w:ascii="Segoe UI" w:hAnsi="Segoe UI" w:cs="Segoe UI"/>
          <w:sz w:val="21"/>
          <w:szCs w:val="21"/>
        </w:rPr>
        <w:t>the</w:t>
      </w:r>
      <w:r w:rsidR="00D41652" w:rsidRPr="0011356A">
        <w:rPr>
          <w:rFonts w:ascii="Segoe UI" w:hAnsi="Segoe UI" w:cs="Segoe UI"/>
          <w:sz w:val="21"/>
          <w:szCs w:val="21"/>
        </w:rPr>
        <w:t xml:space="preserve"> share</w:t>
      </w:r>
      <w:r w:rsidR="005677FB">
        <w:rPr>
          <w:rFonts w:ascii="Segoe UI" w:hAnsi="Segoe UI" w:cs="Segoe UI"/>
          <w:sz w:val="21"/>
          <w:szCs w:val="21"/>
        </w:rPr>
        <w:t xml:space="preserve"> of unified tax paid by I</w:t>
      </w:r>
      <w:r w:rsidR="009A0A12">
        <w:rPr>
          <w:rFonts w:ascii="Segoe UI" w:hAnsi="Segoe UI" w:cs="Segoe UI"/>
          <w:sz w:val="21"/>
          <w:szCs w:val="21"/>
        </w:rPr>
        <w:t>T</w:t>
      </w:r>
      <w:r w:rsidR="005677FB">
        <w:rPr>
          <w:rFonts w:ascii="Segoe UI" w:hAnsi="Segoe UI" w:cs="Segoe UI"/>
          <w:sz w:val="21"/>
          <w:szCs w:val="21"/>
        </w:rPr>
        <w:t xml:space="preserve"> Park residents </w:t>
      </w:r>
      <w:r w:rsidR="009A0A12">
        <w:rPr>
          <w:rFonts w:ascii="Segoe UI" w:hAnsi="Segoe UI" w:cs="Segoe UI"/>
          <w:sz w:val="21"/>
          <w:szCs w:val="21"/>
        </w:rPr>
        <w:t>in l</w:t>
      </w:r>
      <w:r w:rsidR="00DB6ADF">
        <w:rPr>
          <w:rFonts w:ascii="Segoe UI" w:hAnsi="Segoe UI" w:cs="Segoe UI"/>
          <w:sz w:val="21"/>
          <w:szCs w:val="21"/>
        </w:rPr>
        <w:t>i</w:t>
      </w:r>
      <w:r w:rsidR="009A0A12">
        <w:rPr>
          <w:rFonts w:ascii="Segoe UI" w:hAnsi="Segoe UI" w:cs="Segoe UI"/>
          <w:sz w:val="21"/>
          <w:szCs w:val="21"/>
        </w:rPr>
        <w:t>eu of BIT</w:t>
      </w:r>
      <w:r w:rsidR="00E25375">
        <w:rPr>
          <w:rFonts w:ascii="Segoe UI" w:hAnsi="Segoe UI" w:cs="Segoe UI"/>
          <w:sz w:val="21"/>
          <w:szCs w:val="21"/>
        </w:rPr>
        <w:t xml:space="preserve">—10 percent </w:t>
      </w:r>
      <w:r w:rsidR="004E04F7">
        <w:rPr>
          <w:rFonts w:ascii="Segoe UI" w:hAnsi="Segoe UI" w:cs="Segoe UI"/>
          <w:sz w:val="21"/>
          <w:szCs w:val="21"/>
        </w:rPr>
        <w:t>of 7 percent of Turnover</w:t>
      </w:r>
      <w:r w:rsidR="00D41652" w:rsidRPr="0011356A">
        <w:rPr>
          <w:rFonts w:ascii="Segoe UI" w:hAnsi="Segoe UI" w:cs="Segoe UI"/>
          <w:sz w:val="21"/>
          <w:szCs w:val="21"/>
        </w:rPr>
        <w:t>.</w:t>
      </w:r>
    </w:p>
    <w:p w14:paraId="16B35AB3" w14:textId="0E2CBA12" w:rsidR="00A11A5B" w:rsidRPr="00A11A5B" w:rsidRDefault="00A11A5B" w:rsidP="00E90BA7">
      <w:pPr>
        <w:pStyle w:val="Heading4"/>
        <w:jc w:val="both"/>
        <w:rPr>
          <w:rFonts w:ascii="Segoe UI" w:hAnsi="Segoe UI" w:cs="Segoe UI"/>
          <w:color w:val="004C97" w:themeColor="text2"/>
        </w:rPr>
      </w:pPr>
      <w:r w:rsidRPr="005F04B5">
        <w:rPr>
          <w:rFonts w:ascii="Segoe UI" w:hAnsi="Segoe UI" w:cs="Segoe UI"/>
          <w:color w:val="004C97" w:themeColor="text2"/>
        </w:rPr>
        <w:t>Data Sources</w:t>
      </w:r>
    </w:p>
    <w:p w14:paraId="020E350D" w14:textId="77777777" w:rsidR="00A11A5B" w:rsidRPr="00A11A5B" w:rsidRDefault="00A11A5B" w:rsidP="00E90BA7">
      <w:pPr>
        <w:spacing w:after="200"/>
        <w:jc w:val="both"/>
        <w:rPr>
          <w:rFonts w:ascii="Segoe UI" w:hAnsi="Segoe UI" w:cs="Segoe UI"/>
          <w:sz w:val="21"/>
          <w:szCs w:val="21"/>
          <w:lang w:val="en-CA"/>
        </w:rPr>
      </w:pPr>
      <w:r w:rsidRPr="00A11A5B">
        <w:rPr>
          <w:rFonts w:ascii="Segoe UI" w:hAnsi="Segoe UI" w:cs="Segoe UI"/>
          <w:sz w:val="21"/>
          <w:szCs w:val="21"/>
          <w:lang w:val="en-CA"/>
        </w:rPr>
        <w:t>Overall, four microsimulation models were built using BIT tax microdata from the following tax forms:</w:t>
      </w:r>
    </w:p>
    <w:p w14:paraId="7615DE81" w14:textId="77777777" w:rsidR="00A11A5B" w:rsidRPr="00A11A5B" w:rsidRDefault="00A11A5B" w:rsidP="00E90BA7">
      <w:pPr>
        <w:numPr>
          <w:ilvl w:val="0"/>
          <w:numId w:val="23"/>
        </w:numPr>
        <w:spacing w:after="0"/>
        <w:ind w:left="714" w:hanging="357"/>
        <w:jc w:val="both"/>
        <w:rPr>
          <w:rFonts w:ascii="Segoe UI" w:hAnsi="Segoe UI" w:cs="Segoe UI"/>
          <w:sz w:val="21"/>
          <w:szCs w:val="21"/>
        </w:rPr>
      </w:pPr>
      <w:r w:rsidRPr="00A11A5B">
        <w:rPr>
          <w:rFonts w:ascii="Segoe UI" w:hAnsi="Segoe UI" w:cs="Segoe UI"/>
          <w:sz w:val="21"/>
          <w:szCs w:val="21"/>
        </w:rPr>
        <w:t>IU17—IT parks</w:t>
      </w:r>
    </w:p>
    <w:p w14:paraId="4005F034" w14:textId="77777777" w:rsidR="00A11A5B" w:rsidRPr="00A11A5B" w:rsidRDefault="00A11A5B" w:rsidP="00E90BA7">
      <w:pPr>
        <w:numPr>
          <w:ilvl w:val="0"/>
          <w:numId w:val="23"/>
        </w:numPr>
        <w:spacing w:after="0"/>
        <w:ind w:left="714" w:hanging="357"/>
        <w:jc w:val="both"/>
        <w:rPr>
          <w:rFonts w:ascii="Segoe UI" w:hAnsi="Segoe UI" w:cs="Segoe UI"/>
          <w:sz w:val="21"/>
          <w:szCs w:val="21"/>
        </w:rPr>
      </w:pPr>
      <w:r w:rsidRPr="00A11A5B">
        <w:rPr>
          <w:rFonts w:ascii="Segoe UI" w:hAnsi="Segoe UI" w:cs="Segoe UI"/>
          <w:sz w:val="21"/>
          <w:szCs w:val="21"/>
        </w:rPr>
        <w:t>ONG17—non-commercial organizations</w:t>
      </w:r>
    </w:p>
    <w:p w14:paraId="3EDCD6AE" w14:textId="77777777" w:rsidR="00A11A5B" w:rsidRPr="00A11A5B" w:rsidRDefault="00A11A5B" w:rsidP="00E90BA7">
      <w:pPr>
        <w:numPr>
          <w:ilvl w:val="0"/>
          <w:numId w:val="23"/>
        </w:numPr>
        <w:spacing w:after="0"/>
        <w:ind w:left="714" w:hanging="357"/>
        <w:jc w:val="both"/>
        <w:rPr>
          <w:rFonts w:ascii="Segoe UI" w:hAnsi="Segoe UI" w:cs="Segoe UI"/>
          <w:sz w:val="21"/>
          <w:szCs w:val="21"/>
        </w:rPr>
      </w:pPr>
      <w:r w:rsidRPr="00A11A5B">
        <w:rPr>
          <w:rFonts w:ascii="Segoe UI" w:hAnsi="Segoe UI" w:cs="Segoe UI"/>
          <w:sz w:val="21"/>
          <w:szCs w:val="21"/>
        </w:rPr>
        <w:t>UNIF18—individual entrepreneurs and farmers</w:t>
      </w:r>
    </w:p>
    <w:p w14:paraId="3924983E" w14:textId="77777777" w:rsidR="00A11A5B" w:rsidRPr="00A11A5B" w:rsidRDefault="00A11A5B" w:rsidP="00E90BA7">
      <w:pPr>
        <w:numPr>
          <w:ilvl w:val="0"/>
          <w:numId w:val="23"/>
        </w:numPr>
        <w:spacing w:after="200"/>
        <w:jc w:val="both"/>
        <w:rPr>
          <w:rFonts w:ascii="Segoe UI" w:hAnsi="Segoe UI" w:cs="Segoe UI"/>
          <w:sz w:val="21"/>
          <w:szCs w:val="21"/>
        </w:rPr>
      </w:pPr>
      <w:r w:rsidRPr="00A11A5B">
        <w:rPr>
          <w:rFonts w:ascii="Segoe UI" w:hAnsi="Segoe UI" w:cs="Segoe UI"/>
          <w:sz w:val="21"/>
          <w:szCs w:val="21"/>
        </w:rPr>
        <w:t>VEN12—standard BIT return</w:t>
      </w:r>
    </w:p>
    <w:p w14:paraId="4BF163DB" w14:textId="42D2F14F" w:rsidR="00A11A5B" w:rsidRDefault="00A11A5B" w:rsidP="00E90BA7">
      <w:pPr>
        <w:spacing w:after="200"/>
        <w:jc w:val="both"/>
        <w:rPr>
          <w:rFonts w:ascii="Segoe UI" w:hAnsi="Segoe UI" w:cs="Segoe UI"/>
          <w:sz w:val="21"/>
          <w:szCs w:val="21"/>
          <w:lang w:val="en-CA"/>
        </w:rPr>
      </w:pPr>
      <w:r w:rsidRPr="00A11A5B">
        <w:rPr>
          <w:rFonts w:ascii="Segoe UI" w:hAnsi="Segoe UI" w:cs="Segoe UI"/>
          <w:sz w:val="21"/>
          <w:szCs w:val="21"/>
          <w:lang w:val="en-CA"/>
        </w:rPr>
        <w:t>In general, microsimulation models simulate all cells on the tax forms, including all accompanying annexes and schedules. This lets analysts simulate any change in polic</w:t>
      </w:r>
      <w:r w:rsidR="00B71006">
        <w:rPr>
          <w:rFonts w:ascii="Segoe UI" w:hAnsi="Segoe UI" w:cs="Segoe UI"/>
          <w:sz w:val="21"/>
          <w:szCs w:val="21"/>
          <w:lang w:val="en-CA"/>
        </w:rPr>
        <w:t>y</w:t>
      </w:r>
      <w:r w:rsidRPr="00A11A5B">
        <w:rPr>
          <w:rFonts w:ascii="Segoe UI" w:hAnsi="Segoe UI" w:cs="Segoe UI"/>
          <w:sz w:val="21"/>
          <w:szCs w:val="21"/>
          <w:lang w:val="en-CA"/>
        </w:rPr>
        <w:t xml:space="preserve"> possible given the information available on the tax forms. In this case, cursory data analysis identified issues in the underlying data. In particular, there were many instances where the underlying data did not match the equations described in the tax forms. This is indicative of either data errors, or of other inputs into those cells that are not fully described by the tax forms. To mitigate these issues, simulations in the model</w:t>
      </w:r>
      <w:r w:rsidR="00B71006">
        <w:rPr>
          <w:rFonts w:ascii="Segoe UI" w:hAnsi="Segoe UI" w:cs="Segoe UI"/>
          <w:sz w:val="21"/>
          <w:szCs w:val="21"/>
          <w:lang w:val="en-CA"/>
        </w:rPr>
        <w:t>s</w:t>
      </w:r>
      <w:r w:rsidRPr="00A11A5B">
        <w:rPr>
          <w:rFonts w:ascii="Segoe UI" w:hAnsi="Segoe UI" w:cs="Segoe UI"/>
          <w:sz w:val="21"/>
          <w:szCs w:val="21"/>
          <w:lang w:val="en-CA"/>
        </w:rPr>
        <w:t xml:space="preserve"> are limited to the cells required to properly estimate the </w:t>
      </w:r>
      <w:r w:rsidR="00EF3B10">
        <w:rPr>
          <w:rFonts w:ascii="Segoe UI" w:hAnsi="Segoe UI" w:cs="Segoe UI"/>
          <w:sz w:val="21"/>
          <w:szCs w:val="21"/>
          <w:lang w:val="en-CA"/>
        </w:rPr>
        <w:t>TE</w:t>
      </w:r>
      <w:r w:rsidRPr="00A11A5B">
        <w:rPr>
          <w:rFonts w:ascii="Segoe UI" w:hAnsi="Segoe UI" w:cs="Segoe UI"/>
          <w:sz w:val="21"/>
          <w:szCs w:val="21"/>
          <w:lang w:val="en-CA"/>
        </w:rPr>
        <w:t xml:space="preserve">s identified in the </w:t>
      </w:r>
      <w:r w:rsidR="00963901">
        <w:rPr>
          <w:rFonts w:ascii="Segoe UI" w:hAnsi="Segoe UI" w:cs="Segoe UI"/>
          <w:sz w:val="21"/>
          <w:szCs w:val="21"/>
          <w:lang w:val="en-CA"/>
        </w:rPr>
        <w:t>TEAR</w:t>
      </w:r>
      <w:r w:rsidRPr="00A11A5B">
        <w:rPr>
          <w:rFonts w:ascii="Segoe UI" w:hAnsi="Segoe UI" w:cs="Segoe UI"/>
          <w:sz w:val="21"/>
          <w:szCs w:val="21"/>
          <w:lang w:val="en-CA"/>
        </w:rPr>
        <w:t xml:space="preserve">. </w:t>
      </w:r>
    </w:p>
    <w:p w14:paraId="5168DAF5" w14:textId="77777777" w:rsidR="00A11A5B" w:rsidRPr="00CB1E53" w:rsidRDefault="00A11A5B" w:rsidP="00E90BA7">
      <w:pPr>
        <w:pStyle w:val="Heading4"/>
        <w:jc w:val="both"/>
        <w:rPr>
          <w:color w:val="004C97" w:themeColor="text2"/>
        </w:rPr>
      </w:pPr>
      <w:r w:rsidRPr="00CB1E53">
        <w:rPr>
          <w:color w:val="004C97" w:themeColor="text2"/>
        </w:rPr>
        <w:t>Estimation Methodology</w:t>
      </w:r>
    </w:p>
    <w:p w14:paraId="5B0106A5" w14:textId="369657DC" w:rsidR="00A11A5B" w:rsidRDefault="00672AB0" w:rsidP="00E90BA7">
      <w:pPr>
        <w:spacing w:after="200"/>
        <w:jc w:val="both"/>
        <w:rPr>
          <w:rFonts w:ascii="Segoe UI" w:hAnsi="Segoe UI" w:cs="Segoe UI"/>
          <w:sz w:val="21"/>
          <w:szCs w:val="21"/>
          <w:lang w:val="en-CA"/>
        </w:rPr>
      </w:pPr>
      <w:r>
        <w:rPr>
          <w:rFonts w:ascii="Segoe UI" w:hAnsi="Segoe UI" w:cs="Segoe UI"/>
          <w:sz w:val="21"/>
          <w:szCs w:val="21"/>
          <w:lang w:val="en-CA"/>
        </w:rPr>
        <w:t xml:space="preserve">Microsimulation models simulate the calculations on each tax form using alternative assumptions. To estimate a </w:t>
      </w:r>
      <w:r w:rsidR="00EF3B10">
        <w:rPr>
          <w:rFonts w:ascii="Segoe UI" w:hAnsi="Segoe UI" w:cs="Segoe UI"/>
          <w:sz w:val="21"/>
          <w:szCs w:val="21"/>
          <w:lang w:val="en-CA"/>
        </w:rPr>
        <w:t>TE</w:t>
      </w:r>
      <w:r>
        <w:rPr>
          <w:rFonts w:ascii="Segoe UI" w:hAnsi="Segoe UI" w:cs="Segoe UI"/>
          <w:sz w:val="21"/>
          <w:szCs w:val="21"/>
          <w:lang w:val="en-CA"/>
        </w:rPr>
        <w:t xml:space="preserve">, the value in a cell where the </w:t>
      </w:r>
      <w:r w:rsidR="00EF3B10">
        <w:rPr>
          <w:rFonts w:ascii="Segoe UI" w:hAnsi="Segoe UI" w:cs="Segoe UI"/>
          <w:sz w:val="21"/>
          <w:szCs w:val="21"/>
          <w:lang w:val="en-CA"/>
        </w:rPr>
        <w:t>TE</w:t>
      </w:r>
      <w:r>
        <w:rPr>
          <w:rFonts w:ascii="Segoe UI" w:hAnsi="Segoe UI" w:cs="Segoe UI"/>
          <w:sz w:val="21"/>
          <w:szCs w:val="21"/>
          <w:lang w:val="en-CA"/>
        </w:rPr>
        <w:t xml:space="preserve"> is introduced is changed and all cells on the rest of the tax return are recalculated to estimate the change in net tax. To obtain the appropriate estimate, a number of adjustments need to be made relative to the standard forms, including:</w:t>
      </w:r>
    </w:p>
    <w:p w14:paraId="67CC32D3" w14:textId="72828992" w:rsidR="00672AB0" w:rsidRPr="00672AB0" w:rsidRDefault="00672AB0" w:rsidP="00E90BA7">
      <w:pPr>
        <w:pStyle w:val="ListParagraph"/>
        <w:numPr>
          <w:ilvl w:val="0"/>
          <w:numId w:val="24"/>
        </w:numPr>
        <w:spacing w:after="200"/>
        <w:jc w:val="both"/>
        <w:rPr>
          <w:rFonts w:ascii="Segoe UI" w:hAnsi="Segoe UI" w:cs="Segoe UI"/>
          <w:sz w:val="21"/>
          <w:szCs w:val="21"/>
        </w:rPr>
      </w:pPr>
      <w:bookmarkStart w:id="34" w:name="_Toc99282040"/>
      <w:r w:rsidRPr="00672AB0">
        <w:rPr>
          <w:rFonts w:ascii="Segoe UI" w:hAnsi="Segoe UI" w:cs="Segoe UI"/>
          <w:b/>
          <w:sz w:val="21"/>
          <w:szCs w:val="21"/>
        </w:rPr>
        <w:t xml:space="preserve">Previous </w:t>
      </w:r>
      <w:r w:rsidRPr="00FE309B">
        <w:rPr>
          <w:rFonts w:ascii="Segoe UI" w:hAnsi="Segoe UI" w:cs="Segoe UI"/>
          <w:b/>
          <w:sz w:val="21"/>
          <w:szCs w:val="21"/>
        </w:rPr>
        <w:t>y</w:t>
      </w:r>
      <w:r w:rsidRPr="00672AB0">
        <w:rPr>
          <w:rFonts w:ascii="Segoe UI" w:hAnsi="Segoe UI" w:cs="Segoe UI"/>
          <w:b/>
          <w:sz w:val="21"/>
          <w:szCs w:val="21"/>
        </w:rPr>
        <w:t xml:space="preserve">ear </w:t>
      </w:r>
      <w:r w:rsidRPr="00FE309B">
        <w:rPr>
          <w:rFonts w:ascii="Segoe UI" w:hAnsi="Segoe UI" w:cs="Segoe UI"/>
          <w:b/>
          <w:sz w:val="21"/>
          <w:szCs w:val="21"/>
        </w:rPr>
        <w:t>l</w:t>
      </w:r>
      <w:r w:rsidRPr="00672AB0">
        <w:rPr>
          <w:rFonts w:ascii="Segoe UI" w:hAnsi="Segoe UI" w:cs="Segoe UI"/>
          <w:b/>
          <w:sz w:val="21"/>
          <w:szCs w:val="21"/>
        </w:rPr>
        <w:t xml:space="preserve">oss and </w:t>
      </w:r>
      <w:r w:rsidRPr="00FE309B">
        <w:rPr>
          <w:rFonts w:ascii="Segoe UI" w:hAnsi="Segoe UI" w:cs="Segoe UI"/>
          <w:b/>
          <w:sz w:val="21"/>
          <w:szCs w:val="21"/>
        </w:rPr>
        <w:t>l</w:t>
      </w:r>
      <w:r w:rsidRPr="00672AB0">
        <w:rPr>
          <w:rFonts w:ascii="Segoe UI" w:hAnsi="Segoe UI" w:cs="Segoe UI"/>
          <w:b/>
          <w:sz w:val="21"/>
          <w:szCs w:val="21"/>
        </w:rPr>
        <w:t xml:space="preserve">oss </w:t>
      </w:r>
      <w:r w:rsidRPr="00FE309B">
        <w:rPr>
          <w:rFonts w:ascii="Segoe UI" w:hAnsi="Segoe UI" w:cs="Segoe UI"/>
          <w:b/>
          <w:sz w:val="21"/>
          <w:szCs w:val="21"/>
        </w:rPr>
        <w:t>c</w:t>
      </w:r>
      <w:r w:rsidRPr="00672AB0">
        <w:rPr>
          <w:rFonts w:ascii="Segoe UI" w:hAnsi="Segoe UI" w:cs="Segoe UI"/>
          <w:b/>
          <w:sz w:val="21"/>
          <w:szCs w:val="21"/>
        </w:rPr>
        <w:t>arryforward</w:t>
      </w:r>
      <w:bookmarkEnd w:id="34"/>
      <w:r>
        <w:rPr>
          <w:rFonts w:ascii="Segoe UI" w:hAnsi="Segoe UI" w:cs="Segoe UI"/>
          <w:sz w:val="21"/>
          <w:szCs w:val="21"/>
        </w:rPr>
        <w:t xml:space="preserve">: should be disabled to ensure the analysis captures the tax base from only one fiscal year. Negative net income and net tax is allowed in lieu of the loss carryforward to capture the impact of </w:t>
      </w:r>
      <w:r w:rsidR="00EF3B10">
        <w:rPr>
          <w:rFonts w:ascii="Segoe UI" w:hAnsi="Segoe UI" w:cs="Segoe UI"/>
          <w:sz w:val="21"/>
          <w:szCs w:val="21"/>
        </w:rPr>
        <w:t>TE</w:t>
      </w:r>
      <w:r>
        <w:rPr>
          <w:rFonts w:ascii="Segoe UI" w:hAnsi="Segoe UI" w:cs="Segoe UI"/>
          <w:sz w:val="21"/>
          <w:szCs w:val="21"/>
        </w:rPr>
        <w:t xml:space="preserve">s on taxpayers in a loss position. </w:t>
      </w:r>
      <w:r w:rsidR="00FE309B">
        <w:rPr>
          <w:rFonts w:ascii="Segoe UI" w:hAnsi="Segoe UI" w:cs="Segoe UI"/>
          <w:sz w:val="21"/>
          <w:szCs w:val="21"/>
        </w:rPr>
        <w:t>By replacing the loss carryforward with negative income in the current fiscal year, it is important to also disable the previous year loss to avoid underestimating the overall tax base.</w:t>
      </w:r>
    </w:p>
    <w:p w14:paraId="3CD57B69" w14:textId="1B42E319" w:rsidR="00FE309B" w:rsidRDefault="00672AB0" w:rsidP="00E90BA7">
      <w:pPr>
        <w:pStyle w:val="ListParagraph"/>
        <w:numPr>
          <w:ilvl w:val="0"/>
          <w:numId w:val="24"/>
        </w:numPr>
        <w:spacing w:after="200"/>
        <w:jc w:val="both"/>
        <w:rPr>
          <w:rFonts w:ascii="Segoe UI" w:hAnsi="Segoe UI" w:cs="Segoe UI"/>
          <w:sz w:val="21"/>
          <w:szCs w:val="21"/>
          <w:lang w:val="en-CA"/>
        </w:rPr>
      </w:pPr>
      <w:r w:rsidRPr="00FE309B">
        <w:rPr>
          <w:rFonts w:ascii="Segoe UI" w:hAnsi="Segoe UI" w:cs="Segoe UI"/>
          <w:b/>
          <w:sz w:val="21"/>
          <w:szCs w:val="21"/>
          <w:lang w:val="en-CA"/>
        </w:rPr>
        <w:lastRenderedPageBreak/>
        <w:t>Tax rate</w:t>
      </w:r>
      <w:r>
        <w:rPr>
          <w:rFonts w:ascii="Segoe UI" w:hAnsi="Segoe UI" w:cs="Segoe UI"/>
          <w:sz w:val="21"/>
          <w:szCs w:val="21"/>
          <w:lang w:val="en-CA"/>
        </w:rPr>
        <w:t>:</w:t>
      </w:r>
      <w:r w:rsidR="00FE309B">
        <w:rPr>
          <w:rFonts w:ascii="Segoe UI" w:hAnsi="Segoe UI" w:cs="Segoe UI"/>
          <w:sz w:val="21"/>
          <w:szCs w:val="21"/>
          <w:lang w:val="en-CA"/>
        </w:rPr>
        <w:t xml:space="preserve"> should be calculated using the tax paid relative to taxable income, or imputed at either the benchmark rate, or a reduced rate if one is known to apply (e.g.</w:t>
      </w:r>
      <w:r w:rsidR="00215F5D">
        <w:rPr>
          <w:rFonts w:ascii="Segoe UI" w:hAnsi="Segoe UI" w:cs="Segoe UI"/>
          <w:sz w:val="21"/>
          <w:szCs w:val="21"/>
          <w:lang w:val="en-CA"/>
        </w:rPr>
        <w:t>,</w:t>
      </w:r>
      <w:r w:rsidR="00FE309B">
        <w:rPr>
          <w:rFonts w:ascii="Segoe UI" w:hAnsi="Segoe UI" w:cs="Segoe UI"/>
          <w:sz w:val="21"/>
          <w:szCs w:val="21"/>
          <w:lang w:val="en-CA"/>
        </w:rPr>
        <w:t xml:space="preserve"> the 7</w:t>
      </w:r>
      <w:r w:rsidR="00215F5D">
        <w:rPr>
          <w:rFonts w:ascii="Segoe UI" w:hAnsi="Segoe UI" w:cs="Segoe UI"/>
          <w:sz w:val="21"/>
          <w:szCs w:val="21"/>
          <w:lang w:val="en-CA"/>
        </w:rPr>
        <w:t xml:space="preserve"> percent </w:t>
      </w:r>
      <w:r w:rsidR="00FE309B">
        <w:rPr>
          <w:rFonts w:ascii="Segoe UI" w:hAnsi="Segoe UI" w:cs="Segoe UI"/>
          <w:sz w:val="21"/>
          <w:szCs w:val="21"/>
          <w:lang w:val="en-CA"/>
        </w:rPr>
        <w:t>reduced BIT rate for farmers based on the industry code).</w:t>
      </w:r>
    </w:p>
    <w:p w14:paraId="75A61BA8" w14:textId="0FF99F35" w:rsidR="00672AB0" w:rsidRDefault="00FE309B" w:rsidP="00E90BA7">
      <w:pPr>
        <w:pStyle w:val="ListParagraph"/>
        <w:numPr>
          <w:ilvl w:val="0"/>
          <w:numId w:val="24"/>
        </w:numPr>
        <w:spacing w:after="200"/>
        <w:jc w:val="both"/>
        <w:rPr>
          <w:rFonts w:ascii="Segoe UI" w:hAnsi="Segoe UI" w:cs="Segoe UI"/>
          <w:sz w:val="21"/>
          <w:szCs w:val="21"/>
          <w:lang w:val="en-CA"/>
        </w:rPr>
      </w:pPr>
      <w:r w:rsidRPr="00FE309B">
        <w:rPr>
          <w:rFonts w:ascii="Segoe UI" w:hAnsi="Segoe UI" w:cs="Segoe UI"/>
          <w:b/>
          <w:sz w:val="21"/>
          <w:szCs w:val="21"/>
          <w:lang w:val="en-CA"/>
        </w:rPr>
        <w:t>Reference values</w:t>
      </w:r>
      <w:r>
        <w:rPr>
          <w:rFonts w:ascii="Segoe UI" w:hAnsi="Segoe UI" w:cs="Segoe UI"/>
          <w:sz w:val="21"/>
          <w:szCs w:val="21"/>
          <w:lang w:val="en-CA"/>
        </w:rPr>
        <w:t xml:space="preserve">: reference values must be derived and used as a comparison reference when calculating </w:t>
      </w:r>
      <w:r w:rsidR="00EF3B10">
        <w:rPr>
          <w:rFonts w:ascii="Segoe UI" w:hAnsi="Segoe UI" w:cs="Segoe UI"/>
          <w:sz w:val="21"/>
          <w:szCs w:val="21"/>
          <w:lang w:val="en-CA"/>
        </w:rPr>
        <w:t>TE</w:t>
      </w:r>
      <w:r>
        <w:rPr>
          <w:rFonts w:ascii="Segoe UI" w:hAnsi="Segoe UI" w:cs="Segoe UI"/>
          <w:sz w:val="21"/>
          <w:szCs w:val="21"/>
          <w:lang w:val="en-CA"/>
        </w:rPr>
        <w:t>s instead of the net tax from the data, because differences arise due to data error, as well as the adjustments described above.</w:t>
      </w:r>
    </w:p>
    <w:p w14:paraId="04F90896" w14:textId="5F8117D3" w:rsidR="00FE309B" w:rsidRPr="00FE309B" w:rsidRDefault="00FE309B" w:rsidP="00E90BA7">
      <w:pPr>
        <w:spacing w:after="200"/>
        <w:jc w:val="both"/>
        <w:rPr>
          <w:rFonts w:ascii="Segoe UI" w:hAnsi="Segoe UI" w:cs="Segoe UI"/>
          <w:sz w:val="21"/>
          <w:szCs w:val="21"/>
          <w:lang w:val="en-CA"/>
        </w:rPr>
      </w:pPr>
      <w:r>
        <w:rPr>
          <w:rFonts w:ascii="Segoe UI" w:hAnsi="Segoe UI" w:cs="Segoe UI"/>
          <w:sz w:val="21"/>
          <w:szCs w:val="21"/>
          <w:lang w:val="en-CA"/>
        </w:rPr>
        <w:t>Once a model is constructed using the tax microdata as inputs</w:t>
      </w:r>
      <w:r w:rsidR="00CD6285">
        <w:rPr>
          <w:rFonts w:ascii="Segoe UI" w:hAnsi="Segoe UI" w:cs="Segoe UI"/>
          <w:sz w:val="21"/>
          <w:szCs w:val="21"/>
          <w:lang w:val="en-CA"/>
        </w:rPr>
        <w:t xml:space="preserve">, while accounting for the adjustments described above in the calculations, the TEs can be estimated by toggling them on and off in the simulation. </w:t>
      </w:r>
    </w:p>
    <w:p w14:paraId="47F2A71D" w14:textId="209334EF" w:rsidR="000C2B1D" w:rsidRPr="00CB1E53" w:rsidRDefault="000C2B1D" w:rsidP="00E90BA7">
      <w:pPr>
        <w:pStyle w:val="Heading3"/>
        <w:keepNext/>
        <w:jc w:val="both"/>
        <w:rPr>
          <w:rStyle w:val="RegularDKB"/>
          <w:caps w:val="0"/>
        </w:rPr>
      </w:pPr>
      <w:bookmarkStart w:id="35" w:name="_Toc126555835"/>
      <w:r w:rsidRPr="00CB1E53">
        <w:rPr>
          <w:rStyle w:val="RegularDKB"/>
          <w:caps w:val="0"/>
        </w:rPr>
        <w:t>Tax Expenditures Methodology for VAT</w:t>
      </w:r>
      <w:bookmarkEnd w:id="35"/>
    </w:p>
    <w:p w14:paraId="4301F175" w14:textId="77777777" w:rsidR="000C2B1D" w:rsidRPr="005F04B5" w:rsidRDefault="000C2B1D" w:rsidP="00E90BA7">
      <w:pPr>
        <w:pStyle w:val="Heading4"/>
        <w:jc w:val="both"/>
        <w:rPr>
          <w:rFonts w:ascii="Segoe UI" w:hAnsi="Segoe UI" w:cs="Segoe UI"/>
          <w:color w:val="004C97" w:themeColor="text2"/>
        </w:rPr>
      </w:pPr>
      <w:bookmarkStart w:id="36" w:name="_5rqyv43fsa8k"/>
      <w:bookmarkEnd w:id="36"/>
      <w:r w:rsidRPr="005F04B5">
        <w:rPr>
          <w:rFonts w:ascii="Segoe UI" w:hAnsi="Segoe UI" w:cs="Segoe UI"/>
          <w:color w:val="004C97" w:themeColor="text2"/>
        </w:rPr>
        <w:t>Data Sources</w:t>
      </w:r>
    </w:p>
    <w:p w14:paraId="3C98DAE3" w14:textId="49907347" w:rsidR="000C2B1D"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 xml:space="preserve">In most cases, vendors of commodities are not required to determine whether their goods and services were sold to firms eligible for input tax credits or consumers who cannot claim VAT relief. Consequently, determining the </w:t>
      </w:r>
      <w:r w:rsidR="00974F62">
        <w:rPr>
          <w:rFonts w:ascii="Segoe UI" w:hAnsi="Segoe UI" w:cs="Segoe UI"/>
          <w:sz w:val="21"/>
          <w:szCs w:val="21"/>
        </w:rPr>
        <w:t xml:space="preserve">TE </w:t>
      </w:r>
      <w:r w:rsidRPr="00CB1E53">
        <w:rPr>
          <w:rFonts w:ascii="Segoe UI" w:hAnsi="Segoe UI" w:cs="Segoe UI"/>
          <w:sz w:val="21"/>
          <w:szCs w:val="21"/>
        </w:rPr>
        <w:t xml:space="preserve">requires detailed knowledge as to whether the commodities are consumed by businesses that are eligible for input tax credits (ITCs), or final consumers. The only data source that can be used to disentangle purchases on which firms can claim ITCs or final consumers in Moldova is the Supply-Use Tables (SUTs) produced by the National Bureau of Statistics </w:t>
      </w:r>
      <w:r w:rsidR="00E94EA0">
        <w:rPr>
          <w:rFonts w:ascii="Segoe UI" w:hAnsi="Segoe UI" w:cs="Segoe UI"/>
          <w:sz w:val="21"/>
          <w:szCs w:val="21"/>
        </w:rPr>
        <w:t xml:space="preserve">(NBS) </w:t>
      </w:r>
      <w:r w:rsidRPr="00CB1E53">
        <w:rPr>
          <w:rFonts w:ascii="Segoe UI" w:hAnsi="Segoe UI" w:cs="Segoe UI"/>
          <w:sz w:val="21"/>
          <w:szCs w:val="21"/>
        </w:rPr>
        <w:t xml:space="preserve">as illustrated in Figure 2. These tables are the core data used in the Moldovan VAT </w:t>
      </w:r>
      <w:r w:rsidR="00974F62">
        <w:rPr>
          <w:rFonts w:ascii="Segoe UI" w:hAnsi="Segoe UI" w:cs="Segoe UI"/>
          <w:sz w:val="21"/>
          <w:szCs w:val="21"/>
        </w:rPr>
        <w:t>TE</w:t>
      </w:r>
      <w:r w:rsidRPr="00CB1E53">
        <w:rPr>
          <w:rFonts w:ascii="Segoe UI" w:hAnsi="Segoe UI" w:cs="Segoe UI"/>
          <w:sz w:val="21"/>
          <w:szCs w:val="21"/>
        </w:rPr>
        <w:t xml:space="preserve"> model. The model complements the SUT data with other statistical and administrative data such as national accounts and VAT declarations data.</w:t>
      </w:r>
    </w:p>
    <w:p w14:paraId="4F38625C" w14:textId="34407177" w:rsidR="000C2B1D" w:rsidRPr="00CB1E53" w:rsidRDefault="000C2B1D" w:rsidP="00E90BA7">
      <w:pPr>
        <w:pStyle w:val="Boxfiguretabletitle"/>
        <w:keepNext/>
        <w:keepLines/>
        <w:spacing w:after="120"/>
        <w:jc w:val="both"/>
        <w:rPr>
          <w:color w:val="auto"/>
        </w:rPr>
      </w:pPr>
      <w:r w:rsidRPr="00CB1E53">
        <w:rPr>
          <w:b w:val="0"/>
          <w:bCs w:val="0"/>
          <w:color w:val="auto"/>
        </w:rPr>
        <w:lastRenderedPageBreak/>
        <w:fldChar w:fldCharType="begin"/>
      </w:r>
      <w:r w:rsidRPr="00CB1E53">
        <w:rPr>
          <w:b w:val="0"/>
          <w:bCs w:val="0"/>
          <w:color w:val="auto"/>
        </w:rPr>
        <w:instrText xml:space="preserve"> TC "2. Illustrative Sup</w:instrText>
      </w:r>
      <w:r w:rsidR="00AB7911">
        <w:rPr>
          <w:b w:val="0"/>
          <w:bCs w:val="0"/>
          <w:color w:val="auto"/>
        </w:rPr>
        <w:instrText>p</w:instrText>
      </w:r>
      <w:r w:rsidRPr="00CB1E53">
        <w:rPr>
          <w:b w:val="0"/>
          <w:bCs w:val="0"/>
          <w:color w:val="auto"/>
        </w:rPr>
        <w:instrText>ly-Use Table (Input-Ou</w:instrText>
      </w:r>
      <w:r w:rsidR="00AB7911">
        <w:rPr>
          <w:b w:val="0"/>
          <w:bCs w:val="0"/>
          <w:color w:val="auto"/>
        </w:rPr>
        <w:instrText>t</w:instrText>
      </w:r>
      <w:r w:rsidRPr="00CB1E53">
        <w:rPr>
          <w:b w:val="0"/>
          <w:bCs w:val="0"/>
          <w:color w:val="auto"/>
        </w:rPr>
        <w:instrText xml:space="preserve">put Table)"\f C </w:instrText>
      </w:r>
      <w:r w:rsidRPr="00CB1E53">
        <w:rPr>
          <w:b w:val="0"/>
          <w:bCs w:val="0"/>
          <w:color w:val="auto"/>
        </w:rPr>
        <w:fldChar w:fldCharType="end"/>
      </w:r>
      <w:r w:rsidRPr="00CB1E53">
        <w:rPr>
          <w:color w:val="auto"/>
        </w:rPr>
        <w:t>Figure 2. Illustrative Sup</w:t>
      </w:r>
      <w:r w:rsidR="00AB7911">
        <w:rPr>
          <w:color w:val="auto"/>
        </w:rPr>
        <w:t>p</w:t>
      </w:r>
      <w:r w:rsidRPr="00CB1E53">
        <w:rPr>
          <w:color w:val="auto"/>
        </w:rPr>
        <w:t xml:space="preserve">ly-Use Table (Input-Output Table) </w:t>
      </w:r>
    </w:p>
    <w:p w14:paraId="4F1217F2" w14:textId="1F568E9F" w:rsidR="000C2B1D" w:rsidRPr="00CB1E53" w:rsidRDefault="000C2B1D" w:rsidP="00E90BA7">
      <w:pPr>
        <w:keepNext/>
        <w:keepLines/>
        <w:spacing w:after="200"/>
        <w:jc w:val="both"/>
        <w:rPr>
          <w:rFonts w:ascii="Segoe UI" w:hAnsi="Segoe UI" w:cs="Segoe UI"/>
          <w:sz w:val="21"/>
          <w:szCs w:val="21"/>
        </w:rPr>
      </w:pPr>
      <w:r w:rsidRPr="00CB1E53">
        <w:rPr>
          <w:rFonts w:ascii="Segoe UI" w:hAnsi="Segoe UI" w:cs="Segoe UI"/>
          <w:noProof/>
          <w:sz w:val="21"/>
          <w:szCs w:val="21"/>
        </w:rPr>
        <w:drawing>
          <wp:inline distT="0" distB="0" distL="0" distR="0" wp14:anchorId="7918D00E" wp14:editId="3C72E8B7">
            <wp:extent cx="5943600" cy="2981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614D20F6" w14:textId="77777777" w:rsidR="000C2B1D"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 xml:space="preserve">The SUTs used to develop the models are summary 2014 tables that contain 51 commodities and activities (commonly called industries or sectors). The final demand portion of the “Use” matrix provides the model with data on final consumption from households, government, and NGOs which can be used to compute tax revenues from taxable commodities. The “Supply” matrix lets the model determine the share of each “activity’s” (or sector’s) output that is exempt. The shares are then used along with the intermediate use portion of the “Use” matrix to compute tax revenues from exempt commodities. </w:t>
      </w:r>
    </w:p>
    <w:p w14:paraId="66F671CE" w14:textId="77777777" w:rsidR="000C2B1D" w:rsidRPr="005F04B5" w:rsidRDefault="000C2B1D" w:rsidP="00E90BA7">
      <w:pPr>
        <w:pStyle w:val="Heading4"/>
        <w:jc w:val="both"/>
        <w:rPr>
          <w:rFonts w:ascii="Segoe UI" w:hAnsi="Segoe UI" w:cs="Segoe UI"/>
          <w:color w:val="004C97" w:themeColor="text2"/>
        </w:rPr>
      </w:pPr>
      <w:bookmarkStart w:id="37" w:name="_f45nqpadej7r"/>
      <w:bookmarkEnd w:id="37"/>
      <w:r w:rsidRPr="005F04B5">
        <w:rPr>
          <w:rFonts w:ascii="Segoe UI" w:hAnsi="Segoe UI" w:cs="Segoe UI"/>
          <w:color w:val="004C97" w:themeColor="text2"/>
        </w:rPr>
        <w:t>Estimation Methodology</w:t>
      </w:r>
    </w:p>
    <w:p w14:paraId="1778D005" w14:textId="0BABE6B5" w:rsidR="000C2B1D"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 xml:space="preserve">Core calculations are performed twice: benchmark and simulation. In the benchmark, tax revenues are calculated under the assumption of the benchmark tax system which includes no relief apart from the zero-rating of exports. In the simulation, tax revenues are calculated under the assumptions that match the current set of </w:t>
      </w:r>
      <w:bookmarkStart w:id="38" w:name="_Hlk97069018"/>
      <w:r w:rsidR="00974F62">
        <w:rPr>
          <w:rFonts w:ascii="Segoe UI" w:hAnsi="Segoe UI" w:cs="Segoe UI"/>
          <w:sz w:val="21"/>
          <w:szCs w:val="21"/>
        </w:rPr>
        <w:t>TEs</w:t>
      </w:r>
      <w:bookmarkEnd w:id="38"/>
      <w:r w:rsidRPr="00CB1E53">
        <w:rPr>
          <w:rFonts w:ascii="Segoe UI" w:hAnsi="Segoe UI" w:cs="Segoe UI"/>
          <w:sz w:val="21"/>
          <w:szCs w:val="21"/>
        </w:rPr>
        <w:t xml:space="preserve">. Revenues forgone from </w:t>
      </w:r>
      <w:r w:rsidR="00974F62">
        <w:rPr>
          <w:rFonts w:ascii="Segoe UI" w:hAnsi="Segoe UI" w:cs="Segoe UI"/>
          <w:sz w:val="21"/>
          <w:szCs w:val="21"/>
        </w:rPr>
        <w:t xml:space="preserve">TEs </w:t>
      </w:r>
      <w:r w:rsidRPr="00CB1E53">
        <w:rPr>
          <w:rFonts w:ascii="Segoe UI" w:hAnsi="Segoe UI" w:cs="Segoe UI"/>
          <w:sz w:val="21"/>
          <w:szCs w:val="21"/>
        </w:rPr>
        <w:t xml:space="preserve">are estimated by removing the </w:t>
      </w:r>
      <w:r w:rsidR="00974F62">
        <w:rPr>
          <w:rFonts w:ascii="Segoe UI" w:hAnsi="Segoe UI" w:cs="Segoe UI"/>
          <w:sz w:val="21"/>
          <w:szCs w:val="21"/>
        </w:rPr>
        <w:t>TE</w:t>
      </w:r>
      <w:r w:rsidRPr="00CB1E53">
        <w:rPr>
          <w:rFonts w:ascii="Segoe UI" w:hAnsi="Segoe UI" w:cs="Segoe UI"/>
          <w:sz w:val="21"/>
          <w:szCs w:val="21"/>
        </w:rPr>
        <w:t xml:space="preserve"> from the simulation, such that revenues increase in the simulation relative to the calibrated scenario (for positive </w:t>
      </w:r>
      <w:r w:rsidR="00974F62">
        <w:rPr>
          <w:rFonts w:ascii="Segoe UI" w:hAnsi="Segoe UI" w:cs="Segoe UI"/>
          <w:sz w:val="21"/>
          <w:szCs w:val="21"/>
        </w:rPr>
        <w:t>TEs</w:t>
      </w:r>
      <w:r w:rsidRPr="00CB1E53">
        <w:rPr>
          <w:rFonts w:ascii="Segoe UI" w:hAnsi="Segoe UI" w:cs="Segoe UI"/>
          <w:sz w:val="21"/>
          <w:szCs w:val="21"/>
        </w:rPr>
        <w:t>). The change in revenues are the estimates of revenues forgone.</w:t>
      </w:r>
    </w:p>
    <w:p w14:paraId="10D0FDAD" w14:textId="44CE09EF" w:rsidR="000C2B1D" w:rsidRPr="00CB1E53" w:rsidRDefault="005E267A" w:rsidP="00E90BA7">
      <w:pPr>
        <w:jc w:val="both"/>
        <w:rPr>
          <w:rStyle w:val="Emphasis"/>
          <w:rFonts w:ascii="Segoe UI" w:hAnsi="Segoe UI" w:cs="Segoe UI"/>
          <w:color w:val="004C97" w:themeColor="text2"/>
        </w:rPr>
      </w:pPr>
      <w:bookmarkStart w:id="39" w:name="_v7sm83xokzmg"/>
      <w:bookmarkEnd w:id="39"/>
      <w:r w:rsidRPr="00CB1E53">
        <w:rPr>
          <w:rStyle w:val="Emphasis"/>
          <w:rFonts w:ascii="Segoe UI" w:hAnsi="Segoe UI" w:cs="Segoe UI"/>
          <w:caps/>
          <w:color w:val="004C97" w:themeColor="text2"/>
        </w:rPr>
        <w:t>C</w:t>
      </w:r>
      <w:r w:rsidRPr="00CB1E53">
        <w:rPr>
          <w:rStyle w:val="Emphasis"/>
          <w:rFonts w:ascii="Segoe UI" w:hAnsi="Segoe UI" w:cs="Segoe UI"/>
          <w:color w:val="004C97" w:themeColor="text2"/>
        </w:rPr>
        <w:t>alculations</w:t>
      </w:r>
    </w:p>
    <w:p w14:paraId="76B27BF5" w14:textId="23DB03E1" w:rsidR="000C2B1D"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Simulated tax from final consumption and from intermediate inputs are estimated separately.</w:t>
      </w:r>
      <w:r w:rsidR="00F21F7B" w:rsidRPr="00CB1E53">
        <w:rPr>
          <w:rFonts w:ascii="Segoe UI" w:hAnsi="Segoe UI" w:cs="Segoe UI"/>
          <w:sz w:val="21"/>
          <w:szCs w:val="21"/>
        </w:rPr>
        <w:t xml:space="preserve"> </w:t>
      </w:r>
      <w:r w:rsidRPr="00CB1E53">
        <w:rPr>
          <w:rFonts w:ascii="Segoe UI" w:hAnsi="Segoe UI" w:cs="Segoe UI"/>
          <w:sz w:val="21"/>
          <w:szCs w:val="21"/>
        </w:rPr>
        <w:t>The model assumes that final consumption is taxed at the average weighted VAT rate based on the share of each commodity that is fully taxable—at 20</w:t>
      </w:r>
      <w:r w:rsidR="006E653B" w:rsidRPr="00CB1E53">
        <w:rPr>
          <w:rFonts w:ascii="Segoe UI" w:hAnsi="Segoe UI" w:cs="Segoe UI"/>
          <w:sz w:val="21"/>
          <w:szCs w:val="21"/>
        </w:rPr>
        <w:t xml:space="preserve"> percent</w:t>
      </w:r>
      <w:r w:rsidRPr="00CB1E53">
        <w:rPr>
          <w:rFonts w:ascii="Segoe UI" w:hAnsi="Segoe UI" w:cs="Segoe UI"/>
          <w:sz w:val="21"/>
          <w:szCs w:val="21"/>
        </w:rPr>
        <w:t>—subject to a reduced rate—6, 8 or 12</w:t>
      </w:r>
      <w:r w:rsidR="006E653B" w:rsidRPr="00CB1E53">
        <w:rPr>
          <w:rFonts w:ascii="Segoe UI" w:hAnsi="Segoe UI" w:cs="Segoe UI"/>
          <w:sz w:val="21"/>
          <w:szCs w:val="21"/>
        </w:rPr>
        <w:t xml:space="preserve"> percent</w:t>
      </w:r>
      <w:r w:rsidRPr="00CB1E53">
        <w:rPr>
          <w:rFonts w:ascii="Segoe UI" w:hAnsi="Segoe UI" w:cs="Segoe UI"/>
          <w:sz w:val="21"/>
          <w:szCs w:val="21"/>
        </w:rPr>
        <w:t>—and not taxed—i.e.</w:t>
      </w:r>
      <w:r w:rsidR="005E267A" w:rsidRPr="00CB1E53">
        <w:rPr>
          <w:rFonts w:ascii="Segoe UI" w:hAnsi="Segoe UI" w:cs="Segoe UI"/>
          <w:sz w:val="21"/>
          <w:szCs w:val="21"/>
        </w:rPr>
        <w:t>,</w:t>
      </w:r>
      <w:r w:rsidRPr="00CB1E53">
        <w:rPr>
          <w:rFonts w:ascii="Segoe UI" w:hAnsi="Segoe UI" w:cs="Segoe UI"/>
          <w:sz w:val="21"/>
          <w:szCs w:val="21"/>
        </w:rPr>
        <w:t xml:space="preserve"> exempt</w:t>
      </w:r>
      <w:r w:rsidR="0007457E">
        <w:rPr>
          <w:rFonts w:ascii="Segoe UI" w:hAnsi="Segoe UI" w:cs="Segoe UI"/>
          <w:sz w:val="21"/>
          <w:szCs w:val="21"/>
        </w:rPr>
        <w:t>,</w:t>
      </w:r>
      <w:r w:rsidRPr="00CB1E53">
        <w:rPr>
          <w:rFonts w:ascii="Segoe UI" w:hAnsi="Segoe UI" w:cs="Segoe UI"/>
          <w:sz w:val="21"/>
          <w:szCs w:val="21"/>
        </w:rPr>
        <w:t xml:space="preserve"> and zero-rated commodities. </w:t>
      </w:r>
    </w:p>
    <w:p w14:paraId="384A64DC" w14:textId="77777777" w:rsidR="000C2B1D"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 xml:space="preserve">Tax on intermediate inputs is calculated by applying VAT on intermediate inputs used into the production of exempt commodities at the average weighted VAT rate of the inputs used. </w:t>
      </w:r>
    </w:p>
    <w:p w14:paraId="190C1355" w14:textId="2F851E7F" w:rsidR="000C2B1D" w:rsidRPr="00CB1E53" w:rsidRDefault="000C2B1D" w:rsidP="00E90BA7">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lastRenderedPageBreak/>
        <w:t>First, the share of industry output that is exempt is calculated by weighing the share of each commodity that is exempt—from the dashboard—by the relative output of each commodity in each activity.</w:t>
      </w:r>
      <w:r w:rsidRPr="00CB1E53">
        <w:rPr>
          <w:rFonts w:ascii="Segoe UI" w:hAnsi="Segoe UI" w:cs="Segoe UI"/>
          <w:sz w:val="21"/>
          <w:szCs w:val="21"/>
          <w:vertAlign w:val="superscript"/>
        </w:rPr>
        <w:footnoteReference w:id="33"/>
      </w:r>
    </w:p>
    <w:p w14:paraId="7F4E5B53" w14:textId="77777777" w:rsidR="000C2B1D" w:rsidRPr="00CB1E53" w:rsidRDefault="000C2B1D" w:rsidP="00E90BA7">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t xml:space="preserve">The share of each industry’s output that is exported is brought in to gross down the exempt share as commodities that are normally exempt are zero-rated when exported. </w:t>
      </w:r>
    </w:p>
    <w:p w14:paraId="7C1268DF" w14:textId="77777777" w:rsidR="000C2B1D" w:rsidRPr="00CB1E53" w:rsidRDefault="000C2B1D" w:rsidP="00E90BA7">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t>The share of each activity’s inputs that are not eligible for input tax credits are calculated by multiplying the exempt share by the share of domestic production that is not exported.</w:t>
      </w:r>
    </w:p>
    <w:p w14:paraId="694E3E9A" w14:textId="77777777" w:rsidR="000C2B1D" w:rsidRPr="00CB1E53" w:rsidRDefault="000C2B1D" w:rsidP="00E90BA7">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t>The share of each activity’s inputs that are not eligible for input tax credits is multiplied by the average VAT rate — weighted using the taxable and reduced rate shares — of the inputs used.</w:t>
      </w:r>
      <w:r w:rsidRPr="00CB1E53">
        <w:rPr>
          <w:rFonts w:ascii="Segoe UI" w:hAnsi="Segoe UI" w:cs="Segoe UI"/>
          <w:sz w:val="21"/>
          <w:szCs w:val="21"/>
          <w:vertAlign w:val="superscript"/>
        </w:rPr>
        <w:footnoteReference w:id="34"/>
      </w:r>
    </w:p>
    <w:p w14:paraId="79C48311" w14:textId="77777777" w:rsidR="000C2B1D" w:rsidRPr="00CB1E53" w:rsidRDefault="000C2B1D" w:rsidP="00E90BA7">
      <w:pPr>
        <w:numPr>
          <w:ilvl w:val="0"/>
          <w:numId w:val="16"/>
        </w:numPr>
        <w:spacing w:after="200" w:line="276" w:lineRule="auto"/>
        <w:jc w:val="both"/>
        <w:rPr>
          <w:rFonts w:ascii="Segoe UI" w:hAnsi="Segoe UI" w:cs="Segoe UI"/>
          <w:sz w:val="21"/>
          <w:szCs w:val="21"/>
        </w:rPr>
      </w:pPr>
      <w:r w:rsidRPr="00CB1E53">
        <w:rPr>
          <w:rFonts w:ascii="Segoe UI" w:hAnsi="Segoe UI" w:cs="Segoe UI"/>
          <w:sz w:val="21"/>
          <w:szCs w:val="21"/>
        </w:rPr>
        <w:t>Finally, the effective VAT rate on intermediate inputs, is multiplied by the use matrix in net purchaser price to calculate VAT revenues from intermediate inputs.</w:t>
      </w:r>
    </w:p>
    <w:p w14:paraId="02E51D50" w14:textId="77777777" w:rsidR="000C2B1D" w:rsidRPr="00CB1E53" w:rsidRDefault="000C2B1D" w:rsidP="00E90BA7">
      <w:pPr>
        <w:keepNext/>
        <w:jc w:val="both"/>
        <w:rPr>
          <w:rStyle w:val="Emphasis"/>
          <w:color w:val="004C97" w:themeColor="text2"/>
        </w:rPr>
      </w:pPr>
      <w:bookmarkStart w:id="40" w:name="_lbxu6io26dt3"/>
      <w:bookmarkEnd w:id="40"/>
      <w:r w:rsidRPr="00CB1E53">
        <w:rPr>
          <w:rStyle w:val="Emphasis"/>
          <w:color w:val="004C97" w:themeColor="text2"/>
        </w:rPr>
        <w:t>Interpretation of Estimates</w:t>
      </w:r>
    </w:p>
    <w:p w14:paraId="2AA23C89" w14:textId="59F9CAC4" w:rsidR="000C2B1D" w:rsidRPr="00CB1E53" w:rsidRDefault="000C2B1D" w:rsidP="00E90BA7">
      <w:pPr>
        <w:keepNext/>
        <w:spacing w:after="200"/>
        <w:jc w:val="both"/>
        <w:rPr>
          <w:rFonts w:ascii="Segoe UI" w:hAnsi="Segoe UI" w:cs="Segoe UI"/>
          <w:sz w:val="21"/>
          <w:szCs w:val="21"/>
        </w:rPr>
      </w:pPr>
      <w:r w:rsidRPr="00CB1E53">
        <w:rPr>
          <w:rFonts w:ascii="Segoe UI" w:hAnsi="Segoe UI" w:cs="Segoe UI"/>
          <w:sz w:val="21"/>
          <w:szCs w:val="21"/>
        </w:rPr>
        <w:t xml:space="preserve">The VAT </w:t>
      </w:r>
      <w:r w:rsidR="00EC7E13">
        <w:rPr>
          <w:rFonts w:ascii="Segoe UI" w:hAnsi="Segoe UI" w:cs="Segoe UI"/>
          <w:sz w:val="21"/>
          <w:szCs w:val="21"/>
        </w:rPr>
        <w:t xml:space="preserve">TEs </w:t>
      </w:r>
      <w:r w:rsidRPr="00CB1E53">
        <w:rPr>
          <w:rFonts w:ascii="Segoe UI" w:hAnsi="Segoe UI" w:cs="Segoe UI"/>
          <w:sz w:val="21"/>
          <w:szCs w:val="21"/>
        </w:rPr>
        <w:t xml:space="preserve">are estimates of revenues forgone. They are hence estimates of the additional revenues that would be raised from removing the </w:t>
      </w:r>
      <w:r w:rsidR="00EC7E13">
        <w:rPr>
          <w:rFonts w:ascii="Segoe UI" w:hAnsi="Segoe UI" w:cs="Segoe UI"/>
          <w:sz w:val="21"/>
          <w:szCs w:val="21"/>
        </w:rPr>
        <w:t xml:space="preserve">TEs </w:t>
      </w:r>
      <w:r w:rsidRPr="00CB1E53">
        <w:rPr>
          <w:rFonts w:ascii="Segoe UI" w:hAnsi="Segoe UI" w:cs="Segoe UI"/>
          <w:sz w:val="21"/>
          <w:szCs w:val="21"/>
        </w:rPr>
        <w:t>in the absence of behavioral response. Their accuracy in forecasting the additional revenues associated with policy changes depends on the extent to which behavioral responses matter for the targeted commodity. In most instances, behavioral responses are relatively small for VAT policy changes, particularly for small policy changes.</w:t>
      </w:r>
    </w:p>
    <w:p w14:paraId="2CF92FA3" w14:textId="2A92BB14" w:rsidR="000C2B1D"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 xml:space="preserve">Interaction effects are important to keep in mind when interpreting estimates. Policies interact with one another, and so changes to multiple policies together will not generally lead to total revenues forgone equal to the sum of the individual revenues forgone estimates. The model used to compute the VAT </w:t>
      </w:r>
      <w:r w:rsidR="008730C8">
        <w:rPr>
          <w:rFonts w:ascii="Segoe UI" w:hAnsi="Segoe UI" w:cs="Segoe UI"/>
          <w:sz w:val="21"/>
          <w:szCs w:val="21"/>
        </w:rPr>
        <w:t xml:space="preserve">TEs </w:t>
      </w:r>
      <w:r w:rsidRPr="00CB1E53">
        <w:rPr>
          <w:rFonts w:ascii="Segoe UI" w:hAnsi="Segoe UI" w:cs="Segoe UI"/>
          <w:sz w:val="21"/>
          <w:szCs w:val="21"/>
        </w:rPr>
        <w:t>accounts for interaction effects and can be used to estimate the revenues forgone associated with multiple policies.</w:t>
      </w:r>
    </w:p>
    <w:p w14:paraId="6EA53EDA" w14:textId="77777777" w:rsidR="000C2B1D" w:rsidRPr="00CB1E53" w:rsidRDefault="000C2B1D" w:rsidP="00E90BA7">
      <w:pPr>
        <w:jc w:val="both"/>
        <w:rPr>
          <w:rStyle w:val="Emphasis"/>
          <w:color w:val="004C97" w:themeColor="text2"/>
        </w:rPr>
      </w:pPr>
      <w:bookmarkStart w:id="41" w:name="_4fzlwoxusbg7"/>
      <w:bookmarkEnd w:id="41"/>
      <w:r w:rsidRPr="00CB1E53">
        <w:rPr>
          <w:rStyle w:val="Emphasis"/>
          <w:color w:val="004C97" w:themeColor="text2"/>
        </w:rPr>
        <w:t>Projection of Estimates</w:t>
      </w:r>
    </w:p>
    <w:p w14:paraId="6971AB31" w14:textId="70E2D4DC" w:rsidR="00CB1E53" w:rsidRPr="00CB1E53" w:rsidRDefault="000C2B1D" w:rsidP="00E90BA7">
      <w:pPr>
        <w:spacing w:after="200"/>
        <w:jc w:val="both"/>
        <w:rPr>
          <w:rFonts w:ascii="Segoe UI" w:hAnsi="Segoe UI" w:cs="Segoe UI"/>
          <w:sz w:val="21"/>
          <w:szCs w:val="21"/>
        </w:rPr>
      </w:pPr>
      <w:r w:rsidRPr="00CB1E53">
        <w:rPr>
          <w:rFonts w:ascii="Segoe UI" w:hAnsi="Segoe UI" w:cs="Segoe UI"/>
          <w:sz w:val="21"/>
          <w:szCs w:val="21"/>
        </w:rPr>
        <w:t xml:space="preserve">The core statistical SUTs provide the model with the structure of the economy as of 2014. The model estimates </w:t>
      </w:r>
      <w:r w:rsidR="008730C8">
        <w:rPr>
          <w:rFonts w:ascii="Segoe UI" w:hAnsi="Segoe UI" w:cs="Segoe UI"/>
          <w:sz w:val="21"/>
          <w:szCs w:val="21"/>
        </w:rPr>
        <w:t xml:space="preserve">TEs </w:t>
      </w:r>
      <w:r w:rsidRPr="00CB1E53">
        <w:rPr>
          <w:rFonts w:ascii="Segoe UI" w:hAnsi="Segoe UI" w:cs="Segoe UI"/>
          <w:sz w:val="21"/>
          <w:szCs w:val="21"/>
        </w:rPr>
        <w:t xml:space="preserve">for the years 2015 to 2020 by adjusting the simulation for the VAT policies in each of those years and growing the economy using aggregate final consumption expenditure. The </w:t>
      </w:r>
      <w:r w:rsidR="008730C8">
        <w:rPr>
          <w:rFonts w:ascii="Segoe UI" w:hAnsi="Segoe UI" w:cs="Segoe UI"/>
          <w:sz w:val="21"/>
          <w:szCs w:val="21"/>
        </w:rPr>
        <w:t>TEs</w:t>
      </w:r>
      <w:r w:rsidRPr="00CB1E53">
        <w:rPr>
          <w:rFonts w:ascii="Segoe UI" w:hAnsi="Segoe UI" w:cs="Segoe UI"/>
          <w:sz w:val="21"/>
          <w:szCs w:val="21"/>
        </w:rPr>
        <w:t xml:space="preserve"> are projected forward in 2021 and 2022 using the announced VAT policies — e.g.</w:t>
      </w:r>
      <w:r w:rsidR="00C95FA5" w:rsidRPr="00CB1E53">
        <w:rPr>
          <w:rFonts w:ascii="Segoe UI" w:hAnsi="Segoe UI" w:cs="Segoe UI"/>
          <w:sz w:val="21"/>
          <w:szCs w:val="21"/>
        </w:rPr>
        <w:t>,</w:t>
      </w:r>
      <w:r w:rsidRPr="00CB1E53">
        <w:rPr>
          <w:rFonts w:ascii="Segoe UI" w:hAnsi="Segoe UI" w:cs="Segoe UI"/>
          <w:sz w:val="21"/>
          <w:szCs w:val="21"/>
        </w:rPr>
        <w:t xml:space="preserve"> the 6</w:t>
      </w:r>
      <w:r w:rsidR="006E653B" w:rsidRPr="00CB1E53">
        <w:rPr>
          <w:rFonts w:ascii="Segoe UI" w:hAnsi="Segoe UI" w:cs="Segoe UI"/>
          <w:sz w:val="21"/>
          <w:szCs w:val="21"/>
        </w:rPr>
        <w:t xml:space="preserve"> percent</w:t>
      </w:r>
      <w:r w:rsidRPr="00CB1E53">
        <w:rPr>
          <w:rFonts w:ascii="Segoe UI" w:hAnsi="Segoe UI" w:cs="Segoe UI"/>
          <w:sz w:val="21"/>
          <w:szCs w:val="21"/>
        </w:rPr>
        <w:t xml:space="preserve"> reduced-</w:t>
      </w:r>
      <w:r w:rsidRPr="00CB1E53">
        <w:rPr>
          <w:rFonts w:ascii="Segoe UI" w:hAnsi="Segoe UI" w:cs="Segoe UI"/>
          <w:sz w:val="21"/>
          <w:szCs w:val="21"/>
        </w:rPr>
        <w:lastRenderedPageBreak/>
        <w:t xml:space="preserve">rate for hotels and restaurants — as well as the IMF </w:t>
      </w:r>
      <w:r w:rsidR="00C95FA5" w:rsidRPr="00CB1E53">
        <w:rPr>
          <w:rFonts w:ascii="Segoe UI" w:hAnsi="Segoe UI" w:cs="Segoe UI"/>
          <w:sz w:val="21"/>
          <w:szCs w:val="21"/>
        </w:rPr>
        <w:t>(202</w:t>
      </w:r>
      <w:r w:rsidR="007575C3" w:rsidRPr="00CB1E53">
        <w:rPr>
          <w:rFonts w:ascii="Segoe UI" w:hAnsi="Segoe UI" w:cs="Segoe UI"/>
          <w:sz w:val="21"/>
          <w:szCs w:val="21"/>
        </w:rPr>
        <w:t>2</w:t>
      </w:r>
      <w:r w:rsidR="00C95FA5" w:rsidRPr="00CB1E53">
        <w:rPr>
          <w:rFonts w:ascii="Segoe UI" w:hAnsi="Segoe UI" w:cs="Segoe UI"/>
          <w:sz w:val="21"/>
          <w:szCs w:val="21"/>
        </w:rPr>
        <w:t xml:space="preserve">) </w:t>
      </w:r>
      <w:r w:rsidRPr="00CB1E53">
        <w:rPr>
          <w:rFonts w:ascii="Segoe UI" w:hAnsi="Segoe UI" w:cs="Segoe UI"/>
          <w:sz w:val="21"/>
          <w:szCs w:val="21"/>
        </w:rPr>
        <w:t>projections of GDP and aggregate VAT revenues.</w:t>
      </w:r>
    </w:p>
    <w:p w14:paraId="00D2FCB2" w14:textId="18C75979" w:rsidR="00DD2415" w:rsidRPr="00CB1E53" w:rsidRDefault="00DD2415" w:rsidP="00E90BA7">
      <w:pPr>
        <w:pStyle w:val="Heading3"/>
        <w:jc w:val="both"/>
        <w:rPr>
          <w:rStyle w:val="RegularDKB"/>
          <w:caps w:val="0"/>
        </w:rPr>
      </w:pPr>
      <w:bookmarkStart w:id="42" w:name="_Toc126555836"/>
      <w:r w:rsidRPr="00CB1E53">
        <w:rPr>
          <w:rStyle w:val="RegularDKB"/>
          <w:caps w:val="0"/>
        </w:rPr>
        <w:t xml:space="preserve">Tax Expenditures Methodology for </w:t>
      </w:r>
      <w:r>
        <w:rPr>
          <w:rStyle w:val="RegularDKB"/>
          <w:caps w:val="0"/>
        </w:rPr>
        <w:t>Excise</w:t>
      </w:r>
      <w:r w:rsidR="00EE0E54">
        <w:rPr>
          <w:rStyle w:val="RegularDKB"/>
          <w:caps w:val="0"/>
        </w:rPr>
        <w:t xml:space="preserve"> Duties, Road Usage Fees and Import Duties</w:t>
      </w:r>
      <w:bookmarkEnd w:id="42"/>
    </w:p>
    <w:p w14:paraId="4FC453B6" w14:textId="1FE1998F" w:rsidR="00B4128C" w:rsidRPr="004A1A46" w:rsidRDefault="00B4128C" w:rsidP="00E90BA7">
      <w:pPr>
        <w:jc w:val="both"/>
        <w:rPr>
          <w:rFonts w:ascii="Segoe UI" w:hAnsi="Segoe UI" w:cs="Segoe UI"/>
          <w:sz w:val="21"/>
          <w:szCs w:val="21"/>
          <w:lang w:val="en-CA"/>
        </w:rPr>
      </w:pPr>
      <w:r w:rsidRPr="004A1A46">
        <w:rPr>
          <w:rFonts w:ascii="Segoe UI" w:hAnsi="Segoe UI" w:cs="Segoe UI"/>
          <w:sz w:val="21"/>
          <w:szCs w:val="21"/>
          <w:lang w:val="en-CA"/>
        </w:rPr>
        <w:t xml:space="preserve">Data underlying the estimates of </w:t>
      </w:r>
      <w:r w:rsidR="00EF3B10">
        <w:rPr>
          <w:rFonts w:ascii="Segoe UI" w:hAnsi="Segoe UI" w:cs="Segoe UI"/>
          <w:sz w:val="21"/>
          <w:szCs w:val="21"/>
          <w:lang w:val="en-CA"/>
        </w:rPr>
        <w:t>TE</w:t>
      </w:r>
      <w:r w:rsidRPr="004A1A46">
        <w:rPr>
          <w:rFonts w:ascii="Segoe UI" w:hAnsi="Segoe UI" w:cs="Segoe UI"/>
          <w:sz w:val="21"/>
          <w:szCs w:val="21"/>
          <w:lang w:val="en-CA"/>
        </w:rPr>
        <w:t xml:space="preserve">s for </w:t>
      </w:r>
      <w:bookmarkStart w:id="43" w:name="_Hlk126236195"/>
      <w:r w:rsidRPr="004A1A46">
        <w:rPr>
          <w:rFonts w:ascii="Segoe UI" w:hAnsi="Segoe UI" w:cs="Segoe UI"/>
          <w:sz w:val="21"/>
          <w:szCs w:val="21"/>
          <w:lang w:val="en-CA"/>
        </w:rPr>
        <w:t>excise duties, road usage fees and import duties</w:t>
      </w:r>
      <w:bookmarkEnd w:id="43"/>
      <w:r w:rsidRPr="004A1A46">
        <w:rPr>
          <w:rFonts w:ascii="Segoe UI" w:hAnsi="Segoe UI" w:cs="Segoe UI"/>
          <w:sz w:val="21"/>
          <w:szCs w:val="21"/>
          <w:lang w:val="en-CA"/>
        </w:rPr>
        <w:t xml:space="preserve"> were generally obtained from the National Bureau Statistics and Customs Service. These consist mainly in figures for domestic production and imports of excisable goods and goods subject to import tariffs. Additional statistics to inform the use of certain estimation parameters were collected from miscellaneous sources such as industry groups and specialized websites. Information to cost several </w:t>
      </w:r>
      <w:r w:rsidR="00EF3B10">
        <w:rPr>
          <w:rFonts w:ascii="Segoe UI" w:hAnsi="Segoe UI" w:cs="Segoe UI"/>
          <w:sz w:val="21"/>
          <w:szCs w:val="21"/>
          <w:lang w:val="en-CA"/>
        </w:rPr>
        <w:t>TE</w:t>
      </w:r>
      <w:r w:rsidRPr="004A1A46">
        <w:rPr>
          <w:rFonts w:ascii="Segoe UI" w:hAnsi="Segoe UI" w:cs="Segoe UI"/>
          <w:sz w:val="21"/>
          <w:szCs w:val="21"/>
          <w:lang w:val="en-CA"/>
        </w:rPr>
        <w:t>s remains lacking, as such</w:t>
      </w:r>
      <w:r w:rsidR="002B5809">
        <w:rPr>
          <w:rFonts w:ascii="Segoe UI" w:hAnsi="Segoe UI" w:cs="Segoe UI"/>
          <w:sz w:val="21"/>
          <w:szCs w:val="21"/>
          <w:lang w:val="en-CA"/>
        </w:rPr>
        <w:t>,</w:t>
      </w:r>
      <w:r w:rsidRPr="004A1A46">
        <w:rPr>
          <w:rFonts w:ascii="Segoe UI" w:hAnsi="Segoe UI" w:cs="Segoe UI"/>
          <w:sz w:val="21"/>
          <w:szCs w:val="21"/>
          <w:lang w:val="en-CA"/>
        </w:rPr>
        <w:t xml:space="preserve"> no estimates are provided for these measures. Additional details concerning the data used for the estimation can be found in the descriptions of each </w:t>
      </w:r>
      <w:r w:rsidR="00EF3B10">
        <w:rPr>
          <w:rFonts w:ascii="Segoe UI" w:hAnsi="Segoe UI" w:cs="Segoe UI"/>
          <w:sz w:val="21"/>
          <w:szCs w:val="21"/>
          <w:lang w:val="en-CA"/>
        </w:rPr>
        <w:t>TE</w:t>
      </w:r>
      <w:r w:rsidRPr="004A1A46">
        <w:rPr>
          <w:rFonts w:ascii="Segoe UI" w:hAnsi="Segoe UI" w:cs="Segoe UI"/>
          <w:sz w:val="21"/>
          <w:szCs w:val="21"/>
          <w:lang w:val="en-CA"/>
        </w:rPr>
        <w:t xml:space="preserve"> that are included in the relevant appendices to this report.</w:t>
      </w:r>
    </w:p>
    <w:p w14:paraId="39CC484E" w14:textId="7901E3DA" w:rsidR="00B4128C" w:rsidRPr="004A1A46" w:rsidRDefault="00B4128C" w:rsidP="00E90BA7">
      <w:pPr>
        <w:pStyle w:val="Heading4"/>
        <w:jc w:val="both"/>
        <w:rPr>
          <w:rFonts w:ascii="Segoe UI" w:hAnsi="Segoe UI" w:cs="Segoe UI"/>
          <w:color w:val="004C97" w:themeColor="text2"/>
          <w:lang w:val="en-CA"/>
        </w:rPr>
      </w:pPr>
      <w:r w:rsidRPr="004A1A46">
        <w:rPr>
          <w:rFonts w:ascii="Segoe UI" w:hAnsi="Segoe UI" w:cs="Segoe UI"/>
          <w:color w:val="004C97" w:themeColor="text2"/>
          <w:lang w:val="en-CA"/>
        </w:rPr>
        <w:t>Estimation Methodology</w:t>
      </w:r>
    </w:p>
    <w:p w14:paraId="6CFEB458" w14:textId="43DDAB8F" w:rsidR="00B4128C" w:rsidRPr="004A1A46" w:rsidRDefault="00B4128C" w:rsidP="00E90BA7">
      <w:pPr>
        <w:jc w:val="both"/>
        <w:rPr>
          <w:rFonts w:ascii="Segoe UI" w:hAnsi="Segoe UI" w:cs="Segoe UI"/>
          <w:sz w:val="21"/>
          <w:szCs w:val="21"/>
          <w:lang w:val="en-CA"/>
        </w:rPr>
      </w:pPr>
      <w:r w:rsidRPr="004A1A46">
        <w:rPr>
          <w:rFonts w:ascii="Segoe UI" w:hAnsi="Segoe UI" w:cs="Segoe UI"/>
          <w:sz w:val="21"/>
          <w:szCs w:val="21"/>
          <w:lang w:val="en-CA"/>
        </w:rPr>
        <w:t>T</w:t>
      </w:r>
      <w:r w:rsidR="00EF3B10">
        <w:rPr>
          <w:rFonts w:ascii="Segoe UI" w:hAnsi="Segoe UI" w:cs="Segoe UI"/>
          <w:sz w:val="21"/>
          <w:szCs w:val="21"/>
          <w:lang w:val="en-CA"/>
        </w:rPr>
        <w:t>E</w:t>
      </w:r>
      <w:r w:rsidRPr="004A1A46">
        <w:rPr>
          <w:rFonts w:ascii="Segoe UI" w:hAnsi="Segoe UI" w:cs="Segoe UI"/>
          <w:sz w:val="21"/>
          <w:szCs w:val="21"/>
          <w:lang w:val="en-CA"/>
        </w:rPr>
        <w:t xml:space="preserve">s for excise duties, road usage fees and import duties are estimated using the foregone revenue approach, on a cash-flow basis and without adjusting for inflation. The value of a </w:t>
      </w:r>
      <w:r w:rsidR="00EF3B10">
        <w:rPr>
          <w:rFonts w:ascii="Segoe UI" w:hAnsi="Segoe UI" w:cs="Segoe UI"/>
          <w:sz w:val="21"/>
          <w:szCs w:val="21"/>
          <w:lang w:val="en-CA"/>
        </w:rPr>
        <w:t>TE</w:t>
      </w:r>
      <w:r w:rsidRPr="004A1A46">
        <w:rPr>
          <w:rFonts w:ascii="Segoe UI" w:hAnsi="Segoe UI" w:cs="Segoe UI"/>
          <w:sz w:val="21"/>
          <w:szCs w:val="21"/>
          <w:lang w:val="en-CA"/>
        </w:rPr>
        <w:t xml:space="preserve"> </w:t>
      </w:r>
      <w:r w:rsidRPr="00C95A60">
        <w:rPr>
          <w:rFonts w:ascii="Segoe UI" w:hAnsi="Segoe UI" w:cs="Segoe UI"/>
          <w:sz w:val="21"/>
          <w:szCs w:val="21"/>
          <w:lang w:val="en-CA"/>
        </w:rPr>
        <w:t xml:space="preserve">is calculated as the difference between the theoretical taxes that would be payable under the benchmark (i.e., without the particular </w:t>
      </w:r>
      <w:r w:rsidR="00EF3B10">
        <w:rPr>
          <w:rFonts w:ascii="Segoe UI" w:hAnsi="Segoe UI" w:cs="Segoe UI"/>
          <w:sz w:val="21"/>
          <w:szCs w:val="21"/>
          <w:lang w:val="en-CA"/>
        </w:rPr>
        <w:t>TE</w:t>
      </w:r>
      <w:r w:rsidRPr="00C95A60">
        <w:rPr>
          <w:rFonts w:ascii="Segoe UI" w:hAnsi="Segoe UI" w:cs="Segoe UI"/>
          <w:sz w:val="21"/>
          <w:szCs w:val="21"/>
          <w:lang w:val="en-CA"/>
        </w:rPr>
        <w:t xml:space="preserve">) and the taxes actually collected (if any). The first component is generally estimated by multiplying the taxable base that is not subject to taxation or subject to reduced taxation due to the </w:t>
      </w:r>
      <w:r w:rsidR="00EF3B10">
        <w:rPr>
          <w:rFonts w:ascii="Segoe UI" w:hAnsi="Segoe UI" w:cs="Segoe UI"/>
          <w:sz w:val="21"/>
          <w:szCs w:val="21"/>
          <w:lang w:val="en-CA"/>
        </w:rPr>
        <w:t>TE</w:t>
      </w:r>
      <w:r w:rsidR="6CCDC1EC" w:rsidRPr="00C95A60">
        <w:rPr>
          <w:rFonts w:ascii="Segoe UI" w:hAnsi="Segoe UI" w:cs="Segoe UI"/>
          <w:sz w:val="21"/>
          <w:szCs w:val="21"/>
          <w:lang w:val="en-CA"/>
        </w:rPr>
        <w:t xml:space="preserve"> by the applicable benchmark tax rate</w:t>
      </w:r>
      <w:r w:rsidR="1E26A355" w:rsidRPr="00C95A60">
        <w:rPr>
          <w:rFonts w:ascii="Segoe UI" w:hAnsi="Segoe UI" w:cs="Segoe UI"/>
          <w:sz w:val="21"/>
          <w:szCs w:val="21"/>
          <w:lang w:val="en-CA"/>
        </w:rPr>
        <w:t xml:space="preserve">. </w:t>
      </w:r>
      <w:r w:rsidRPr="00C95A60">
        <w:rPr>
          <w:rFonts w:ascii="Segoe UI" w:hAnsi="Segoe UI" w:cs="Segoe UI"/>
          <w:sz w:val="21"/>
          <w:szCs w:val="21"/>
          <w:lang w:val="en-CA"/>
        </w:rPr>
        <w:t xml:space="preserve">In the case of refunds that are considered </w:t>
      </w:r>
      <w:r w:rsidR="00EF3B10">
        <w:rPr>
          <w:rFonts w:ascii="Segoe UI" w:hAnsi="Segoe UI" w:cs="Segoe UI"/>
          <w:sz w:val="21"/>
          <w:szCs w:val="21"/>
          <w:lang w:val="en-CA"/>
        </w:rPr>
        <w:t>TE</w:t>
      </w:r>
      <w:r w:rsidRPr="00C95A60">
        <w:rPr>
          <w:rFonts w:ascii="Segoe UI" w:hAnsi="Segoe UI" w:cs="Segoe UI"/>
          <w:sz w:val="21"/>
          <w:szCs w:val="21"/>
          <w:lang w:val="en-CA"/>
        </w:rPr>
        <w:t xml:space="preserve">s, the cost of the </w:t>
      </w:r>
      <w:r w:rsidR="00EF3B10">
        <w:rPr>
          <w:rFonts w:ascii="Segoe UI" w:hAnsi="Segoe UI" w:cs="Segoe UI"/>
          <w:sz w:val="21"/>
          <w:szCs w:val="21"/>
          <w:lang w:val="en-CA"/>
        </w:rPr>
        <w:t>TE</w:t>
      </w:r>
      <w:r w:rsidRPr="00C95A60">
        <w:rPr>
          <w:rFonts w:ascii="Segoe UI" w:hAnsi="Segoe UI" w:cs="Segoe UI"/>
          <w:sz w:val="21"/>
          <w:szCs w:val="21"/>
          <w:lang w:val="en-CA"/>
        </w:rPr>
        <w:t xml:space="preserve"> corresponds to the value of the taxes refunded.</w:t>
      </w:r>
      <w:r w:rsidR="00374465">
        <w:rPr>
          <w:rFonts w:ascii="Segoe UI" w:hAnsi="Segoe UI" w:cs="Segoe UI"/>
          <w:sz w:val="21"/>
          <w:szCs w:val="21"/>
          <w:lang w:val="en-CA"/>
        </w:rPr>
        <w:t xml:space="preserve"> </w:t>
      </w:r>
    </w:p>
    <w:p w14:paraId="02599646" w14:textId="5C4AD02B" w:rsidR="00B4128C" w:rsidRPr="004A1A46" w:rsidRDefault="00B4128C" w:rsidP="00E90BA7">
      <w:pPr>
        <w:jc w:val="both"/>
        <w:rPr>
          <w:rFonts w:ascii="Segoe UI" w:hAnsi="Segoe UI" w:cs="Segoe UI"/>
          <w:sz w:val="21"/>
          <w:szCs w:val="21"/>
          <w:lang w:val="en-CA"/>
        </w:rPr>
      </w:pPr>
      <w:r w:rsidRPr="004A1A46">
        <w:rPr>
          <w:rFonts w:ascii="Segoe UI" w:hAnsi="Segoe UI" w:cs="Segoe UI"/>
          <w:sz w:val="21"/>
          <w:szCs w:val="21"/>
          <w:lang w:val="en-CA"/>
        </w:rPr>
        <w:t>In theory, the estimated taxable base should account for other possible</w:t>
      </w:r>
      <w:r w:rsidR="00EF3B10">
        <w:rPr>
          <w:rFonts w:ascii="Segoe UI" w:hAnsi="Segoe UI" w:cs="Segoe UI"/>
          <w:sz w:val="21"/>
          <w:szCs w:val="21"/>
          <w:lang w:val="en-CA"/>
        </w:rPr>
        <w:t>TE</w:t>
      </w:r>
      <w:r w:rsidRPr="004A1A46">
        <w:rPr>
          <w:rFonts w:ascii="Segoe UI" w:hAnsi="Segoe UI" w:cs="Segoe UI"/>
          <w:sz w:val="21"/>
          <w:szCs w:val="21"/>
          <w:lang w:val="en-CA"/>
        </w:rPr>
        <w:t xml:space="preserve">s as per which an amount may remain eligible for preferential tax treatment. For instance, the costing of the exemption from excise duties for wines should account for the fact that returning travelers are allowed to import small quantities of wine without being charged excise duties. Often however, the information needed to perform such adjustments may not be available, which may result in the over-estimation of certain </w:t>
      </w:r>
      <w:r w:rsidR="00EF3B10">
        <w:rPr>
          <w:rFonts w:ascii="Segoe UI" w:hAnsi="Segoe UI" w:cs="Segoe UI"/>
          <w:sz w:val="21"/>
          <w:szCs w:val="21"/>
          <w:lang w:val="en-CA"/>
        </w:rPr>
        <w:t>TE</w:t>
      </w:r>
      <w:r w:rsidRPr="004A1A46">
        <w:rPr>
          <w:rFonts w:ascii="Segoe UI" w:hAnsi="Segoe UI" w:cs="Segoe UI"/>
          <w:sz w:val="21"/>
          <w:szCs w:val="21"/>
          <w:lang w:val="en-CA"/>
        </w:rPr>
        <w:t>s.</w:t>
      </w:r>
      <w:r w:rsidR="00AF302B">
        <w:rPr>
          <w:rFonts w:ascii="Segoe UI" w:hAnsi="Segoe UI" w:cs="Segoe UI"/>
          <w:sz w:val="21"/>
          <w:szCs w:val="21"/>
          <w:lang w:val="en-CA"/>
        </w:rPr>
        <w:t xml:space="preserve"> </w:t>
      </w:r>
    </w:p>
    <w:p w14:paraId="41E6AA1C" w14:textId="544E9BB0" w:rsidR="00B4128C" w:rsidRDefault="00B4128C" w:rsidP="00E90BA7">
      <w:pPr>
        <w:jc w:val="both"/>
        <w:rPr>
          <w:lang w:val="en-CA"/>
        </w:rPr>
      </w:pPr>
      <w:r w:rsidRPr="004A1A46">
        <w:rPr>
          <w:rFonts w:ascii="Segoe UI" w:hAnsi="Segoe UI" w:cs="Segoe UI"/>
          <w:sz w:val="21"/>
          <w:szCs w:val="21"/>
          <w:lang w:val="en-CA"/>
        </w:rPr>
        <w:t xml:space="preserve">In keeping with established principles, </w:t>
      </w:r>
      <w:r w:rsidR="00EF3B10">
        <w:rPr>
          <w:rFonts w:ascii="Segoe UI" w:hAnsi="Segoe UI" w:cs="Segoe UI"/>
          <w:sz w:val="21"/>
          <w:szCs w:val="21"/>
          <w:lang w:val="en-CA"/>
        </w:rPr>
        <w:t>TE</w:t>
      </w:r>
      <w:r w:rsidRPr="004A1A46">
        <w:rPr>
          <w:rFonts w:ascii="Segoe UI" w:hAnsi="Segoe UI" w:cs="Segoe UI"/>
          <w:sz w:val="21"/>
          <w:szCs w:val="21"/>
          <w:lang w:val="en-CA"/>
        </w:rPr>
        <w:t>s are estimated separately for each tax base, disregarding how changes to one tax base may possibly affect other tax bases. This has implications for the costing of excise duty and import duty expenditures, as the tax base for excise duties includes any import duties paid, while the tax base for the VAT includes any import and excise duties paid. Disregarding such interactions among tax bases results in the under-estimation of the true cost of excise and import duty expenditures</w:t>
      </w:r>
      <w:r w:rsidR="00376C10">
        <w:rPr>
          <w:rFonts w:ascii="Segoe UI" w:hAnsi="Segoe UI" w:cs="Segoe UI"/>
          <w:sz w:val="21"/>
          <w:szCs w:val="21"/>
          <w:lang w:val="en-CA"/>
        </w:rPr>
        <w:t>. U</w:t>
      </w:r>
      <w:r w:rsidRPr="004A1A46">
        <w:rPr>
          <w:rFonts w:ascii="Segoe UI" w:hAnsi="Segoe UI" w:cs="Segoe UI"/>
          <w:sz w:val="21"/>
          <w:szCs w:val="21"/>
          <w:lang w:val="en-CA"/>
        </w:rPr>
        <w:t>nfortunately, accounting for such interactions would require sources-uses data at product level, which are not currently available</w:t>
      </w:r>
      <w:r w:rsidR="001E77B9">
        <w:rPr>
          <w:rFonts w:ascii="Segoe UI" w:hAnsi="Segoe UI" w:cs="Segoe UI"/>
          <w:sz w:val="21"/>
          <w:szCs w:val="21"/>
          <w:lang w:val="en-CA"/>
        </w:rPr>
        <w:t>. T</w:t>
      </w:r>
      <w:r w:rsidRPr="004A1A46">
        <w:rPr>
          <w:rFonts w:ascii="Segoe UI" w:hAnsi="Segoe UI" w:cs="Segoe UI"/>
          <w:sz w:val="21"/>
          <w:szCs w:val="21"/>
          <w:lang w:val="en-CA"/>
        </w:rPr>
        <w:t>he work needed to account for such interactions is thus left for future development.</w:t>
      </w:r>
    </w:p>
    <w:p w14:paraId="5892C708" w14:textId="72362EA1" w:rsidR="00B4128C" w:rsidRPr="004A1A46" w:rsidRDefault="00B4128C" w:rsidP="00E90BA7">
      <w:pPr>
        <w:jc w:val="both"/>
        <w:rPr>
          <w:rFonts w:ascii="Segoe UI" w:hAnsi="Segoe UI" w:cs="Segoe UI"/>
          <w:sz w:val="21"/>
          <w:szCs w:val="21"/>
          <w:lang w:val="en-CA"/>
        </w:rPr>
      </w:pPr>
      <w:r w:rsidRPr="004A1A46">
        <w:rPr>
          <w:rFonts w:ascii="Segoe UI" w:hAnsi="Segoe UI" w:cs="Segoe UI"/>
          <w:sz w:val="21"/>
          <w:szCs w:val="21"/>
          <w:lang w:val="en-CA"/>
        </w:rPr>
        <w:t xml:space="preserve">In addition to the above, estimates of </w:t>
      </w:r>
      <w:r w:rsidR="00EF3B10">
        <w:rPr>
          <w:rFonts w:ascii="Segoe UI" w:hAnsi="Segoe UI" w:cs="Segoe UI"/>
          <w:sz w:val="21"/>
          <w:szCs w:val="21"/>
          <w:lang w:val="en-CA"/>
        </w:rPr>
        <w:t>TE</w:t>
      </w:r>
      <w:r w:rsidRPr="004A1A46">
        <w:rPr>
          <w:rFonts w:ascii="Segoe UI" w:hAnsi="Segoe UI" w:cs="Segoe UI"/>
          <w:sz w:val="21"/>
          <w:szCs w:val="21"/>
          <w:lang w:val="en-CA"/>
        </w:rPr>
        <w:t xml:space="preserve">s for excise duties, road usage fees and import duties are subject to the usual caveats, namely that estimates are derived on a static basis, assuming no behavioural changes or dynamic economic effects, and without accounting for possible interactions with other aspects of the tax system. As such, the estimated value of a </w:t>
      </w:r>
      <w:r w:rsidR="00EF3B10">
        <w:rPr>
          <w:rFonts w:ascii="Segoe UI" w:hAnsi="Segoe UI" w:cs="Segoe UI"/>
          <w:sz w:val="21"/>
          <w:szCs w:val="21"/>
          <w:lang w:val="en-CA"/>
        </w:rPr>
        <w:t>TE</w:t>
      </w:r>
      <w:r w:rsidRPr="004A1A46">
        <w:rPr>
          <w:rFonts w:ascii="Segoe UI" w:hAnsi="Segoe UI" w:cs="Segoe UI"/>
          <w:sz w:val="21"/>
          <w:szCs w:val="21"/>
          <w:lang w:val="en-CA"/>
        </w:rPr>
        <w:t xml:space="preserve"> may not correspond to the budgetary impact of repealing the </w:t>
      </w:r>
      <w:r w:rsidR="00EF3B10">
        <w:rPr>
          <w:rFonts w:ascii="Segoe UI" w:hAnsi="Segoe UI" w:cs="Segoe UI"/>
          <w:sz w:val="21"/>
          <w:szCs w:val="21"/>
          <w:lang w:val="en-CA"/>
        </w:rPr>
        <w:t>TE</w:t>
      </w:r>
      <w:r w:rsidRPr="004A1A46">
        <w:rPr>
          <w:rFonts w:ascii="Segoe UI" w:hAnsi="Segoe UI" w:cs="Segoe UI"/>
          <w:sz w:val="21"/>
          <w:szCs w:val="21"/>
          <w:lang w:val="en-CA"/>
        </w:rPr>
        <w:t>.</w:t>
      </w:r>
    </w:p>
    <w:p w14:paraId="0CB54B4C" w14:textId="13292AA1" w:rsidR="00DD2415" w:rsidRPr="00BF57F4" w:rsidRDefault="00B4128C" w:rsidP="00E90BA7">
      <w:pPr>
        <w:jc w:val="both"/>
      </w:pPr>
      <w:r w:rsidRPr="004A1A46">
        <w:rPr>
          <w:rFonts w:ascii="Segoe UI" w:hAnsi="Segoe UI" w:cs="Segoe UI"/>
          <w:sz w:val="21"/>
          <w:szCs w:val="21"/>
          <w:lang w:val="en-CA"/>
        </w:rPr>
        <w:lastRenderedPageBreak/>
        <w:t xml:space="preserve">Where applicable, future values of a </w:t>
      </w:r>
      <w:r w:rsidR="00EF3B10">
        <w:rPr>
          <w:rFonts w:ascii="Segoe UI" w:hAnsi="Segoe UI" w:cs="Segoe UI"/>
          <w:sz w:val="21"/>
          <w:szCs w:val="21"/>
          <w:lang w:val="en-CA"/>
        </w:rPr>
        <w:t>TE</w:t>
      </w:r>
      <w:r w:rsidRPr="004A1A46">
        <w:rPr>
          <w:rFonts w:ascii="Segoe UI" w:hAnsi="Segoe UI" w:cs="Segoe UI"/>
          <w:sz w:val="21"/>
          <w:szCs w:val="21"/>
          <w:lang w:val="en-CA"/>
        </w:rPr>
        <w:t xml:space="preserve"> or of some underlying variable</w:t>
      </w:r>
      <w:r w:rsidR="009548B9">
        <w:rPr>
          <w:rFonts w:ascii="Segoe UI" w:hAnsi="Segoe UI" w:cs="Segoe UI"/>
          <w:sz w:val="21"/>
          <w:szCs w:val="21"/>
          <w:lang w:val="en-CA"/>
        </w:rPr>
        <w:t>s</w:t>
      </w:r>
      <w:r w:rsidRPr="004A1A46">
        <w:rPr>
          <w:rFonts w:ascii="Segoe UI" w:hAnsi="Segoe UI" w:cs="Segoe UI"/>
          <w:sz w:val="21"/>
          <w:szCs w:val="21"/>
          <w:lang w:val="en-CA"/>
        </w:rPr>
        <w:t xml:space="preserve"> were projected on the basis of past values or of other forecasted economic variables.</w:t>
      </w:r>
    </w:p>
    <w:p w14:paraId="204352B2" w14:textId="2FC15631" w:rsidR="001B1F90" w:rsidRPr="0050746D" w:rsidRDefault="00DD2415" w:rsidP="00E90BA7">
      <w:pPr>
        <w:pStyle w:val="Heading3"/>
        <w:jc w:val="both"/>
        <w:rPr>
          <w:rStyle w:val="RegularDKB"/>
          <w:caps w:val="0"/>
        </w:rPr>
      </w:pPr>
      <w:bookmarkStart w:id="44" w:name="_Toc126555837"/>
      <w:r w:rsidRPr="00CB1E53">
        <w:rPr>
          <w:rStyle w:val="RegularDKB"/>
          <w:caps w:val="0"/>
        </w:rPr>
        <w:t xml:space="preserve">Tax Expenditures Methodology for </w:t>
      </w:r>
      <w:r>
        <w:rPr>
          <w:rStyle w:val="RegularDKB"/>
          <w:caps w:val="0"/>
        </w:rPr>
        <w:t>Real Estate Tax</w:t>
      </w:r>
      <w:r w:rsidR="0050746D">
        <w:rPr>
          <w:rStyle w:val="RegularDKB"/>
          <w:caps w:val="0"/>
        </w:rPr>
        <w:t xml:space="preserve"> </w:t>
      </w:r>
      <w:r w:rsidR="001B1F90" w:rsidRPr="0050746D">
        <w:rPr>
          <w:rStyle w:val="RegularDKB"/>
          <w:caps w:val="0"/>
        </w:rPr>
        <w:t>and Resource Fees</w:t>
      </w:r>
      <w:bookmarkEnd w:id="44"/>
    </w:p>
    <w:p w14:paraId="51C84663" w14:textId="61D26726" w:rsidR="001B1F90" w:rsidRDefault="001B1F90" w:rsidP="00E90BA7">
      <w:pPr>
        <w:spacing w:after="240"/>
        <w:jc w:val="both"/>
        <w:rPr>
          <w:rFonts w:ascii="Segoe UI" w:hAnsi="Segoe UI" w:cs="Segoe UI"/>
          <w:sz w:val="21"/>
          <w:szCs w:val="21"/>
        </w:rPr>
      </w:pPr>
      <w:r w:rsidRPr="0050746D">
        <w:rPr>
          <w:rFonts w:ascii="Segoe UI" w:hAnsi="Segoe UI" w:cs="Segoe UI"/>
          <w:sz w:val="21"/>
          <w:szCs w:val="21"/>
        </w:rPr>
        <w:t>According to Art. 281 of the TC, t</w:t>
      </w:r>
      <w:r w:rsidRPr="000F03AB">
        <w:rPr>
          <w:rFonts w:ascii="Segoe UI" w:hAnsi="Segoe UI" w:cs="Segoe UI"/>
          <w:sz w:val="21"/>
          <w:szCs w:val="21"/>
        </w:rPr>
        <w:t xml:space="preserve">he </w:t>
      </w:r>
      <w:r>
        <w:rPr>
          <w:rFonts w:ascii="Segoe UI" w:hAnsi="Segoe UI" w:cs="Segoe UI"/>
          <w:sz w:val="21"/>
          <w:szCs w:val="21"/>
        </w:rPr>
        <w:t>RET liability</w:t>
      </w:r>
      <w:r w:rsidRPr="000F03AB">
        <w:rPr>
          <w:rFonts w:ascii="Segoe UI" w:hAnsi="Segoe UI" w:cs="Segoe UI"/>
          <w:sz w:val="21"/>
          <w:szCs w:val="21"/>
        </w:rPr>
        <w:t xml:space="preserve"> of </w:t>
      </w:r>
      <w:r>
        <w:rPr>
          <w:rFonts w:ascii="Segoe UI" w:hAnsi="Segoe UI" w:cs="Segoe UI"/>
          <w:sz w:val="21"/>
          <w:szCs w:val="21"/>
        </w:rPr>
        <w:t xml:space="preserve">natural persons owning residential properties </w:t>
      </w:r>
      <w:r w:rsidRPr="000F03AB">
        <w:rPr>
          <w:rFonts w:ascii="Segoe UI" w:hAnsi="Segoe UI" w:cs="Segoe UI"/>
          <w:sz w:val="21"/>
          <w:szCs w:val="21"/>
        </w:rPr>
        <w:t>is calculated on an annual basis</w:t>
      </w:r>
      <w:r>
        <w:rPr>
          <w:rFonts w:ascii="Segoe UI" w:hAnsi="Segoe UI" w:cs="Segoe UI"/>
          <w:sz w:val="21"/>
          <w:szCs w:val="21"/>
        </w:rPr>
        <w:t xml:space="preserve"> (</w:t>
      </w:r>
      <w:r w:rsidRPr="00436BE7">
        <w:rPr>
          <w:rFonts w:ascii="Segoe UI" w:hAnsi="Segoe UI" w:cs="Segoe UI"/>
          <w:sz w:val="21"/>
          <w:szCs w:val="21"/>
        </w:rPr>
        <w:t>as of January</w:t>
      </w:r>
      <w:r>
        <w:rPr>
          <w:rFonts w:ascii="Segoe UI" w:hAnsi="Segoe UI" w:cs="Segoe UI"/>
          <w:sz w:val="21"/>
          <w:szCs w:val="21"/>
        </w:rPr>
        <w:t xml:space="preserve"> 1</w:t>
      </w:r>
      <w:r w:rsidRPr="0050746D">
        <w:rPr>
          <w:rFonts w:ascii="Segoe UI" w:hAnsi="Segoe UI" w:cs="Segoe UI"/>
          <w:sz w:val="21"/>
          <w:szCs w:val="21"/>
        </w:rPr>
        <w:t>st</w:t>
      </w:r>
      <w:r>
        <w:rPr>
          <w:rFonts w:ascii="Segoe UI" w:hAnsi="Segoe UI" w:cs="Segoe UI"/>
          <w:sz w:val="21"/>
          <w:szCs w:val="21"/>
        </w:rPr>
        <w:t xml:space="preserve"> </w:t>
      </w:r>
      <w:r w:rsidRPr="00436BE7">
        <w:rPr>
          <w:rFonts w:ascii="Segoe UI" w:hAnsi="Segoe UI" w:cs="Segoe UI"/>
          <w:sz w:val="21"/>
          <w:szCs w:val="21"/>
        </w:rPr>
        <w:t>of the</w:t>
      </w:r>
      <w:r>
        <w:rPr>
          <w:rFonts w:ascii="Segoe UI" w:hAnsi="Segoe UI" w:cs="Segoe UI"/>
          <w:sz w:val="21"/>
          <w:szCs w:val="21"/>
        </w:rPr>
        <w:t xml:space="preserve"> </w:t>
      </w:r>
      <w:r w:rsidRPr="0050746D">
        <w:rPr>
          <w:rFonts w:ascii="Segoe UI" w:hAnsi="Segoe UI" w:cs="Segoe UI"/>
          <w:sz w:val="21"/>
          <w:szCs w:val="21"/>
        </w:rPr>
        <w:t>respective tax period)</w:t>
      </w:r>
      <w:r>
        <w:rPr>
          <w:rFonts w:ascii="Segoe UI" w:hAnsi="Segoe UI" w:cs="Segoe UI"/>
          <w:sz w:val="21"/>
          <w:szCs w:val="21"/>
        </w:rPr>
        <w:t xml:space="preserve"> by the Local Public Administration (LPA)</w:t>
      </w:r>
      <w:r w:rsidRPr="000F03AB">
        <w:rPr>
          <w:rFonts w:ascii="Segoe UI" w:hAnsi="Segoe UI" w:cs="Segoe UI"/>
          <w:sz w:val="21"/>
          <w:szCs w:val="21"/>
        </w:rPr>
        <w:t xml:space="preserve"> for each </w:t>
      </w:r>
      <w:r>
        <w:rPr>
          <w:rFonts w:ascii="Segoe UI" w:hAnsi="Segoe UI" w:cs="Segoe UI"/>
          <w:sz w:val="21"/>
          <w:szCs w:val="21"/>
        </w:rPr>
        <w:t xml:space="preserve">taxable immovable property registered in the fiscal cadaster. This is captured by the LPA in their </w:t>
      </w:r>
      <w:r w:rsidRPr="000F03AB">
        <w:rPr>
          <w:rFonts w:ascii="Segoe UI" w:hAnsi="Segoe UI" w:cs="Segoe UI"/>
          <w:sz w:val="21"/>
          <w:szCs w:val="21"/>
        </w:rPr>
        <w:t>real estate tax base</w:t>
      </w:r>
      <w:r>
        <w:rPr>
          <w:rFonts w:ascii="Segoe UI" w:hAnsi="Segoe UI" w:cs="Segoe UI"/>
          <w:sz w:val="21"/>
          <w:szCs w:val="21"/>
        </w:rPr>
        <w:t>.</w:t>
      </w:r>
      <w:r w:rsidRPr="000F03AB">
        <w:rPr>
          <w:rFonts w:ascii="Segoe UI" w:eastAsia="ArialMT" w:hAnsi="Segoe UI" w:cs="Segoe UI"/>
          <w:sz w:val="21"/>
          <w:szCs w:val="21"/>
        </w:rPr>
        <w:t xml:space="preserve"> If the</w:t>
      </w:r>
      <w:r>
        <w:rPr>
          <w:rFonts w:ascii="Segoe UI" w:eastAsia="ArialMT" w:hAnsi="Segoe UI" w:cs="Segoe UI"/>
          <w:sz w:val="21"/>
          <w:szCs w:val="21"/>
        </w:rPr>
        <w:t xml:space="preserve"> </w:t>
      </w:r>
      <w:r w:rsidRPr="000F03AB">
        <w:rPr>
          <w:rFonts w:ascii="Segoe UI" w:hAnsi="Segoe UI" w:cs="Segoe UI"/>
          <w:sz w:val="21"/>
          <w:szCs w:val="21"/>
        </w:rPr>
        <w:t xml:space="preserve">taxable </w:t>
      </w:r>
      <w:r>
        <w:rPr>
          <w:rFonts w:ascii="Segoe UI" w:hAnsi="Segoe UI" w:cs="Segoe UI"/>
          <w:sz w:val="21"/>
          <w:szCs w:val="21"/>
        </w:rPr>
        <w:t xml:space="preserve">RET </w:t>
      </w:r>
      <w:r w:rsidRPr="000F03AB">
        <w:rPr>
          <w:rFonts w:ascii="Segoe UI" w:hAnsi="Segoe UI" w:cs="Segoe UI"/>
          <w:sz w:val="21"/>
          <w:szCs w:val="21"/>
        </w:rPr>
        <w:t xml:space="preserve">base is assessed by the territorial cadastral bodies, the </w:t>
      </w:r>
      <w:r>
        <w:rPr>
          <w:rFonts w:ascii="Segoe UI" w:hAnsi="Segoe UI" w:cs="Segoe UI"/>
          <w:sz w:val="21"/>
          <w:szCs w:val="21"/>
        </w:rPr>
        <w:t>RET liability</w:t>
      </w:r>
      <w:r w:rsidRPr="000F03AB">
        <w:rPr>
          <w:rFonts w:ascii="Segoe UI" w:hAnsi="Segoe UI" w:cs="Segoe UI"/>
          <w:sz w:val="21"/>
          <w:szCs w:val="21"/>
        </w:rPr>
        <w:t xml:space="preserve"> for the respective year is</w:t>
      </w:r>
      <w:r>
        <w:rPr>
          <w:rFonts w:ascii="Segoe UI" w:hAnsi="Segoe UI" w:cs="Segoe UI"/>
          <w:sz w:val="21"/>
          <w:szCs w:val="21"/>
        </w:rPr>
        <w:t xml:space="preserve"> based on the</w:t>
      </w:r>
      <w:r w:rsidRPr="000F03AB">
        <w:rPr>
          <w:rFonts w:ascii="Segoe UI" w:hAnsi="Segoe UI" w:cs="Segoe UI"/>
          <w:sz w:val="21"/>
          <w:szCs w:val="21"/>
        </w:rPr>
        <w:t xml:space="preserve"> </w:t>
      </w:r>
      <w:r>
        <w:rPr>
          <w:rFonts w:ascii="Segoe UI" w:hAnsi="Segoe UI" w:cs="Segoe UI"/>
          <w:sz w:val="21"/>
          <w:szCs w:val="21"/>
        </w:rPr>
        <w:t xml:space="preserve">property’s </w:t>
      </w:r>
      <w:r w:rsidRPr="000F03AB">
        <w:rPr>
          <w:rFonts w:ascii="Segoe UI" w:hAnsi="Segoe UI" w:cs="Segoe UI"/>
          <w:sz w:val="21"/>
          <w:szCs w:val="21"/>
        </w:rPr>
        <w:t xml:space="preserve">estimated value for </w:t>
      </w:r>
      <w:r>
        <w:rPr>
          <w:rFonts w:ascii="Segoe UI" w:hAnsi="Segoe UI" w:cs="Segoe UI"/>
          <w:sz w:val="21"/>
          <w:szCs w:val="21"/>
        </w:rPr>
        <w:t>RET purposes</w:t>
      </w:r>
      <w:r w:rsidRPr="000F03AB">
        <w:rPr>
          <w:rFonts w:ascii="Segoe UI" w:hAnsi="Segoe UI" w:cs="Segoe UI"/>
          <w:sz w:val="21"/>
          <w:szCs w:val="21"/>
        </w:rPr>
        <w:t xml:space="preserve"> </w:t>
      </w:r>
      <w:r>
        <w:rPr>
          <w:rFonts w:ascii="Segoe UI" w:hAnsi="Segoe UI" w:cs="Segoe UI"/>
          <w:sz w:val="21"/>
          <w:szCs w:val="21"/>
        </w:rPr>
        <w:t xml:space="preserve">and is </w:t>
      </w:r>
      <w:r w:rsidRPr="000F03AB">
        <w:rPr>
          <w:rFonts w:ascii="Segoe UI" w:hAnsi="Segoe UI" w:cs="Segoe UI"/>
          <w:sz w:val="21"/>
          <w:szCs w:val="21"/>
        </w:rPr>
        <w:t>registered in the fiscal</w:t>
      </w:r>
      <w:r>
        <w:rPr>
          <w:rFonts w:ascii="Segoe UI" w:hAnsi="Segoe UI" w:cs="Segoe UI"/>
          <w:sz w:val="21"/>
          <w:szCs w:val="21"/>
        </w:rPr>
        <w:t xml:space="preserve"> </w:t>
      </w:r>
      <w:r w:rsidRPr="008A6D8F">
        <w:rPr>
          <w:rFonts w:ascii="Segoe UI" w:hAnsi="Segoe UI" w:cs="Segoe UI"/>
          <w:sz w:val="21"/>
          <w:szCs w:val="21"/>
        </w:rPr>
        <w:t>cadaster</w:t>
      </w:r>
      <w:r w:rsidRPr="000F03AB">
        <w:rPr>
          <w:rFonts w:ascii="Segoe UI" w:hAnsi="Segoe UI" w:cs="Segoe UI"/>
          <w:sz w:val="21"/>
          <w:szCs w:val="21"/>
        </w:rPr>
        <w:t>.</w:t>
      </w:r>
      <w:r>
        <w:rPr>
          <w:rFonts w:ascii="Segoe UI" w:hAnsi="Segoe UI" w:cs="Segoe UI"/>
          <w:sz w:val="21"/>
          <w:szCs w:val="21"/>
        </w:rPr>
        <w:t xml:space="preserve"> T</w:t>
      </w:r>
      <w:r w:rsidRPr="000F03AB">
        <w:rPr>
          <w:rFonts w:ascii="Segoe UI" w:hAnsi="Segoe UI" w:cs="Segoe UI"/>
          <w:sz w:val="21"/>
          <w:szCs w:val="21"/>
        </w:rPr>
        <w:t xml:space="preserve">he </w:t>
      </w:r>
      <w:r>
        <w:rPr>
          <w:rFonts w:ascii="Segoe UI" w:hAnsi="Segoe UI" w:cs="Segoe UI"/>
          <w:sz w:val="21"/>
          <w:szCs w:val="21"/>
        </w:rPr>
        <w:t>RET</w:t>
      </w:r>
      <w:r w:rsidRPr="000F03AB">
        <w:rPr>
          <w:rFonts w:ascii="Segoe UI" w:hAnsi="Segoe UI" w:cs="Segoe UI"/>
          <w:sz w:val="21"/>
          <w:szCs w:val="21"/>
        </w:rPr>
        <w:t xml:space="preserve"> </w:t>
      </w:r>
      <w:r>
        <w:rPr>
          <w:rFonts w:ascii="Segoe UI" w:hAnsi="Segoe UI" w:cs="Segoe UI"/>
          <w:sz w:val="21"/>
          <w:szCs w:val="21"/>
        </w:rPr>
        <w:t>liability</w:t>
      </w:r>
      <w:r w:rsidRPr="000F03AB">
        <w:rPr>
          <w:rFonts w:ascii="Segoe UI" w:eastAsia="ArialMT" w:hAnsi="Segoe UI" w:cs="Segoe UI"/>
          <w:sz w:val="21"/>
          <w:szCs w:val="21"/>
        </w:rPr>
        <w:t xml:space="preserve"> </w:t>
      </w:r>
      <w:r>
        <w:rPr>
          <w:rFonts w:ascii="Segoe UI" w:eastAsia="ArialMT" w:hAnsi="Segoe UI" w:cs="Segoe UI"/>
          <w:sz w:val="21"/>
          <w:szCs w:val="21"/>
        </w:rPr>
        <w:t xml:space="preserve">and whether the taxpayer qualifies for any of the available RET exemptions, </w:t>
      </w:r>
      <w:r w:rsidRPr="000F03AB">
        <w:rPr>
          <w:rFonts w:ascii="Segoe UI" w:eastAsia="ArialMT" w:hAnsi="Segoe UI" w:cs="Segoe UI"/>
          <w:sz w:val="21"/>
          <w:szCs w:val="21"/>
        </w:rPr>
        <w:t xml:space="preserve">is </w:t>
      </w:r>
      <w:r>
        <w:rPr>
          <w:rFonts w:ascii="Segoe UI" w:eastAsia="ArialMT" w:hAnsi="Segoe UI" w:cs="Segoe UI"/>
          <w:sz w:val="21"/>
          <w:szCs w:val="21"/>
        </w:rPr>
        <w:t>captured in the RET invoice or</w:t>
      </w:r>
      <w:r w:rsidRPr="000F03AB">
        <w:rPr>
          <w:rFonts w:ascii="Segoe UI" w:hAnsi="Segoe UI" w:cs="Segoe UI"/>
          <w:sz w:val="21"/>
          <w:szCs w:val="21"/>
        </w:rPr>
        <w:t xml:space="preserve"> payment notifications</w:t>
      </w:r>
      <w:r>
        <w:rPr>
          <w:rFonts w:ascii="Segoe UI" w:hAnsi="Segoe UI" w:cs="Segoe UI"/>
          <w:sz w:val="21"/>
          <w:szCs w:val="21"/>
        </w:rPr>
        <w:t xml:space="preserve"> which is mailed to registered property owners</w:t>
      </w:r>
      <w:r w:rsidRPr="000F03AB">
        <w:rPr>
          <w:rFonts w:ascii="Segoe UI" w:hAnsi="Segoe UI" w:cs="Segoe UI"/>
          <w:sz w:val="21"/>
          <w:szCs w:val="21"/>
        </w:rPr>
        <w:t>.</w:t>
      </w:r>
      <w:r>
        <w:rPr>
          <w:rFonts w:ascii="Segoe UI" w:hAnsi="Segoe UI" w:cs="Segoe UI"/>
          <w:sz w:val="21"/>
          <w:szCs w:val="21"/>
        </w:rPr>
        <w:t xml:space="preserve"> Legal persons, registered as businesses are obligated to themselves </w:t>
      </w:r>
      <w:r w:rsidRPr="00DA6976">
        <w:rPr>
          <w:rFonts w:ascii="Segoe UI" w:hAnsi="Segoe UI" w:cs="Segoe UI"/>
          <w:sz w:val="21"/>
          <w:szCs w:val="21"/>
        </w:rPr>
        <w:t>calculate</w:t>
      </w:r>
      <w:r w:rsidRPr="000F03AB">
        <w:rPr>
          <w:rFonts w:ascii="Segoe UI" w:hAnsi="Segoe UI" w:cs="Segoe UI"/>
          <w:sz w:val="21"/>
          <w:szCs w:val="21"/>
        </w:rPr>
        <w:t xml:space="preserve"> the</w:t>
      </w:r>
      <w:r>
        <w:rPr>
          <w:rFonts w:ascii="Segoe UI" w:hAnsi="Segoe UI" w:cs="Segoe UI"/>
          <w:sz w:val="21"/>
          <w:szCs w:val="21"/>
        </w:rPr>
        <w:t>ir</w:t>
      </w:r>
      <w:r w:rsidRPr="000F03AB">
        <w:rPr>
          <w:rFonts w:ascii="Segoe UI" w:hAnsi="Segoe UI" w:cs="Segoe UI"/>
          <w:sz w:val="21"/>
          <w:szCs w:val="21"/>
        </w:rPr>
        <w:t xml:space="preserve"> annual </w:t>
      </w:r>
      <w:r>
        <w:rPr>
          <w:rFonts w:ascii="Segoe UI" w:hAnsi="Segoe UI" w:cs="Segoe UI"/>
          <w:sz w:val="21"/>
          <w:szCs w:val="21"/>
        </w:rPr>
        <w:t>RET liability. They would therefore indicate whether they qualify for any of the in Law provided tax exemptions</w:t>
      </w:r>
      <w:r w:rsidRPr="000F03AB">
        <w:rPr>
          <w:rFonts w:ascii="Segoe UI" w:hAnsi="Segoe UI" w:cs="Segoe UI"/>
          <w:sz w:val="21"/>
          <w:szCs w:val="21"/>
        </w:rPr>
        <w:t>.</w:t>
      </w:r>
      <w:r>
        <w:rPr>
          <w:rFonts w:ascii="Segoe UI" w:hAnsi="Segoe UI" w:cs="Segoe UI"/>
          <w:sz w:val="21"/>
          <w:szCs w:val="21"/>
        </w:rPr>
        <w:t xml:space="preserve"> </w:t>
      </w:r>
    </w:p>
    <w:p w14:paraId="0B4127FF" w14:textId="77777777" w:rsidR="001B1F90" w:rsidRPr="003112F0" w:rsidRDefault="001B1F90" w:rsidP="00E90BA7">
      <w:pPr>
        <w:pStyle w:val="Bodytext10"/>
        <w:spacing w:after="240"/>
        <w:ind w:firstLine="0"/>
        <w:jc w:val="both"/>
        <w:rPr>
          <w:rFonts w:ascii="Segoe UI" w:hAnsi="Segoe UI" w:cs="Segoe UI"/>
          <w:sz w:val="21"/>
          <w:szCs w:val="21"/>
        </w:rPr>
      </w:pPr>
      <w:r w:rsidRPr="000F03AB">
        <w:rPr>
          <w:rStyle w:val="Bodytext1"/>
          <w:rFonts w:ascii="Segoe UI" w:hAnsi="Segoe UI" w:cs="Segoe UI"/>
          <w:sz w:val="21"/>
          <w:szCs w:val="21"/>
          <w:lang w:val="en"/>
        </w:rPr>
        <w:t xml:space="preserve">Legal entities and natural persons registered as </w:t>
      </w:r>
      <w:r>
        <w:rPr>
          <w:rStyle w:val="Bodytext1"/>
          <w:rFonts w:ascii="Segoe UI" w:hAnsi="Segoe UI" w:cs="Segoe UI"/>
          <w:sz w:val="21"/>
          <w:szCs w:val="21"/>
          <w:lang w:val="en"/>
        </w:rPr>
        <w:t>businesses</w:t>
      </w:r>
      <w:r w:rsidRPr="000F03AB">
        <w:rPr>
          <w:rStyle w:val="Bodytext1"/>
          <w:rFonts w:ascii="Segoe UI" w:hAnsi="Segoe UI" w:cs="Segoe UI"/>
          <w:sz w:val="21"/>
          <w:szCs w:val="21"/>
          <w:lang w:val="en"/>
        </w:rPr>
        <w:t xml:space="preserve"> (except </w:t>
      </w:r>
      <w:r>
        <w:rPr>
          <w:rStyle w:val="Bodytext1"/>
          <w:rFonts w:ascii="Segoe UI" w:hAnsi="Segoe UI" w:cs="Segoe UI"/>
          <w:sz w:val="21"/>
          <w:szCs w:val="21"/>
          <w:lang w:val="en"/>
        </w:rPr>
        <w:t>small farming</w:t>
      </w:r>
      <w:r w:rsidRPr="000F03AB">
        <w:rPr>
          <w:rStyle w:val="Bodytext1"/>
          <w:rFonts w:ascii="Segoe UI" w:hAnsi="Segoe UI" w:cs="Segoe UI"/>
          <w:sz w:val="21"/>
          <w:szCs w:val="21"/>
          <w:lang w:val="en"/>
        </w:rPr>
        <w:t xml:space="preserve"> households</w:t>
      </w:r>
      <w:r>
        <w:rPr>
          <w:rStyle w:val="Bodytext1"/>
          <w:rFonts w:ascii="Segoe UI" w:hAnsi="Segoe UI" w:cs="Segoe UI"/>
          <w:sz w:val="21"/>
          <w:szCs w:val="21"/>
          <w:lang w:val="en"/>
        </w:rPr>
        <w:t>)</w:t>
      </w:r>
      <w:r w:rsidRPr="000F03AB">
        <w:rPr>
          <w:rStyle w:val="Bodytext1"/>
          <w:rFonts w:ascii="Segoe UI" w:hAnsi="Segoe UI" w:cs="Segoe UI"/>
          <w:sz w:val="21"/>
          <w:szCs w:val="21"/>
          <w:lang w:val="en"/>
        </w:rPr>
        <w:t xml:space="preserve"> who own land not valued for </w:t>
      </w:r>
      <w:r>
        <w:rPr>
          <w:rStyle w:val="Bodytext1"/>
          <w:rFonts w:ascii="Segoe UI" w:hAnsi="Segoe UI" w:cs="Segoe UI"/>
          <w:sz w:val="21"/>
          <w:szCs w:val="21"/>
          <w:lang w:val="en"/>
        </w:rPr>
        <w:t>RET</w:t>
      </w:r>
      <w:r w:rsidRPr="000F03AB">
        <w:rPr>
          <w:rStyle w:val="Bodytext1"/>
          <w:rFonts w:ascii="Segoe UI" w:hAnsi="Segoe UI" w:cs="Segoe UI"/>
          <w:sz w:val="21"/>
          <w:szCs w:val="21"/>
          <w:lang w:val="en"/>
        </w:rPr>
        <w:t xml:space="preserve"> purposes </w:t>
      </w:r>
      <w:r>
        <w:rPr>
          <w:rStyle w:val="Bodytext1"/>
          <w:rFonts w:ascii="Segoe UI" w:hAnsi="Segoe UI" w:cs="Segoe UI"/>
          <w:sz w:val="21"/>
          <w:szCs w:val="21"/>
          <w:lang w:val="en"/>
        </w:rPr>
        <w:t>must</w:t>
      </w:r>
      <w:r w:rsidRPr="000F03AB">
        <w:rPr>
          <w:rStyle w:val="Bodytext1"/>
          <w:rFonts w:ascii="Segoe UI" w:hAnsi="Segoe UI" w:cs="Segoe UI"/>
          <w:sz w:val="21"/>
          <w:szCs w:val="21"/>
          <w:lang w:val="en"/>
        </w:rPr>
        <w:t xml:space="preserve"> </w:t>
      </w:r>
      <w:r>
        <w:rPr>
          <w:rStyle w:val="Bodytext1"/>
          <w:rFonts w:ascii="Segoe UI" w:hAnsi="Segoe UI" w:cs="Segoe UI"/>
          <w:sz w:val="21"/>
          <w:szCs w:val="21"/>
          <w:lang w:val="en"/>
        </w:rPr>
        <w:t xml:space="preserve">also </w:t>
      </w:r>
      <w:r w:rsidRPr="000F03AB">
        <w:rPr>
          <w:rStyle w:val="Bodytext1"/>
          <w:rFonts w:ascii="Segoe UI" w:hAnsi="Segoe UI" w:cs="Segoe UI"/>
          <w:sz w:val="21"/>
          <w:szCs w:val="21"/>
          <w:lang w:val="en"/>
        </w:rPr>
        <w:t>independently calculate the</w:t>
      </w:r>
      <w:r>
        <w:rPr>
          <w:rStyle w:val="Bodytext1"/>
          <w:rFonts w:ascii="Segoe UI" w:hAnsi="Segoe UI" w:cs="Segoe UI"/>
          <w:sz w:val="21"/>
          <w:szCs w:val="21"/>
          <w:lang w:val="en"/>
        </w:rPr>
        <w:t>ir RET</w:t>
      </w:r>
      <w:r w:rsidRPr="000F03AB">
        <w:rPr>
          <w:rStyle w:val="Bodytext1"/>
          <w:rFonts w:ascii="Segoe UI" w:hAnsi="Segoe UI" w:cs="Segoe UI"/>
          <w:sz w:val="21"/>
          <w:szCs w:val="21"/>
          <w:lang w:val="en"/>
        </w:rPr>
        <w:t>/land tax</w:t>
      </w:r>
      <w:r>
        <w:rPr>
          <w:rStyle w:val="Bodytext1"/>
          <w:rFonts w:ascii="Segoe UI" w:hAnsi="Segoe UI" w:cs="Segoe UI"/>
          <w:sz w:val="21"/>
          <w:szCs w:val="21"/>
          <w:lang w:val="en"/>
        </w:rPr>
        <w:t xml:space="preserve"> liability (Art. 281(3)</w:t>
      </w:r>
      <w:r w:rsidRPr="000F03AB">
        <w:rPr>
          <w:rStyle w:val="Bodytext1"/>
          <w:rFonts w:ascii="Segoe UI" w:hAnsi="Segoe UI" w:cs="Segoe UI"/>
          <w:sz w:val="21"/>
          <w:szCs w:val="21"/>
          <w:lang w:val="en"/>
        </w:rPr>
        <w:t xml:space="preserve">. </w:t>
      </w:r>
      <w:r>
        <w:rPr>
          <w:rStyle w:val="Bodytext1"/>
          <w:rFonts w:ascii="Segoe UI" w:hAnsi="Segoe UI" w:cs="Segoe UI"/>
          <w:sz w:val="21"/>
          <w:szCs w:val="21"/>
          <w:lang w:val="en"/>
        </w:rPr>
        <w:t>It is important to note that the RET calculations shall be submitted using obligatory automated electronic reporting methods as stipulated by the STS according to Art. 187 of the TC. The STS</w:t>
      </w:r>
      <w:r w:rsidRPr="000F03AB">
        <w:rPr>
          <w:rStyle w:val="Bodytext1"/>
          <w:rFonts w:ascii="Segoe UI" w:hAnsi="Segoe UI" w:cs="Segoe UI"/>
          <w:sz w:val="21"/>
          <w:szCs w:val="21"/>
          <w:lang w:val="en"/>
        </w:rPr>
        <w:t xml:space="preserve"> keeps track of the respective obligations, based on the data from the </w:t>
      </w:r>
      <w:r w:rsidRPr="005E51FB">
        <w:rPr>
          <w:rStyle w:val="Bodytext1"/>
          <w:rFonts w:ascii="Segoe UI" w:hAnsi="Segoe UI" w:cs="Segoe UI"/>
          <w:sz w:val="21"/>
          <w:szCs w:val="21"/>
          <w:lang w:val="en"/>
        </w:rPr>
        <w:t>submitted</w:t>
      </w:r>
      <w:r w:rsidRPr="00A878D3">
        <w:rPr>
          <w:rStyle w:val="Bodytext1"/>
          <w:rFonts w:ascii="Segoe UI" w:hAnsi="Segoe UI" w:cs="Segoe UI"/>
          <w:sz w:val="21"/>
          <w:szCs w:val="21"/>
          <w:lang w:val="en"/>
        </w:rPr>
        <w:t xml:space="preserve"> </w:t>
      </w:r>
      <w:r w:rsidRPr="000F03AB">
        <w:rPr>
          <w:rStyle w:val="Bodytext1"/>
          <w:rFonts w:ascii="Segoe UI" w:hAnsi="Segoe UI" w:cs="Segoe UI"/>
          <w:sz w:val="21"/>
          <w:szCs w:val="21"/>
          <w:lang w:val="en"/>
        </w:rPr>
        <w:t xml:space="preserve">tax returns. The correctness of the </w:t>
      </w:r>
      <w:r>
        <w:rPr>
          <w:rStyle w:val="Bodytext1"/>
          <w:rFonts w:ascii="Segoe UI" w:hAnsi="Segoe UI" w:cs="Segoe UI"/>
          <w:sz w:val="21"/>
          <w:szCs w:val="21"/>
          <w:lang w:val="en"/>
        </w:rPr>
        <w:t xml:space="preserve">submitted </w:t>
      </w:r>
      <w:r w:rsidRPr="000F03AB">
        <w:rPr>
          <w:rStyle w:val="Bodytext1"/>
          <w:rFonts w:ascii="Segoe UI" w:hAnsi="Segoe UI" w:cs="Segoe UI"/>
          <w:sz w:val="21"/>
          <w:szCs w:val="21"/>
          <w:lang w:val="en"/>
        </w:rPr>
        <w:t xml:space="preserve">data </w:t>
      </w:r>
      <w:r>
        <w:rPr>
          <w:rStyle w:val="Bodytext1"/>
          <w:rFonts w:ascii="Segoe UI" w:hAnsi="Segoe UI" w:cs="Segoe UI"/>
          <w:sz w:val="21"/>
          <w:szCs w:val="21"/>
          <w:lang w:val="en"/>
        </w:rPr>
        <w:t>is subject to audit.</w:t>
      </w:r>
      <w:r w:rsidRPr="00DA2D64">
        <w:rPr>
          <w:rStyle w:val="Bodytext1"/>
          <w:rFonts w:ascii="Segoe UI" w:hAnsi="Segoe UI" w:cs="Segoe UI"/>
          <w:sz w:val="21"/>
          <w:szCs w:val="21"/>
          <w:lang w:val="en" w:eastAsia="ro-RO" w:bidi="ro-RO"/>
        </w:rPr>
        <w:t xml:space="preserve"> </w:t>
      </w:r>
      <w:r>
        <w:rPr>
          <w:rStyle w:val="Bodytext1"/>
          <w:rFonts w:ascii="Segoe UI" w:hAnsi="Segoe UI" w:cs="Segoe UI"/>
          <w:sz w:val="21"/>
          <w:szCs w:val="21"/>
          <w:lang w:val="en" w:eastAsia="ro-RO" w:bidi="ro-RO"/>
        </w:rPr>
        <w:t>The RET/land tax liabilities for</w:t>
      </w:r>
      <w:r w:rsidRPr="003112F0">
        <w:rPr>
          <w:rStyle w:val="Bodytext1"/>
          <w:rFonts w:ascii="Segoe UI" w:hAnsi="Segoe UI" w:cs="Segoe UI"/>
          <w:sz w:val="21"/>
          <w:szCs w:val="21"/>
          <w:lang w:val="en" w:eastAsia="ro-RO" w:bidi="ro-RO"/>
        </w:rPr>
        <w:t xml:space="preserve"> peasant households are determined by the local tax and tax collection services (LTTCS) within the </w:t>
      </w:r>
      <w:r>
        <w:rPr>
          <w:rStyle w:val="Bodytext1"/>
          <w:rFonts w:ascii="Segoe UI" w:hAnsi="Segoe UI" w:cs="Segoe UI"/>
          <w:sz w:val="21"/>
          <w:szCs w:val="21"/>
          <w:lang w:val="en" w:eastAsia="ro-RO" w:bidi="ro-RO"/>
        </w:rPr>
        <w:t>LPAs</w:t>
      </w:r>
      <w:r w:rsidRPr="003112F0">
        <w:rPr>
          <w:rStyle w:val="Bodytext1"/>
          <w:rFonts w:ascii="Segoe UI" w:hAnsi="Segoe UI" w:cs="Segoe UI"/>
          <w:sz w:val="21"/>
          <w:szCs w:val="21"/>
          <w:lang w:val="en" w:eastAsia="ro-RO" w:bidi="ro-RO"/>
        </w:rPr>
        <w:t>.</w:t>
      </w:r>
    </w:p>
    <w:p w14:paraId="5DA827EB" w14:textId="77777777" w:rsidR="001B1F90" w:rsidRPr="000F03AB" w:rsidRDefault="001B1F90" w:rsidP="00E90BA7">
      <w:pPr>
        <w:pStyle w:val="Heading4"/>
        <w:jc w:val="both"/>
        <w:rPr>
          <w:rFonts w:ascii="Segoe UI" w:hAnsi="Segoe UI" w:cs="Segoe UI"/>
          <w:color w:val="004C97" w:themeColor="text2"/>
        </w:rPr>
      </w:pPr>
      <w:r w:rsidRPr="005F04B5">
        <w:rPr>
          <w:rFonts w:ascii="Segoe UI" w:hAnsi="Segoe UI" w:cs="Segoe UI"/>
          <w:color w:val="004C97" w:themeColor="text2"/>
        </w:rPr>
        <w:t>Data Sources</w:t>
      </w:r>
    </w:p>
    <w:p w14:paraId="17104AC0" w14:textId="425E8734" w:rsidR="001B1F90" w:rsidRPr="002A6CD1" w:rsidRDefault="001B1F90" w:rsidP="00E90BA7">
      <w:pPr>
        <w:spacing w:after="240"/>
        <w:jc w:val="both"/>
        <w:rPr>
          <w:rFonts w:ascii="Segoe UI" w:hAnsi="Segoe UI" w:cs="Segoe UI"/>
          <w:sz w:val="21"/>
          <w:szCs w:val="21"/>
        </w:rPr>
      </w:pPr>
      <w:r>
        <w:rPr>
          <w:rFonts w:ascii="Segoe UI" w:hAnsi="Segoe UI" w:cs="Segoe UI"/>
          <w:sz w:val="21"/>
          <w:szCs w:val="21"/>
        </w:rPr>
        <w:t>The LPA’s tax administration verifies the submitted data, which is shared through a central software program with the STS at national level.</w:t>
      </w:r>
      <w:r w:rsidRPr="0E25DDAF">
        <w:rPr>
          <w:rStyle w:val="FootnoteReference"/>
          <w:rFonts w:ascii="Segoe UI" w:hAnsi="Segoe UI" w:cs="Segoe UI"/>
        </w:rPr>
        <w:footnoteReference w:id="35"/>
      </w:r>
      <w:r>
        <w:rPr>
          <w:rFonts w:ascii="Segoe UI" w:hAnsi="Segoe UI" w:cs="Segoe UI"/>
          <w:sz w:val="21"/>
          <w:szCs w:val="21"/>
        </w:rPr>
        <w:t xml:space="preserve"> This integrated IT platform</w:t>
      </w:r>
      <w:r w:rsidRPr="0E25DDAF">
        <w:rPr>
          <w:rStyle w:val="FootnoteReference"/>
          <w:rFonts w:ascii="Segoe UI" w:hAnsi="Segoe UI" w:cs="Segoe UI"/>
        </w:rPr>
        <w:footnoteReference w:id="36"/>
      </w:r>
      <w:r>
        <w:rPr>
          <w:rFonts w:ascii="Segoe UI" w:hAnsi="Segoe UI" w:cs="Segoe UI"/>
          <w:sz w:val="21"/>
          <w:szCs w:val="21"/>
        </w:rPr>
        <w:t xml:space="preserve"> allows for in-time interoperability of the tax agencies at national and local level with feedback loops to the Real Property Cadaster managed by the Agency for Land Relations and Cadaster. The system enables the Moldovan authorities to compile accurate revenue forgone reports for TEAR purposes.</w:t>
      </w:r>
    </w:p>
    <w:p w14:paraId="2AAF4052" w14:textId="67105C33" w:rsidR="001B1F90" w:rsidRPr="002A6CD1" w:rsidRDefault="001B1F90" w:rsidP="00E90BA7">
      <w:pPr>
        <w:jc w:val="both"/>
        <w:rPr>
          <w:rStyle w:val="Bodytext1"/>
          <w:rFonts w:ascii="Segoe UI" w:hAnsi="Segoe UI" w:cs="Segoe UI"/>
          <w:sz w:val="21"/>
          <w:szCs w:val="21"/>
          <w:lang w:val="en"/>
        </w:rPr>
      </w:pPr>
      <w:r>
        <w:rPr>
          <w:rFonts w:ascii="Segoe UI" w:hAnsi="Segoe UI" w:cs="Segoe UI"/>
          <w:sz w:val="21"/>
          <w:szCs w:val="21"/>
        </w:rPr>
        <w:t xml:space="preserve">A similar data sharing approach is adopted in regard to filing local tax and resource fee data and fee payment liabilities. It is being done </w:t>
      </w:r>
      <w:r w:rsidRPr="003112F0">
        <w:rPr>
          <w:rStyle w:val="Bodytext1"/>
          <w:rFonts w:ascii="Segoe UI" w:hAnsi="Segoe UI" w:cs="Segoe UI"/>
          <w:sz w:val="21"/>
          <w:szCs w:val="21"/>
          <w:lang w:val="en" w:eastAsia="ro-RO" w:bidi="ro-RO"/>
        </w:rPr>
        <w:t>according to</w:t>
      </w:r>
      <w:r>
        <w:rPr>
          <w:rStyle w:val="Bodytext1"/>
          <w:rFonts w:ascii="Segoe UI" w:hAnsi="Segoe UI" w:cs="Segoe UI"/>
          <w:sz w:val="21"/>
          <w:szCs w:val="21"/>
          <w:lang w:val="en" w:eastAsia="ro-RO" w:bidi="ro-RO"/>
        </w:rPr>
        <w:t xml:space="preserve"> </w:t>
      </w:r>
      <w:r w:rsidRPr="003112F0">
        <w:rPr>
          <w:rStyle w:val="Bodytext1"/>
          <w:rFonts w:ascii="Segoe UI" w:hAnsi="Segoe UI" w:cs="Segoe UI"/>
          <w:sz w:val="21"/>
          <w:szCs w:val="21"/>
          <w:lang w:val="en" w:eastAsia="ro-RO" w:bidi="ro-RO"/>
        </w:rPr>
        <w:t>the provisions of Title VII of the Tax Code, and Government Decision No. 998/2003.</w:t>
      </w:r>
      <w:r>
        <w:rPr>
          <w:rStyle w:val="Bodytext1"/>
          <w:rFonts w:ascii="Segoe UI" w:hAnsi="Segoe UI" w:cs="Segoe UI"/>
          <w:sz w:val="21"/>
          <w:szCs w:val="21"/>
          <w:lang w:val="en" w:eastAsia="ro-RO" w:bidi="ro-RO"/>
        </w:rPr>
        <w:t xml:space="preserve"> </w:t>
      </w:r>
      <w:r>
        <w:rPr>
          <w:rFonts w:ascii="Segoe UI" w:hAnsi="Segoe UI" w:cs="Segoe UI"/>
          <w:sz w:val="21"/>
          <w:szCs w:val="21"/>
        </w:rPr>
        <w:t>Businesses owned by l</w:t>
      </w:r>
      <w:r w:rsidRPr="000F03AB">
        <w:rPr>
          <w:rStyle w:val="Bodytext1"/>
          <w:rFonts w:ascii="Segoe UI" w:hAnsi="Segoe UI" w:cs="Segoe UI"/>
          <w:sz w:val="21"/>
          <w:szCs w:val="21"/>
          <w:lang w:val="en"/>
        </w:rPr>
        <w:t xml:space="preserve">egal and natural persons </w:t>
      </w:r>
      <w:r>
        <w:rPr>
          <w:rStyle w:val="Bodytext1"/>
          <w:rFonts w:ascii="Segoe UI" w:hAnsi="Segoe UI" w:cs="Segoe UI"/>
          <w:sz w:val="21"/>
          <w:szCs w:val="21"/>
          <w:lang w:val="en"/>
        </w:rPr>
        <w:t>must</w:t>
      </w:r>
      <w:r w:rsidRPr="000F03AB">
        <w:rPr>
          <w:rStyle w:val="Bodytext1"/>
          <w:rFonts w:ascii="Segoe UI" w:hAnsi="Segoe UI" w:cs="Segoe UI"/>
          <w:sz w:val="21"/>
          <w:szCs w:val="21"/>
          <w:lang w:val="en"/>
        </w:rPr>
        <w:t xml:space="preserve"> calculate </w:t>
      </w:r>
      <w:r w:rsidRPr="000F03AB">
        <w:rPr>
          <w:rStyle w:val="Bodytext1"/>
          <w:rFonts w:ascii="Segoe UI" w:hAnsi="Segoe UI" w:cs="Segoe UI"/>
          <w:sz w:val="21"/>
          <w:szCs w:val="21"/>
          <w:lang w:val="en"/>
        </w:rPr>
        <w:lastRenderedPageBreak/>
        <w:t>the</w:t>
      </w:r>
      <w:r>
        <w:rPr>
          <w:rStyle w:val="Bodytext1"/>
          <w:rFonts w:ascii="Segoe UI" w:hAnsi="Segoe UI" w:cs="Segoe UI"/>
          <w:sz w:val="21"/>
          <w:szCs w:val="21"/>
          <w:lang w:val="en"/>
        </w:rPr>
        <w:t>ir</w:t>
      </w:r>
      <w:r w:rsidRPr="000F03AB">
        <w:rPr>
          <w:rStyle w:val="Bodytext1"/>
          <w:rFonts w:ascii="Segoe UI" w:hAnsi="Segoe UI" w:cs="Segoe UI"/>
          <w:sz w:val="21"/>
          <w:szCs w:val="21"/>
          <w:lang w:val="en"/>
        </w:rPr>
        <w:t xml:space="preserve"> quarterly </w:t>
      </w:r>
      <w:r>
        <w:rPr>
          <w:rStyle w:val="Bodytext1"/>
          <w:rFonts w:ascii="Segoe UI" w:hAnsi="Segoe UI" w:cs="Segoe UI"/>
          <w:sz w:val="21"/>
          <w:szCs w:val="21"/>
          <w:lang w:val="en"/>
        </w:rPr>
        <w:t xml:space="preserve">payment </w:t>
      </w:r>
      <w:r w:rsidRPr="000F03AB">
        <w:rPr>
          <w:rStyle w:val="Bodytext1"/>
          <w:rFonts w:ascii="Segoe UI" w:hAnsi="Segoe UI" w:cs="Segoe UI"/>
          <w:sz w:val="21"/>
          <w:szCs w:val="21"/>
          <w:lang w:val="en"/>
        </w:rPr>
        <w:t xml:space="preserve">obligations related to local taxes </w:t>
      </w:r>
      <w:r>
        <w:rPr>
          <w:rStyle w:val="Bodytext1"/>
          <w:rFonts w:ascii="Segoe UI" w:hAnsi="Segoe UI" w:cs="Segoe UI"/>
          <w:sz w:val="21"/>
          <w:szCs w:val="21"/>
          <w:lang w:val="en"/>
        </w:rPr>
        <w:t xml:space="preserve">and resource fees </w:t>
      </w:r>
      <w:r w:rsidRPr="000F03AB">
        <w:rPr>
          <w:rStyle w:val="Bodytext1"/>
          <w:rFonts w:ascii="Segoe UI" w:hAnsi="Segoe UI" w:cs="Segoe UI"/>
          <w:sz w:val="21"/>
          <w:szCs w:val="21"/>
          <w:lang w:val="en"/>
        </w:rPr>
        <w:t>on their own</w:t>
      </w:r>
      <w:r>
        <w:rPr>
          <w:rStyle w:val="Bodytext1"/>
          <w:rFonts w:ascii="Segoe UI" w:hAnsi="Segoe UI" w:cs="Segoe UI"/>
          <w:sz w:val="21"/>
          <w:szCs w:val="21"/>
          <w:lang w:val="en"/>
        </w:rPr>
        <w:t xml:space="preserve"> (Art. 305).</w:t>
      </w:r>
      <w:r w:rsidRPr="006D704D">
        <w:rPr>
          <w:rStyle w:val="Bodytext1"/>
          <w:rFonts w:ascii="Segoe UI" w:hAnsi="Segoe UI" w:cs="Segoe UI"/>
          <w:sz w:val="21"/>
          <w:szCs w:val="21"/>
          <w:lang w:val="en"/>
        </w:rPr>
        <w:t xml:space="preserve"> </w:t>
      </w:r>
      <w:r>
        <w:rPr>
          <w:rStyle w:val="Bodytext1"/>
          <w:rFonts w:ascii="Segoe UI" w:hAnsi="Segoe UI" w:cs="Segoe UI"/>
          <w:sz w:val="21"/>
          <w:szCs w:val="21"/>
          <w:lang w:val="en"/>
        </w:rPr>
        <w:t>The STS</w:t>
      </w:r>
      <w:r w:rsidRPr="006D704D">
        <w:rPr>
          <w:rStyle w:val="Bodytext1"/>
          <w:rFonts w:ascii="Segoe UI" w:hAnsi="Segoe UI" w:cs="Segoe UI"/>
          <w:sz w:val="21"/>
          <w:szCs w:val="21"/>
          <w:lang w:val="en"/>
        </w:rPr>
        <w:t xml:space="preserve"> keeps track of tax obligations in this case similar to the property/land tax.</w:t>
      </w:r>
    </w:p>
    <w:p w14:paraId="44F28DC1" w14:textId="3F6D6E01" w:rsidR="00F77F6D" w:rsidRPr="00CB1E53" w:rsidRDefault="00CB1E53" w:rsidP="00E90BA7">
      <w:pPr>
        <w:pStyle w:val="Heading3"/>
        <w:jc w:val="both"/>
        <w:rPr>
          <w:rStyle w:val="RegularDKB"/>
          <w:caps w:val="0"/>
        </w:rPr>
      </w:pPr>
      <w:bookmarkStart w:id="45" w:name="_Toc126555838"/>
      <w:r w:rsidRPr="00CB1E53">
        <w:rPr>
          <w:rStyle w:val="RegularDKB"/>
          <w:caps w:val="0"/>
        </w:rPr>
        <w:t>Costing of Tax Expenditures, 2018-202</w:t>
      </w:r>
      <w:bookmarkEnd w:id="45"/>
      <w:r w:rsidR="003279DF">
        <w:rPr>
          <w:rStyle w:val="RegularDKB"/>
          <w:caps w:val="0"/>
        </w:rPr>
        <w:t>2</w:t>
      </w:r>
    </w:p>
    <w:p w14:paraId="736EE1E5" w14:textId="5D08055F" w:rsidR="00CB1E53" w:rsidRPr="00881CD3" w:rsidRDefault="00CB1E53" w:rsidP="00E90BA7">
      <w:pPr>
        <w:spacing w:after="200"/>
        <w:jc w:val="both"/>
        <w:rPr>
          <w:rFonts w:ascii="Segoe UI" w:hAnsi="Segoe UI" w:cs="Segoe UI"/>
          <w:sz w:val="21"/>
          <w:szCs w:val="21"/>
        </w:rPr>
      </w:pPr>
      <w:r w:rsidRPr="00CB1E53">
        <w:rPr>
          <w:rFonts w:ascii="Segoe UI" w:hAnsi="Segoe UI" w:cs="Segoe UI"/>
          <w:sz w:val="21"/>
          <w:szCs w:val="21"/>
        </w:rPr>
        <w:t xml:space="preserve">Based of methodologies discussed above, </w:t>
      </w:r>
      <w:r w:rsidR="00AB7911" w:rsidRPr="00881CD3">
        <w:rPr>
          <w:rFonts w:ascii="Segoe UI" w:hAnsi="Segoe UI" w:cs="Segoe UI"/>
          <w:sz w:val="21"/>
          <w:szCs w:val="21"/>
        </w:rPr>
        <w:t>Table</w:t>
      </w:r>
      <w:r w:rsidRPr="00881CD3">
        <w:rPr>
          <w:rFonts w:ascii="Segoe UI" w:hAnsi="Segoe UI" w:cs="Segoe UI"/>
          <w:sz w:val="21"/>
          <w:szCs w:val="21"/>
        </w:rPr>
        <w:t xml:space="preserve"> </w:t>
      </w:r>
      <w:r w:rsidR="00A536CC" w:rsidRPr="00881CD3">
        <w:rPr>
          <w:rFonts w:ascii="Segoe UI" w:hAnsi="Segoe UI" w:cs="Segoe UI"/>
          <w:sz w:val="21"/>
          <w:szCs w:val="21"/>
        </w:rPr>
        <w:t>7</w:t>
      </w:r>
      <w:r w:rsidRPr="00881CD3">
        <w:rPr>
          <w:rFonts w:ascii="Segoe UI" w:hAnsi="Segoe UI" w:cs="Segoe UI"/>
          <w:sz w:val="21"/>
          <w:szCs w:val="21"/>
        </w:rPr>
        <w:t xml:space="preserve"> presents the TEs estimates for </w:t>
      </w:r>
      <w:r w:rsidR="00A4521C">
        <w:rPr>
          <w:rFonts w:ascii="Segoe UI" w:hAnsi="Segoe UI" w:cs="Segoe UI"/>
          <w:sz w:val="21"/>
          <w:szCs w:val="21"/>
        </w:rPr>
        <w:t>taxes cover</w:t>
      </w:r>
      <w:r w:rsidR="0023028E">
        <w:rPr>
          <w:rFonts w:ascii="Segoe UI" w:hAnsi="Segoe UI" w:cs="Segoe UI"/>
          <w:sz w:val="21"/>
          <w:szCs w:val="21"/>
        </w:rPr>
        <w:t>ed</w:t>
      </w:r>
      <w:r w:rsidR="00A4521C">
        <w:rPr>
          <w:rFonts w:ascii="Segoe UI" w:hAnsi="Segoe UI" w:cs="Segoe UI"/>
          <w:sz w:val="21"/>
          <w:szCs w:val="21"/>
        </w:rPr>
        <w:t xml:space="preserve"> in the report.</w:t>
      </w:r>
    </w:p>
    <w:p w14:paraId="59F09F36" w14:textId="37AC5660" w:rsidR="007575C3" w:rsidRPr="00CB1E53" w:rsidRDefault="00CB1E53" w:rsidP="00E90BA7">
      <w:pPr>
        <w:pStyle w:val="Boxfiguretabletitle"/>
        <w:spacing w:after="120"/>
        <w:jc w:val="both"/>
        <w:rPr>
          <w:color w:val="auto"/>
        </w:rPr>
      </w:pPr>
      <w:r w:rsidRPr="00881CD3">
        <w:rPr>
          <w:b w:val="0"/>
          <w:bCs w:val="0"/>
          <w:color w:val="auto"/>
        </w:rPr>
        <w:fldChar w:fldCharType="begin"/>
      </w:r>
      <w:r w:rsidRPr="00881CD3">
        <w:rPr>
          <w:b w:val="0"/>
          <w:bCs w:val="0"/>
          <w:color w:val="auto"/>
        </w:rPr>
        <w:instrText xml:space="preserve"> TC "</w:instrText>
      </w:r>
      <w:r w:rsidR="00A536CC" w:rsidRPr="00881CD3">
        <w:rPr>
          <w:b w:val="0"/>
          <w:bCs w:val="0"/>
          <w:color w:val="auto"/>
        </w:rPr>
        <w:instrText>7</w:instrText>
      </w:r>
      <w:r w:rsidRPr="00881CD3">
        <w:rPr>
          <w:b w:val="0"/>
          <w:bCs w:val="0"/>
          <w:color w:val="auto"/>
        </w:rPr>
        <w:instrText xml:space="preserve">. Tax Expenditures estimates "\f C </w:instrText>
      </w:r>
      <w:r w:rsidRPr="00881CD3">
        <w:rPr>
          <w:b w:val="0"/>
          <w:bCs w:val="0"/>
          <w:color w:val="auto"/>
        </w:rPr>
        <w:fldChar w:fldCharType="end"/>
      </w:r>
      <w:r w:rsidRPr="00881CD3">
        <w:rPr>
          <w:color w:val="auto"/>
        </w:rPr>
        <w:t xml:space="preserve">Table </w:t>
      </w:r>
      <w:r w:rsidR="00A536CC" w:rsidRPr="00881CD3">
        <w:rPr>
          <w:color w:val="auto"/>
        </w:rPr>
        <w:t>7</w:t>
      </w:r>
      <w:r w:rsidRPr="00881CD3">
        <w:rPr>
          <w:color w:val="auto"/>
        </w:rPr>
        <w:t>.</w:t>
      </w:r>
      <w:r w:rsidRPr="00CB1E53">
        <w:rPr>
          <w:color w:val="auto"/>
        </w:rPr>
        <w:t xml:space="preserve"> Tax Expenditure </w:t>
      </w:r>
      <w:r w:rsidR="00A4521C">
        <w:rPr>
          <w:color w:val="auto"/>
        </w:rPr>
        <w:t>E</w:t>
      </w:r>
      <w:r w:rsidRPr="00CB1E53">
        <w:rPr>
          <w:color w:val="auto"/>
        </w:rPr>
        <w:t>stimates</w:t>
      </w:r>
    </w:p>
    <w:tbl>
      <w:tblPr>
        <w:tblW w:w="10132" w:type="dxa"/>
        <w:tblInd w:w="-360" w:type="dxa"/>
        <w:tblLook w:val="04A0" w:firstRow="1" w:lastRow="0" w:firstColumn="1" w:lastColumn="0" w:noHBand="0" w:noVBand="1"/>
      </w:tblPr>
      <w:tblGrid>
        <w:gridCol w:w="450"/>
        <w:gridCol w:w="5130"/>
        <w:gridCol w:w="910"/>
        <w:gridCol w:w="910"/>
        <w:gridCol w:w="912"/>
        <w:gridCol w:w="910"/>
        <w:gridCol w:w="910"/>
      </w:tblGrid>
      <w:tr w:rsidR="00134C08" w:rsidRPr="00134C08" w14:paraId="10F780FC" w14:textId="77777777" w:rsidTr="009960D0">
        <w:trPr>
          <w:trHeight w:val="210"/>
        </w:trPr>
        <w:tc>
          <w:tcPr>
            <w:tcW w:w="450" w:type="dxa"/>
            <w:tcBorders>
              <w:top w:val="nil"/>
              <w:left w:val="nil"/>
              <w:bottom w:val="nil"/>
              <w:right w:val="nil"/>
            </w:tcBorders>
            <w:shd w:val="clear" w:color="auto" w:fill="auto"/>
            <w:noWrap/>
            <w:vAlign w:val="bottom"/>
            <w:hideMark/>
          </w:tcPr>
          <w:p w14:paraId="164EFEDD" w14:textId="77777777" w:rsidR="00134C08" w:rsidRPr="00134C08" w:rsidRDefault="00134C08" w:rsidP="00E90BA7">
            <w:pPr>
              <w:spacing w:after="0" w:line="240" w:lineRule="auto"/>
              <w:jc w:val="both"/>
              <w:rPr>
                <w:rFonts w:ascii="Times New Roman" w:eastAsia="Times New Roman" w:hAnsi="Times New Roman" w:cs="Times New Roman"/>
                <w:sz w:val="24"/>
                <w:szCs w:val="24"/>
              </w:rPr>
            </w:pPr>
          </w:p>
        </w:tc>
        <w:tc>
          <w:tcPr>
            <w:tcW w:w="5130" w:type="dxa"/>
            <w:vMerge w:val="restart"/>
            <w:tcBorders>
              <w:top w:val="single" w:sz="4" w:space="0" w:color="auto"/>
              <w:left w:val="nil"/>
              <w:bottom w:val="double" w:sz="6" w:space="0" w:color="000000"/>
              <w:right w:val="nil"/>
            </w:tcBorders>
            <w:shd w:val="clear" w:color="000000" w:fill="E7E6E6"/>
            <w:noWrap/>
            <w:vAlign w:val="center"/>
            <w:hideMark/>
          </w:tcPr>
          <w:p w14:paraId="6F941DFA"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Title of tax expenditure</w:t>
            </w:r>
          </w:p>
        </w:tc>
        <w:tc>
          <w:tcPr>
            <w:tcW w:w="4550" w:type="dxa"/>
            <w:gridSpan w:val="5"/>
            <w:tcBorders>
              <w:top w:val="single" w:sz="4" w:space="0" w:color="auto"/>
              <w:left w:val="nil"/>
              <w:bottom w:val="nil"/>
              <w:right w:val="nil"/>
            </w:tcBorders>
            <w:shd w:val="clear" w:color="000000" w:fill="E7E6E6"/>
            <w:noWrap/>
            <w:vAlign w:val="center"/>
            <w:hideMark/>
          </w:tcPr>
          <w:p w14:paraId="204EFAC8"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Estimated costs</w:t>
            </w:r>
          </w:p>
        </w:tc>
      </w:tr>
      <w:tr w:rsidR="009960D0" w:rsidRPr="00134C08" w14:paraId="6435E964" w14:textId="77777777" w:rsidTr="009960D0">
        <w:trPr>
          <w:trHeight w:val="220"/>
        </w:trPr>
        <w:tc>
          <w:tcPr>
            <w:tcW w:w="450" w:type="dxa"/>
            <w:tcBorders>
              <w:top w:val="nil"/>
              <w:left w:val="nil"/>
              <w:bottom w:val="nil"/>
              <w:right w:val="nil"/>
            </w:tcBorders>
            <w:shd w:val="clear" w:color="auto" w:fill="auto"/>
            <w:noWrap/>
            <w:vAlign w:val="bottom"/>
            <w:hideMark/>
          </w:tcPr>
          <w:p w14:paraId="021BEB1D"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p>
        </w:tc>
        <w:tc>
          <w:tcPr>
            <w:tcW w:w="5130" w:type="dxa"/>
            <w:vMerge/>
            <w:tcBorders>
              <w:top w:val="single" w:sz="4" w:space="0" w:color="auto"/>
              <w:left w:val="nil"/>
              <w:bottom w:val="double" w:sz="6" w:space="0" w:color="000000"/>
              <w:right w:val="nil"/>
            </w:tcBorders>
            <w:vAlign w:val="center"/>
            <w:hideMark/>
          </w:tcPr>
          <w:p w14:paraId="0417676B"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p>
        </w:tc>
        <w:tc>
          <w:tcPr>
            <w:tcW w:w="910" w:type="dxa"/>
            <w:tcBorders>
              <w:top w:val="nil"/>
              <w:left w:val="nil"/>
              <w:bottom w:val="double" w:sz="6" w:space="0" w:color="auto"/>
              <w:right w:val="nil"/>
            </w:tcBorders>
            <w:shd w:val="clear" w:color="000000" w:fill="E7E6E6"/>
            <w:noWrap/>
            <w:vAlign w:val="center"/>
            <w:hideMark/>
          </w:tcPr>
          <w:p w14:paraId="10E729FA"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2018</w:t>
            </w:r>
          </w:p>
        </w:tc>
        <w:tc>
          <w:tcPr>
            <w:tcW w:w="910" w:type="dxa"/>
            <w:tcBorders>
              <w:top w:val="nil"/>
              <w:left w:val="nil"/>
              <w:bottom w:val="double" w:sz="6" w:space="0" w:color="auto"/>
              <w:right w:val="nil"/>
            </w:tcBorders>
            <w:shd w:val="clear" w:color="000000" w:fill="E7E6E6"/>
            <w:noWrap/>
            <w:vAlign w:val="center"/>
            <w:hideMark/>
          </w:tcPr>
          <w:p w14:paraId="0F420579"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2019</w:t>
            </w:r>
          </w:p>
        </w:tc>
        <w:tc>
          <w:tcPr>
            <w:tcW w:w="910" w:type="dxa"/>
            <w:tcBorders>
              <w:top w:val="nil"/>
              <w:left w:val="nil"/>
              <w:bottom w:val="double" w:sz="6" w:space="0" w:color="auto"/>
              <w:right w:val="nil"/>
            </w:tcBorders>
            <w:shd w:val="clear" w:color="000000" w:fill="E7E6E6"/>
            <w:noWrap/>
            <w:vAlign w:val="center"/>
            <w:hideMark/>
          </w:tcPr>
          <w:p w14:paraId="72D8BD3F"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2020</w:t>
            </w:r>
          </w:p>
        </w:tc>
        <w:tc>
          <w:tcPr>
            <w:tcW w:w="910" w:type="dxa"/>
            <w:tcBorders>
              <w:top w:val="nil"/>
              <w:left w:val="nil"/>
              <w:bottom w:val="double" w:sz="6" w:space="0" w:color="auto"/>
              <w:right w:val="nil"/>
            </w:tcBorders>
            <w:shd w:val="clear" w:color="000000" w:fill="E7E6E6"/>
            <w:noWrap/>
            <w:vAlign w:val="center"/>
            <w:hideMark/>
          </w:tcPr>
          <w:p w14:paraId="7FE10A9D"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2021</w:t>
            </w:r>
          </w:p>
        </w:tc>
        <w:tc>
          <w:tcPr>
            <w:tcW w:w="910" w:type="dxa"/>
            <w:tcBorders>
              <w:top w:val="nil"/>
              <w:left w:val="nil"/>
              <w:bottom w:val="double" w:sz="6" w:space="0" w:color="auto"/>
              <w:right w:val="nil"/>
            </w:tcBorders>
            <w:shd w:val="clear" w:color="000000" w:fill="E7E6E6"/>
            <w:vAlign w:val="center"/>
            <w:hideMark/>
          </w:tcPr>
          <w:p w14:paraId="776120D8"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2022</w:t>
            </w:r>
          </w:p>
        </w:tc>
      </w:tr>
      <w:tr w:rsidR="00134C08" w:rsidRPr="00134C08" w14:paraId="1E3DE788" w14:textId="77777777" w:rsidTr="009960D0">
        <w:trPr>
          <w:trHeight w:val="220"/>
        </w:trPr>
        <w:tc>
          <w:tcPr>
            <w:tcW w:w="450" w:type="dxa"/>
            <w:tcBorders>
              <w:top w:val="nil"/>
              <w:left w:val="nil"/>
              <w:bottom w:val="nil"/>
              <w:right w:val="nil"/>
            </w:tcBorders>
            <w:shd w:val="clear" w:color="auto" w:fill="auto"/>
            <w:noWrap/>
            <w:vAlign w:val="bottom"/>
            <w:hideMark/>
          </w:tcPr>
          <w:p w14:paraId="034782F7"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p>
        </w:tc>
        <w:tc>
          <w:tcPr>
            <w:tcW w:w="5130" w:type="dxa"/>
            <w:tcBorders>
              <w:top w:val="nil"/>
              <w:left w:val="nil"/>
              <w:bottom w:val="nil"/>
              <w:right w:val="nil"/>
            </w:tcBorders>
            <w:shd w:val="clear" w:color="000000" w:fill="A5A5A5"/>
            <w:noWrap/>
            <w:vAlign w:val="center"/>
            <w:hideMark/>
          </w:tcPr>
          <w:p w14:paraId="6977E4D7"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Personal Income Tax</w:t>
            </w:r>
          </w:p>
        </w:tc>
        <w:tc>
          <w:tcPr>
            <w:tcW w:w="4550" w:type="dxa"/>
            <w:gridSpan w:val="5"/>
            <w:tcBorders>
              <w:top w:val="nil"/>
              <w:left w:val="nil"/>
              <w:bottom w:val="nil"/>
              <w:right w:val="nil"/>
            </w:tcBorders>
            <w:shd w:val="clear" w:color="000000" w:fill="A5A5A5"/>
            <w:noWrap/>
            <w:vAlign w:val="center"/>
            <w:hideMark/>
          </w:tcPr>
          <w:p w14:paraId="37930545"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Thousand MDL</w:t>
            </w:r>
          </w:p>
        </w:tc>
      </w:tr>
      <w:tr w:rsidR="00134C08" w:rsidRPr="00134C08" w14:paraId="0691BE80" w14:textId="77777777" w:rsidTr="00360FE5">
        <w:trPr>
          <w:trHeight w:val="210"/>
        </w:trPr>
        <w:tc>
          <w:tcPr>
            <w:tcW w:w="450" w:type="dxa"/>
            <w:tcBorders>
              <w:top w:val="nil"/>
              <w:left w:val="nil"/>
              <w:bottom w:val="nil"/>
              <w:right w:val="nil"/>
            </w:tcBorders>
            <w:shd w:val="clear" w:color="auto" w:fill="auto"/>
            <w:noWrap/>
            <w:hideMark/>
          </w:tcPr>
          <w:p w14:paraId="47E820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center"/>
            <w:hideMark/>
          </w:tcPr>
          <w:p w14:paraId="2F32BA8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received state pension</w:t>
            </w:r>
          </w:p>
        </w:tc>
        <w:tc>
          <w:tcPr>
            <w:tcW w:w="910" w:type="dxa"/>
            <w:tcBorders>
              <w:top w:val="nil"/>
              <w:left w:val="nil"/>
              <w:bottom w:val="nil"/>
              <w:right w:val="nil"/>
            </w:tcBorders>
            <w:shd w:val="clear" w:color="auto" w:fill="auto"/>
            <w:noWrap/>
            <w:vAlign w:val="center"/>
            <w:hideMark/>
          </w:tcPr>
          <w:p w14:paraId="482A3DC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790133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397,300.0</w:t>
            </w:r>
          </w:p>
        </w:tc>
        <w:tc>
          <w:tcPr>
            <w:tcW w:w="910" w:type="dxa"/>
            <w:tcBorders>
              <w:top w:val="nil"/>
              <w:left w:val="nil"/>
              <w:bottom w:val="nil"/>
              <w:right w:val="nil"/>
            </w:tcBorders>
            <w:shd w:val="clear" w:color="000000" w:fill="E7E6E6"/>
            <w:noWrap/>
            <w:vAlign w:val="center"/>
            <w:hideMark/>
          </w:tcPr>
          <w:p w14:paraId="0D3E19B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388,000.0</w:t>
            </w:r>
          </w:p>
        </w:tc>
        <w:tc>
          <w:tcPr>
            <w:tcW w:w="910" w:type="dxa"/>
            <w:tcBorders>
              <w:top w:val="nil"/>
              <w:left w:val="nil"/>
              <w:bottom w:val="nil"/>
              <w:right w:val="nil"/>
            </w:tcBorders>
            <w:shd w:val="clear" w:color="000000" w:fill="E7E6E6"/>
            <w:noWrap/>
            <w:vAlign w:val="center"/>
            <w:hideMark/>
          </w:tcPr>
          <w:p w14:paraId="226D81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439,100.0</w:t>
            </w:r>
          </w:p>
        </w:tc>
        <w:tc>
          <w:tcPr>
            <w:tcW w:w="910" w:type="dxa"/>
            <w:tcBorders>
              <w:top w:val="nil"/>
              <w:left w:val="nil"/>
              <w:bottom w:val="nil"/>
              <w:right w:val="nil"/>
            </w:tcBorders>
            <w:shd w:val="clear" w:color="000000" w:fill="E7E6E6"/>
            <w:noWrap/>
            <w:vAlign w:val="center"/>
            <w:hideMark/>
          </w:tcPr>
          <w:p w14:paraId="5E0F28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482,700.0</w:t>
            </w:r>
          </w:p>
        </w:tc>
      </w:tr>
      <w:tr w:rsidR="00134C08" w:rsidRPr="00134C08" w14:paraId="3827E69A" w14:textId="77777777" w:rsidTr="00360FE5">
        <w:trPr>
          <w:trHeight w:val="210"/>
        </w:trPr>
        <w:tc>
          <w:tcPr>
            <w:tcW w:w="450" w:type="dxa"/>
            <w:tcBorders>
              <w:top w:val="nil"/>
              <w:left w:val="nil"/>
              <w:bottom w:val="nil"/>
              <w:right w:val="nil"/>
            </w:tcBorders>
            <w:shd w:val="clear" w:color="auto" w:fill="auto"/>
            <w:noWrap/>
            <w:hideMark/>
          </w:tcPr>
          <w:p w14:paraId="2045DB9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center"/>
            <w:hideMark/>
          </w:tcPr>
          <w:p w14:paraId="3306E8D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state security payments and state subsidies</w:t>
            </w:r>
          </w:p>
        </w:tc>
        <w:tc>
          <w:tcPr>
            <w:tcW w:w="910" w:type="dxa"/>
            <w:tcBorders>
              <w:top w:val="nil"/>
              <w:left w:val="nil"/>
              <w:bottom w:val="nil"/>
              <w:right w:val="nil"/>
            </w:tcBorders>
            <w:shd w:val="clear" w:color="auto" w:fill="auto"/>
            <w:noWrap/>
            <w:vAlign w:val="center"/>
            <w:hideMark/>
          </w:tcPr>
          <w:p w14:paraId="2B1F023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652,300.0</w:t>
            </w:r>
          </w:p>
        </w:tc>
        <w:tc>
          <w:tcPr>
            <w:tcW w:w="910" w:type="dxa"/>
            <w:tcBorders>
              <w:top w:val="nil"/>
              <w:left w:val="nil"/>
              <w:bottom w:val="nil"/>
              <w:right w:val="nil"/>
            </w:tcBorders>
            <w:shd w:val="clear" w:color="auto" w:fill="auto"/>
            <w:noWrap/>
            <w:vAlign w:val="center"/>
            <w:hideMark/>
          </w:tcPr>
          <w:p w14:paraId="5FA4620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705,300.0</w:t>
            </w:r>
          </w:p>
        </w:tc>
        <w:tc>
          <w:tcPr>
            <w:tcW w:w="910" w:type="dxa"/>
            <w:tcBorders>
              <w:top w:val="nil"/>
              <w:left w:val="nil"/>
              <w:bottom w:val="nil"/>
              <w:right w:val="nil"/>
            </w:tcBorders>
            <w:shd w:val="clear" w:color="000000" w:fill="E7E6E6"/>
            <w:noWrap/>
            <w:vAlign w:val="center"/>
            <w:hideMark/>
          </w:tcPr>
          <w:p w14:paraId="405177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688,700.0</w:t>
            </w:r>
          </w:p>
        </w:tc>
        <w:tc>
          <w:tcPr>
            <w:tcW w:w="910" w:type="dxa"/>
            <w:tcBorders>
              <w:top w:val="nil"/>
              <w:left w:val="nil"/>
              <w:bottom w:val="nil"/>
              <w:right w:val="nil"/>
            </w:tcBorders>
            <w:shd w:val="clear" w:color="000000" w:fill="E7E6E6"/>
            <w:noWrap/>
            <w:vAlign w:val="center"/>
            <w:hideMark/>
          </w:tcPr>
          <w:p w14:paraId="10722FE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779,500.0</w:t>
            </w:r>
          </w:p>
        </w:tc>
        <w:tc>
          <w:tcPr>
            <w:tcW w:w="910" w:type="dxa"/>
            <w:tcBorders>
              <w:top w:val="nil"/>
              <w:left w:val="nil"/>
              <w:bottom w:val="nil"/>
              <w:right w:val="nil"/>
            </w:tcBorders>
            <w:shd w:val="clear" w:color="000000" w:fill="E7E6E6"/>
            <w:noWrap/>
            <w:vAlign w:val="center"/>
            <w:hideMark/>
          </w:tcPr>
          <w:p w14:paraId="07A3F6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856,900.0</w:t>
            </w:r>
          </w:p>
        </w:tc>
      </w:tr>
      <w:tr w:rsidR="00134C08" w:rsidRPr="00134C08" w14:paraId="61217CF0" w14:textId="77777777" w:rsidTr="00360FE5">
        <w:trPr>
          <w:trHeight w:val="210"/>
        </w:trPr>
        <w:tc>
          <w:tcPr>
            <w:tcW w:w="450" w:type="dxa"/>
            <w:tcBorders>
              <w:top w:val="nil"/>
              <w:left w:val="nil"/>
              <w:bottom w:val="nil"/>
              <w:right w:val="nil"/>
            </w:tcBorders>
            <w:shd w:val="clear" w:color="auto" w:fill="auto"/>
            <w:noWrap/>
            <w:hideMark/>
          </w:tcPr>
          <w:p w14:paraId="6DC67C0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center"/>
            <w:hideMark/>
          </w:tcPr>
          <w:p w14:paraId="72903F4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Non taxable state subsidy to first time homeowners under “First Home” state program</w:t>
            </w:r>
          </w:p>
        </w:tc>
        <w:tc>
          <w:tcPr>
            <w:tcW w:w="910" w:type="dxa"/>
            <w:tcBorders>
              <w:top w:val="nil"/>
              <w:left w:val="nil"/>
              <w:bottom w:val="nil"/>
              <w:right w:val="nil"/>
            </w:tcBorders>
            <w:shd w:val="clear" w:color="auto" w:fill="auto"/>
            <w:noWrap/>
            <w:vAlign w:val="bottom"/>
            <w:hideMark/>
          </w:tcPr>
          <w:p w14:paraId="22D9607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08557F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1,010.0</w:t>
            </w:r>
          </w:p>
        </w:tc>
        <w:tc>
          <w:tcPr>
            <w:tcW w:w="910" w:type="dxa"/>
            <w:tcBorders>
              <w:top w:val="nil"/>
              <w:left w:val="nil"/>
              <w:bottom w:val="nil"/>
              <w:right w:val="nil"/>
            </w:tcBorders>
            <w:shd w:val="clear" w:color="auto" w:fill="auto"/>
            <w:noWrap/>
            <w:vAlign w:val="center"/>
            <w:hideMark/>
          </w:tcPr>
          <w:p w14:paraId="52F90CA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2,960.0</w:t>
            </w:r>
          </w:p>
        </w:tc>
        <w:tc>
          <w:tcPr>
            <w:tcW w:w="910" w:type="dxa"/>
            <w:tcBorders>
              <w:top w:val="nil"/>
              <w:left w:val="nil"/>
              <w:bottom w:val="nil"/>
              <w:right w:val="nil"/>
            </w:tcBorders>
            <w:shd w:val="clear" w:color="auto" w:fill="auto"/>
            <w:noWrap/>
            <w:vAlign w:val="center"/>
            <w:hideMark/>
          </w:tcPr>
          <w:p w14:paraId="3767ACE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6,200.0</w:t>
            </w:r>
          </w:p>
        </w:tc>
        <w:tc>
          <w:tcPr>
            <w:tcW w:w="910" w:type="dxa"/>
            <w:tcBorders>
              <w:top w:val="nil"/>
              <w:left w:val="nil"/>
              <w:bottom w:val="nil"/>
              <w:right w:val="nil"/>
            </w:tcBorders>
            <w:shd w:val="clear" w:color="000000" w:fill="E7E6E6"/>
            <w:noWrap/>
            <w:vAlign w:val="center"/>
            <w:hideMark/>
          </w:tcPr>
          <w:p w14:paraId="1F60D6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6,800.0</w:t>
            </w:r>
          </w:p>
        </w:tc>
      </w:tr>
      <w:tr w:rsidR="00134C08" w:rsidRPr="00134C08" w14:paraId="2078075F" w14:textId="77777777" w:rsidTr="00360FE5">
        <w:trPr>
          <w:trHeight w:val="210"/>
        </w:trPr>
        <w:tc>
          <w:tcPr>
            <w:tcW w:w="450" w:type="dxa"/>
            <w:tcBorders>
              <w:top w:val="nil"/>
              <w:left w:val="nil"/>
              <w:bottom w:val="nil"/>
              <w:right w:val="nil"/>
            </w:tcBorders>
            <w:shd w:val="clear" w:color="auto" w:fill="auto"/>
            <w:noWrap/>
            <w:hideMark/>
          </w:tcPr>
          <w:p w14:paraId="5CC2EA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center"/>
            <w:hideMark/>
          </w:tcPr>
          <w:p w14:paraId="3CA2F053"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All fringe benefit payments by an employer such as meals etc. are tax exempt </w:t>
            </w:r>
          </w:p>
        </w:tc>
        <w:tc>
          <w:tcPr>
            <w:tcW w:w="910" w:type="dxa"/>
            <w:tcBorders>
              <w:top w:val="nil"/>
              <w:left w:val="nil"/>
              <w:bottom w:val="nil"/>
              <w:right w:val="nil"/>
            </w:tcBorders>
            <w:shd w:val="clear" w:color="auto" w:fill="auto"/>
            <w:noWrap/>
            <w:vAlign w:val="center"/>
            <w:hideMark/>
          </w:tcPr>
          <w:p w14:paraId="51EA790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B3178A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3ED7A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889FA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06C294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B4E268D" w14:textId="77777777" w:rsidTr="00360FE5">
        <w:trPr>
          <w:trHeight w:val="210"/>
        </w:trPr>
        <w:tc>
          <w:tcPr>
            <w:tcW w:w="450" w:type="dxa"/>
            <w:tcBorders>
              <w:top w:val="nil"/>
              <w:left w:val="nil"/>
              <w:bottom w:val="nil"/>
              <w:right w:val="nil"/>
            </w:tcBorders>
            <w:shd w:val="clear" w:color="auto" w:fill="auto"/>
            <w:noWrap/>
            <w:hideMark/>
          </w:tcPr>
          <w:p w14:paraId="37BF90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center"/>
            <w:hideMark/>
          </w:tcPr>
          <w:p w14:paraId="4B05C93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scholarships for pupils, students, and postgraduate students</w:t>
            </w:r>
          </w:p>
        </w:tc>
        <w:tc>
          <w:tcPr>
            <w:tcW w:w="910" w:type="dxa"/>
            <w:tcBorders>
              <w:top w:val="nil"/>
              <w:left w:val="nil"/>
              <w:bottom w:val="nil"/>
              <w:right w:val="nil"/>
            </w:tcBorders>
            <w:shd w:val="clear" w:color="auto" w:fill="auto"/>
            <w:noWrap/>
            <w:vAlign w:val="center"/>
            <w:hideMark/>
          </w:tcPr>
          <w:p w14:paraId="380621C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112,100.0</w:t>
            </w:r>
          </w:p>
        </w:tc>
        <w:tc>
          <w:tcPr>
            <w:tcW w:w="910" w:type="dxa"/>
            <w:tcBorders>
              <w:top w:val="nil"/>
              <w:left w:val="nil"/>
              <w:bottom w:val="nil"/>
              <w:right w:val="nil"/>
            </w:tcBorders>
            <w:shd w:val="clear" w:color="auto" w:fill="auto"/>
            <w:noWrap/>
            <w:vAlign w:val="center"/>
            <w:hideMark/>
          </w:tcPr>
          <w:p w14:paraId="5E4B53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247,200.0</w:t>
            </w:r>
          </w:p>
        </w:tc>
        <w:tc>
          <w:tcPr>
            <w:tcW w:w="910" w:type="dxa"/>
            <w:tcBorders>
              <w:top w:val="nil"/>
              <w:left w:val="nil"/>
              <w:bottom w:val="nil"/>
              <w:right w:val="nil"/>
            </w:tcBorders>
            <w:shd w:val="clear" w:color="auto" w:fill="auto"/>
            <w:noWrap/>
            <w:vAlign w:val="center"/>
            <w:hideMark/>
          </w:tcPr>
          <w:p w14:paraId="0ACFE8F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252,200.0</w:t>
            </w:r>
          </w:p>
        </w:tc>
        <w:tc>
          <w:tcPr>
            <w:tcW w:w="910" w:type="dxa"/>
            <w:tcBorders>
              <w:top w:val="nil"/>
              <w:left w:val="nil"/>
              <w:bottom w:val="nil"/>
              <w:right w:val="nil"/>
            </w:tcBorders>
            <w:shd w:val="clear" w:color="000000" w:fill="E7E6E6"/>
            <w:noWrap/>
            <w:vAlign w:val="center"/>
            <w:hideMark/>
          </w:tcPr>
          <w:p w14:paraId="65280DE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285,400.0</w:t>
            </w:r>
          </w:p>
        </w:tc>
        <w:tc>
          <w:tcPr>
            <w:tcW w:w="910" w:type="dxa"/>
            <w:tcBorders>
              <w:top w:val="nil"/>
              <w:left w:val="nil"/>
              <w:bottom w:val="nil"/>
              <w:right w:val="nil"/>
            </w:tcBorders>
            <w:shd w:val="clear" w:color="000000" w:fill="E7E6E6"/>
            <w:noWrap/>
            <w:vAlign w:val="center"/>
            <w:hideMark/>
          </w:tcPr>
          <w:p w14:paraId="4CAB86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313,800.0</w:t>
            </w:r>
          </w:p>
        </w:tc>
      </w:tr>
      <w:tr w:rsidR="00134C08" w:rsidRPr="00134C08" w14:paraId="1D4FBECD" w14:textId="77777777" w:rsidTr="00360FE5">
        <w:trPr>
          <w:trHeight w:val="210"/>
        </w:trPr>
        <w:tc>
          <w:tcPr>
            <w:tcW w:w="450" w:type="dxa"/>
            <w:tcBorders>
              <w:top w:val="nil"/>
              <w:left w:val="nil"/>
              <w:bottom w:val="nil"/>
              <w:right w:val="nil"/>
            </w:tcBorders>
            <w:shd w:val="clear" w:color="auto" w:fill="auto"/>
            <w:noWrap/>
            <w:hideMark/>
          </w:tcPr>
          <w:p w14:paraId="3029D2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center"/>
            <w:hideMark/>
          </w:tcPr>
          <w:p w14:paraId="4F860BC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received patrimony received as a donation or inheritance</w:t>
            </w:r>
          </w:p>
        </w:tc>
        <w:tc>
          <w:tcPr>
            <w:tcW w:w="910" w:type="dxa"/>
            <w:tcBorders>
              <w:top w:val="nil"/>
              <w:left w:val="nil"/>
              <w:bottom w:val="nil"/>
              <w:right w:val="nil"/>
            </w:tcBorders>
            <w:shd w:val="clear" w:color="auto" w:fill="auto"/>
            <w:noWrap/>
            <w:vAlign w:val="center"/>
            <w:hideMark/>
          </w:tcPr>
          <w:p w14:paraId="647F965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DB7131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3636B5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81A8FB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E097EB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60AE66B" w14:textId="77777777" w:rsidTr="00360FE5">
        <w:trPr>
          <w:trHeight w:val="210"/>
        </w:trPr>
        <w:tc>
          <w:tcPr>
            <w:tcW w:w="450" w:type="dxa"/>
            <w:tcBorders>
              <w:top w:val="nil"/>
              <w:left w:val="nil"/>
              <w:bottom w:val="nil"/>
              <w:right w:val="nil"/>
            </w:tcBorders>
            <w:shd w:val="clear" w:color="auto" w:fill="auto"/>
            <w:noWrap/>
            <w:hideMark/>
          </w:tcPr>
          <w:p w14:paraId="1757836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w:t>
            </w:r>
          </w:p>
        </w:tc>
        <w:tc>
          <w:tcPr>
            <w:tcW w:w="5130" w:type="dxa"/>
            <w:tcBorders>
              <w:top w:val="nil"/>
              <w:left w:val="nil"/>
              <w:bottom w:val="nil"/>
              <w:right w:val="nil"/>
            </w:tcBorders>
            <w:shd w:val="clear" w:color="auto" w:fill="auto"/>
            <w:noWrap/>
            <w:vAlign w:val="center"/>
            <w:hideMark/>
          </w:tcPr>
          <w:p w14:paraId="13590AD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Tax exemption of gratuitous transfers of property, including cash, from Government or competent authorities </w:t>
            </w:r>
          </w:p>
        </w:tc>
        <w:tc>
          <w:tcPr>
            <w:tcW w:w="910" w:type="dxa"/>
            <w:tcBorders>
              <w:top w:val="nil"/>
              <w:left w:val="nil"/>
              <w:bottom w:val="nil"/>
              <w:right w:val="nil"/>
            </w:tcBorders>
            <w:shd w:val="clear" w:color="auto" w:fill="auto"/>
            <w:noWrap/>
            <w:vAlign w:val="center"/>
            <w:hideMark/>
          </w:tcPr>
          <w:p w14:paraId="5A00CC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BA64C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5D5200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C3BCC2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D147CF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411DFD5" w14:textId="77777777" w:rsidTr="00360FE5">
        <w:trPr>
          <w:trHeight w:val="210"/>
        </w:trPr>
        <w:tc>
          <w:tcPr>
            <w:tcW w:w="450" w:type="dxa"/>
            <w:tcBorders>
              <w:top w:val="nil"/>
              <w:left w:val="nil"/>
              <w:bottom w:val="nil"/>
              <w:right w:val="nil"/>
            </w:tcBorders>
            <w:shd w:val="clear" w:color="auto" w:fill="auto"/>
            <w:noWrap/>
            <w:hideMark/>
          </w:tcPr>
          <w:p w14:paraId="1B369D2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w:t>
            </w:r>
          </w:p>
        </w:tc>
        <w:tc>
          <w:tcPr>
            <w:tcW w:w="5130" w:type="dxa"/>
            <w:tcBorders>
              <w:top w:val="nil"/>
              <w:left w:val="nil"/>
              <w:bottom w:val="nil"/>
              <w:right w:val="nil"/>
            </w:tcBorders>
            <w:shd w:val="clear" w:color="auto" w:fill="auto"/>
            <w:noWrap/>
            <w:vAlign w:val="center"/>
            <w:hideMark/>
          </w:tcPr>
          <w:p w14:paraId="19375B1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amounts received by blood donors from state healthcare institutions</w:t>
            </w:r>
          </w:p>
        </w:tc>
        <w:tc>
          <w:tcPr>
            <w:tcW w:w="910" w:type="dxa"/>
            <w:tcBorders>
              <w:top w:val="nil"/>
              <w:left w:val="nil"/>
              <w:bottom w:val="nil"/>
              <w:right w:val="nil"/>
            </w:tcBorders>
            <w:shd w:val="clear" w:color="auto" w:fill="auto"/>
            <w:noWrap/>
            <w:vAlign w:val="center"/>
            <w:hideMark/>
          </w:tcPr>
          <w:p w14:paraId="7BAEB2E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81367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B726F2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01FD0F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FA04F6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245A160" w14:textId="77777777" w:rsidTr="00360FE5">
        <w:trPr>
          <w:trHeight w:val="210"/>
        </w:trPr>
        <w:tc>
          <w:tcPr>
            <w:tcW w:w="450" w:type="dxa"/>
            <w:tcBorders>
              <w:top w:val="nil"/>
              <w:left w:val="nil"/>
              <w:bottom w:val="nil"/>
              <w:right w:val="nil"/>
            </w:tcBorders>
            <w:shd w:val="clear" w:color="auto" w:fill="auto"/>
            <w:noWrap/>
            <w:hideMark/>
          </w:tcPr>
          <w:p w14:paraId="2CC4AC9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w:t>
            </w:r>
          </w:p>
        </w:tc>
        <w:tc>
          <w:tcPr>
            <w:tcW w:w="5130" w:type="dxa"/>
            <w:tcBorders>
              <w:top w:val="nil"/>
              <w:left w:val="nil"/>
              <w:bottom w:val="nil"/>
              <w:right w:val="nil"/>
            </w:tcBorders>
            <w:shd w:val="clear" w:color="auto" w:fill="auto"/>
            <w:noWrap/>
            <w:vAlign w:val="center"/>
            <w:hideMark/>
          </w:tcPr>
          <w:p w14:paraId="101D2DB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Winnings and awards from games of chance</w:t>
            </w:r>
          </w:p>
        </w:tc>
        <w:tc>
          <w:tcPr>
            <w:tcW w:w="910" w:type="dxa"/>
            <w:tcBorders>
              <w:top w:val="nil"/>
              <w:left w:val="nil"/>
              <w:bottom w:val="nil"/>
              <w:right w:val="nil"/>
            </w:tcBorders>
            <w:shd w:val="clear" w:color="auto" w:fill="auto"/>
            <w:noWrap/>
            <w:vAlign w:val="center"/>
            <w:hideMark/>
          </w:tcPr>
          <w:p w14:paraId="4A70773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79949D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EB3DD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53C005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9E71CB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6254D1F" w14:textId="77777777" w:rsidTr="00360FE5">
        <w:trPr>
          <w:trHeight w:val="210"/>
        </w:trPr>
        <w:tc>
          <w:tcPr>
            <w:tcW w:w="450" w:type="dxa"/>
            <w:tcBorders>
              <w:top w:val="nil"/>
              <w:left w:val="nil"/>
              <w:bottom w:val="nil"/>
              <w:right w:val="nil"/>
            </w:tcBorders>
            <w:shd w:val="clear" w:color="auto" w:fill="auto"/>
            <w:noWrap/>
            <w:hideMark/>
          </w:tcPr>
          <w:p w14:paraId="644CB43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5130" w:type="dxa"/>
            <w:tcBorders>
              <w:top w:val="nil"/>
              <w:left w:val="nil"/>
              <w:bottom w:val="nil"/>
              <w:right w:val="nil"/>
            </w:tcBorders>
            <w:shd w:val="clear" w:color="auto" w:fill="auto"/>
            <w:noWrap/>
            <w:vAlign w:val="center"/>
            <w:hideMark/>
          </w:tcPr>
          <w:p w14:paraId="6DAB9C9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material assistance received by natural persons from the reserve funds of the Moldovan Government</w:t>
            </w:r>
          </w:p>
        </w:tc>
        <w:tc>
          <w:tcPr>
            <w:tcW w:w="910" w:type="dxa"/>
            <w:tcBorders>
              <w:top w:val="nil"/>
              <w:left w:val="nil"/>
              <w:bottom w:val="nil"/>
              <w:right w:val="nil"/>
            </w:tcBorders>
            <w:shd w:val="clear" w:color="auto" w:fill="auto"/>
            <w:noWrap/>
            <w:vAlign w:val="center"/>
            <w:hideMark/>
          </w:tcPr>
          <w:p w14:paraId="6BA346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1D5F55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833243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D0213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3A7599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638FA38" w14:textId="77777777" w:rsidTr="00360FE5">
        <w:trPr>
          <w:trHeight w:val="210"/>
        </w:trPr>
        <w:tc>
          <w:tcPr>
            <w:tcW w:w="450" w:type="dxa"/>
            <w:tcBorders>
              <w:top w:val="nil"/>
              <w:left w:val="nil"/>
              <w:bottom w:val="nil"/>
              <w:right w:val="nil"/>
            </w:tcBorders>
            <w:shd w:val="clear" w:color="auto" w:fill="auto"/>
            <w:noWrap/>
            <w:hideMark/>
          </w:tcPr>
          <w:p w14:paraId="100C98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w:t>
            </w:r>
          </w:p>
        </w:tc>
        <w:tc>
          <w:tcPr>
            <w:tcW w:w="5130" w:type="dxa"/>
            <w:tcBorders>
              <w:top w:val="nil"/>
              <w:left w:val="nil"/>
              <w:bottom w:val="nil"/>
              <w:right w:val="nil"/>
            </w:tcBorders>
            <w:shd w:val="clear" w:color="auto" w:fill="auto"/>
            <w:noWrap/>
            <w:vAlign w:val="center"/>
            <w:hideMark/>
          </w:tcPr>
          <w:p w14:paraId="4E53568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for financial assistance received by sportsmen from the International Olympic Committee</w:t>
            </w:r>
          </w:p>
        </w:tc>
        <w:tc>
          <w:tcPr>
            <w:tcW w:w="910" w:type="dxa"/>
            <w:tcBorders>
              <w:top w:val="nil"/>
              <w:left w:val="nil"/>
              <w:bottom w:val="nil"/>
              <w:right w:val="nil"/>
            </w:tcBorders>
            <w:shd w:val="clear" w:color="auto" w:fill="auto"/>
            <w:noWrap/>
            <w:vAlign w:val="center"/>
            <w:hideMark/>
          </w:tcPr>
          <w:p w14:paraId="6E2C174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C8586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9919DD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2606D5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84F533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1311D2B" w14:textId="77777777" w:rsidTr="00360FE5">
        <w:trPr>
          <w:trHeight w:val="210"/>
        </w:trPr>
        <w:tc>
          <w:tcPr>
            <w:tcW w:w="450" w:type="dxa"/>
            <w:tcBorders>
              <w:top w:val="nil"/>
              <w:left w:val="nil"/>
              <w:bottom w:val="nil"/>
              <w:right w:val="nil"/>
            </w:tcBorders>
            <w:shd w:val="clear" w:color="auto" w:fill="auto"/>
            <w:noWrap/>
            <w:hideMark/>
          </w:tcPr>
          <w:p w14:paraId="72E403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w:t>
            </w:r>
          </w:p>
        </w:tc>
        <w:tc>
          <w:tcPr>
            <w:tcW w:w="5130" w:type="dxa"/>
            <w:tcBorders>
              <w:top w:val="nil"/>
              <w:left w:val="nil"/>
              <w:bottom w:val="nil"/>
              <w:right w:val="nil"/>
            </w:tcBorders>
            <w:shd w:val="clear" w:color="auto" w:fill="auto"/>
            <w:noWrap/>
            <w:vAlign w:val="center"/>
            <w:hideMark/>
          </w:tcPr>
          <w:p w14:paraId="3067E29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exemptions of rewards received from the Republic of Moldova</w:t>
            </w:r>
          </w:p>
        </w:tc>
        <w:tc>
          <w:tcPr>
            <w:tcW w:w="910" w:type="dxa"/>
            <w:tcBorders>
              <w:top w:val="nil"/>
              <w:left w:val="nil"/>
              <w:bottom w:val="nil"/>
              <w:right w:val="nil"/>
            </w:tcBorders>
            <w:shd w:val="clear" w:color="auto" w:fill="auto"/>
            <w:noWrap/>
            <w:vAlign w:val="center"/>
            <w:hideMark/>
          </w:tcPr>
          <w:p w14:paraId="1C6D0D5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120.0</w:t>
            </w:r>
          </w:p>
        </w:tc>
        <w:tc>
          <w:tcPr>
            <w:tcW w:w="910" w:type="dxa"/>
            <w:tcBorders>
              <w:top w:val="nil"/>
              <w:left w:val="nil"/>
              <w:bottom w:val="nil"/>
              <w:right w:val="nil"/>
            </w:tcBorders>
            <w:shd w:val="clear" w:color="auto" w:fill="auto"/>
            <w:noWrap/>
            <w:vAlign w:val="center"/>
            <w:hideMark/>
          </w:tcPr>
          <w:p w14:paraId="1EA5322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120.0</w:t>
            </w:r>
          </w:p>
        </w:tc>
        <w:tc>
          <w:tcPr>
            <w:tcW w:w="910" w:type="dxa"/>
            <w:tcBorders>
              <w:top w:val="nil"/>
              <w:left w:val="nil"/>
              <w:bottom w:val="nil"/>
              <w:right w:val="nil"/>
            </w:tcBorders>
            <w:shd w:val="clear" w:color="auto" w:fill="auto"/>
            <w:noWrap/>
            <w:vAlign w:val="center"/>
            <w:hideMark/>
          </w:tcPr>
          <w:p w14:paraId="4280AA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360.0</w:t>
            </w:r>
          </w:p>
        </w:tc>
        <w:tc>
          <w:tcPr>
            <w:tcW w:w="910" w:type="dxa"/>
            <w:tcBorders>
              <w:top w:val="nil"/>
              <w:left w:val="nil"/>
              <w:bottom w:val="nil"/>
              <w:right w:val="nil"/>
            </w:tcBorders>
            <w:shd w:val="clear" w:color="auto" w:fill="auto"/>
            <w:noWrap/>
            <w:vAlign w:val="center"/>
            <w:hideMark/>
          </w:tcPr>
          <w:p w14:paraId="5D1D998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84.0</w:t>
            </w:r>
          </w:p>
        </w:tc>
        <w:tc>
          <w:tcPr>
            <w:tcW w:w="910" w:type="dxa"/>
            <w:tcBorders>
              <w:top w:val="nil"/>
              <w:left w:val="nil"/>
              <w:bottom w:val="nil"/>
              <w:right w:val="nil"/>
            </w:tcBorders>
            <w:shd w:val="clear" w:color="000000" w:fill="E7E6E6"/>
            <w:noWrap/>
            <w:vAlign w:val="center"/>
            <w:hideMark/>
          </w:tcPr>
          <w:p w14:paraId="5397CA1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100.0</w:t>
            </w:r>
          </w:p>
        </w:tc>
      </w:tr>
      <w:tr w:rsidR="00134C08" w:rsidRPr="00134C08" w14:paraId="148FE924" w14:textId="77777777" w:rsidTr="00360FE5">
        <w:trPr>
          <w:trHeight w:val="210"/>
        </w:trPr>
        <w:tc>
          <w:tcPr>
            <w:tcW w:w="450" w:type="dxa"/>
            <w:tcBorders>
              <w:top w:val="nil"/>
              <w:left w:val="nil"/>
              <w:bottom w:val="nil"/>
              <w:right w:val="nil"/>
            </w:tcBorders>
            <w:shd w:val="clear" w:color="auto" w:fill="auto"/>
            <w:noWrap/>
            <w:hideMark/>
          </w:tcPr>
          <w:p w14:paraId="5438A64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w:t>
            </w:r>
          </w:p>
        </w:tc>
        <w:tc>
          <w:tcPr>
            <w:tcW w:w="5130" w:type="dxa"/>
            <w:tcBorders>
              <w:top w:val="nil"/>
              <w:left w:val="nil"/>
              <w:bottom w:val="nil"/>
              <w:right w:val="nil"/>
            </w:tcBorders>
            <w:shd w:val="clear" w:color="auto" w:fill="auto"/>
            <w:noWrap/>
            <w:vAlign w:val="center"/>
            <w:hideMark/>
          </w:tcPr>
          <w:p w14:paraId="1C50D43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remuneration granted to households for participating in survey by the statistic bodies</w:t>
            </w:r>
          </w:p>
        </w:tc>
        <w:tc>
          <w:tcPr>
            <w:tcW w:w="910" w:type="dxa"/>
            <w:tcBorders>
              <w:top w:val="nil"/>
              <w:left w:val="nil"/>
              <w:bottom w:val="nil"/>
              <w:right w:val="nil"/>
            </w:tcBorders>
            <w:shd w:val="clear" w:color="auto" w:fill="auto"/>
            <w:noWrap/>
            <w:vAlign w:val="center"/>
            <w:hideMark/>
          </w:tcPr>
          <w:p w14:paraId="63E9BA5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89E613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F044B0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2BE3EE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780001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122720C" w14:textId="77777777" w:rsidTr="00360FE5">
        <w:trPr>
          <w:trHeight w:val="210"/>
        </w:trPr>
        <w:tc>
          <w:tcPr>
            <w:tcW w:w="450" w:type="dxa"/>
            <w:tcBorders>
              <w:top w:val="nil"/>
              <w:left w:val="nil"/>
              <w:bottom w:val="nil"/>
              <w:right w:val="nil"/>
            </w:tcBorders>
            <w:shd w:val="clear" w:color="auto" w:fill="auto"/>
            <w:noWrap/>
            <w:hideMark/>
          </w:tcPr>
          <w:p w14:paraId="6FEFD6C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w:t>
            </w:r>
          </w:p>
        </w:tc>
        <w:tc>
          <w:tcPr>
            <w:tcW w:w="5130" w:type="dxa"/>
            <w:tcBorders>
              <w:top w:val="nil"/>
              <w:left w:val="nil"/>
              <w:bottom w:val="nil"/>
              <w:right w:val="nil"/>
            </w:tcBorders>
            <w:shd w:val="clear" w:color="auto" w:fill="auto"/>
            <w:noWrap/>
            <w:vAlign w:val="center"/>
            <w:hideMark/>
          </w:tcPr>
          <w:p w14:paraId="5F1076A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for income generated from the delivery of secondary raw materials</w:t>
            </w:r>
          </w:p>
        </w:tc>
        <w:tc>
          <w:tcPr>
            <w:tcW w:w="910" w:type="dxa"/>
            <w:tcBorders>
              <w:top w:val="nil"/>
              <w:left w:val="nil"/>
              <w:bottom w:val="nil"/>
              <w:right w:val="nil"/>
            </w:tcBorders>
            <w:shd w:val="clear" w:color="auto" w:fill="auto"/>
            <w:noWrap/>
            <w:vAlign w:val="center"/>
            <w:hideMark/>
          </w:tcPr>
          <w:p w14:paraId="15A59C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D75539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9141ED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3F11D2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3F7B6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7F62C20" w14:textId="77777777" w:rsidTr="00360FE5">
        <w:trPr>
          <w:trHeight w:val="210"/>
        </w:trPr>
        <w:tc>
          <w:tcPr>
            <w:tcW w:w="450" w:type="dxa"/>
            <w:tcBorders>
              <w:top w:val="nil"/>
              <w:left w:val="nil"/>
              <w:bottom w:val="nil"/>
              <w:right w:val="nil"/>
            </w:tcBorders>
            <w:shd w:val="clear" w:color="auto" w:fill="auto"/>
            <w:noWrap/>
            <w:hideMark/>
          </w:tcPr>
          <w:p w14:paraId="417E0C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w:t>
            </w:r>
          </w:p>
        </w:tc>
        <w:tc>
          <w:tcPr>
            <w:tcW w:w="5130" w:type="dxa"/>
            <w:tcBorders>
              <w:top w:val="nil"/>
              <w:left w:val="nil"/>
              <w:bottom w:val="nil"/>
              <w:right w:val="nil"/>
            </w:tcBorders>
            <w:shd w:val="clear" w:color="auto" w:fill="auto"/>
            <w:noWrap/>
            <w:vAlign w:val="center"/>
            <w:hideMark/>
          </w:tcPr>
          <w:p w14:paraId="1BBC0C2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income generated from the sale of natural plant, horticultural production, and animal husbandry</w:t>
            </w:r>
          </w:p>
        </w:tc>
        <w:tc>
          <w:tcPr>
            <w:tcW w:w="910" w:type="dxa"/>
            <w:tcBorders>
              <w:top w:val="nil"/>
              <w:left w:val="nil"/>
              <w:bottom w:val="nil"/>
              <w:right w:val="nil"/>
            </w:tcBorders>
            <w:shd w:val="clear" w:color="auto" w:fill="auto"/>
            <w:noWrap/>
            <w:vAlign w:val="center"/>
            <w:hideMark/>
          </w:tcPr>
          <w:p w14:paraId="182AE4F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09DFB4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7BD5A5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640628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F10861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35CC040" w14:textId="77777777" w:rsidTr="00360FE5">
        <w:trPr>
          <w:trHeight w:val="210"/>
        </w:trPr>
        <w:tc>
          <w:tcPr>
            <w:tcW w:w="450" w:type="dxa"/>
            <w:tcBorders>
              <w:top w:val="nil"/>
              <w:left w:val="nil"/>
              <w:bottom w:val="nil"/>
              <w:right w:val="nil"/>
            </w:tcBorders>
            <w:shd w:val="clear" w:color="auto" w:fill="auto"/>
            <w:noWrap/>
            <w:hideMark/>
          </w:tcPr>
          <w:p w14:paraId="6A07B1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w:t>
            </w:r>
          </w:p>
        </w:tc>
        <w:tc>
          <w:tcPr>
            <w:tcW w:w="5130" w:type="dxa"/>
            <w:tcBorders>
              <w:top w:val="nil"/>
              <w:left w:val="nil"/>
              <w:bottom w:val="nil"/>
              <w:right w:val="nil"/>
            </w:tcBorders>
            <w:shd w:val="clear" w:color="auto" w:fill="auto"/>
            <w:noWrap/>
            <w:vAlign w:val="center"/>
            <w:hideMark/>
          </w:tcPr>
          <w:p w14:paraId="44428773"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income received by individuals for the delivery of milk</w:t>
            </w:r>
          </w:p>
        </w:tc>
        <w:tc>
          <w:tcPr>
            <w:tcW w:w="910" w:type="dxa"/>
            <w:tcBorders>
              <w:top w:val="nil"/>
              <w:left w:val="nil"/>
              <w:bottom w:val="nil"/>
              <w:right w:val="nil"/>
            </w:tcBorders>
            <w:shd w:val="clear" w:color="auto" w:fill="auto"/>
            <w:noWrap/>
            <w:vAlign w:val="center"/>
            <w:hideMark/>
          </w:tcPr>
          <w:p w14:paraId="47532E4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D22478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71F170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EC353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66A9ED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17B69E9A" w14:textId="77777777" w:rsidTr="00360FE5">
        <w:trPr>
          <w:trHeight w:val="210"/>
        </w:trPr>
        <w:tc>
          <w:tcPr>
            <w:tcW w:w="450" w:type="dxa"/>
            <w:tcBorders>
              <w:top w:val="nil"/>
              <w:left w:val="nil"/>
              <w:bottom w:val="nil"/>
              <w:right w:val="nil"/>
            </w:tcBorders>
            <w:shd w:val="clear" w:color="auto" w:fill="auto"/>
            <w:noWrap/>
            <w:hideMark/>
          </w:tcPr>
          <w:p w14:paraId="084833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w:t>
            </w:r>
          </w:p>
        </w:tc>
        <w:tc>
          <w:tcPr>
            <w:tcW w:w="5130" w:type="dxa"/>
            <w:tcBorders>
              <w:top w:val="nil"/>
              <w:left w:val="nil"/>
              <w:bottom w:val="nil"/>
              <w:right w:val="nil"/>
            </w:tcBorders>
            <w:shd w:val="clear" w:color="auto" w:fill="auto"/>
            <w:noWrap/>
            <w:vAlign w:val="center"/>
            <w:hideMark/>
          </w:tcPr>
          <w:p w14:paraId="54F78C5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cash allowances to the military</w:t>
            </w:r>
          </w:p>
        </w:tc>
        <w:tc>
          <w:tcPr>
            <w:tcW w:w="910" w:type="dxa"/>
            <w:tcBorders>
              <w:top w:val="nil"/>
              <w:left w:val="nil"/>
              <w:bottom w:val="nil"/>
              <w:right w:val="nil"/>
            </w:tcBorders>
            <w:shd w:val="clear" w:color="auto" w:fill="auto"/>
            <w:noWrap/>
            <w:vAlign w:val="center"/>
            <w:hideMark/>
          </w:tcPr>
          <w:p w14:paraId="37D0F6F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6A0705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402ECC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F41B3E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6A089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CE200CE" w14:textId="77777777" w:rsidTr="00360FE5">
        <w:trPr>
          <w:trHeight w:val="210"/>
        </w:trPr>
        <w:tc>
          <w:tcPr>
            <w:tcW w:w="450" w:type="dxa"/>
            <w:tcBorders>
              <w:top w:val="nil"/>
              <w:left w:val="nil"/>
              <w:bottom w:val="nil"/>
              <w:right w:val="nil"/>
            </w:tcBorders>
            <w:shd w:val="clear" w:color="auto" w:fill="auto"/>
            <w:noWrap/>
            <w:hideMark/>
          </w:tcPr>
          <w:p w14:paraId="53EF3C7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w:t>
            </w:r>
          </w:p>
        </w:tc>
        <w:tc>
          <w:tcPr>
            <w:tcW w:w="5130" w:type="dxa"/>
            <w:tcBorders>
              <w:top w:val="nil"/>
              <w:left w:val="nil"/>
              <w:bottom w:val="nil"/>
              <w:right w:val="nil"/>
            </w:tcBorders>
            <w:shd w:val="clear" w:color="auto" w:fill="auto"/>
            <w:noWrap/>
            <w:vAlign w:val="center"/>
            <w:hideMark/>
          </w:tcPr>
          <w:p w14:paraId="1BF01FE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royalties for individuals aged 60 and over in the area of art, science, and literature</w:t>
            </w:r>
          </w:p>
        </w:tc>
        <w:tc>
          <w:tcPr>
            <w:tcW w:w="910" w:type="dxa"/>
            <w:tcBorders>
              <w:top w:val="nil"/>
              <w:left w:val="nil"/>
              <w:bottom w:val="nil"/>
              <w:right w:val="nil"/>
            </w:tcBorders>
            <w:shd w:val="clear" w:color="auto" w:fill="auto"/>
            <w:noWrap/>
            <w:vAlign w:val="center"/>
            <w:hideMark/>
          </w:tcPr>
          <w:p w14:paraId="660516B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C44777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9A7F10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AD6DA2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F7D16D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1BA4158A" w14:textId="77777777" w:rsidTr="00360FE5">
        <w:trPr>
          <w:trHeight w:val="210"/>
        </w:trPr>
        <w:tc>
          <w:tcPr>
            <w:tcW w:w="450" w:type="dxa"/>
            <w:tcBorders>
              <w:top w:val="nil"/>
              <w:left w:val="nil"/>
              <w:bottom w:val="nil"/>
              <w:right w:val="nil"/>
            </w:tcBorders>
            <w:shd w:val="clear" w:color="auto" w:fill="auto"/>
            <w:noWrap/>
            <w:hideMark/>
          </w:tcPr>
          <w:p w14:paraId="0545E2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w:t>
            </w:r>
          </w:p>
        </w:tc>
        <w:tc>
          <w:tcPr>
            <w:tcW w:w="5130" w:type="dxa"/>
            <w:tcBorders>
              <w:top w:val="nil"/>
              <w:left w:val="nil"/>
              <w:bottom w:val="nil"/>
              <w:right w:val="nil"/>
            </w:tcBorders>
            <w:shd w:val="clear" w:color="auto" w:fill="auto"/>
            <w:noWrap/>
            <w:vAlign w:val="center"/>
            <w:hideMark/>
          </w:tcPr>
          <w:p w14:paraId="651A0DE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exemptions for received allowances as compensation for work performed during election day</w:t>
            </w:r>
          </w:p>
        </w:tc>
        <w:tc>
          <w:tcPr>
            <w:tcW w:w="910" w:type="dxa"/>
            <w:tcBorders>
              <w:top w:val="nil"/>
              <w:left w:val="nil"/>
              <w:bottom w:val="nil"/>
              <w:right w:val="nil"/>
            </w:tcBorders>
            <w:shd w:val="clear" w:color="auto" w:fill="auto"/>
            <w:noWrap/>
            <w:vAlign w:val="center"/>
            <w:hideMark/>
          </w:tcPr>
          <w:p w14:paraId="33949C2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7367AD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012CC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C3CB1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F83BAD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24D73F3" w14:textId="77777777" w:rsidTr="00360FE5">
        <w:trPr>
          <w:trHeight w:val="210"/>
        </w:trPr>
        <w:tc>
          <w:tcPr>
            <w:tcW w:w="450" w:type="dxa"/>
            <w:tcBorders>
              <w:top w:val="nil"/>
              <w:left w:val="nil"/>
              <w:bottom w:val="nil"/>
              <w:right w:val="nil"/>
            </w:tcBorders>
            <w:shd w:val="clear" w:color="auto" w:fill="auto"/>
            <w:noWrap/>
            <w:hideMark/>
          </w:tcPr>
          <w:p w14:paraId="00DB088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w:t>
            </w:r>
          </w:p>
        </w:tc>
        <w:tc>
          <w:tcPr>
            <w:tcW w:w="5130" w:type="dxa"/>
            <w:tcBorders>
              <w:top w:val="nil"/>
              <w:left w:val="nil"/>
              <w:bottom w:val="nil"/>
              <w:right w:val="nil"/>
            </w:tcBorders>
            <w:shd w:val="clear" w:color="auto" w:fill="auto"/>
            <w:noWrap/>
            <w:vAlign w:val="center"/>
            <w:hideMark/>
          </w:tcPr>
          <w:p w14:paraId="6DE3022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Tax exemption of payments borne by the beneficiaries of works for food </w:t>
            </w:r>
          </w:p>
        </w:tc>
        <w:tc>
          <w:tcPr>
            <w:tcW w:w="910" w:type="dxa"/>
            <w:tcBorders>
              <w:top w:val="nil"/>
              <w:left w:val="nil"/>
              <w:bottom w:val="nil"/>
              <w:right w:val="nil"/>
            </w:tcBorders>
            <w:shd w:val="clear" w:color="auto" w:fill="auto"/>
            <w:noWrap/>
            <w:vAlign w:val="center"/>
            <w:hideMark/>
          </w:tcPr>
          <w:p w14:paraId="38D572B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F9EF43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00B564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DFA48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5B094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1136FFE6" w14:textId="77777777" w:rsidTr="00360FE5">
        <w:trPr>
          <w:trHeight w:val="210"/>
        </w:trPr>
        <w:tc>
          <w:tcPr>
            <w:tcW w:w="450" w:type="dxa"/>
            <w:tcBorders>
              <w:top w:val="nil"/>
              <w:left w:val="nil"/>
              <w:bottom w:val="nil"/>
              <w:right w:val="nil"/>
            </w:tcBorders>
            <w:shd w:val="clear" w:color="auto" w:fill="auto"/>
            <w:noWrap/>
            <w:hideMark/>
          </w:tcPr>
          <w:p w14:paraId="2066322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w:t>
            </w:r>
          </w:p>
        </w:tc>
        <w:tc>
          <w:tcPr>
            <w:tcW w:w="5130" w:type="dxa"/>
            <w:tcBorders>
              <w:top w:val="nil"/>
              <w:left w:val="nil"/>
              <w:bottom w:val="nil"/>
              <w:right w:val="nil"/>
            </w:tcBorders>
            <w:shd w:val="clear" w:color="auto" w:fill="auto"/>
            <w:noWrap/>
            <w:vAlign w:val="center"/>
            <w:hideMark/>
          </w:tcPr>
          <w:p w14:paraId="0B9EEC3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Deduction to encourage the development of software (IT programs)</w:t>
            </w:r>
          </w:p>
        </w:tc>
        <w:tc>
          <w:tcPr>
            <w:tcW w:w="910" w:type="dxa"/>
            <w:tcBorders>
              <w:top w:val="nil"/>
              <w:left w:val="nil"/>
              <w:bottom w:val="nil"/>
              <w:right w:val="nil"/>
            </w:tcBorders>
            <w:shd w:val="clear" w:color="auto" w:fill="auto"/>
            <w:noWrap/>
            <w:vAlign w:val="center"/>
            <w:hideMark/>
          </w:tcPr>
          <w:p w14:paraId="6AD7EE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8E41CD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232C38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08351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8ECD86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1DA6DEB" w14:textId="77777777" w:rsidTr="00360FE5">
        <w:trPr>
          <w:trHeight w:val="210"/>
        </w:trPr>
        <w:tc>
          <w:tcPr>
            <w:tcW w:w="450" w:type="dxa"/>
            <w:tcBorders>
              <w:top w:val="nil"/>
              <w:left w:val="nil"/>
              <w:bottom w:val="nil"/>
              <w:right w:val="nil"/>
            </w:tcBorders>
            <w:shd w:val="clear" w:color="auto" w:fill="auto"/>
            <w:noWrap/>
            <w:hideMark/>
          </w:tcPr>
          <w:p w14:paraId="0603E6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w:t>
            </w:r>
          </w:p>
        </w:tc>
        <w:tc>
          <w:tcPr>
            <w:tcW w:w="5130" w:type="dxa"/>
            <w:tcBorders>
              <w:top w:val="nil"/>
              <w:left w:val="nil"/>
              <w:bottom w:val="nil"/>
              <w:right w:val="nil"/>
            </w:tcBorders>
            <w:shd w:val="clear" w:color="auto" w:fill="auto"/>
            <w:noWrap/>
            <w:vAlign w:val="center"/>
            <w:hideMark/>
          </w:tcPr>
          <w:p w14:paraId="5EAFD04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income from the disposal of primary residence</w:t>
            </w:r>
          </w:p>
        </w:tc>
        <w:tc>
          <w:tcPr>
            <w:tcW w:w="910" w:type="dxa"/>
            <w:tcBorders>
              <w:top w:val="nil"/>
              <w:left w:val="nil"/>
              <w:bottom w:val="nil"/>
              <w:right w:val="nil"/>
            </w:tcBorders>
            <w:shd w:val="clear" w:color="auto" w:fill="auto"/>
            <w:noWrap/>
            <w:vAlign w:val="center"/>
            <w:hideMark/>
          </w:tcPr>
          <w:p w14:paraId="19D67B6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448F40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DC7D4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63F08D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B42198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BFCF2F2" w14:textId="77777777" w:rsidTr="00360FE5">
        <w:trPr>
          <w:trHeight w:val="210"/>
        </w:trPr>
        <w:tc>
          <w:tcPr>
            <w:tcW w:w="450" w:type="dxa"/>
            <w:tcBorders>
              <w:top w:val="nil"/>
              <w:left w:val="nil"/>
              <w:bottom w:val="nil"/>
              <w:right w:val="nil"/>
            </w:tcBorders>
            <w:shd w:val="clear" w:color="auto" w:fill="auto"/>
            <w:noWrap/>
            <w:hideMark/>
          </w:tcPr>
          <w:p w14:paraId="23B79F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w:t>
            </w:r>
          </w:p>
        </w:tc>
        <w:tc>
          <w:tcPr>
            <w:tcW w:w="5130" w:type="dxa"/>
            <w:tcBorders>
              <w:top w:val="nil"/>
              <w:left w:val="nil"/>
              <w:bottom w:val="nil"/>
              <w:right w:val="nil"/>
            </w:tcBorders>
            <w:shd w:val="clear" w:color="auto" w:fill="auto"/>
            <w:noWrap/>
            <w:vAlign w:val="center"/>
            <w:hideMark/>
          </w:tcPr>
          <w:p w14:paraId="566BBDE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Capital gains tax with 50% inclusion rate of gains realized by natural persons</w:t>
            </w:r>
          </w:p>
        </w:tc>
        <w:tc>
          <w:tcPr>
            <w:tcW w:w="910" w:type="dxa"/>
            <w:tcBorders>
              <w:top w:val="nil"/>
              <w:left w:val="nil"/>
              <w:bottom w:val="nil"/>
              <w:right w:val="nil"/>
            </w:tcBorders>
            <w:shd w:val="clear" w:color="auto" w:fill="auto"/>
            <w:noWrap/>
            <w:vAlign w:val="center"/>
            <w:hideMark/>
          </w:tcPr>
          <w:p w14:paraId="7E617F0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D52A1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608D9A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C928E8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D73512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0E0A404" w14:textId="77777777" w:rsidTr="00360FE5">
        <w:trPr>
          <w:trHeight w:val="210"/>
        </w:trPr>
        <w:tc>
          <w:tcPr>
            <w:tcW w:w="450" w:type="dxa"/>
            <w:tcBorders>
              <w:top w:val="nil"/>
              <w:left w:val="nil"/>
              <w:bottom w:val="nil"/>
              <w:right w:val="nil"/>
            </w:tcBorders>
            <w:shd w:val="clear" w:color="auto" w:fill="auto"/>
            <w:noWrap/>
            <w:hideMark/>
          </w:tcPr>
          <w:p w14:paraId="62012D7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w:t>
            </w:r>
          </w:p>
        </w:tc>
        <w:tc>
          <w:tcPr>
            <w:tcW w:w="5130" w:type="dxa"/>
            <w:tcBorders>
              <w:top w:val="nil"/>
              <w:left w:val="nil"/>
              <w:bottom w:val="nil"/>
              <w:right w:val="nil"/>
            </w:tcBorders>
            <w:shd w:val="clear" w:color="auto" w:fill="auto"/>
            <w:noWrap/>
            <w:vAlign w:val="center"/>
            <w:hideMark/>
          </w:tcPr>
          <w:p w14:paraId="623927E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benefits in kind: food stamps</w:t>
            </w:r>
          </w:p>
        </w:tc>
        <w:tc>
          <w:tcPr>
            <w:tcW w:w="910" w:type="dxa"/>
            <w:tcBorders>
              <w:top w:val="nil"/>
              <w:left w:val="nil"/>
              <w:bottom w:val="nil"/>
              <w:right w:val="nil"/>
            </w:tcBorders>
            <w:shd w:val="clear" w:color="auto" w:fill="auto"/>
            <w:noWrap/>
            <w:vAlign w:val="center"/>
            <w:hideMark/>
          </w:tcPr>
          <w:p w14:paraId="45BBEF2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5D2942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39,500.0</w:t>
            </w:r>
          </w:p>
        </w:tc>
        <w:tc>
          <w:tcPr>
            <w:tcW w:w="910" w:type="dxa"/>
            <w:tcBorders>
              <w:top w:val="nil"/>
              <w:left w:val="nil"/>
              <w:bottom w:val="nil"/>
              <w:right w:val="nil"/>
            </w:tcBorders>
            <w:shd w:val="clear" w:color="000000" w:fill="E7E6E6"/>
            <w:noWrap/>
            <w:vAlign w:val="center"/>
            <w:hideMark/>
          </w:tcPr>
          <w:p w14:paraId="0A8A15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38,600.0</w:t>
            </w:r>
          </w:p>
        </w:tc>
        <w:tc>
          <w:tcPr>
            <w:tcW w:w="910" w:type="dxa"/>
            <w:tcBorders>
              <w:top w:val="nil"/>
              <w:left w:val="nil"/>
              <w:bottom w:val="nil"/>
              <w:right w:val="nil"/>
            </w:tcBorders>
            <w:shd w:val="clear" w:color="000000" w:fill="E7E6E6"/>
            <w:noWrap/>
            <w:vAlign w:val="center"/>
            <w:hideMark/>
          </w:tcPr>
          <w:p w14:paraId="6E5F03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43,700.0</w:t>
            </w:r>
          </w:p>
        </w:tc>
        <w:tc>
          <w:tcPr>
            <w:tcW w:w="910" w:type="dxa"/>
            <w:tcBorders>
              <w:top w:val="nil"/>
              <w:left w:val="nil"/>
              <w:bottom w:val="nil"/>
              <w:right w:val="nil"/>
            </w:tcBorders>
            <w:shd w:val="clear" w:color="000000" w:fill="E7E6E6"/>
            <w:noWrap/>
            <w:vAlign w:val="center"/>
            <w:hideMark/>
          </w:tcPr>
          <w:p w14:paraId="4E10AD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48,000.0</w:t>
            </w:r>
          </w:p>
        </w:tc>
      </w:tr>
      <w:tr w:rsidR="00134C08" w:rsidRPr="00134C08" w14:paraId="22CA4244" w14:textId="77777777" w:rsidTr="00360FE5">
        <w:trPr>
          <w:trHeight w:val="210"/>
        </w:trPr>
        <w:tc>
          <w:tcPr>
            <w:tcW w:w="450" w:type="dxa"/>
            <w:tcBorders>
              <w:top w:val="nil"/>
              <w:left w:val="nil"/>
              <w:bottom w:val="nil"/>
              <w:right w:val="nil"/>
            </w:tcBorders>
            <w:shd w:val="clear" w:color="auto" w:fill="auto"/>
            <w:noWrap/>
            <w:hideMark/>
          </w:tcPr>
          <w:p w14:paraId="75011A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w:t>
            </w:r>
          </w:p>
        </w:tc>
        <w:tc>
          <w:tcPr>
            <w:tcW w:w="5130" w:type="dxa"/>
            <w:tcBorders>
              <w:top w:val="nil"/>
              <w:left w:val="nil"/>
              <w:bottom w:val="nil"/>
              <w:right w:val="nil"/>
            </w:tcBorders>
            <w:shd w:val="clear" w:color="auto" w:fill="auto"/>
            <w:noWrap/>
            <w:vAlign w:val="center"/>
            <w:hideMark/>
          </w:tcPr>
          <w:p w14:paraId="466A1893"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Rental income earned by natural persons taxed at a reduced rate</w:t>
            </w:r>
          </w:p>
        </w:tc>
        <w:tc>
          <w:tcPr>
            <w:tcW w:w="910" w:type="dxa"/>
            <w:tcBorders>
              <w:top w:val="nil"/>
              <w:left w:val="nil"/>
              <w:bottom w:val="nil"/>
              <w:right w:val="nil"/>
            </w:tcBorders>
            <w:shd w:val="clear" w:color="auto" w:fill="auto"/>
            <w:noWrap/>
            <w:vAlign w:val="center"/>
            <w:hideMark/>
          </w:tcPr>
          <w:p w14:paraId="6F3D87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67AD03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0935E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0AE38E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6C947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4BEFDE1B" w14:textId="77777777" w:rsidTr="00360FE5">
        <w:trPr>
          <w:trHeight w:val="210"/>
        </w:trPr>
        <w:tc>
          <w:tcPr>
            <w:tcW w:w="450" w:type="dxa"/>
            <w:tcBorders>
              <w:top w:val="nil"/>
              <w:left w:val="nil"/>
              <w:bottom w:val="nil"/>
              <w:right w:val="nil"/>
            </w:tcBorders>
            <w:shd w:val="clear" w:color="auto" w:fill="auto"/>
            <w:noWrap/>
            <w:hideMark/>
          </w:tcPr>
          <w:p w14:paraId="445CE8F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w:t>
            </w:r>
          </w:p>
        </w:tc>
        <w:tc>
          <w:tcPr>
            <w:tcW w:w="5130" w:type="dxa"/>
            <w:tcBorders>
              <w:top w:val="nil"/>
              <w:left w:val="nil"/>
              <w:bottom w:val="nil"/>
              <w:right w:val="nil"/>
            </w:tcBorders>
            <w:shd w:val="clear" w:color="auto" w:fill="auto"/>
            <w:noWrap/>
            <w:vAlign w:val="center"/>
            <w:hideMark/>
          </w:tcPr>
          <w:p w14:paraId="3B6249C3"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Interest earned by natural persons taxed at a reduced rate</w:t>
            </w:r>
          </w:p>
        </w:tc>
        <w:tc>
          <w:tcPr>
            <w:tcW w:w="910" w:type="dxa"/>
            <w:tcBorders>
              <w:top w:val="nil"/>
              <w:left w:val="nil"/>
              <w:bottom w:val="nil"/>
              <w:right w:val="nil"/>
            </w:tcBorders>
            <w:shd w:val="clear" w:color="auto" w:fill="auto"/>
            <w:noWrap/>
            <w:vAlign w:val="bottom"/>
            <w:hideMark/>
          </w:tcPr>
          <w:p w14:paraId="44B4853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C689F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4C359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4549101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EFC30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2BF4D41" w14:textId="77777777" w:rsidTr="00360FE5">
        <w:trPr>
          <w:trHeight w:val="210"/>
        </w:trPr>
        <w:tc>
          <w:tcPr>
            <w:tcW w:w="450" w:type="dxa"/>
            <w:tcBorders>
              <w:top w:val="nil"/>
              <w:left w:val="nil"/>
              <w:bottom w:val="nil"/>
              <w:right w:val="nil"/>
            </w:tcBorders>
            <w:shd w:val="clear" w:color="auto" w:fill="auto"/>
            <w:noWrap/>
            <w:hideMark/>
          </w:tcPr>
          <w:p w14:paraId="4C28923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w:t>
            </w:r>
          </w:p>
        </w:tc>
        <w:tc>
          <w:tcPr>
            <w:tcW w:w="5130" w:type="dxa"/>
            <w:tcBorders>
              <w:top w:val="nil"/>
              <w:left w:val="nil"/>
              <w:bottom w:val="nil"/>
              <w:right w:val="nil"/>
            </w:tcBorders>
            <w:shd w:val="clear" w:color="auto" w:fill="auto"/>
            <w:noWrap/>
            <w:vAlign w:val="center"/>
            <w:hideMark/>
          </w:tcPr>
          <w:p w14:paraId="4B7F259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Personal deduction of 2% of annual income tax liability</w:t>
            </w:r>
          </w:p>
        </w:tc>
        <w:tc>
          <w:tcPr>
            <w:tcW w:w="910" w:type="dxa"/>
            <w:tcBorders>
              <w:top w:val="nil"/>
              <w:left w:val="nil"/>
              <w:bottom w:val="nil"/>
              <w:right w:val="nil"/>
            </w:tcBorders>
            <w:shd w:val="clear" w:color="auto" w:fill="auto"/>
            <w:noWrap/>
            <w:vAlign w:val="center"/>
            <w:hideMark/>
          </w:tcPr>
          <w:p w14:paraId="67D2269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41F37B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700.0</w:t>
            </w:r>
          </w:p>
        </w:tc>
        <w:tc>
          <w:tcPr>
            <w:tcW w:w="910" w:type="dxa"/>
            <w:tcBorders>
              <w:top w:val="nil"/>
              <w:left w:val="nil"/>
              <w:bottom w:val="nil"/>
              <w:right w:val="nil"/>
            </w:tcBorders>
            <w:shd w:val="clear" w:color="auto" w:fill="auto"/>
            <w:noWrap/>
            <w:vAlign w:val="center"/>
            <w:hideMark/>
          </w:tcPr>
          <w:p w14:paraId="3CA823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5,600.0</w:t>
            </w:r>
          </w:p>
        </w:tc>
        <w:tc>
          <w:tcPr>
            <w:tcW w:w="910" w:type="dxa"/>
            <w:tcBorders>
              <w:top w:val="nil"/>
              <w:left w:val="nil"/>
              <w:bottom w:val="nil"/>
              <w:right w:val="nil"/>
            </w:tcBorders>
            <w:shd w:val="clear" w:color="auto" w:fill="auto"/>
            <w:noWrap/>
            <w:vAlign w:val="center"/>
            <w:hideMark/>
          </w:tcPr>
          <w:p w14:paraId="196E25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8,900.0</w:t>
            </w:r>
          </w:p>
        </w:tc>
        <w:tc>
          <w:tcPr>
            <w:tcW w:w="910" w:type="dxa"/>
            <w:tcBorders>
              <w:top w:val="nil"/>
              <w:left w:val="nil"/>
              <w:bottom w:val="nil"/>
              <w:right w:val="nil"/>
            </w:tcBorders>
            <w:shd w:val="clear" w:color="000000" w:fill="E7E6E6"/>
            <w:noWrap/>
            <w:vAlign w:val="center"/>
            <w:hideMark/>
          </w:tcPr>
          <w:p w14:paraId="319F99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9,800.0</w:t>
            </w:r>
          </w:p>
        </w:tc>
      </w:tr>
      <w:tr w:rsidR="00134C08" w:rsidRPr="00134C08" w14:paraId="0A123426" w14:textId="77777777" w:rsidTr="00360FE5">
        <w:trPr>
          <w:trHeight w:val="210"/>
        </w:trPr>
        <w:tc>
          <w:tcPr>
            <w:tcW w:w="450" w:type="dxa"/>
            <w:tcBorders>
              <w:top w:val="nil"/>
              <w:left w:val="nil"/>
              <w:bottom w:val="nil"/>
              <w:right w:val="nil"/>
            </w:tcBorders>
            <w:shd w:val="clear" w:color="auto" w:fill="auto"/>
            <w:noWrap/>
            <w:hideMark/>
          </w:tcPr>
          <w:p w14:paraId="1003A60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w:t>
            </w:r>
          </w:p>
        </w:tc>
        <w:tc>
          <w:tcPr>
            <w:tcW w:w="5130" w:type="dxa"/>
            <w:tcBorders>
              <w:top w:val="nil"/>
              <w:left w:val="nil"/>
              <w:bottom w:val="nil"/>
              <w:right w:val="nil"/>
            </w:tcBorders>
            <w:shd w:val="clear" w:color="auto" w:fill="auto"/>
            <w:noWrap/>
            <w:vAlign w:val="center"/>
            <w:hideMark/>
          </w:tcPr>
          <w:p w14:paraId="77055E9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Major lifelong personal allowance in case of illness or disability</w:t>
            </w:r>
          </w:p>
        </w:tc>
        <w:tc>
          <w:tcPr>
            <w:tcW w:w="910" w:type="dxa"/>
            <w:tcBorders>
              <w:top w:val="nil"/>
              <w:left w:val="nil"/>
              <w:bottom w:val="nil"/>
              <w:right w:val="nil"/>
            </w:tcBorders>
            <w:shd w:val="clear" w:color="auto" w:fill="auto"/>
            <w:noWrap/>
            <w:vAlign w:val="center"/>
            <w:hideMark/>
          </w:tcPr>
          <w:p w14:paraId="2409BC7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48FE85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FD113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31,200.0</w:t>
            </w:r>
          </w:p>
        </w:tc>
        <w:tc>
          <w:tcPr>
            <w:tcW w:w="910" w:type="dxa"/>
            <w:tcBorders>
              <w:top w:val="nil"/>
              <w:left w:val="nil"/>
              <w:bottom w:val="nil"/>
              <w:right w:val="nil"/>
            </w:tcBorders>
            <w:shd w:val="clear" w:color="000000" w:fill="E7E6E6"/>
            <w:noWrap/>
            <w:vAlign w:val="center"/>
            <w:hideMark/>
          </w:tcPr>
          <w:p w14:paraId="52E78F5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35,300.0</w:t>
            </w:r>
          </w:p>
        </w:tc>
        <w:tc>
          <w:tcPr>
            <w:tcW w:w="910" w:type="dxa"/>
            <w:tcBorders>
              <w:top w:val="nil"/>
              <w:left w:val="nil"/>
              <w:bottom w:val="nil"/>
              <w:right w:val="nil"/>
            </w:tcBorders>
            <w:shd w:val="clear" w:color="000000" w:fill="E7E6E6"/>
            <w:noWrap/>
            <w:vAlign w:val="center"/>
            <w:hideMark/>
          </w:tcPr>
          <w:p w14:paraId="1872E04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38,800.0</w:t>
            </w:r>
          </w:p>
        </w:tc>
      </w:tr>
      <w:tr w:rsidR="00134C08" w:rsidRPr="00134C08" w14:paraId="5DCA9F86" w14:textId="77777777" w:rsidTr="00360FE5">
        <w:trPr>
          <w:trHeight w:val="210"/>
        </w:trPr>
        <w:tc>
          <w:tcPr>
            <w:tcW w:w="450" w:type="dxa"/>
            <w:tcBorders>
              <w:top w:val="nil"/>
              <w:left w:val="nil"/>
              <w:bottom w:val="nil"/>
              <w:right w:val="nil"/>
            </w:tcBorders>
            <w:shd w:val="clear" w:color="auto" w:fill="auto"/>
            <w:noWrap/>
            <w:hideMark/>
          </w:tcPr>
          <w:p w14:paraId="7767460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w:t>
            </w:r>
          </w:p>
        </w:tc>
        <w:tc>
          <w:tcPr>
            <w:tcW w:w="5130" w:type="dxa"/>
            <w:tcBorders>
              <w:top w:val="nil"/>
              <w:left w:val="nil"/>
              <w:bottom w:val="nil"/>
              <w:right w:val="nil"/>
            </w:tcBorders>
            <w:shd w:val="clear" w:color="auto" w:fill="auto"/>
            <w:noWrap/>
            <w:vAlign w:val="center"/>
            <w:hideMark/>
          </w:tcPr>
          <w:p w14:paraId="4FF78663"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Spouse major allowance</w:t>
            </w:r>
          </w:p>
        </w:tc>
        <w:tc>
          <w:tcPr>
            <w:tcW w:w="910" w:type="dxa"/>
            <w:tcBorders>
              <w:top w:val="nil"/>
              <w:left w:val="nil"/>
              <w:bottom w:val="nil"/>
              <w:right w:val="nil"/>
            </w:tcBorders>
            <w:shd w:val="clear" w:color="auto" w:fill="auto"/>
            <w:noWrap/>
            <w:vAlign w:val="center"/>
            <w:hideMark/>
          </w:tcPr>
          <w:p w14:paraId="65EB75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4FB51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865578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11,900.0</w:t>
            </w:r>
          </w:p>
        </w:tc>
        <w:tc>
          <w:tcPr>
            <w:tcW w:w="910" w:type="dxa"/>
            <w:tcBorders>
              <w:top w:val="nil"/>
              <w:left w:val="nil"/>
              <w:bottom w:val="nil"/>
              <w:right w:val="nil"/>
            </w:tcBorders>
            <w:shd w:val="clear" w:color="000000" w:fill="E7E6E6"/>
            <w:noWrap/>
            <w:vAlign w:val="center"/>
            <w:hideMark/>
          </w:tcPr>
          <w:p w14:paraId="32DABFE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13,500.0</w:t>
            </w:r>
          </w:p>
        </w:tc>
        <w:tc>
          <w:tcPr>
            <w:tcW w:w="910" w:type="dxa"/>
            <w:tcBorders>
              <w:top w:val="nil"/>
              <w:left w:val="nil"/>
              <w:bottom w:val="nil"/>
              <w:right w:val="nil"/>
            </w:tcBorders>
            <w:shd w:val="clear" w:color="000000" w:fill="E7E6E6"/>
            <w:noWrap/>
            <w:vAlign w:val="center"/>
            <w:hideMark/>
          </w:tcPr>
          <w:p w14:paraId="0D00410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14,800.0</w:t>
            </w:r>
          </w:p>
        </w:tc>
      </w:tr>
      <w:tr w:rsidR="00134C08" w:rsidRPr="00134C08" w14:paraId="456F55EF" w14:textId="77777777" w:rsidTr="00360FE5">
        <w:trPr>
          <w:trHeight w:val="210"/>
        </w:trPr>
        <w:tc>
          <w:tcPr>
            <w:tcW w:w="450" w:type="dxa"/>
            <w:tcBorders>
              <w:top w:val="nil"/>
              <w:left w:val="nil"/>
              <w:bottom w:val="nil"/>
              <w:right w:val="nil"/>
            </w:tcBorders>
            <w:shd w:val="clear" w:color="auto" w:fill="auto"/>
            <w:noWrap/>
            <w:hideMark/>
          </w:tcPr>
          <w:p w14:paraId="4156C1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w:t>
            </w:r>
          </w:p>
        </w:tc>
        <w:tc>
          <w:tcPr>
            <w:tcW w:w="5130" w:type="dxa"/>
            <w:tcBorders>
              <w:top w:val="nil"/>
              <w:left w:val="nil"/>
              <w:bottom w:val="nil"/>
              <w:right w:val="nil"/>
            </w:tcBorders>
            <w:shd w:val="clear" w:color="auto" w:fill="auto"/>
            <w:noWrap/>
            <w:vAlign w:val="center"/>
            <w:hideMark/>
          </w:tcPr>
          <w:p w14:paraId="384C315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Allowance for a child and other dependent</w:t>
            </w:r>
          </w:p>
        </w:tc>
        <w:tc>
          <w:tcPr>
            <w:tcW w:w="910" w:type="dxa"/>
            <w:tcBorders>
              <w:top w:val="nil"/>
              <w:left w:val="nil"/>
              <w:bottom w:val="nil"/>
              <w:right w:val="nil"/>
            </w:tcBorders>
            <w:shd w:val="clear" w:color="auto" w:fill="auto"/>
            <w:noWrap/>
            <w:vAlign w:val="center"/>
            <w:hideMark/>
          </w:tcPr>
          <w:p w14:paraId="5E0CA3E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5F8A6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F1BC83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131,800.0</w:t>
            </w:r>
          </w:p>
        </w:tc>
        <w:tc>
          <w:tcPr>
            <w:tcW w:w="910" w:type="dxa"/>
            <w:tcBorders>
              <w:top w:val="nil"/>
              <w:left w:val="nil"/>
              <w:bottom w:val="nil"/>
              <w:right w:val="nil"/>
            </w:tcBorders>
            <w:shd w:val="clear" w:color="000000" w:fill="E7E6E6"/>
            <w:noWrap/>
            <w:vAlign w:val="center"/>
            <w:hideMark/>
          </w:tcPr>
          <w:p w14:paraId="77DDE71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149,200.0</w:t>
            </w:r>
          </w:p>
        </w:tc>
        <w:tc>
          <w:tcPr>
            <w:tcW w:w="910" w:type="dxa"/>
            <w:tcBorders>
              <w:top w:val="nil"/>
              <w:left w:val="nil"/>
              <w:bottom w:val="nil"/>
              <w:right w:val="nil"/>
            </w:tcBorders>
            <w:shd w:val="clear" w:color="000000" w:fill="E7E6E6"/>
            <w:noWrap/>
            <w:vAlign w:val="center"/>
            <w:hideMark/>
          </w:tcPr>
          <w:p w14:paraId="16F80F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163,900.0</w:t>
            </w:r>
          </w:p>
        </w:tc>
      </w:tr>
      <w:tr w:rsidR="00134C08" w:rsidRPr="00134C08" w14:paraId="24C868F9" w14:textId="77777777" w:rsidTr="00360FE5">
        <w:trPr>
          <w:trHeight w:val="210"/>
        </w:trPr>
        <w:tc>
          <w:tcPr>
            <w:tcW w:w="450" w:type="dxa"/>
            <w:tcBorders>
              <w:top w:val="nil"/>
              <w:left w:val="nil"/>
              <w:bottom w:val="nil"/>
              <w:right w:val="nil"/>
            </w:tcBorders>
            <w:shd w:val="clear" w:color="auto" w:fill="auto"/>
            <w:noWrap/>
            <w:hideMark/>
          </w:tcPr>
          <w:p w14:paraId="5B4099A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w:t>
            </w:r>
          </w:p>
        </w:tc>
        <w:tc>
          <w:tcPr>
            <w:tcW w:w="5130" w:type="dxa"/>
            <w:tcBorders>
              <w:top w:val="nil"/>
              <w:left w:val="nil"/>
              <w:bottom w:val="nil"/>
              <w:right w:val="nil"/>
            </w:tcBorders>
            <w:shd w:val="clear" w:color="auto" w:fill="auto"/>
            <w:noWrap/>
            <w:vAlign w:val="center"/>
            <w:hideMark/>
          </w:tcPr>
          <w:p w14:paraId="5854523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Major allowance for a child and other dependent with disabilities</w:t>
            </w:r>
          </w:p>
        </w:tc>
        <w:tc>
          <w:tcPr>
            <w:tcW w:w="910" w:type="dxa"/>
            <w:tcBorders>
              <w:top w:val="nil"/>
              <w:left w:val="nil"/>
              <w:bottom w:val="nil"/>
              <w:right w:val="nil"/>
            </w:tcBorders>
            <w:shd w:val="clear" w:color="auto" w:fill="auto"/>
            <w:noWrap/>
            <w:vAlign w:val="center"/>
            <w:hideMark/>
          </w:tcPr>
          <w:p w14:paraId="35E410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9695B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9F50C7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16,600.0</w:t>
            </w:r>
          </w:p>
        </w:tc>
        <w:tc>
          <w:tcPr>
            <w:tcW w:w="910" w:type="dxa"/>
            <w:tcBorders>
              <w:top w:val="nil"/>
              <w:left w:val="nil"/>
              <w:bottom w:val="nil"/>
              <w:right w:val="nil"/>
            </w:tcBorders>
            <w:shd w:val="clear" w:color="000000" w:fill="E7E6E6"/>
            <w:noWrap/>
            <w:vAlign w:val="center"/>
            <w:hideMark/>
          </w:tcPr>
          <w:p w14:paraId="38ECF8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18,800.0</w:t>
            </w:r>
          </w:p>
        </w:tc>
        <w:tc>
          <w:tcPr>
            <w:tcW w:w="910" w:type="dxa"/>
            <w:tcBorders>
              <w:top w:val="nil"/>
              <w:left w:val="nil"/>
              <w:bottom w:val="nil"/>
              <w:right w:val="nil"/>
            </w:tcBorders>
            <w:shd w:val="clear" w:color="000000" w:fill="E7E6E6"/>
            <w:noWrap/>
            <w:vAlign w:val="center"/>
            <w:hideMark/>
          </w:tcPr>
          <w:p w14:paraId="761528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20,700.0</w:t>
            </w:r>
          </w:p>
        </w:tc>
      </w:tr>
      <w:tr w:rsidR="00134C08" w:rsidRPr="00134C08" w14:paraId="065CE162" w14:textId="77777777" w:rsidTr="00360FE5">
        <w:trPr>
          <w:trHeight w:val="210"/>
        </w:trPr>
        <w:tc>
          <w:tcPr>
            <w:tcW w:w="450" w:type="dxa"/>
            <w:tcBorders>
              <w:top w:val="nil"/>
              <w:left w:val="nil"/>
              <w:bottom w:val="nil"/>
              <w:right w:val="nil"/>
            </w:tcBorders>
            <w:shd w:val="clear" w:color="auto" w:fill="auto"/>
            <w:noWrap/>
            <w:hideMark/>
          </w:tcPr>
          <w:p w14:paraId="376FE69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32</w:t>
            </w:r>
          </w:p>
        </w:tc>
        <w:tc>
          <w:tcPr>
            <w:tcW w:w="5130" w:type="dxa"/>
            <w:tcBorders>
              <w:top w:val="nil"/>
              <w:left w:val="nil"/>
              <w:bottom w:val="nil"/>
              <w:right w:val="nil"/>
            </w:tcBorders>
            <w:shd w:val="clear" w:color="auto" w:fill="auto"/>
            <w:noWrap/>
            <w:vAlign w:val="center"/>
            <w:hideMark/>
          </w:tcPr>
          <w:p w14:paraId="5AEEB374"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Special tax regime for IT parks</w:t>
            </w:r>
          </w:p>
        </w:tc>
        <w:tc>
          <w:tcPr>
            <w:tcW w:w="910" w:type="dxa"/>
            <w:tcBorders>
              <w:top w:val="nil"/>
              <w:left w:val="nil"/>
              <w:bottom w:val="nil"/>
              <w:right w:val="nil"/>
            </w:tcBorders>
            <w:shd w:val="clear" w:color="auto" w:fill="auto"/>
            <w:noWrap/>
            <w:vAlign w:val="center"/>
            <w:hideMark/>
          </w:tcPr>
          <w:p w14:paraId="12675F9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2CB77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2B275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3464FF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B7659B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16E3212F" w14:textId="77777777" w:rsidTr="009960D0">
        <w:trPr>
          <w:trHeight w:val="210"/>
        </w:trPr>
        <w:tc>
          <w:tcPr>
            <w:tcW w:w="450" w:type="dxa"/>
            <w:tcBorders>
              <w:top w:val="nil"/>
              <w:left w:val="nil"/>
              <w:bottom w:val="nil"/>
              <w:right w:val="nil"/>
            </w:tcBorders>
            <w:shd w:val="clear" w:color="auto" w:fill="auto"/>
            <w:noWrap/>
            <w:vAlign w:val="bottom"/>
            <w:hideMark/>
          </w:tcPr>
          <w:p w14:paraId="343F11B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single" w:sz="4" w:space="0" w:color="auto"/>
              <w:left w:val="nil"/>
              <w:bottom w:val="nil"/>
              <w:right w:val="nil"/>
            </w:tcBorders>
            <w:shd w:val="clear" w:color="auto" w:fill="auto"/>
            <w:noWrap/>
            <w:vAlign w:val="center"/>
            <w:hideMark/>
          </w:tcPr>
          <w:p w14:paraId="729689C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Total Revenue Forgone from Personal Income Tax</w:t>
            </w:r>
          </w:p>
        </w:tc>
        <w:tc>
          <w:tcPr>
            <w:tcW w:w="910" w:type="dxa"/>
            <w:tcBorders>
              <w:top w:val="single" w:sz="4" w:space="0" w:color="auto"/>
              <w:left w:val="nil"/>
              <w:bottom w:val="nil"/>
              <w:right w:val="nil"/>
            </w:tcBorders>
            <w:shd w:val="clear" w:color="auto" w:fill="auto"/>
            <w:noWrap/>
            <w:vAlign w:val="center"/>
            <w:hideMark/>
          </w:tcPr>
          <w:p w14:paraId="1430159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764,520.0</w:t>
            </w:r>
          </w:p>
        </w:tc>
        <w:tc>
          <w:tcPr>
            <w:tcW w:w="910" w:type="dxa"/>
            <w:tcBorders>
              <w:top w:val="single" w:sz="4" w:space="0" w:color="auto"/>
              <w:left w:val="nil"/>
              <w:bottom w:val="nil"/>
              <w:right w:val="nil"/>
            </w:tcBorders>
            <w:shd w:val="clear" w:color="auto" w:fill="auto"/>
            <w:noWrap/>
            <w:vAlign w:val="center"/>
            <w:hideMark/>
          </w:tcPr>
          <w:p w14:paraId="13B8552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1,391,130.0</w:t>
            </w:r>
          </w:p>
        </w:tc>
        <w:tc>
          <w:tcPr>
            <w:tcW w:w="910" w:type="dxa"/>
            <w:tcBorders>
              <w:top w:val="single" w:sz="4" w:space="0" w:color="auto"/>
              <w:left w:val="nil"/>
              <w:bottom w:val="nil"/>
              <w:right w:val="nil"/>
            </w:tcBorders>
            <w:shd w:val="clear" w:color="auto" w:fill="auto"/>
            <w:noWrap/>
            <w:vAlign w:val="center"/>
            <w:hideMark/>
          </w:tcPr>
          <w:p w14:paraId="21A6E4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1,567,920.0</w:t>
            </w:r>
          </w:p>
        </w:tc>
        <w:tc>
          <w:tcPr>
            <w:tcW w:w="910" w:type="dxa"/>
            <w:tcBorders>
              <w:top w:val="single" w:sz="4" w:space="0" w:color="auto"/>
              <w:left w:val="nil"/>
              <w:bottom w:val="nil"/>
              <w:right w:val="nil"/>
            </w:tcBorders>
            <w:shd w:val="clear" w:color="auto" w:fill="auto"/>
            <w:noWrap/>
            <w:vAlign w:val="center"/>
            <w:hideMark/>
          </w:tcPr>
          <w:p w14:paraId="1A87936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1,779,684.0</w:t>
            </w:r>
          </w:p>
        </w:tc>
        <w:tc>
          <w:tcPr>
            <w:tcW w:w="910" w:type="dxa"/>
            <w:tcBorders>
              <w:top w:val="single" w:sz="4" w:space="0" w:color="auto"/>
              <w:left w:val="nil"/>
              <w:bottom w:val="nil"/>
              <w:right w:val="nil"/>
            </w:tcBorders>
            <w:shd w:val="clear" w:color="auto" w:fill="auto"/>
            <w:noWrap/>
            <w:vAlign w:val="center"/>
            <w:hideMark/>
          </w:tcPr>
          <w:p w14:paraId="5E2D9CB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1,956,300.0</w:t>
            </w:r>
          </w:p>
        </w:tc>
      </w:tr>
      <w:tr w:rsidR="00134C08" w:rsidRPr="00134C08" w14:paraId="549E6D51" w14:textId="77777777" w:rsidTr="009960D0">
        <w:trPr>
          <w:trHeight w:val="220"/>
        </w:trPr>
        <w:tc>
          <w:tcPr>
            <w:tcW w:w="450" w:type="dxa"/>
            <w:tcBorders>
              <w:top w:val="nil"/>
              <w:left w:val="nil"/>
              <w:bottom w:val="nil"/>
              <w:right w:val="nil"/>
            </w:tcBorders>
            <w:shd w:val="clear" w:color="auto" w:fill="auto"/>
            <w:noWrap/>
            <w:vAlign w:val="bottom"/>
            <w:hideMark/>
          </w:tcPr>
          <w:p w14:paraId="227CBA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double" w:sz="6" w:space="0" w:color="auto"/>
              <w:right w:val="nil"/>
            </w:tcBorders>
            <w:shd w:val="clear" w:color="auto" w:fill="auto"/>
            <w:noWrap/>
            <w:vAlign w:val="center"/>
            <w:hideMark/>
          </w:tcPr>
          <w:p w14:paraId="2614435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Total Revenue Forgone from Personal Income Tax as a % of GDP</w:t>
            </w:r>
          </w:p>
        </w:tc>
        <w:tc>
          <w:tcPr>
            <w:tcW w:w="910" w:type="dxa"/>
            <w:tcBorders>
              <w:top w:val="nil"/>
              <w:left w:val="nil"/>
              <w:bottom w:val="double" w:sz="6" w:space="0" w:color="auto"/>
              <w:right w:val="nil"/>
            </w:tcBorders>
            <w:shd w:val="clear" w:color="auto" w:fill="auto"/>
            <w:noWrap/>
            <w:vAlign w:val="center"/>
            <w:hideMark/>
          </w:tcPr>
          <w:p w14:paraId="72675AC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0.40%</w:t>
            </w:r>
          </w:p>
        </w:tc>
        <w:tc>
          <w:tcPr>
            <w:tcW w:w="910" w:type="dxa"/>
            <w:tcBorders>
              <w:top w:val="nil"/>
              <w:left w:val="nil"/>
              <w:bottom w:val="double" w:sz="6" w:space="0" w:color="auto"/>
              <w:right w:val="nil"/>
            </w:tcBorders>
            <w:shd w:val="clear" w:color="auto" w:fill="auto"/>
            <w:noWrap/>
            <w:vAlign w:val="center"/>
            <w:hideMark/>
          </w:tcPr>
          <w:p w14:paraId="02129B2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0.66%</w:t>
            </w:r>
          </w:p>
        </w:tc>
        <w:tc>
          <w:tcPr>
            <w:tcW w:w="910" w:type="dxa"/>
            <w:tcBorders>
              <w:top w:val="nil"/>
              <w:left w:val="nil"/>
              <w:bottom w:val="double" w:sz="6" w:space="0" w:color="auto"/>
              <w:right w:val="nil"/>
            </w:tcBorders>
            <w:shd w:val="clear" w:color="auto" w:fill="auto"/>
            <w:noWrap/>
            <w:vAlign w:val="center"/>
            <w:hideMark/>
          </w:tcPr>
          <w:p w14:paraId="1ED5E6D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0.76%</w:t>
            </w:r>
          </w:p>
        </w:tc>
        <w:tc>
          <w:tcPr>
            <w:tcW w:w="910" w:type="dxa"/>
            <w:tcBorders>
              <w:top w:val="nil"/>
              <w:left w:val="nil"/>
              <w:bottom w:val="double" w:sz="6" w:space="0" w:color="auto"/>
              <w:right w:val="nil"/>
            </w:tcBorders>
            <w:shd w:val="clear" w:color="auto" w:fill="auto"/>
            <w:noWrap/>
            <w:vAlign w:val="center"/>
            <w:hideMark/>
          </w:tcPr>
          <w:p w14:paraId="0F05227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0.77%</w:t>
            </w:r>
          </w:p>
        </w:tc>
        <w:tc>
          <w:tcPr>
            <w:tcW w:w="910" w:type="dxa"/>
            <w:tcBorders>
              <w:top w:val="nil"/>
              <w:left w:val="nil"/>
              <w:bottom w:val="double" w:sz="6" w:space="0" w:color="auto"/>
              <w:right w:val="nil"/>
            </w:tcBorders>
            <w:shd w:val="clear" w:color="auto" w:fill="auto"/>
            <w:noWrap/>
            <w:vAlign w:val="center"/>
            <w:hideMark/>
          </w:tcPr>
          <w:p w14:paraId="5307283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0.77%</w:t>
            </w:r>
          </w:p>
        </w:tc>
      </w:tr>
      <w:tr w:rsidR="00134C08" w:rsidRPr="00134C08" w14:paraId="27EB4071" w14:textId="77777777" w:rsidTr="009960D0">
        <w:trPr>
          <w:trHeight w:val="220"/>
        </w:trPr>
        <w:tc>
          <w:tcPr>
            <w:tcW w:w="450" w:type="dxa"/>
            <w:tcBorders>
              <w:top w:val="nil"/>
              <w:left w:val="nil"/>
              <w:bottom w:val="nil"/>
              <w:right w:val="nil"/>
            </w:tcBorders>
            <w:shd w:val="clear" w:color="auto" w:fill="auto"/>
            <w:noWrap/>
            <w:vAlign w:val="bottom"/>
            <w:hideMark/>
          </w:tcPr>
          <w:p w14:paraId="5CD4A42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center"/>
            <w:hideMark/>
          </w:tcPr>
          <w:p w14:paraId="64A94873"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Business Income Tax</w:t>
            </w:r>
          </w:p>
        </w:tc>
        <w:tc>
          <w:tcPr>
            <w:tcW w:w="4550" w:type="dxa"/>
            <w:gridSpan w:val="5"/>
            <w:tcBorders>
              <w:top w:val="nil"/>
              <w:left w:val="nil"/>
              <w:bottom w:val="nil"/>
              <w:right w:val="nil"/>
            </w:tcBorders>
            <w:shd w:val="clear" w:color="000000" w:fill="A5A5A5"/>
            <w:noWrap/>
            <w:vAlign w:val="center"/>
            <w:hideMark/>
          </w:tcPr>
          <w:p w14:paraId="4D4D4209"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Thousand MDL</w:t>
            </w:r>
          </w:p>
        </w:tc>
      </w:tr>
      <w:tr w:rsidR="00134C08" w:rsidRPr="00134C08" w14:paraId="175D5B07" w14:textId="77777777" w:rsidTr="00360FE5">
        <w:trPr>
          <w:trHeight w:val="210"/>
        </w:trPr>
        <w:tc>
          <w:tcPr>
            <w:tcW w:w="450" w:type="dxa"/>
            <w:tcBorders>
              <w:top w:val="nil"/>
              <w:left w:val="nil"/>
              <w:bottom w:val="nil"/>
              <w:right w:val="nil"/>
            </w:tcBorders>
            <w:shd w:val="clear" w:color="auto" w:fill="auto"/>
            <w:noWrap/>
            <w:hideMark/>
          </w:tcPr>
          <w:p w14:paraId="0713FB7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center"/>
            <w:hideMark/>
          </w:tcPr>
          <w:p w14:paraId="24A35BA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private education authorities</w:t>
            </w:r>
          </w:p>
        </w:tc>
        <w:tc>
          <w:tcPr>
            <w:tcW w:w="910" w:type="dxa"/>
            <w:tcBorders>
              <w:top w:val="nil"/>
              <w:left w:val="nil"/>
              <w:bottom w:val="nil"/>
              <w:right w:val="nil"/>
            </w:tcBorders>
            <w:shd w:val="clear" w:color="auto" w:fill="auto"/>
            <w:noWrap/>
            <w:vAlign w:val="bottom"/>
            <w:hideMark/>
          </w:tcPr>
          <w:p w14:paraId="29FFD1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33,067.8</w:t>
            </w:r>
          </w:p>
        </w:tc>
        <w:tc>
          <w:tcPr>
            <w:tcW w:w="910" w:type="dxa"/>
            <w:tcBorders>
              <w:top w:val="nil"/>
              <w:left w:val="nil"/>
              <w:bottom w:val="nil"/>
              <w:right w:val="nil"/>
            </w:tcBorders>
            <w:shd w:val="clear" w:color="000000" w:fill="E7E6E6"/>
            <w:noWrap/>
            <w:vAlign w:val="bottom"/>
            <w:hideMark/>
          </w:tcPr>
          <w:p w14:paraId="561373C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33,117.1</w:t>
            </w:r>
          </w:p>
        </w:tc>
        <w:tc>
          <w:tcPr>
            <w:tcW w:w="910" w:type="dxa"/>
            <w:tcBorders>
              <w:top w:val="nil"/>
              <w:left w:val="nil"/>
              <w:bottom w:val="nil"/>
              <w:right w:val="nil"/>
            </w:tcBorders>
            <w:shd w:val="clear" w:color="000000" w:fill="E7E6E6"/>
            <w:noWrap/>
            <w:vAlign w:val="bottom"/>
            <w:hideMark/>
          </w:tcPr>
          <w:p w14:paraId="434CB5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31,623.3</w:t>
            </w:r>
          </w:p>
        </w:tc>
        <w:tc>
          <w:tcPr>
            <w:tcW w:w="910" w:type="dxa"/>
            <w:tcBorders>
              <w:top w:val="nil"/>
              <w:left w:val="nil"/>
              <w:bottom w:val="nil"/>
              <w:right w:val="nil"/>
            </w:tcBorders>
            <w:shd w:val="clear" w:color="000000" w:fill="E7E6E6"/>
            <w:noWrap/>
            <w:vAlign w:val="bottom"/>
            <w:hideMark/>
          </w:tcPr>
          <w:p w14:paraId="70E6D7D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36,499.8</w:t>
            </w:r>
          </w:p>
        </w:tc>
        <w:tc>
          <w:tcPr>
            <w:tcW w:w="910" w:type="dxa"/>
            <w:tcBorders>
              <w:top w:val="nil"/>
              <w:left w:val="nil"/>
              <w:bottom w:val="nil"/>
              <w:right w:val="nil"/>
            </w:tcBorders>
            <w:shd w:val="clear" w:color="000000" w:fill="E7E6E6"/>
            <w:noWrap/>
            <w:vAlign w:val="bottom"/>
            <w:hideMark/>
          </w:tcPr>
          <w:p w14:paraId="62F2CAD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40,678.8</w:t>
            </w:r>
          </w:p>
        </w:tc>
      </w:tr>
      <w:tr w:rsidR="00134C08" w:rsidRPr="00134C08" w14:paraId="05AC7B09" w14:textId="77777777" w:rsidTr="00360FE5">
        <w:trPr>
          <w:trHeight w:val="210"/>
        </w:trPr>
        <w:tc>
          <w:tcPr>
            <w:tcW w:w="450" w:type="dxa"/>
            <w:tcBorders>
              <w:top w:val="nil"/>
              <w:left w:val="nil"/>
              <w:bottom w:val="nil"/>
              <w:right w:val="nil"/>
            </w:tcBorders>
            <w:shd w:val="clear" w:color="auto" w:fill="auto"/>
            <w:noWrap/>
            <w:hideMark/>
          </w:tcPr>
          <w:p w14:paraId="7379CDB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center"/>
            <w:hideMark/>
          </w:tcPr>
          <w:p w14:paraId="22D6E6B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the administration of a Free Economic Zone (FEZ)</w:t>
            </w:r>
          </w:p>
        </w:tc>
        <w:tc>
          <w:tcPr>
            <w:tcW w:w="910" w:type="dxa"/>
            <w:tcBorders>
              <w:top w:val="nil"/>
              <w:left w:val="nil"/>
              <w:bottom w:val="nil"/>
              <w:right w:val="nil"/>
            </w:tcBorders>
            <w:shd w:val="clear" w:color="auto" w:fill="auto"/>
            <w:noWrap/>
            <w:vAlign w:val="bottom"/>
            <w:hideMark/>
          </w:tcPr>
          <w:p w14:paraId="295CC0B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648.0</w:t>
            </w:r>
          </w:p>
        </w:tc>
        <w:tc>
          <w:tcPr>
            <w:tcW w:w="910" w:type="dxa"/>
            <w:tcBorders>
              <w:top w:val="nil"/>
              <w:left w:val="nil"/>
              <w:bottom w:val="nil"/>
              <w:right w:val="nil"/>
            </w:tcBorders>
            <w:shd w:val="clear" w:color="000000" w:fill="E7E6E6"/>
            <w:noWrap/>
            <w:vAlign w:val="bottom"/>
            <w:hideMark/>
          </w:tcPr>
          <w:p w14:paraId="665ABB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649.0</w:t>
            </w:r>
          </w:p>
        </w:tc>
        <w:tc>
          <w:tcPr>
            <w:tcW w:w="910" w:type="dxa"/>
            <w:tcBorders>
              <w:top w:val="nil"/>
              <w:left w:val="nil"/>
              <w:bottom w:val="nil"/>
              <w:right w:val="nil"/>
            </w:tcBorders>
            <w:shd w:val="clear" w:color="000000" w:fill="E7E6E6"/>
            <w:noWrap/>
            <w:vAlign w:val="bottom"/>
            <w:hideMark/>
          </w:tcPr>
          <w:p w14:paraId="41C9716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619.7</w:t>
            </w:r>
          </w:p>
        </w:tc>
        <w:tc>
          <w:tcPr>
            <w:tcW w:w="910" w:type="dxa"/>
            <w:tcBorders>
              <w:top w:val="nil"/>
              <w:left w:val="nil"/>
              <w:bottom w:val="nil"/>
              <w:right w:val="nil"/>
            </w:tcBorders>
            <w:shd w:val="clear" w:color="000000" w:fill="E7E6E6"/>
            <w:noWrap/>
            <w:vAlign w:val="bottom"/>
            <w:hideMark/>
          </w:tcPr>
          <w:p w14:paraId="6810276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715.3</w:t>
            </w:r>
          </w:p>
        </w:tc>
        <w:tc>
          <w:tcPr>
            <w:tcW w:w="910" w:type="dxa"/>
            <w:tcBorders>
              <w:top w:val="nil"/>
              <w:left w:val="nil"/>
              <w:bottom w:val="nil"/>
              <w:right w:val="nil"/>
            </w:tcBorders>
            <w:shd w:val="clear" w:color="000000" w:fill="E7E6E6"/>
            <w:noWrap/>
            <w:vAlign w:val="bottom"/>
            <w:hideMark/>
          </w:tcPr>
          <w:p w14:paraId="4EC564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797.2</w:t>
            </w:r>
          </w:p>
        </w:tc>
      </w:tr>
      <w:tr w:rsidR="00134C08" w:rsidRPr="00134C08" w14:paraId="3E0B0512" w14:textId="77777777" w:rsidTr="00360FE5">
        <w:trPr>
          <w:trHeight w:val="210"/>
        </w:trPr>
        <w:tc>
          <w:tcPr>
            <w:tcW w:w="450" w:type="dxa"/>
            <w:tcBorders>
              <w:top w:val="nil"/>
              <w:left w:val="nil"/>
              <w:bottom w:val="nil"/>
              <w:right w:val="nil"/>
            </w:tcBorders>
            <w:shd w:val="clear" w:color="auto" w:fill="auto"/>
            <w:noWrap/>
            <w:hideMark/>
          </w:tcPr>
          <w:p w14:paraId="44F8AC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center"/>
            <w:hideMark/>
          </w:tcPr>
          <w:p w14:paraId="12F17AF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the administration of IT parks</w:t>
            </w:r>
          </w:p>
        </w:tc>
        <w:tc>
          <w:tcPr>
            <w:tcW w:w="910" w:type="dxa"/>
            <w:tcBorders>
              <w:top w:val="nil"/>
              <w:left w:val="nil"/>
              <w:bottom w:val="nil"/>
              <w:right w:val="nil"/>
            </w:tcBorders>
            <w:shd w:val="clear" w:color="auto" w:fill="auto"/>
            <w:noWrap/>
            <w:vAlign w:val="center"/>
            <w:hideMark/>
          </w:tcPr>
          <w:p w14:paraId="5506EF9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621F4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FA071E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93DAC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E076D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E0471AA" w14:textId="77777777" w:rsidTr="00360FE5">
        <w:trPr>
          <w:trHeight w:val="210"/>
        </w:trPr>
        <w:tc>
          <w:tcPr>
            <w:tcW w:w="450" w:type="dxa"/>
            <w:tcBorders>
              <w:top w:val="nil"/>
              <w:left w:val="nil"/>
              <w:bottom w:val="nil"/>
              <w:right w:val="nil"/>
            </w:tcBorders>
            <w:shd w:val="clear" w:color="auto" w:fill="auto"/>
            <w:noWrap/>
            <w:hideMark/>
          </w:tcPr>
          <w:p w14:paraId="47CE49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lastRenderedPageBreak/>
              <w:t>4</w:t>
            </w:r>
          </w:p>
        </w:tc>
        <w:tc>
          <w:tcPr>
            <w:tcW w:w="5130" w:type="dxa"/>
            <w:tcBorders>
              <w:top w:val="nil"/>
              <w:left w:val="nil"/>
              <w:bottom w:val="nil"/>
              <w:right w:val="nil"/>
            </w:tcBorders>
            <w:shd w:val="clear" w:color="auto" w:fill="auto"/>
            <w:noWrap/>
            <w:vAlign w:val="center"/>
            <w:hideMark/>
          </w:tcPr>
          <w:p w14:paraId="4FEA460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non commercial organizations (NCOs)</w:t>
            </w:r>
          </w:p>
        </w:tc>
        <w:tc>
          <w:tcPr>
            <w:tcW w:w="910" w:type="dxa"/>
            <w:tcBorders>
              <w:top w:val="nil"/>
              <w:left w:val="nil"/>
              <w:bottom w:val="nil"/>
              <w:right w:val="nil"/>
            </w:tcBorders>
            <w:shd w:val="clear" w:color="auto" w:fill="auto"/>
            <w:noWrap/>
            <w:vAlign w:val="center"/>
            <w:hideMark/>
          </w:tcPr>
          <w:p w14:paraId="698E47E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648.3</w:t>
            </w:r>
          </w:p>
        </w:tc>
        <w:tc>
          <w:tcPr>
            <w:tcW w:w="910" w:type="dxa"/>
            <w:tcBorders>
              <w:top w:val="nil"/>
              <w:left w:val="nil"/>
              <w:bottom w:val="nil"/>
              <w:right w:val="nil"/>
            </w:tcBorders>
            <w:shd w:val="clear" w:color="000000" w:fill="E7E6E6"/>
            <w:noWrap/>
            <w:vAlign w:val="center"/>
            <w:hideMark/>
          </w:tcPr>
          <w:p w14:paraId="126920F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649.3</w:t>
            </w:r>
          </w:p>
        </w:tc>
        <w:tc>
          <w:tcPr>
            <w:tcW w:w="910" w:type="dxa"/>
            <w:tcBorders>
              <w:top w:val="nil"/>
              <w:left w:val="nil"/>
              <w:bottom w:val="nil"/>
              <w:right w:val="nil"/>
            </w:tcBorders>
            <w:shd w:val="clear" w:color="000000" w:fill="E7E6E6"/>
            <w:noWrap/>
            <w:vAlign w:val="center"/>
            <w:hideMark/>
          </w:tcPr>
          <w:p w14:paraId="6622787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620.0</w:t>
            </w:r>
          </w:p>
        </w:tc>
        <w:tc>
          <w:tcPr>
            <w:tcW w:w="910" w:type="dxa"/>
            <w:tcBorders>
              <w:top w:val="nil"/>
              <w:left w:val="nil"/>
              <w:bottom w:val="nil"/>
              <w:right w:val="nil"/>
            </w:tcBorders>
            <w:shd w:val="clear" w:color="000000" w:fill="E7E6E6"/>
            <w:noWrap/>
            <w:vAlign w:val="center"/>
            <w:hideMark/>
          </w:tcPr>
          <w:p w14:paraId="5374A4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715.6</w:t>
            </w:r>
          </w:p>
        </w:tc>
        <w:tc>
          <w:tcPr>
            <w:tcW w:w="910" w:type="dxa"/>
            <w:tcBorders>
              <w:top w:val="nil"/>
              <w:left w:val="nil"/>
              <w:bottom w:val="nil"/>
              <w:right w:val="nil"/>
            </w:tcBorders>
            <w:shd w:val="clear" w:color="000000" w:fill="E7E6E6"/>
            <w:noWrap/>
            <w:vAlign w:val="center"/>
            <w:hideMark/>
          </w:tcPr>
          <w:p w14:paraId="3CD7CDF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797.6</w:t>
            </w:r>
          </w:p>
        </w:tc>
      </w:tr>
      <w:tr w:rsidR="00134C08" w:rsidRPr="00134C08" w14:paraId="0139ED40" w14:textId="77777777" w:rsidTr="00360FE5">
        <w:trPr>
          <w:trHeight w:val="210"/>
        </w:trPr>
        <w:tc>
          <w:tcPr>
            <w:tcW w:w="450" w:type="dxa"/>
            <w:tcBorders>
              <w:top w:val="nil"/>
              <w:left w:val="nil"/>
              <w:bottom w:val="nil"/>
              <w:right w:val="nil"/>
            </w:tcBorders>
            <w:shd w:val="clear" w:color="auto" w:fill="auto"/>
            <w:noWrap/>
            <w:hideMark/>
          </w:tcPr>
          <w:p w14:paraId="4B895BC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center"/>
            <w:hideMark/>
          </w:tcPr>
          <w:p w14:paraId="6F93A78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income from non-commercial organizations and religious cults</w:t>
            </w:r>
          </w:p>
        </w:tc>
        <w:tc>
          <w:tcPr>
            <w:tcW w:w="910" w:type="dxa"/>
            <w:tcBorders>
              <w:top w:val="nil"/>
              <w:left w:val="nil"/>
              <w:bottom w:val="nil"/>
              <w:right w:val="nil"/>
            </w:tcBorders>
            <w:shd w:val="clear" w:color="auto" w:fill="auto"/>
            <w:noWrap/>
            <w:vAlign w:val="center"/>
            <w:hideMark/>
          </w:tcPr>
          <w:p w14:paraId="0E8EE1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283.1</w:t>
            </w:r>
          </w:p>
        </w:tc>
        <w:tc>
          <w:tcPr>
            <w:tcW w:w="910" w:type="dxa"/>
            <w:tcBorders>
              <w:top w:val="nil"/>
              <w:left w:val="nil"/>
              <w:bottom w:val="nil"/>
              <w:right w:val="nil"/>
            </w:tcBorders>
            <w:shd w:val="clear" w:color="000000" w:fill="E7E6E6"/>
            <w:noWrap/>
            <w:vAlign w:val="center"/>
            <w:hideMark/>
          </w:tcPr>
          <w:p w14:paraId="1A5A99B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283.6</w:t>
            </w:r>
          </w:p>
        </w:tc>
        <w:tc>
          <w:tcPr>
            <w:tcW w:w="910" w:type="dxa"/>
            <w:tcBorders>
              <w:top w:val="nil"/>
              <w:left w:val="nil"/>
              <w:bottom w:val="nil"/>
              <w:right w:val="nil"/>
            </w:tcBorders>
            <w:shd w:val="clear" w:color="000000" w:fill="E7E6E6"/>
            <w:noWrap/>
            <w:vAlign w:val="center"/>
            <w:hideMark/>
          </w:tcPr>
          <w:p w14:paraId="20C6C2D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270.8</w:t>
            </w:r>
          </w:p>
        </w:tc>
        <w:tc>
          <w:tcPr>
            <w:tcW w:w="910" w:type="dxa"/>
            <w:tcBorders>
              <w:top w:val="nil"/>
              <w:left w:val="nil"/>
              <w:bottom w:val="nil"/>
              <w:right w:val="nil"/>
            </w:tcBorders>
            <w:shd w:val="clear" w:color="000000" w:fill="E7E6E6"/>
            <w:noWrap/>
            <w:vAlign w:val="center"/>
            <w:hideMark/>
          </w:tcPr>
          <w:p w14:paraId="042E6E8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312.5</w:t>
            </w:r>
          </w:p>
        </w:tc>
        <w:tc>
          <w:tcPr>
            <w:tcW w:w="910" w:type="dxa"/>
            <w:tcBorders>
              <w:top w:val="nil"/>
              <w:left w:val="nil"/>
              <w:bottom w:val="nil"/>
              <w:right w:val="nil"/>
            </w:tcBorders>
            <w:shd w:val="clear" w:color="000000" w:fill="E7E6E6"/>
            <w:noWrap/>
            <w:vAlign w:val="center"/>
            <w:hideMark/>
          </w:tcPr>
          <w:p w14:paraId="04530D8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348.3</w:t>
            </w:r>
          </w:p>
        </w:tc>
      </w:tr>
      <w:tr w:rsidR="00134C08" w:rsidRPr="00134C08" w14:paraId="59647C1F" w14:textId="77777777" w:rsidTr="00360FE5">
        <w:trPr>
          <w:trHeight w:val="210"/>
        </w:trPr>
        <w:tc>
          <w:tcPr>
            <w:tcW w:w="450" w:type="dxa"/>
            <w:tcBorders>
              <w:top w:val="nil"/>
              <w:left w:val="nil"/>
              <w:bottom w:val="nil"/>
              <w:right w:val="nil"/>
            </w:tcBorders>
            <w:shd w:val="clear" w:color="auto" w:fill="auto"/>
            <w:noWrap/>
            <w:hideMark/>
          </w:tcPr>
          <w:p w14:paraId="264F6C7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center"/>
            <w:hideMark/>
          </w:tcPr>
          <w:p w14:paraId="5001F91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income generated by societies of blind, deaf and disabled persons</w:t>
            </w:r>
          </w:p>
        </w:tc>
        <w:tc>
          <w:tcPr>
            <w:tcW w:w="910" w:type="dxa"/>
            <w:tcBorders>
              <w:top w:val="nil"/>
              <w:left w:val="nil"/>
              <w:bottom w:val="nil"/>
              <w:right w:val="nil"/>
            </w:tcBorders>
            <w:shd w:val="clear" w:color="auto" w:fill="auto"/>
            <w:noWrap/>
            <w:vAlign w:val="center"/>
            <w:hideMark/>
          </w:tcPr>
          <w:p w14:paraId="76BE9C9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80.6</w:t>
            </w:r>
          </w:p>
        </w:tc>
        <w:tc>
          <w:tcPr>
            <w:tcW w:w="910" w:type="dxa"/>
            <w:tcBorders>
              <w:top w:val="nil"/>
              <w:left w:val="nil"/>
              <w:bottom w:val="nil"/>
              <w:right w:val="nil"/>
            </w:tcBorders>
            <w:shd w:val="clear" w:color="000000" w:fill="E7E6E6"/>
            <w:noWrap/>
            <w:vAlign w:val="center"/>
            <w:hideMark/>
          </w:tcPr>
          <w:p w14:paraId="098B62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80.7</w:t>
            </w:r>
          </w:p>
        </w:tc>
        <w:tc>
          <w:tcPr>
            <w:tcW w:w="910" w:type="dxa"/>
            <w:tcBorders>
              <w:top w:val="nil"/>
              <w:left w:val="nil"/>
              <w:bottom w:val="nil"/>
              <w:right w:val="nil"/>
            </w:tcBorders>
            <w:shd w:val="clear" w:color="000000" w:fill="E7E6E6"/>
            <w:noWrap/>
            <w:vAlign w:val="center"/>
            <w:hideMark/>
          </w:tcPr>
          <w:p w14:paraId="433E0C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77.1</w:t>
            </w:r>
          </w:p>
        </w:tc>
        <w:tc>
          <w:tcPr>
            <w:tcW w:w="910" w:type="dxa"/>
            <w:tcBorders>
              <w:top w:val="nil"/>
              <w:left w:val="nil"/>
              <w:bottom w:val="nil"/>
              <w:right w:val="nil"/>
            </w:tcBorders>
            <w:shd w:val="clear" w:color="000000" w:fill="E7E6E6"/>
            <w:noWrap/>
            <w:vAlign w:val="center"/>
            <w:hideMark/>
          </w:tcPr>
          <w:p w14:paraId="3E5F566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89.0</w:t>
            </w:r>
          </w:p>
        </w:tc>
        <w:tc>
          <w:tcPr>
            <w:tcW w:w="910" w:type="dxa"/>
            <w:tcBorders>
              <w:top w:val="nil"/>
              <w:left w:val="nil"/>
              <w:bottom w:val="nil"/>
              <w:right w:val="nil"/>
            </w:tcBorders>
            <w:shd w:val="clear" w:color="000000" w:fill="E7E6E6"/>
            <w:noWrap/>
            <w:vAlign w:val="center"/>
            <w:hideMark/>
          </w:tcPr>
          <w:p w14:paraId="6A83B28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99.2</w:t>
            </w:r>
          </w:p>
        </w:tc>
      </w:tr>
      <w:tr w:rsidR="00134C08" w:rsidRPr="00134C08" w14:paraId="2E210FE0" w14:textId="77777777" w:rsidTr="00360FE5">
        <w:trPr>
          <w:trHeight w:val="210"/>
        </w:trPr>
        <w:tc>
          <w:tcPr>
            <w:tcW w:w="450" w:type="dxa"/>
            <w:tcBorders>
              <w:top w:val="nil"/>
              <w:left w:val="nil"/>
              <w:bottom w:val="nil"/>
              <w:right w:val="nil"/>
            </w:tcBorders>
            <w:shd w:val="clear" w:color="auto" w:fill="auto"/>
            <w:noWrap/>
            <w:hideMark/>
          </w:tcPr>
          <w:p w14:paraId="7EFA89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w:t>
            </w:r>
          </w:p>
        </w:tc>
        <w:tc>
          <w:tcPr>
            <w:tcW w:w="5130" w:type="dxa"/>
            <w:tcBorders>
              <w:top w:val="nil"/>
              <w:left w:val="nil"/>
              <w:bottom w:val="nil"/>
              <w:right w:val="nil"/>
            </w:tcBorders>
            <w:shd w:val="clear" w:color="auto" w:fill="auto"/>
            <w:noWrap/>
            <w:vAlign w:val="center"/>
            <w:hideMark/>
          </w:tcPr>
          <w:p w14:paraId="6C66B9B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relief for savings and loan associations</w:t>
            </w:r>
          </w:p>
        </w:tc>
        <w:tc>
          <w:tcPr>
            <w:tcW w:w="910" w:type="dxa"/>
            <w:tcBorders>
              <w:top w:val="nil"/>
              <w:left w:val="nil"/>
              <w:bottom w:val="nil"/>
              <w:right w:val="nil"/>
            </w:tcBorders>
            <w:shd w:val="clear" w:color="auto" w:fill="auto"/>
            <w:noWrap/>
            <w:vAlign w:val="center"/>
            <w:hideMark/>
          </w:tcPr>
          <w:p w14:paraId="3BF0618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8,747.2</w:t>
            </w:r>
          </w:p>
        </w:tc>
        <w:tc>
          <w:tcPr>
            <w:tcW w:w="910" w:type="dxa"/>
            <w:tcBorders>
              <w:top w:val="nil"/>
              <w:left w:val="nil"/>
              <w:bottom w:val="nil"/>
              <w:right w:val="nil"/>
            </w:tcBorders>
            <w:shd w:val="clear" w:color="000000" w:fill="E7E6E6"/>
            <w:noWrap/>
            <w:vAlign w:val="center"/>
            <w:hideMark/>
          </w:tcPr>
          <w:p w14:paraId="0FD93D4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8,760.3</w:t>
            </w:r>
          </w:p>
        </w:tc>
        <w:tc>
          <w:tcPr>
            <w:tcW w:w="910" w:type="dxa"/>
            <w:tcBorders>
              <w:top w:val="nil"/>
              <w:left w:val="nil"/>
              <w:bottom w:val="nil"/>
              <w:right w:val="nil"/>
            </w:tcBorders>
            <w:shd w:val="clear" w:color="000000" w:fill="E7E6E6"/>
            <w:noWrap/>
            <w:vAlign w:val="center"/>
            <w:hideMark/>
          </w:tcPr>
          <w:p w14:paraId="1C0F7A3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8,365.1</w:t>
            </w:r>
          </w:p>
        </w:tc>
        <w:tc>
          <w:tcPr>
            <w:tcW w:w="910" w:type="dxa"/>
            <w:tcBorders>
              <w:top w:val="nil"/>
              <w:left w:val="nil"/>
              <w:bottom w:val="nil"/>
              <w:right w:val="nil"/>
            </w:tcBorders>
            <w:shd w:val="clear" w:color="000000" w:fill="E7E6E6"/>
            <w:noWrap/>
            <w:vAlign w:val="center"/>
            <w:hideMark/>
          </w:tcPr>
          <w:p w14:paraId="18D18CF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9,655.3</w:t>
            </w:r>
          </w:p>
        </w:tc>
        <w:tc>
          <w:tcPr>
            <w:tcW w:w="910" w:type="dxa"/>
            <w:tcBorders>
              <w:top w:val="nil"/>
              <w:left w:val="nil"/>
              <w:bottom w:val="nil"/>
              <w:right w:val="nil"/>
            </w:tcBorders>
            <w:shd w:val="clear" w:color="000000" w:fill="E7E6E6"/>
            <w:noWrap/>
            <w:vAlign w:val="center"/>
            <w:hideMark/>
          </w:tcPr>
          <w:p w14:paraId="3A1AB86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10,760.2</w:t>
            </w:r>
          </w:p>
        </w:tc>
      </w:tr>
      <w:tr w:rsidR="00134C08" w:rsidRPr="00134C08" w14:paraId="5EB21DD6" w14:textId="77777777" w:rsidTr="00360FE5">
        <w:trPr>
          <w:trHeight w:val="210"/>
        </w:trPr>
        <w:tc>
          <w:tcPr>
            <w:tcW w:w="450" w:type="dxa"/>
            <w:tcBorders>
              <w:top w:val="nil"/>
              <w:left w:val="nil"/>
              <w:bottom w:val="nil"/>
              <w:right w:val="nil"/>
            </w:tcBorders>
            <w:shd w:val="clear" w:color="auto" w:fill="auto"/>
            <w:noWrap/>
            <w:hideMark/>
          </w:tcPr>
          <w:p w14:paraId="456AD0A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w:t>
            </w:r>
          </w:p>
        </w:tc>
        <w:tc>
          <w:tcPr>
            <w:tcW w:w="5130" w:type="dxa"/>
            <w:tcBorders>
              <w:top w:val="nil"/>
              <w:left w:val="nil"/>
              <w:bottom w:val="nil"/>
              <w:right w:val="nil"/>
            </w:tcBorders>
            <w:shd w:val="clear" w:color="auto" w:fill="auto"/>
            <w:noWrap/>
            <w:vAlign w:val="center"/>
            <w:hideMark/>
          </w:tcPr>
          <w:p w14:paraId="2DD36D1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incentive to encourage participation in non-state pension funds</w:t>
            </w:r>
          </w:p>
        </w:tc>
        <w:tc>
          <w:tcPr>
            <w:tcW w:w="910" w:type="dxa"/>
            <w:tcBorders>
              <w:top w:val="nil"/>
              <w:left w:val="nil"/>
              <w:bottom w:val="nil"/>
              <w:right w:val="nil"/>
            </w:tcBorders>
            <w:shd w:val="clear" w:color="auto" w:fill="auto"/>
            <w:noWrap/>
            <w:vAlign w:val="center"/>
            <w:hideMark/>
          </w:tcPr>
          <w:p w14:paraId="230BC2D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1,970.0</w:t>
            </w:r>
          </w:p>
        </w:tc>
        <w:tc>
          <w:tcPr>
            <w:tcW w:w="910" w:type="dxa"/>
            <w:tcBorders>
              <w:top w:val="nil"/>
              <w:left w:val="nil"/>
              <w:bottom w:val="nil"/>
              <w:right w:val="nil"/>
            </w:tcBorders>
            <w:shd w:val="clear" w:color="000000" w:fill="E7E6E6"/>
            <w:noWrap/>
            <w:vAlign w:val="center"/>
            <w:hideMark/>
          </w:tcPr>
          <w:p w14:paraId="153ED5F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1,973.0</w:t>
            </w:r>
          </w:p>
        </w:tc>
        <w:tc>
          <w:tcPr>
            <w:tcW w:w="910" w:type="dxa"/>
            <w:tcBorders>
              <w:top w:val="nil"/>
              <w:left w:val="nil"/>
              <w:bottom w:val="nil"/>
              <w:right w:val="nil"/>
            </w:tcBorders>
            <w:shd w:val="clear" w:color="000000" w:fill="E7E6E6"/>
            <w:noWrap/>
            <w:vAlign w:val="center"/>
            <w:hideMark/>
          </w:tcPr>
          <w:p w14:paraId="26A394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1,884.0</w:t>
            </w:r>
          </w:p>
        </w:tc>
        <w:tc>
          <w:tcPr>
            <w:tcW w:w="910" w:type="dxa"/>
            <w:tcBorders>
              <w:top w:val="nil"/>
              <w:left w:val="nil"/>
              <w:bottom w:val="nil"/>
              <w:right w:val="nil"/>
            </w:tcBorders>
            <w:shd w:val="clear" w:color="000000" w:fill="E7E6E6"/>
            <w:noWrap/>
            <w:vAlign w:val="center"/>
            <w:hideMark/>
          </w:tcPr>
          <w:p w14:paraId="6C90C3D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2,174.5</w:t>
            </w:r>
          </w:p>
        </w:tc>
        <w:tc>
          <w:tcPr>
            <w:tcW w:w="910" w:type="dxa"/>
            <w:tcBorders>
              <w:top w:val="nil"/>
              <w:left w:val="nil"/>
              <w:bottom w:val="nil"/>
              <w:right w:val="nil"/>
            </w:tcBorders>
            <w:shd w:val="clear" w:color="000000" w:fill="E7E6E6"/>
            <w:noWrap/>
            <w:vAlign w:val="center"/>
            <w:hideMark/>
          </w:tcPr>
          <w:p w14:paraId="08B68FA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2,423.5</w:t>
            </w:r>
          </w:p>
        </w:tc>
      </w:tr>
      <w:tr w:rsidR="00134C08" w:rsidRPr="00134C08" w14:paraId="7CE93388" w14:textId="77777777" w:rsidTr="00360FE5">
        <w:trPr>
          <w:trHeight w:val="210"/>
        </w:trPr>
        <w:tc>
          <w:tcPr>
            <w:tcW w:w="450" w:type="dxa"/>
            <w:tcBorders>
              <w:top w:val="nil"/>
              <w:left w:val="nil"/>
              <w:bottom w:val="nil"/>
              <w:right w:val="nil"/>
            </w:tcBorders>
            <w:shd w:val="clear" w:color="auto" w:fill="auto"/>
            <w:noWrap/>
            <w:hideMark/>
          </w:tcPr>
          <w:p w14:paraId="722F739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w:t>
            </w:r>
          </w:p>
        </w:tc>
        <w:tc>
          <w:tcPr>
            <w:tcW w:w="5130" w:type="dxa"/>
            <w:tcBorders>
              <w:top w:val="nil"/>
              <w:left w:val="nil"/>
              <w:bottom w:val="nil"/>
              <w:right w:val="nil"/>
            </w:tcBorders>
            <w:shd w:val="clear" w:color="auto" w:fill="auto"/>
            <w:noWrap/>
            <w:vAlign w:val="center"/>
            <w:hideMark/>
          </w:tcPr>
          <w:p w14:paraId="2172EB7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for trade unions and employers’ associations</w:t>
            </w:r>
          </w:p>
        </w:tc>
        <w:tc>
          <w:tcPr>
            <w:tcW w:w="910" w:type="dxa"/>
            <w:tcBorders>
              <w:top w:val="nil"/>
              <w:left w:val="nil"/>
              <w:bottom w:val="nil"/>
              <w:right w:val="nil"/>
            </w:tcBorders>
            <w:shd w:val="clear" w:color="auto" w:fill="auto"/>
            <w:noWrap/>
            <w:vAlign w:val="center"/>
            <w:hideMark/>
          </w:tcPr>
          <w:p w14:paraId="50C0B65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964.2</w:t>
            </w:r>
          </w:p>
        </w:tc>
        <w:tc>
          <w:tcPr>
            <w:tcW w:w="910" w:type="dxa"/>
            <w:tcBorders>
              <w:top w:val="nil"/>
              <w:left w:val="nil"/>
              <w:bottom w:val="nil"/>
              <w:right w:val="nil"/>
            </w:tcBorders>
            <w:shd w:val="clear" w:color="000000" w:fill="E7E6E6"/>
            <w:noWrap/>
            <w:vAlign w:val="center"/>
            <w:hideMark/>
          </w:tcPr>
          <w:p w14:paraId="0C20B7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965.6</w:t>
            </w:r>
          </w:p>
        </w:tc>
        <w:tc>
          <w:tcPr>
            <w:tcW w:w="910" w:type="dxa"/>
            <w:tcBorders>
              <w:top w:val="nil"/>
              <w:left w:val="nil"/>
              <w:bottom w:val="nil"/>
              <w:right w:val="nil"/>
            </w:tcBorders>
            <w:shd w:val="clear" w:color="000000" w:fill="E7E6E6"/>
            <w:noWrap/>
            <w:vAlign w:val="center"/>
            <w:hideMark/>
          </w:tcPr>
          <w:p w14:paraId="5E35E96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922.0</w:t>
            </w:r>
          </w:p>
        </w:tc>
        <w:tc>
          <w:tcPr>
            <w:tcW w:w="910" w:type="dxa"/>
            <w:tcBorders>
              <w:top w:val="nil"/>
              <w:left w:val="nil"/>
              <w:bottom w:val="nil"/>
              <w:right w:val="nil"/>
            </w:tcBorders>
            <w:shd w:val="clear" w:color="000000" w:fill="E7E6E6"/>
            <w:noWrap/>
            <w:vAlign w:val="center"/>
            <w:hideMark/>
          </w:tcPr>
          <w:p w14:paraId="5549395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1,065.9</w:t>
            </w:r>
          </w:p>
        </w:tc>
        <w:tc>
          <w:tcPr>
            <w:tcW w:w="910" w:type="dxa"/>
            <w:tcBorders>
              <w:top w:val="nil"/>
              <w:left w:val="nil"/>
              <w:bottom w:val="nil"/>
              <w:right w:val="nil"/>
            </w:tcBorders>
            <w:shd w:val="clear" w:color="000000" w:fill="E7E6E6"/>
            <w:noWrap/>
            <w:vAlign w:val="center"/>
            <w:hideMark/>
          </w:tcPr>
          <w:p w14:paraId="752A902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1,182.3</w:t>
            </w:r>
          </w:p>
        </w:tc>
      </w:tr>
      <w:tr w:rsidR="00134C08" w:rsidRPr="00134C08" w14:paraId="69EDB012" w14:textId="77777777" w:rsidTr="00360FE5">
        <w:trPr>
          <w:trHeight w:val="210"/>
        </w:trPr>
        <w:tc>
          <w:tcPr>
            <w:tcW w:w="450" w:type="dxa"/>
            <w:tcBorders>
              <w:top w:val="nil"/>
              <w:left w:val="nil"/>
              <w:bottom w:val="nil"/>
              <w:right w:val="nil"/>
            </w:tcBorders>
            <w:shd w:val="clear" w:color="auto" w:fill="auto"/>
            <w:noWrap/>
            <w:hideMark/>
          </w:tcPr>
          <w:p w14:paraId="196AE2E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5130" w:type="dxa"/>
            <w:tcBorders>
              <w:top w:val="nil"/>
              <w:left w:val="nil"/>
              <w:bottom w:val="nil"/>
              <w:right w:val="nil"/>
            </w:tcBorders>
            <w:shd w:val="clear" w:color="auto" w:fill="auto"/>
            <w:noWrap/>
            <w:vAlign w:val="center"/>
            <w:hideMark/>
          </w:tcPr>
          <w:p w14:paraId="3490044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Allowance for encouraging businesses to grow their payroll</w:t>
            </w:r>
          </w:p>
        </w:tc>
        <w:tc>
          <w:tcPr>
            <w:tcW w:w="910" w:type="dxa"/>
            <w:tcBorders>
              <w:top w:val="nil"/>
              <w:left w:val="nil"/>
              <w:bottom w:val="nil"/>
              <w:right w:val="nil"/>
            </w:tcBorders>
            <w:shd w:val="clear" w:color="auto" w:fill="auto"/>
            <w:noWrap/>
            <w:vAlign w:val="center"/>
            <w:hideMark/>
          </w:tcPr>
          <w:p w14:paraId="13FFCB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2,108.4</w:t>
            </w:r>
          </w:p>
        </w:tc>
        <w:tc>
          <w:tcPr>
            <w:tcW w:w="910" w:type="dxa"/>
            <w:tcBorders>
              <w:top w:val="nil"/>
              <w:left w:val="nil"/>
              <w:bottom w:val="nil"/>
              <w:right w:val="nil"/>
            </w:tcBorders>
            <w:shd w:val="clear" w:color="000000" w:fill="E7E6E6"/>
            <w:noWrap/>
            <w:vAlign w:val="center"/>
            <w:hideMark/>
          </w:tcPr>
          <w:p w14:paraId="5730412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2,111.6</w:t>
            </w:r>
          </w:p>
        </w:tc>
        <w:tc>
          <w:tcPr>
            <w:tcW w:w="910" w:type="dxa"/>
            <w:tcBorders>
              <w:top w:val="nil"/>
              <w:left w:val="nil"/>
              <w:bottom w:val="nil"/>
              <w:right w:val="nil"/>
            </w:tcBorders>
            <w:shd w:val="clear" w:color="000000" w:fill="E7E6E6"/>
            <w:noWrap/>
            <w:vAlign w:val="center"/>
            <w:hideMark/>
          </w:tcPr>
          <w:p w14:paraId="713F5A3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2,016.0</w:t>
            </w:r>
          </w:p>
        </w:tc>
        <w:tc>
          <w:tcPr>
            <w:tcW w:w="910" w:type="dxa"/>
            <w:tcBorders>
              <w:top w:val="nil"/>
              <w:left w:val="nil"/>
              <w:bottom w:val="nil"/>
              <w:right w:val="nil"/>
            </w:tcBorders>
            <w:shd w:val="clear" w:color="000000" w:fill="E7E6E6"/>
            <w:noWrap/>
            <w:vAlign w:val="center"/>
            <w:hideMark/>
          </w:tcPr>
          <w:p w14:paraId="2674D7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2,338.0</w:t>
            </w:r>
          </w:p>
        </w:tc>
        <w:tc>
          <w:tcPr>
            <w:tcW w:w="910" w:type="dxa"/>
            <w:tcBorders>
              <w:top w:val="nil"/>
              <w:left w:val="nil"/>
              <w:bottom w:val="nil"/>
              <w:right w:val="nil"/>
            </w:tcBorders>
            <w:shd w:val="clear" w:color="000000" w:fill="E7E6E6"/>
            <w:noWrap/>
            <w:vAlign w:val="center"/>
            <w:hideMark/>
          </w:tcPr>
          <w:p w14:paraId="6B8BB6B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2,568.9</w:t>
            </w:r>
          </w:p>
        </w:tc>
      </w:tr>
      <w:tr w:rsidR="00134C08" w:rsidRPr="00134C08" w14:paraId="747CEB85" w14:textId="77777777" w:rsidTr="00360FE5">
        <w:trPr>
          <w:trHeight w:val="210"/>
        </w:trPr>
        <w:tc>
          <w:tcPr>
            <w:tcW w:w="450" w:type="dxa"/>
            <w:tcBorders>
              <w:top w:val="nil"/>
              <w:left w:val="nil"/>
              <w:bottom w:val="nil"/>
              <w:right w:val="nil"/>
            </w:tcBorders>
            <w:shd w:val="clear" w:color="auto" w:fill="auto"/>
            <w:noWrap/>
            <w:hideMark/>
          </w:tcPr>
          <w:p w14:paraId="5E888CD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w:t>
            </w:r>
          </w:p>
        </w:tc>
        <w:tc>
          <w:tcPr>
            <w:tcW w:w="5130" w:type="dxa"/>
            <w:tcBorders>
              <w:top w:val="nil"/>
              <w:left w:val="nil"/>
              <w:bottom w:val="nil"/>
              <w:right w:val="nil"/>
            </w:tcBorders>
            <w:shd w:val="clear" w:color="auto" w:fill="auto"/>
            <w:noWrap/>
            <w:vAlign w:val="center"/>
            <w:hideMark/>
          </w:tcPr>
          <w:p w14:paraId="3790CA7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Allowance for charitable and sponsorship donations</w:t>
            </w:r>
          </w:p>
        </w:tc>
        <w:tc>
          <w:tcPr>
            <w:tcW w:w="910" w:type="dxa"/>
            <w:tcBorders>
              <w:top w:val="nil"/>
              <w:left w:val="nil"/>
              <w:bottom w:val="nil"/>
              <w:right w:val="nil"/>
            </w:tcBorders>
            <w:shd w:val="clear" w:color="auto" w:fill="auto"/>
            <w:noWrap/>
            <w:vAlign w:val="center"/>
            <w:hideMark/>
          </w:tcPr>
          <w:p w14:paraId="48B3D1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11,224.6</w:t>
            </w:r>
          </w:p>
        </w:tc>
        <w:tc>
          <w:tcPr>
            <w:tcW w:w="910" w:type="dxa"/>
            <w:tcBorders>
              <w:top w:val="nil"/>
              <w:left w:val="nil"/>
              <w:bottom w:val="nil"/>
              <w:right w:val="nil"/>
            </w:tcBorders>
            <w:shd w:val="clear" w:color="000000" w:fill="E7E6E6"/>
            <w:noWrap/>
            <w:vAlign w:val="center"/>
            <w:hideMark/>
          </w:tcPr>
          <w:p w14:paraId="358B5E1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11,241.4</w:t>
            </w:r>
          </w:p>
        </w:tc>
        <w:tc>
          <w:tcPr>
            <w:tcW w:w="910" w:type="dxa"/>
            <w:tcBorders>
              <w:top w:val="nil"/>
              <w:left w:val="nil"/>
              <w:bottom w:val="nil"/>
              <w:right w:val="nil"/>
            </w:tcBorders>
            <w:shd w:val="clear" w:color="000000" w:fill="E7E6E6"/>
            <w:noWrap/>
            <w:vAlign w:val="center"/>
            <w:hideMark/>
          </w:tcPr>
          <w:p w14:paraId="3EA5F6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10,794.3</w:t>
            </w:r>
          </w:p>
        </w:tc>
        <w:tc>
          <w:tcPr>
            <w:tcW w:w="910" w:type="dxa"/>
            <w:tcBorders>
              <w:top w:val="nil"/>
              <w:left w:val="nil"/>
              <w:bottom w:val="nil"/>
              <w:right w:val="nil"/>
            </w:tcBorders>
            <w:shd w:val="clear" w:color="000000" w:fill="E7E6E6"/>
            <w:noWrap/>
            <w:vAlign w:val="center"/>
            <w:hideMark/>
          </w:tcPr>
          <w:p w14:paraId="7FDDD63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12,389.6</w:t>
            </w:r>
          </w:p>
        </w:tc>
        <w:tc>
          <w:tcPr>
            <w:tcW w:w="910" w:type="dxa"/>
            <w:tcBorders>
              <w:top w:val="nil"/>
              <w:left w:val="nil"/>
              <w:bottom w:val="nil"/>
              <w:right w:val="nil"/>
            </w:tcBorders>
            <w:shd w:val="clear" w:color="000000" w:fill="E7E6E6"/>
            <w:noWrap/>
            <w:vAlign w:val="center"/>
            <w:hideMark/>
          </w:tcPr>
          <w:p w14:paraId="7C701F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13,808.2</w:t>
            </w:r>
          </w:p>
        </w:tc>
      </w:tr>
      <w:tr w:rsidR="00134C08" w:rsidRPr="00134C08" w14:paraId="29216B0F" w14:textId="77777777" w:rsidTr="00360FE5">
        <w:trPr>
          <w:trHeight w:val="210"/>
        </w:trPr>
        <w:tc>
          <w:tcPr>
            <w:tcW w:w="450" w:type="dxa"/>
            <w:tcBorders>
              <w:top w:val="nil"/>
              <w:left w:val="nil"/>
              <w:bottom w:val="nil"/>
              <w:right w:val="nil"/>
            </w:tcBorders>
            <w:shd w:val="clear" w:color="auto" w:fill="auto"/>
            <w:noWrap/>
            <w:hideMark/>
          </w:tcPr>
          <w:p w14:paraId="776430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w:t>
            </w:r>
          </w:p>
        </w:tc>
        <w:tc>
          <w:tcPr>
            <w:tcW w:w="5130" w:type="dxa"/>
            <w:tcBorders>
              <w:top w:val="nil"/>
              <w:left w:val="nil"/>
              <w:bottom w:val="nil"/>
              <w:right w:val="nil"/>
            </w:tcBorders>
            <w:shd w:val="clear" w:color="auto" w:fill="auto"/>
            <w:noWrap/>
            <w:vAlign w:val="center"/>
            <w:hideMark/>
          </w:tcPr>
          <w:p w14:paraId="59B4AA7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BIT rate of 7% for farmers</w:t>
            </w:r>
          </w:p>
        </w:tc>
        <w:tc>
          <w:tcPr>
            <w:tcW w:w="910" w:type="dxa"/>
            <w:tcBorders>
              <w:top w:val="nil"/>
              <w:left w:val="nil"/>
              <w:bottom w:val="nil"/>
              <w:right w:val="nil"/>
            </w:tcBorders>
            <w:shd w:val="clear" w:color="auto" w:fill="auto"/>
            <w:noWrap/>
            <w:vAlign w:val="center"/>
            <w:hideMark/>
          </w:tcPr>
          <w:p w14:paraId="02FC790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20,386.0</w:t>
            </w:r>
          </w:p>
        </w:tc>
        <w:tc>
          <w:tcPr>
            <w:tcW w:w="910" w:type="dxa"/>
            <w:tcBorders>
              <w:top w:val="nil"/>
              <w:left w:val="nil"/>
              <w:bottom w:val="nil"/>
              <w:right w:val="nil"/>
            </w:tcBorders>
            <w:shd w:val="clear" w:color="000000" w:fill="E7E6E6"/>
            <w:noWrap/>
            <w:vAlign w:val="center"/>
            <w:hideMark/>
          </w:tcPr>
          <w:p w14:paraId="2ABB43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20,416.5</w:t>
            </w:r>
          </w:p>
        </w:tc>
        <w:tc>
          <w:tcPr>
            <w:tcW w:w="910" w:type="dxa"/>
            <w:tcBorders>
              <w:top w:val="nil"/>
              <w:left w:val="nil"/>
              <w:bottom w:val="nil"/>
              <w:right w:val="nil"/>
            </w:tcBorders>
            <w:shd w:val="clear" w:color="000000" w:fill="E7E6E6"/>
            <w:noWrap/>
            <w:vAlign w:val="center"/>
            <w:hideMark/>
          </w:tcPr>
          <w:p w14:paraId="6D1976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19,495.5</w:t>
            </w:r>
          </w:p>
        </w:tc>
        <w:tc>
          <w:tcPr>
            <w:tcW w:w="910" w:type="dxa"/>
            <w:tcBorders>
              <w:top w:val="nil"/>
              <w:left w:val="nil"/>
              <w:bottom w:val="nil"/>
              <w:right w:val="nil"/>
            </w:tcBorders>
            <w:shd w:val="clear" w:color="000000" w:fill="E7E6E6"/>
            <w:noWrap/>
            <w:vAlign w:val="center"/>
            <w:hideMark/>
          </w:tcPr>
          <w:p w14:paraId="04E0CD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22,501.9</w:t>
            </w:r>
          </w:p>
        </w:tc>
        <w:tc>
          <w:tcPr>
            <w:tcW w:w="910" w:type="dxa"/>
            <w:tcBorders>
              <w:top w:val="nil"/>
              <w:left w:val="nil"/>
              <w:bottom w:val="nil"/>
              <w:right w:val="nil"/>
            </w:tcBorders>
            <w:shd w:val="clear" w:color="000000" w:fill="E7E6E6"/>
            <w:noWrap/>
            <w:vAlign w:val="center"/>
            <w:hideMark/>
          </w:tcPr>
          <w:p w14:paraId="3F3681E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25,078.2</w:t>
            </w:r>
          </w:p>
        </w:tc>
      </w:tr>
      <w:tr w:rsidR="00134C08" w:rsidRPr="00134C08" w14:paraId="3535F8F0" w14:textId="77777777" w:rsidTr="00360FE5">
        <w:trPr>
          <w:trHeight w:val="210"/>
        </w:trPr>
        <w:tc>
          <w:tcPr>
            <w:tcW w:w="450" w:type="dxa"/>
            <w:tcBorders>
              <w:top w:val="nil"/>
              <w:left w:val="nil"/>
              <w:bottom w:val="nil"/>
              <w:right w:val="nil"/>
            </w:tcBorders>
            <w:shd w:val="clear" w:color="auto" w:fill="auto"/>
            <w:noWrap/>
            <w:hideMark/>
          </w:tcPr>
          <w:p w14:paraId="0214DB8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w:t>
            </w:r>
          </w:p>
        </w:tc>
        <w:tc>
          <w:tcPr>
            <w:tcW w:w="5130" w:type="dxa"/>
            <w:tcBorders>
              <w:top w:val="nil"/>
              <w:left w:val="nil"/>
              <w:bottom w:val="nil"/>
              <w:right w:val="nil"/>
            </w:tcBorders>
            <w:shd w:val="clear" w:color="auto" w:fill="auto"/>
            <w:noWrap/>
            <w:vAlign w:val="center"/>
            <w:hideMark/>
          </w:tcPr>
          <w:p w14:paraId="7536323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Special tax regime for residents of IT parks</w:t>
            </w:r>
          </w:p>
        </w:tc>
        <w:tc>
          <w:tcPr>
            <w:tcW w:w="910" w:type="dxa"/>
            <w:tcBorders>
              <w:top w:val="nil"/>
              <w:left w:val="nil"/>
              <w:bottom w:val="nil"/>
              <w:right w:val="nil"/>
            </w:tcBorders>
            <w:shd w:val="clear" w:color="auto" w:fill="auto"/>
            <w:noWrap/>
            <w:vAlign w:val="center"/>
            <w:hideMark/>
          </w:tcPr>
          <w:p w14:paraId="3B314AF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35,775.8</w:t>
            </w:r>
          </w:p>
        </w:tc>
        <w:tc>
          <w:tcPr>
            <w:tcW w:w="910" w:type="dxa"/>
            <w:tcBorders>
              <w:top w:val="nil"/>
              <w:left w:val="nil"/>
              <w:bottom w:val="nil"/>
              <w:right w:val="nil"/>
            </w:tcBorders>
            <w:shd w:val="clear" w:color="auto" w:fill="auto"/>
            <w:noWrap/>
            <w:vAlign w:val="center"/>
            <w:hideMark/>
          </w:tcPr>
          <w:p w14:paraId="6D15AE2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35,774.7</w:t>
            </w:r>
          </w:p>
        </w:tc>
        <w:tc>
          <w:tcPr>
            <w:tcW w:w="910" w:type="dxa"/>
            <w:tcBorders>
              <w:top w:val="nil"/>
              <w:left w:val="nil"/>
              <w:bottom w:val="nil"/>
              <w:right w:val="nil"/>
            </w:tcBorders>
            <w:shd w:val="clear" w:color="auto" w:fill="auto"/>
            <w:noWrap/>
            <w:vAlign w:val="center"/>
            <w:hideMark/>
          </w:tcPr>
          <w:p w14:paraId="73C833B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46,653.6</w:t>
            </w:r>
          </w:p>
        </w:tc>
        <w:tc>
          <w:tcPr>
            <w:tcW w:w="910" w:type="dxa"/>
            <w:tcBorders>
              <w:top w:val="nil"/>
              <w:left w:val="nil"/>
              <w:bottom w:val="nil"/>
              <w:right w:val="nil"/>
            </w:tcBorders>
            <w:shd w:val="clear" w:color="000000" w:fill="E7E6E6"/>
            <w:noWrap/>
            <w:vAlign w:val="center"/>
            <w:hideMark/>
          </w:tcPr>
          <w:p w14:paraId="6274CA0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53,847.9</w:t>
            </w:r>
          </w:p>
        </w:tc>
        <w:tc>
          <w:tcPr>
            <w:tcW w:w="910" w:type="dxa"/>
            <w:tcBorders>
              <w:top w:val="nil"/>
              <w:left w:val="nil"/>
              <w:bottom w:val="nil"/>
              <w:right w:val="nil"/>
            </w:tcBorders>
            <w:shd w:val="clear" w:color="000000" w:fill="E7E6E6"/>
            <w:noWrap/>
            <w:vAlign w:val="center"/>
            <w:hideMark/>
          </w:tcPr>
          <w:p w14:paraId="35771A3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60,013.1</w:t>
            </w:r>
          </w:p>
        </w:tc>
      </w:tr>
      <w:tr w:rsidR="00134C08" w:rsidRPr="00134C08" w14:paraId="0B28D7AE" w14:textId="77777777" w:rsidTr="00360FE5">
        <w:trPr>
          <w:trHeight w:val="210"/>
        </w:trPr>
        <w:tc>
          <w:tcPr>
            <w:tcW w:w="450" w:type="dxa"/>
            <w:tcBorders>
              <w:top w:val="nil"/>
              <w:left w:val="nil"/>
              <w:bottom w:val="nil"/>
              <w:right w:val="nil"/>
            </w:tcBorders>
            <w:shd w:val="clear" w:color="auto" w:fill="auto"/>
            <w:noWrap/>
            <w:hideMark/>
          </w:tcPr>
          <w:p w14:paraId="729BEF2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w:t>
            </w:r>
          </w:p>
        </w:tc>
        <w:tc>
          <w:tcPr>
            <w:tcW w:w="5130" w:type="dxa"/>
            <w:tcBorders>
              <w:top w:val="nil"/>
              <w:left w:val="nil"/>
              <w:bottom w:val="nil"/>
              <w:right w:val="nil"/>
            </w:tcBorders>
            <w:shd w:val="clear" w:color="auto" w:fill="auto"/>
            <w:noWrap/>
            <w:vAlign w:val="center"/>
            <w:hideMark/>
          </w:tcPr>
          <w:p w14:paraId="6333389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50% reduced BIT rate for income earned on exports in Free Economic Zones (FEZs)</w:t>
            </w:r>
          </w:p>
        </w:tc>
        <w:tc>
          <w:tcPr>
            <w:tcW w:w="910" w:type="dxa"/>
            <w:tcBorders>
              <w:top w:val="nil"/>
              <w:left w:val="nil"/>
              <w:bottom w:val="nil"/>
              <w:right w:val="nil"/>
            </w:tcBorders>
            <w:shd w:val="clear" w:color="auto" w:fill="auto"/>
            <w:noWrap/>
            <w:vAlign w:val="center"/>
            <w:hideMark/>
          </w:tcPr>
          <w:p w14:paraId="3F0F996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9,956.8</w:t>
            </w:r>
          </w:p>
        </w:tc>
        <w:tc>
          <w:tcPr>
            <w:tcW w:w="910" w:type="dxa"/>
            <w:tcBorders>
              <w:top w:val="nil"/>
              <w:left w:val="nil"/>
              <w:bottom w:val="nil"/>
              <w:right w:val="nil"/>
            </w:tcBorders>
            <w:shd w:val="clear" w:color="000000" w:fill="E7E6E6"/>
            <w:noWrap/>
            <w:vAlign w:val="center"/>
            <w:hideMark/>
          </w:tcPr>
          <w:p w14:paraId="547CF15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9,971.7</w:t>
            </w:r>
          </w:p>
        </w:tc>
        <w:tc>
          <w:tcPr>
            <w:tcW w:w="910" w:type="dxa"/>
            <w:tcBorders>
              <w:top w:val="nil"/>
              <w:left w:val="nil"/>
              <w:bottom w:val="nil"/>
              <w:right w:val="nil"/>
            </w:tcBorders>
            <w:shd w:val="clear" w:color="000000" w:fill="E7E6E6"/>
            <w:noWrap/>
            <w:vAlign w:val="center"/>
            <w:hideMark/>
          </w:tcPr>
          <w:p w14:paraId="58445AA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9,521.9</w:t>
            </w:r>
          </w:p>
        </w:tc>
        <w:tc>
          <w:tcPr>
            <w:tcW w:w="910" w:type="dxa"/>
            <w:tcBorders>
              <w:top w:val="nil"/>
              <w:left w:val="nil"/>
              <w:bottom w:val="nil"/>
              <w:right w:val="nil"/>
            </w:tcBorders>
            <w:shd w:val="clear" w:color="000000" w:fill="E7E6E6"/>
            <w:noWrap/>
            <w:vAlign w:val="center"/>
            <w:hideMark/>
          </w:tcPr>
          <w:p w14:paraId="515742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10,990.2</w:t>
            </w:r>
          </w:p>
        </w:tc>
        <w:tc>
          <w:tcPr>
            <w:tcW w:w="910" w:type="dxa"/>
            <w:tcBorders>
              <w:top w:val="nil"/>
              <w:left w:val="nil"/>
              <w:bottom w:val="nil"/>
              <w:right w:val="nil"/>
            </w:tcBorders>
            <w:shd w:val="clear" w:color="000000" w:fill="E7E6E6"/>
            <w:noWrap/>
            <w:vAlign w:val="center"/>
            <w:hideMark/>
          </w:tcPr>
          <w:p w14:paraId="1BAB06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12,248.5</w:t>
            </w:r>
          </w:p>
        </w:tc>
      </w:tr>
      <w:tr w:rsidR="00134C08" w:rsidRPr="00134C08" w14:paraId="0EA24981" w14:textId="77777777" w:rsidTr="00360FE5">
        <w:trPr>
          <w:trHeight w:val="210"/>
        </w:trPr>
        <w:tc>
          <w:tcPr>
            <w:tcW w:w="450" w:type="dxa"/>
            <w:tcBorders>
              <w:top w:val="nil"/>
              <w:left w:val="nil"/>
              <w:bottom w:val="nil"/>
              <w:right w:val="nil"/>
            </w:tcBorders>
            <w:shd w:val="clear" w:color="auto" w:fill="auto"/>
            <w:noWrap/>
            <w:hideMark/>
          </w:tcPr>
          <w:p w14:paraId="38E6D54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w:t>
            </w:r>
          </w:p>
        </w:tc>
        <w:tc>
          <w:tcPr>
            <w:tcW w:w="5130" w:type="dxa"/>
            <w:tcBorders>
              <w:top w:val="nil"/>
              <w:left w:val="nil"/>
              <w:bottom w:val="nil"/>
              <w:right w:val="nil"/>
            </w:tcBorders>
            <w:shd w:val="clear" w:color="auto" w:fill="auto"/>
            <w:noWrap/>
            <w:vAlign w:val="center"/>
            <w:hideMark/>
          </w:tcPr>
          <w:p w14:paraId="0A8FC41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 reduced BIT rate for income earned on domestic sales in Free Economic Zones (FEZs)</w:t>
            </w:r>
          </w:p>
        </w:tc>
        <w:tc>
          <w:tcPr>
            <w:tcW w:w="910" w:type="dxa"/>
            <w:tcBorders>
              <w:top w:val="nil"/>
              <w:left w:val="nil"/>
              <w:bottom w:val="nil"/>
              <w:right w:val="nil"/>
            </w:tcBorders>
            <w:shd w:val="clear" w:color="auto" w:fill="auto"/>
            <w:noWrap/>
            <w:vAlign w:val="center"/>
            <w:hideMark/>
          </w:tcPr>
          <w:p w14:paraId="4862063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1,476.8</w:t>
            </w:r>
          </w:p>
        </w:tc>
        <w:tc>
          <w:tcPr>
            <w:tcW w:w="910" w:type="dxa"/>
            <w:tcBorders>
              <w:top w:val="nil"/>
              <w:left w:val="nil"/>
              <w:bottom w:val="nil"/>
              <w:right w:val="nil"/>
            </w:tcBorders>
            <w:shd w:val="clear" w:color="000000" w:fill="E7E6E6"/>
            <w:noWrap/>
            <w:vAlign w:val="center"/>
            <w:hideMark/>
          </w:tcPr>
          <w:p w14:paraId="7395226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1,479.0</w:t>
            </w:r>
          </w:p>
        </w:tc>
        <w:tc>
          <w:tcPr>
            <w:tcW w:w="910" w:type="dxa"/>
            <w:tcBorders>
              <w:top w:val="nil"/>
              <w:left w:val="nil"/>
              <w:bottom w:val="nil"/>
              <w:right w:val="nil"/>
            </w:tcBorders>
            <w:shd w:val="clear" w:color="000000" w:fill="E7E6E6"/>
            <w:noWrap/>
            <w:vAlign w:val="center"/>
            <w:hideMark/>
          </w:tcPr>
          <w:p w14:paraId="3B54B8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1,412.3</w:t>
            </w:r>
          </w:p>
        </w:tc>
        <w:tc>
          <w:tcPr>
            <w:tcW w:w="910" w:type="dxa"/>
            <w:tcBorders>
              <w:top w:val="nil"/>
              <w:left w:val="nil"/>
              <w:bottom w:val="nil"/>
              <w:right w:val="nil"/>
            </w:tcBorders>
            <w:shd w:val="clear" w:color="000000" w:fill="E7E6E6"/>
            <w:noWrap/>
            <w:vAlign w:val="center"/>
            <w:hideMark/>
          </w:tcPr>
          <w:p w14:paraId="3C28C28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1,630.1</w:t>
            </w:r>
          </w:p>
        </w:tc>
        <w:tc>
          <w:tcPr>
            <w:tcW w:w="910" w:type="dxa"/>
            <w:tcBorders>
              <w:top w:val="nil"/>
              <w:left w:val="nil"/>
              <w:bottom w:val="nil"/>
              <w:right w:val="nil"/>
            </w:tcBorders>
            <w:shd w:val="clear" w:color="000000" w:fill="E7E6E6"/>
            <w:noWrap/>
            <w:vAlign w:val="center"/>
            <w:hideMark/>
          </w:tcPr>
          <w:p w14:paraId="02BC58A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1,816.7</w:t>
            </w:r>
          </w:p>
        </w:tc>
      </w:tr>
      <w:tr w:rsidR="00134C08" w:rsidRPr="00134C08" w14:paraId="43B1FB02" w14:textId="77777777" w:rsidTr="00360FE5">
        <w:trPr>
          <w:trHeight w:val="210"/>
        </w:trPr>
        <w:tc>
          <w:tcPr>
            <w:tcW w:w="450" w:type="dxa"/>
            <w:tcBorders>
              <w:top w:val="nil"/>
              <w:left w:val="nil"/>
              <w:bottom w:val="nil"/>
              <w:right w:val="nil"/>
            </w:tcBorders>
            <w:shd w:val="clear" w:color="auto" w:fill="auto"/>
            <w:noWrap/>
            <w:hideMark/>
          </w:tcPr>
          <w:p w14:paraId="02EA81E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w:t>
            </w:r>
          </w:p>
        </w:tc>
        <w:tc>
          <w:tcPr>
            <w:tcW w:w="5130" w:type="dxa"/>
            <w:tcBorders>
              <w:top w:val="nil"/>
              <w:left w:val="nil"/>
              <w:bottom w:val="nil"/>
              <w:right w:val="nil"/>
            </w:tcBorders>
            <w:shd w:val="clear" w:color="auto" w:fill="auto"/>
            <w:noWrap/>
            <w:vAlign w:val="center"/>
            <w:hideMark/>
          </w:tcPr>
          <w:p w14:paraId="79855F1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 year tax holiday for US$1M+ investments in Free Economic Zones (FEZs)</w:t>
            </w:r>
          </w:p>
        </w:tc>
        <w:tc>
          <w:tcPr>
            <w:tcW w:w="910" w:type="dxa"/>
            <w:tcBorders>
              <w:top w:val="nil"/>
              <w:left w:val="nil"/>
              <w:bottom w:val="nil"/>
              <w:right w:val="nil"/>
            </w:tcBorders>
            <w:shd w:val="clear" w:color="auto" w:fill="auto"/>
            <w:noWrap/>
            <w:vAlign w:val="center"/>
            <w:hideMark/>
          </w:tcPr>
          <w:p w14:paraId="0C9CF03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2,002.3</w:t>
            </w:r>
          </w:p>
        </w:tc>
        <w:tc>
          <w:tcPr>
            <w:tcW w:w="910" w:type="dxa"/>
            <w:tcBorders>
              <w:top w:val="nil"/>
              <w:left w:val="nil"/>
              <w:bottom w:val="nil"/>
              <w:right w:val="nil"/>
            </w:tcBorders>
            <w:shd w:val="clear" w:color="000000" w:fill="E7E6E6"/>
            <w:noWrap/>
            <w:vAlign w:val="center"/>
            <w:hideMark/>
          </w:tcPr>
          <w:p w14:paraId="7BB81AB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2,005.3</w:t>
            </w:r>
          </w:p>
        </w:tc>
        <w:tc>
          <w:tcPr>
            <w:tcW w:w="910" w:type="dxa"/>
            <w:tcBorders>
              <w:top w:val="nil"/>
              <w:left w:val="nil"/>
              <w:bottom w:val="nil"/>
              <w:right w:val="nil"/>
            </w:tcBorders>
            <w:shd w:val="clear" w:color="000000" w:fill="E7E6E6"/>
            <w:noWrap/>
            <w:vAlign w:val="center"/>
            <w:hideMark/>
          </w:tcPr>
          <w:p w14:paraId="60E5A2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1,914.8</w:t>
            </w:r>
          </w:p>
        </w:tc>
        <w:tc>
          <w:tcPr>
            <w:tcW w:w="910" w:type="dxa"/>
            <w:tcBorders>
              <w:top w:val="nil"/>
              <w:left w:val="nil"/>
              <w:bottom w:val="nil"/>
              <w:right w:val="nil"/>
            </w:tcBorders>
            <w:shd w:val="clear" w:color="000000" w:fill="E7E6E6"/>
            <w:noWrap/>
            <w:vAlign w:val="center"/>
            <w:hideMark/>
          </w:tcPr>
          <w:p w14:paraId="64A3F89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2,210.1</w:t>
            </w:r>
          </w:p>
        </w:tc>
        <w:tc>
          <w:tcPr>
            <w:tcW w:w="910" w:type="dxa"/>
            <w:tcBorders>
              <w:top w:val="nil"/>
              <w:left w:val="nil"/>
              <w:bottom w:val="nil"/>
              <w:right w:val="nil"/>
            </w:tcBorders>
            <w:shd w:val="clear" w:color="000000" w:fill="E7E6E6"/>
            <w:noWrap/>
            <w:vAlign w:val="center"/>
            <w:hideMark/>
          </w:tcPr>
          <w:p w14:paraId="018418A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2,463.1</w:t>
            </w:r>
          </w:p>
        </w:tc>
      </w:tr>
      <w:tr w:rsidR="00134C08" w:rsidRPr="00134C08" w14:paraId="79DC5AC6" w14:textId="77777777" w:rsidTr="00360FE5">
        <w:trPr>
          <w:trHeight w:val="210"/>
        </w:trPr>
        <w:tc>
          <w:tcPr>
            <w:tcW w:w="450" w:type="dxa"/>
            <w:tcBorders>
              <w:top w:val="nil"/>
              <w:left w:val="nil"/>
              <w:bottom w:val="nil"/>
              <w:right w:val="nil"/>
            </w:tcBorders>
            <w:shd w:val="clear" w:color="auto" w:fill="auto"/>
            <w:noWrap/>
            <w:hideMark/>
          </w:tcPr>
          <w:p w14:paraId="1DF754B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w:t>
            </w:r>
          </w:p>
        </w:tc>
        <w:tc>
          <w:tcPr>
            <w:tcW w:w="5130" w:type="dxa"/>
            <w:tcBorders>
              <w:top w:val="nil"/>
              <w:left w:val="nil"/>
              <w:bottom w:val="nil"/>
              <w:right w:val="nil"/>
            </w:tcBorders>
            <w:shd w:val="clear" w:color="auto" w:fill="auto"/>
            <w:noWrap/>
            <w:vAlign w:val="center"/>
            <w:hideMark/>
          </w:tcPr>
          <w:p w14:paraId="347ADA3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 year tax holiday for US$5M+ investments in Free Economic Zones (FEZs)</w:t>
            </w:r>
          </w:p>
        </w:tc>
        <w:tc>
          <w:tcPr>
            <w:tcW w:w="910" w:type="dxa"/>
            <w:tcBorders>
              <w:top w:val="nil"/>
              <w:left w:val="nil"/>
              <w:bottom w:val="nil"/>
              <w:right w:val="nil"/>
            </w:tcBorders>
            <w:shd w:val="clear" w:color="auto" w:fill="auto"/>
            <w:noWrap/>
            <w:vAlign w:val="center"/>
            <w:hideMark/>
          </w:tcPr>
          <w:p w14:paraId="6813082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5,390.8</w:t>
            </w:r>
          </w:p>
        </w:tc>
        <w:tc>
          <w:tcPr>
            <w:tcW w:w="910" w:type="dxa"/>
            <w:tcBorders>
              <w:top w:val="nil"/>
              <w:left w:val="nil"/>
              <w:bottom w:val="nil"/>
              <w:right w:val="nil"/>
            </w:tcBorders>
            <w:shd w:val="clear" w:color="000000" w:fill="E7E6E6"/>
            <w:noWrap/>
            <w:vAlign w:val="center"/>
            <w:hideMark/>
          </w:tcPr>
          <w:p w14:paraId="3D2C067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5,398.8</w:t>
            </w:r>
          </w:p>
        </w:tc>
        <w:tc>
          <w:tcPr>
            <w:tcW w:w="910" w:type="dxa"/>
            <w:tcBorders>
              <w:top w:val="nil"/>
              <w:left w:val="nil"/>
              <w:bottom w:val="nil"/>
              <w:right w:val="nil"/>
            </w:tcBorders>
            <w:shd w:val="clear" w:color="000000" w:fill="E7E6E6"/>
            <w:noWrap/>
            <w:vAlign w:val="center"/>
            <w:hideMark/>
          </w:tcPr>
          <w:p w14:paraId="5D012F0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5,155.3</w:t>
            </w:r>
          </w:p>
        </w:tc>
        <w:tc>
          <w:tcPr>
            <w:tcW w:w="910" w:type="dxa"/>
            <w:tcBorders>
              <w:top w:val="nil"/>
              <w:left w:val="nil"/>
              <w:bottom w:val="nil"/>
              <w:right w:val="nil"/>
            </w:tcBorders>
            <w:shd w:val="clear" w:color="000000" w:fill="E7E6E6"/>
            <w:noWrap/>
            <w:vAlign w:val="center"/>
            <w:hideMark/>
          </w:tcPr>
          <w:p w14:paraId="11767F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5,950.3</w:t>
            </w:r>
          </w:p>
        </w:tc>
        <w:tc>
          <w:tcPr>
            <w:tcW w:w="910" w:type="dxa"/>
            <w:tcBorders>
              <w:top w:val="nil"/>
              <w:left w:val="nil"/>
              <w:bottom w:val="nil"/>
              <w:right w:val="nil"/>
            </w:tcBorders>
            <w:shd w:val="clear" w:color="000000" w:fill="E7E6E6"/>
            <w:noWrap/>
            <w:vAlign w:val="center"/>
            <w:hideMark/>
          </w:tcPr>
          <w:p w14:paraId="0A0EEE6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6,631.5</w:t>
            </w:r>
          </w:p>
        </w:tc>
      </w:tr>
      <w:tr w:rsidR="00134C08" w:rsidRPr="00134C08" w14:paraId="4FA953C5" w14:textId="77777777" w:rsidTr="00360FE5">
        <w:trPr>
          <w:trHeight w:val="210"/>
        </w:trPr>
        <w:tc>
          <w:tcPr>
            <w:tcW w:w="450" w:type="dxa"/>
            <w:tcBorders>
              <w:top w:val="nil"/>
              <w:left w:val="nil"/>
              <w:bottom w:val="nil"/>
              <w:right w:val="nil"/>
            </w:tcBorders>
            <w:shd w:val="clear" w:color="auto" w:fill="auto"/>
            <w:noWrap/>
            <w:hideMark/>
          </w:tcPr>
          <w:p w14:paraId="1593661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w:t>
            </w:r>
          </w:p>
        </w:tc>
        <w:tc>
          <w:tcPr>
            <w:tcW w:w="7862" w:type="dxa"/>
            <w:gridSpan w:val="4"/>
            <w:tcBorders>
              <w:top w:val="nil"/>
              <w:left w:val="nil"/>
              <w:bottom w:val="nil"/>
              <w:right w:val="nil"/>
            </w:tcBorders>
            <w:shd w:val="clear" w:color="auto" w:fill="auto"/>
            <w:noWrap/>
            <w:vAlign w:val="center"/>
            <w:hideMark/>
          </w:tcPr>
          <w:p w14:paraId="52BFC264"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Additional 1, 3 or 5 year tax holiday for additional US$1, 3 or 5M+ investments in Free Economic Zones (FEZs)</w:t>
            </w:r>
          </w:p>
        </w:tc>
        <w:tc>
          <w:tcPr>
            <w:tcW w:w="910" w:type="dxa"/>
            <w:tcBorders>
              <w:top w:val="nil"/>
              <w:left w:val="nil"/>
              <w:bottom w:val="nil"/>
              <w:right w:val="nil"/>
            </w:tcBorders>
            <w:shd w:val="clear" w:color="auto" w:fill="auto"/>
            <w:noWrap/>
            <w:vAlign w:val="center"/>
            <w:hideMark/>
          </w:tcPr>
          <w:p w14:paraId="219147D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p>
        </w:tc>
        <w:tc>
          <w:tcPr>
            <w:tcW w:w="910" w:type="dxa"/>
            <w:tcBorders>
              <w:top w:val="nil"/>
              <w:left w:val="nil"/>
              <w:bottom w:val="nil"/>
              <w:right w:val="nil"/>
            </w:tcBorders>
            <w:shd w:val="clear" w:color="auto" w:fill="auto"/>
            <w:noWrap/>
            <w:vAlign w:val="center"/>
            <w:hideMark/>
          </w:tcPr>
          <w:p w14:paraId="5D7E41A6"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r>
      <w:tr w:rsidR="00134C08" w:rsidRPr="00134C08" w14:paraId="679A65CA" w14:textId="77777777" w:rsidTr="00360FE5">
        <w:trPr>
          <w:trHeight w:val="210"/>
        </w:trPr>
        <w:tc>
          <w:tcPr>
            <w:tcW w:w="450" w:type="dxa"/>
            <w:tcBorders>
              <w:top w:val="nil"/>
              <w:left w:val="nil"/>
              <w:bottom w:val="nil"/>
              <w:right w:val="nil"/>
            </w:tcBorders>
            <w:shd w:val="clear" w:color="auto" w:fill="auto"/>
            <w:noWrap/>
            <w:hideMark/>
          </w:tcPr>
          <w:p w14:paraId="2DFF9DE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w:t>
            </w:r>
          </w:p>
        </w:tc>
        <w:tc>
          <w:tcPr>
            <w:tcW w:w="5130" w:type="dxa"/>
            <w:tcBorders>
              <w:top w:val="nil"/>
              <w:left w:val="nil"/>
              <w:bottom w:val="nil"/>
              <w:right w:val="nil"/>
            </w:tcBorders>
            <w:shd w:val="clear" w:color="auto" w:fill="auto"/>
            <w:noWrap/>
            <w:vAlign w:val="center"/>
            <w:hideMark/>
          </w:tcPr>
          <w:p w14:paraId="425AACD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income from international grants for research and development, and from special funds and grants approved by the government</w:t>
            </w:r>
          </w:p>
        </w:tc>
        <w:tc>
          <w:tcPr>
            <w:tcW w:w="910" w:type="dxa"/>
            <w:tcBorders>
              <w:top w:val="nil"/>
              <w:left w:val="nil"/>
              <w:bottom w:val="nil"/>
              <w:right w:val="nil"/>
            </w:tcBorders>
            <w:shd w:val="clear" w:color="auto" w:fill="auto"/>
            <w:noWrap/>
            <w:vAlign w:val="center"/>
            <w:hideMark/>
          </w:tcPr>
          <w:p w14:paraId="2BA5BE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480,938.3</w:t>
            </w:r>
          </w:p>
        </w:tc>
        <w:tc>
          <w:tcPr>
            <w:tcW w:w="910" w:type="dxa"/>
            <w:tcBorders>
              <w:top w:val="nil"/>
              <w:left w:val="nil"/>
              <w:bottom w:val="nil"/>
              <w:right w:val="nil"/>
            </w:tcBorders>
            <w:shd w:val="clear" w:color="000000" w:fill="E7E6E6"/>
            <w:noWrap/>
            <w:vAlign w:val="center"/>
            <w:hideMark/>
          </w:tcPr>
          <w:p w14:paraId="107E7B4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481,656.5</w:t>
            </w:r>
          </w:p>
        </w:tc>
        <w:tc>
          <w:tcPr>
            <w:tcW w:w="910" w:type="dxa"/>
            <w:tcBorders>
              <w:top w:val="nil"/>
              <w:left w:val="nil"/>
              <w:bottom w:val="nil"/>
              <w:right w:val="nil"/>
            </w:tcBorders>
            <w:shd w:val="clear" w:color="000000" w:fill="E7E6E6"/>
            <w:noWrap/>
            <w:vAlign w:val="center"/>
            <w:hideMark/>
          </w:tcPr>
          <w:p w14:paraId="5F4D0B7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459,919.9</w:t>
            </w:r>
          </w:p>
        </w:tc>
        <w:tc>
          <w:tcPr>
            <w:tcW w:w="910" w:type="dxa"/>
            <w:tcBorders>
              <w:top w:val="nil"/>
              <w:left w:val="nil"/>
              <w:bottom w:val="nil"/>
              <w:right w:val="nil"/>
            </w:tcBorders>
            <w:shd w:val="clear" w:color="000000" w:fill="E7E6E6"/>
            <w:noWrap/>
            <w:vAlign w:val="center"/>
            <w:hideMark/>
          </w:tcPr>
          <w:p w14:paraId="29BDD3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531,223.4</w:t>
            </w:r>
          </w:p>
        </w:tc>
        <w:tc>
          <w:tcPr>
            <w:tcW w:w="910" w:type="dxa"/>
            <w:tcBorders>
              <w:top w:val="nil"/>
              <w:left w:val="nil"/>
              <w:bottom w:val="nil"/>
              <w:right w:val="nil"/>
            </w:tcBorders>
            <w:shd w:val="clear" w:color="000000" w:fill="E7E6E6"/>
            <w:noWrap/>
            <w:vAlign w:val="center"/>
            <w:hideMark/>
          </w:tcPr>
          <w:p w14:paraId="727758E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590,787.7</w:t>
            </w:r>
          </w:p>
        </w:tc>
      </w:tr>
      <w:tr w:rsidR="00134C08" w:rsidRPr="00134C08" w14:paraId="190B1E0F" w14:textId="77777777" w:rsidTr="00360FE5">
        <w:trPr>
          <w:trHeight w:val="210"/>
        </w:trPr>
        <w:tc>
          <w:tcPr>
            <w:tcW w:w="450" w:type="dxa"/>
            <w:tcBorders>
              <w:top w:val="nil"/>
              <w:left w:val="nil"/>
              <w:bottom w:val="nil"/>
              <w:right w:val="nil"/>
            </w:tcBorders>
            <w:shd w:val="clear" w:color="auto" w:fill="auto"/>
            <w:noWrap/>
            <w:hideMark/>
          </w:tcPr>
          <w:p w14:paraId="293FE88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w:t>
            </w:r>
          </w:p>
        </w:tc>
        <w:tc>
          <w:tcPr>
            <w:tcW w:w="5130" w:type="dxa"/>
            <w:tcBorders>
              <w:top w:val="nil"/>
              <w:left w:val="nil"/>
              <w:bottom w:val="nil"/>
              <w:right w:val="nil"/>
            </w:tcBorders>
            <w:shd w:val="clear" w:color="auto" w:fill="auto"/>
            <w:noWrap/>
            <w:vAlign w:val="center"/>
            <w:hideMark/>
          </w:tcPr>
          <w:p w14:paraId="13C7427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donations to homes providing foster care</w:t>
            </w:r>
          </w:p>
        </w:tc>
        <w:tc>
          <w:tcPr>
            <w:tcW w:w="910" w:type="dxa"/>
            <w:tcBorders>
              <w:top w:val="nil"/>
              <w:left w:val="nil"/>
              <w:bottom w:val="nil"/>
              <w:right w:val="nil"/>
            </w:tcBorders>
            <w:shd w:val="clear" w:color="auto" w:fill="auto"/>
            <w:noWrap/>
            <w:vAlign w:val="center"/>
            <w:hideMark/>
          </w:tcPr>
          <w:p w14:paraId="5E4E23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6A9566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964CFC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B84438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C1FBFB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F305E2E" w14:textId="77777777" w:rsidTr="00360FE5">
        <w:trPr>
          <w:trHeight w:val="210"/>
        </w:trPr>
        <w:tc>
          <w:tcPr>
            <w:tcW w:w="450" w:type="dxa"/>
            <w:tcBorders>
              <w:top w:val="nil"/>
              <w:left w:val="nil"/>
              <w:bottom w:val="nil"/>
              <w:right w:val="nil"/>
            </w:tcBorders>
            <w:shd w:val="clear" w:color="auto" w:fill="auto"/>
            <w:noWrap/>
            <w:hideMark/>
          </w:tcPr>
          <w:p w14:paraId="5A8CF7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w:t>
            </w:r>
          </w:p>
        </w:tc>
        <w:tc>
          <w:tcPr>
            <w:tcW w:w="5130" w:type="dxa"/>
            <w:tcBorders>
              <w:top w:val="nil"/>
              <w:left w:val="nil"/>
              <w:bottom w:val="nil"/>
              <w:right w:val="nil"/>
            </w:tcBorders>
            <w:shd w:val="clear" w:color="auto" w:fill="auto"/>
            <w:noWrap/>
            <w:vAlign w:val="center"/>
            <w:hideMark/>
          </w:tcPr>
          <w:p w14:paraId="6CEE59C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aid received from charitable organizations</w:t>
            </w:r>
          </w:p>
        </w:tc>
        <w:tc>
          <w:tcPr>
            <w:tcW w:w="910" w:type="dxa"/>
            <w:tcBorders>
              <w:top w:val="nil"/>
              <w:left w:val="nil"/>
              <w:bottom w:val="nil"/>
              <w:right w:val="nil"/>
            </w:tcBorders>
            <w:shd w:val="clear" w:color="auto" w:fill="auto"/>
            <w:noWrap/>
            <w:vAlign w:val="center"/>
            <w:hideMark/>
          </w:tcPr>
          <w:p w14:paraId="0EF720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99391D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D4DD5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E004EB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CD7D5C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676B4E0" w14:textId="77777777" w:rsidTr="00360FE5">
        <w:trPr>
          <w:trHeight w:val="210"/>
        </w:trPr>
        <w:tc>
          <w:tcPr>
            <w:tcW w:w="450" w:type="dxa"/>
            <w:tcBorders>
              <w:top w:val="nil"/>
              <w:left w:val="nil"/>
              <w:bottom w:val="nil"/>
              <w:right w:val="nil"/>
            </w:tcBorders>
            <w:shd w:val="clear" w:color="auto" w:fill="auto"/>
            <w:noWrap/>
            <w:hideMark/>
          </w:tcPr>
          <w:p w14:paraId="4D99B1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w:t>
            </w:r>
          </w:p>
        </w:tc>
        <w:tc>
          <w:tcPr>
            <w:tcW w:w="5130" w:type="dxa"/>
            <w:tcBorders>
              <w:top w:val="nil"/>
              <w:left w:val="nil"/>
              <w:bottom w:val="nil"/>
              <w:right w:val="nil"/>
            </w:tcBorders>
            <w:shd w:val="clear" w:color="auto" w:fill="auto"/>
            <w:noWrap/>
            <w:vAlign w:val="center"/>
            <w:hideMark/>
          </w:tcPr>
          <w:p w14:paraId="1C281FE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Tax exemption of financial assistance received from the National Olympic and Sports Committee</w:t>
            </w:r>
          </w:p>
        </w:tc>
        <w:tc>
          <w:tcPr>
            <w:tcW w:w="910" w:type="dxa"/>
            <w:tcBorders>
              <w:top w:val="nil"/>
              <w:left w:val="nil"/>
              <w:bottom w:val="nil"/>
              <w:right w:val="nil"/>
            </w:tcBorders>
            <w:shd w:val="clear" w:color="auto" w:fill="auto"/>
            <w:noWrap/>
            <w:vAlign w:val="center"/>
            <w:hideMark/>
          </w:tcPr>
          <w:p w14:paraId="4A5B83C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3DC4ED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5C9D2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AAE47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B097F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8070822" w14:textId="77777777" w:rsidTr="009960D0">
        <w:trPr>
          <w:trHeight w:val="210"/>
        </w:trPr>
        <w:tc>
          <w:tcPr>
            <w:tcW w:w="450" w:type="dxa"/>
            <w:tcBorders>
              <w:top w:val="nil"/>
              <w:left w:val="nil"/>
              <w:bottom w:val="nil"/>
              <w:right w:val="nil"/>
            </w:tcBorders>
            <w:shd w:val="clear" w:color="auto" w:fill="auto"/>
            <w:noWrap/>
            <w:vAlign w:val="center"/>
            <w:hideMark/>
          </w:tcPr>
          <w:p w14:paraId="2305E43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single" w:sz="4" w:space="0" w:color="auto"/>
              <w:left w:val="nil"/>
              <w:bottom w:val="nil"/>
              <w:right w:val="nil"/>
            </w:tcBorders>
            <w:shd w:val="clear" w:color="auto" w:fill="auto"/>
            <w:noWrap/>
            <w:vAlign w:val="center"/>
            <w:hideMark/>
          </w:tcPr>
          <w:p w14:paraId="34101E7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Total Revenue Forgone from Business Income Tax</w:t>
            </w:r>
          </w:p>
        </w:tc>
        <w:tc>
          <w:tcPr>
            <w:tcW w:w="910" w:type="dxa"/>
            <w:tcBorders>
              <w:top w:val="single" w:sz="4" w:space="0" w:color="auto"/>
              <w:left w:val="nil"/>
              <w:bottom w:val="nil"/>
              <w:right w:val="nil"/>
            </w:tcBorders>
            <w:shd w:val="clear" w:color="auto" w:fill="auto"/>
            <w:noWrap/>
            <w:vAlign w:val="center"/>
            <w:hideMark/>
          </w:tcPr>
          <w:p w14:paraId="696CAB7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615,669.1</w:t>
            </w:r>
          </w:p>
        </w:tc>
        <w:tc>
          <w:tcPr>
            <w:tcW w:w="910" w:type="dxa"/>
            <w:tcBorders>
              <w:top w:val="single" w:sz="4" w:space="0" w:color="auto"/>
              <w:left w:val="nil"/>
              <w:bottom w:val="nil"/>
              <w:right w:val="nil"/>
            </w:tcBorders>
            <w:shd w:val="clear" w:color="auto" w:fill="auto"/>
            <w:noWrap/>
            <w:vAlign w:val="center"/>
            <w:hideMark/>
          </w:tcPr>
          <w:p w14:paraId="08F9F8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616,533.9</w:t>
            </w:r>
          </w:p>
        </w:tc>
        <w:tc>
          <w:tcPr>
            <w:tcW w:w="910" w:type="dxa"/>
            <w:tcBorders>
              <w:top w:val="single" w:sz="4" w:space="0" w:color="auto"/>
              <w:left w:val="nil"/>
              <w:bottom w:val="nil"/>
              <w:right w:val="nil"/>
            </w:tcBorders>
            <w:shd w:val="clear" w:color="auto" w:fill="auto"/>
            <w:noWrap/>
            <w:vAlign w:val="center"/>
            <w:hideMark/>
          </w:tcPr>
          <w:p w14:paraId="78BD2A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601,265.7</w:t>
            </w:r>
          </w:p>
        </w:tc>
        <w:tc>
          <w:tcPr>
            <w:tcW w:w="910" w:type="dxa"/>
            <w:tcBorders>
              <w:top w:val="single" w:sz="4" w:space="0" w:color="auto"/>
              <w:left w:val="nil"/>
              <w:bottom w:val="nil"/>
              <w:right w:val="nil"/>
            </w:tcBorders>
            <w:shd w:val="clear" w:color="auto" w:fill="auto"/>
            <w:noWrap/>
            <w:vAlign w:val="center"/>
            <w:hideMark/>
          </w:tcPr>
          <w:p w14:paraId="0C245C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694,309.4</w:t>
            </w:r>
          </w:p>
        </w:tc>
        <w:tc>
          <w:tcPr>
            <w:tcW w:w="910" w:type="dxa"/>
            <w:tcBorders>
              <w:top w:val="single" w:sz="4" w:space="0" w:color="auto"/>
              <w:left w:val="nil"/>
              <w:bottom w:val="nil"/>
              <w:right w:val="nil"/>
            </w:tcBorders>
            <w:shd w:val="clear" w:color="auto" w:fill="auto"/>
            <w:noWrap/>
            <w:vAlign w:val="center"/>
            <w:hideMark/>
          </w:tcPr>
          <w:p w14:paraId="6A06200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772,503.0</w:t>
            </w:r>
          </w:p>
        </w:tc>
      </w:tr>
      <w:tr w:rsidR="00134C08" w:rsidRPr="00134C08" w14:paraId="0EC685B9" w14:textId="77777777" w:rsidTr="009960D0">
        <w:trPr>
          <w:trHeight w:val="220"/>
        </w:trPr>
        <w:tc>
          <w:tcPr>
            <w:tcW w:w="450" w:type="dxa"/>
            <w:tcBorders>
              <w:top w:val="nil"/>
              <w:left w:val="nil"/>
              <w:bottom w:val="nil"/>
              <w:right w:val="nil"/>
            </w:tcBorders>
            <w:shd w:val="clear" w:color="auto" w:fill="auto"/>
            <w:noWrap/>
            <w:vAlign w:val="center"/>
            <w:hideMark/>
          </w:tcPr>
          <w:p w14:paraId="10CFA9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double" w:sz="6" w:space="0" w:color="auto"/>
              <w:right w:val="nil"/>
            </w:tcBorders>
            <w:shd w:val="clear" w:color="auto" w:fill="auto"/>
            <w:noWrap/>
            <w:vAlign w:val="center"/>
            <w:hideMark/>
          </w:tcPr>
          <w:p w14:paraId="099A700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Total Revenue Forgone from Business Income Tax as % of GDP</w:t>
            </w:r>
          </w:p>
        </w:tc>
        <w:tc>
          <w:tcPr>
            <w:tcW w:w="910" w:type="dxa"/>
            <w:tcBorders>
              <w:top w:val="nil"/>
              <w:left w:val="nil"/>
              <w:bottom w:val="double" w:sz="6" w:space="0" w:color="auto"/>
              <w:right w:val="nil"/>
            </w:tcBorders>
            <w:shd w:val="clear" w:color="auto" w:fill="auto"/>
            <w:noWrap/>
            <w:vAlign w:val="center"/>
            <w:hideMark/>
          </w:tcPr>
          <w:p w14:paraId="04C985D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0.32%</w:t>
            </w:r>
          </w:p>
        </w:tc>
        <w:tc>
          <w:tcPr>
            <w:tcW w:w="910" w:type="dxa"/>
            <w:tcBorders>
              <w:top w:val="nil"/>
              <w:left w:val="nil"/>
              <w:bottom w:val="double" w:sz="6" w:space="0" w:color="auto"/>
              <w:right w:val="nil"/>
            </w:tcBorders>
            <w:shd w:val="clear" w:color="auto" w:fill="auto"/>
            <w:noWrap/>
            <w:vAlign w:val="center"/>
            <w:hideMark/>
          </w:tcPr>
          <w:p w14:paraId="4220E1F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0.29%</w:t>
            </w:r>
          </w:p>
        </w:tc>
        <w:tc>
          <w:tcPr>
            <w:tcW w:w="910" w:type="dxa"/>
            <w:tcBorders>
              <w:top w:val="nil"/>
              <w:left w:val="nil"/>
              <w:bottom w:val="double" w:sz="6" w:space="0" w:color="auto"/>
              <w:right w:val="nil"/>
            </w:tcBorders>
            <w:shd w:val="clear" w:color="auto" w:fill="auto"/>
            <w:noWrap/>
            <w:vAlign w:val="center"/>
            <w:hideMark/>
          </w:tcPr>
          <w:p w14:paraId="0288F46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0.29%</w:t>
            </w:r>
          </w:p>
        </w:tc>
        <w:tc>
          <w:tcPr>
            <w:tcW w:w="910" w:type="dxa"/>
            <w:tcBorders>
              <w:top w:val="nil"/>
              <w:left w:val="nil"/>
              <w:bottom w:val="double" w:sz="6" w:space="0" w:color="auto"/>
              <w:right w:val="nil"/>
            </w:tcBorders>
            <w:shd w:val="clear" w:color="auto" w:fill="auto"/>
            <w:noWrap/>
            <w:vAlign w:val="center"/>
            <w:hideMark/>
          </w:tcPr>
          <w:p w14:paraId="5B1403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0.30%</w:t>
            </w:r>
          </w:p>
        </w:tc>
        <w:tc>
          <w:tcPr>
            <w:tcW w:w="910" w:type="dxa"/>
            <w:tcBorders>
              <w:top w:val="nil"/>
              <w:left w:val="nil"/>
              <w:bottom w:val="double" w:sz="6" w:space="0" w:color="auto"/>
              <w:right w:val="nil"/>
            </w:tcBorders>
            <w:shd w:val="clear" w:color="auto" w:fill="auto"/>
            <w:noWrap/>
            <w:vAlign w:val="center"/>
            <w:hideMark/>
          </w:tcPr>
          <w:p w14:paraId="29D9420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0.30%</w:t>
            </w:r>
          </w:p>
        </w:tc>
      </w:tr>
      <w:tr w:rsidR="00134C08" w:rsidRPr="00134C08" w14:paraId="4E01D817" w14:textId="77777777" w:rsidTr="009960D0">
        <w:trPr>
          <w:trHeight w:val="220"/>
        </w:trPr>
        <w:tc>
          <w:tcPr>
            <w:tcW w:w="450" w:type="dxa"/>
            <w:tcBorders>
              <w:top w:val="nil"/>
              <w:left w:val="nil"/>
              <w:bottom w:val="nil"/>
              <w:right w:val="nil"/>
            </w:tcBorders>
            <w:shd w:val="clear" w:color="auto" w:fill="auto"/>
            <w:noWrap/>
            <w:vAlign w:val="center"/>
            <w:hideMark/>
          </w:tcPr>
          <w:p w14:paraId="7104BDC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center"/>
            <w:hideMark/>
          </w:tcPr>
          <w:p w14:paraId="5DF0941E"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Value Added Tax</w:t>
            </w:r>
          </w:p>
        </w:tc>
        <w:tc>
          <w:tcPr>
            <w:tcW w:w="4550" w:type="dxa"/>
            <w:gridSpan w:val="5"/>
            <w:tcBorders>
              <w:top w:val="nil"/>
              <w:left w:val="nil"/>
              <w:bottom w:val="nil"/>
              <w:right w:val="nil"/>
            </w:tcBorders>
            <w:shd w:val="clear" w:color="000000" w:fill="A5A5A5"/>
            <w:noWrap/>
            <w:vAlign w:val="center"/>
            <w:hideMark/>
          </w:tcPr>
          <w:p w14:paraId="716F183D"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Thousand MDL</w:t>
            </w:r>
          </w:p>
        </w:tc>
      </w:tr>
      <w:tr w:rsidR="00134C08" w:rsidRPr="00134C08" w14:paraId="17EA0249" w14:textId="77777777" w:rsidTr="00360FE5">
        <w:trPr>
          <w:trHeight w:val="210"/>
        </w:trPr>
        <w:tc>
          <w:tcPr>
            <w:tcW w:w="450" w:type="dxa"/>
            <w:tcBorders>
              <w:top w:val="nil"/>
              <w:left w:val="nil"/>
              <w:bottom w:val="nil"/>
              <w:right w:val="nil"/>
            </w:tcBorders>
            <w:shd w:val="clear" w:color="auto" w:fill="auto"/>
            <w:noWrap/>
            <w:hideMark/>
          </w:tcPr>
          <w:p w14:paraId="37CBD4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center"/>
            <w:hideMark/>
          </w:tcPr>
          <w:p w14:paraId="21B666D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VAT rate applies to services and food supplied by hotels and restaurants</w:t>
            </w:r>
          </w:p>
        </w:tc>
        <w:tc>
          <w:tcPr>
            <w:tcW w:w="910" w:type="dxa"/>
            <w:tcBorders>
              <w:top w:val="nil"/>
              <w:left w:val="nil"/>
              <w:bottom w:val="nil"/>
              <w:right w:val="nil"/>
            </w:tcBorders>
            <w:shd w:val="clear" w:color="000000" w:fill="E7E6E6"/>
            <w:noWrap/>
            <w:vAlign w:val="center"/>
            <w:hideMark/>
          </w:tcPr>
          <w:p w14:paraId="6D9529A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27,284.9</w:t>
            </w:r>
          </w:p>
        </w:tc>
        <w:tc>
          <w:tcPr>
            <w:tcW w:w="910" w:type="dxa"/>
            <w:tcBorders>
              <w:top w:val="nil"/>
              <w:left w:val="nil"/>
              <w:bottom w:val="nil"/>
              <w:right w:val="nil"/>
            </w:tcBorders>
            <w:shd w:val="clear" w:color="000000" w:fill="E7E6E6"/>
            <w:noWrap/>
            <w:vAlign w:val="center"/>
            <w:hideMark/>
          </w:tcPr>
          <w:p w14:paraId="0E6B4E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79,655.9</w:t>
            </w:r>
          </w:p>
        </w:tc>
        <w:tc>
          <w:tcPr>
            <w:tcW w:w="910" w:type="dxa"/>
            <w:tcBorders>
              <w:top w:val="nil"/>
              <w:left w:val="nil"/>
              <w:bottom w:val="nil"/>
              <w:right w:val="nil"/>
            </w:tcBorders>
            <w:shd w:val="clear" w:color="000000" w:fill="E7E6E6"/>
            <w:noWrap/>
            <w:vAlign w:val="center"/>
            <w:hideMark/>
          </w:tcPr>
          <w:p w14:paraId="459C0C2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38,678.6</w:t>
            </w:r>
          </w:p>
        </w:tc>
        <w:tc>
          <w:tcPr>
            <w:tcW w:w="910" w:type="dxa"/>
            <w:tcBorders>
              <w:top w:val="nil"/>
              <w:left w:val="nil"/>
              <w:bottom w:val="nil"/>
              <w:right w:val="nil"/>
            </w:tcBorders>
            <w:shd w:val="clear" w:color="000000" w:fill="E7E6E6"/>
            <w:noWrap/>
            <w:vAlign w:val="center"/>
            <w:hideMark/>
          </w:tcPr>
          <w:p w14:paraId="0E8BDA5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134,525.6</w:t>
            </w:r>
          </w:p>
        </w:tc>
        <w:tc>
          <w:tcPr>
            <w:tcW w:w="910" w:type="dxa"/>
            <w:tcBorders>
              <w:top w:val="nil"/>
              <w:left w:val="nil"/>
              <w:bottom w:val="nil"/>
              <w:right w:val="nil"/>
            </w:tcBorders>
            <w:shd w:val="clear" w:color="000000" w:fill="E7E6E6"/>
            <w:noWrap/>
            <w:vAlign w:val="center"/>
            <w:hideMark/>
          </w:tcPr>
          <w:p w14:paraId="2643F3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218,411.8</w:t>
            </w:r>
          </w:p>
        </w:tc>
      </w:tr>
      <w:tr w:rsidR="00134C08" w:rsidRPr="00134C08" w14:paraId="2BC1E6ED" w14:textId="77777777" w:rsidTr="00360FE5">
        <w:trPr>
          <w:trHeight w:val="210"/>
        </w:trPr>
        <w:tc>
          <w:tcPr>
            <w:tcW w:w="450" w:type="dxa"/>
            <w:tcBorders>
              <w:top w:val="nil"/>
              <w:left w:val="nil"/>
              <w:bottom w:val="nil"/>
              <w:right w:val="nil"/>
            </w:tcBorders>
            <w:shd w:val="clear" w:color="auto" w:fill="auto"/>
            <w:noWrap/>
            <w:hideMark/>
          </w:tcPr>
          <w:p w14:paraId="07666A9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center"/>
            <w:hideMark/>
          </w:tcPr>
          <w:p w14:paraId="7F13BB94"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rate applies to supply of bread and bakery products, milk, and dairy products</w:t>
            </w:r>
          </w:p>
        </w:tc>
        <w:tc>
          <w:tcPr>
            <w:tcW w:w="910" w:type="dxa"/>
            <w:tcBorders>
              <w:top w:val="nil"/>
              <w:left w:val="nil"/>
              <w:bottom w:val="nil"/>
              <w:right w:val="nil"/>
            </w:tcBorders>
            <w:shd w:val="clear" w:color="000000" w:fill="E7E6E6"/>
            <w:noWrap/>
            <w:vAlign w:val="center"/>
            <w:hideMark/>
          </w:tcPr>
          <w:p w14:paraId="33101AB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258,056.3</w:t>
            </w:r>
          </w:p>
        </w:tc>
        <w:tc>
          <w:tcPr>
            <w:tcW w:w="910" w:type="dxa"/>
            <w:tcBorders>
              <w:top w:val="nil"/>
              <w:left w:val="nil"/>
              <w:bottom w:val="nil"/>
              <w:right w:val="nil"/>
            </w:tcBorders>
            <w:shd w:val="clear" w:color="000000" w:fill="E7E6E6"/>
            <w:noWrap/>
            <w:vAlign w:val="center"/>
            <w:hideMark/>
          </w:tcPr>
          <w:p w14:paraId="0BDDEBB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282,786.0</w:t>
            </w:r>
          </w:p>
        </w:tc>
        <w:tc>
          <w:tcPr>
            <w:tcW w:w="910" w:type="dxa"/>
            <w:tcBorders>
              <w:top w:val="nil"/>
              <w:left w:val="nil"/>
              <w:bottom w:val="nil"/>
              <w:right w:val="nil"/>
            </w:tcBorders>
            <w:shd w:val="clear" w:color="000000" w:fill="E7E6E6"/>
            <w:noWrap/>
            <w:vAlign w:val="center"/>
            <w:hideMark/>
          </w:tcPr>
          <w:p w14:paraId="5BA8DAB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275,009.0</w:t>
            </w:r>
          </w:p>
        </w:tc>
        <w:tc>
          <w:tcPr>
            <w:tcW w:w="910" w:type="dxa"/>
            <w:tcBorders>
              <w:top w:val="nil"/>
              <w:left w:val="nil"/>
              <w:bottom w:val="nil"/>
              <w:right w:val="nil"/>
            </w:tcBorders>
            <w:shd w:val="clear" w:color="000000" w:fill="E7E6E6"/>
            <w:noWrap/>
            <w:vAlign w:val="center"/>
            <w:hideMark/>
          </w:tcPr>
          <w:p w14:paraId="77DC904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334,983.0</w:t>
            </w:r>
          </w:p>
        </w:tc>
        <w:tc>
          <w:tcPr>
            <w:tcW w:w="910" w:type="dxa"/>
            <w:tcBorders>
              <w:top w:val="nil"/>
              <w:left w:val="nil"/>
              <w:bottom w:val="nil"/>
              <w:right w:val="nil"/>
            </w:tcBorders>
            <w:shd w:val="clear" w:color="000000" w:fill="E7E6E6"/>
            <w:noWrap/>
            <w:vAlign w:val="center"/>
            <w:hideMark/>
          </w:tcPr>
          <w:p w14:paraId="6396D04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369,054.0</w:t>
            </w:r>
          </w:p>
        </w:tc>
      </w:tr>
      <w:tr w:rsidR="00134C08" w:rsidRPr="00134C08" w14:paraId="2DA23503" w14:textId="77777777" w:rsidTr="00360FE5">
        <w:trPr>
          <w:trHeight w:val="210"/>
        </w:trPr>
        <w:tc>
          <w:tcPr>
            <w:tcW w:w="450" w:type="dxa"/>
            <w:tcBorders>
              <w:top w:val="nil"/>
              <w:left w:val="nil"/>
              <w:bottom w:val="nil"/>
              <w:right w:val="nil"/>
            </w:tcBorders>
            <w:shd w:val="clear" w:color="auto" w:fill="auto"/>
            <w:noWrap/>
            <w:hideMark/>
          </w:tcPr>
          <w:p w14:paraId="48C4DA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center"/>
            <w:hideMark/>
          </w:tcPr>
          <w:p w14:paraId="42FE65F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rate applies to pharmaceuticals</w:t>
            </w:r>
          </w:p>
        </w:tc>
        <w:tc>
          <w:tcPr>
            <w:tcW w:w="910" w:type="dxa"/>
            <w:tcBorders>
              <w:top w:val="nil"/>
              <w:left w:val="nil"/>
              <w:bottom w:val="nil"/>
              <w:right w:val="nil"/>
            </w:tcBorders>
            <w:shd w:val="clear" w:color="000000" w:fill="E7E6E6"/>
            <w:noWrap/>
            <w:vAlign w:val="center"/>
            <w:hideMark/>
          </w:tcPr>
          <w:p w14:paraId="349B9B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27,695.9</w:t>
            </w:r>
          </w:p>
        </w:tc>
        <w:tc>
          <w:tcPr>
            <w:tcW w:w="910" w:type="dxa"/>
            <w:tcBorders>
              <w:top w:val="nil"/>
              <w:left w:val="nil"/>
              <w:bottom w:val="nil"/>
              <w:right w:val="nil"/>
            </w:tcBorders>
            <w:shd w:val="clear" w:color="000000" w:fill="E7E6E6"/>
            <w:noWrap/>
            <w:vAlign w:val="center"/>
            <w:hideMark/>
          </w:tcPr>
          <w:p w14:paraId="50B458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30,105.3</w:t>
            </w:r>
          </w:p>
        </w:tc>
        <w:tc>
          <w:tcPr>
            <w:tcW w:w="910" w:type="dxa"/>
            <w:tcBorders>
              <w:top w:val="nil"/>
              <w:left w:val="nil"/>
              <w:bottom w:val="nil"/>
              <w:right w:val="nil"/>
            </w:tcBorders>
            <w:shd w:val="clear" w:color="000000" w:fill="E7E6E6"/>
            <w:noWrap/>
            <w:vAlign w:val="center"/>
            <w:hideMark/>
          </w:tcPr>
          <w:p w14:paraId="31A278A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29,205.1</w:t>
            </w:r>
          </w:p>
        </w:tc>
        <w:tc>
          <w:tcPr>
            <w:tcW w:w="910" w:type="dxa"/>
            <w:tcBorders>
              <w:top w:val="nil"/>
              <w:left w:val="nil"/>
              <w:bottom w:val="nil"/>
              <w:right w:val="nil"/>
            </w:tcBorders>
            <w:shd w:val="clear" w:color="000000" w:fill="E7E6E6"/>
            <w:noWrap/>
            <w:vAlign w:val="center"/>
            <w:hideMark/>
          </w:tcPr>
          <w:p w14:paraId="40FBBCF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33,005.8</w:t>
            </w:r>
          </w:p>
        </w:tc>
        <w:tc>
          <w:tcPr>
            <w:tcW w:w="910" w:type="dxa"/>
            <w:tcBorders>
              <w:top w:val="nil"/>
              <w:left w:val="nil"/>
              <w:bottom w:val="nil"/>
              <w:right w:val="nil"/>
            </w:tcBorders>
            <w:shd w:val="clear" w:color="000000" w:fill="E7E6E6"/>
            <w:noWrap/>
            <w:vAlign w:val="center"/>
            <w:hideMark/>
          </w:tcPr>
          <w:p w14:paraId="148E2EB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36,306.4</w:t>
            </w:r>
          </w:p>
        </w:tc>
      </w:tr>
      <w:tr w:rsidR="00134C08" w:rsidRPr="00134C08" w14:paraId="043BB98E" w14:textId="77777777" w:rsidTr="00360FE5">
        <w:trPr>
          <w:trHeight w:val="210"/>
        </w:trPr>
        <w:tc>
          <w:tcPr>
            <w:tcW w:w="450" w:type="dxa"/>
            <w:tcBorders>
              <w:top w:val="nil"/>
              <w:left w:val="nil"/>
              <w:bottom w:val="nil"/>
              <w:right w:val="nil"/>
            </w:tcBorders>
            <w:shd w:val="clear" w:color="auto" w:fill="auto"/>
            <w:noWrap/>
            <w:hideMark/>
          </w:tcPr>
          <w:p w14:paraId="42D87F7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center"/>
            <w:hideMark/>
          </w:tcPr>
          <w:p w14:paraId="069EEE1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rate applies to natural and LNG gases</w:t>
            </w:r>
          </w:p>
        </w:tc>
        <w:tc>
          <w:tcPr>
            <w:tcW w:w="910" w:type="dxa"/>
            <w:tcBorders>
              <w:top w:val="nil"/>
              <w:left w:val="nil"/>
              <w:bottom w:val="nil"/>
              <w:right w:val="nil"/>
            </w:tcBorders>
            <w:shd w:val="clear" w:color="000000" w:fill="E7E6E6"/>
            <w:noWrap/>
            <w:vAlign w:val="center"/>
            <w:hideMark/>
          </w:tcPr>
          <w:p w14:paraId="1A20DDD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222,623.0</w:t>
            </w:r>
          </w:p>
        </w:tc>
        <w:tc>
          <w:tcPr>
            <w:tcW w:w="910" w:type="dxa"/>
            <w:tcBorders>
              <w:top w:val="nil"/>
              <w:left w:val="nil"/>
              <w:bottom w:val="nil"/>
              <w:right w:val="nil"/>
            </w:tcBorders>
            <w:shd w:val="clear" w:color="000000" w:fill="E7E6E6"/>
            <w:noWrap/>
            <w:vAlign w:val="center"/>
            <w:hideMark/>
          </w:tcPr>
          <w:p w14:paraId="79EB7A1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243,957.1</w:t>
            </w:r>
          </w:p>
        </w:tc>
        <w:tc>
          <w:tcPr>
            <w:tcW w:w="910" w:type="dxa"/>
            <w:tcBorders>
              <w:top w:val="nil"/>
              <w:left w:val="nil"/>
              <w:bottom w:val="nil"/>
              <w:right w:val="nil"/>
            </w:tcBorders>
            <w:shd w:val="clear" w:color="000000" w:fill="E7E6E6"/>
            <w:noWrap/>
            <w:vAlign w:val="center"/>
            <w:hideMark/>
          </w:tcPr>
          <w:p w14:paraId="59B891C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237,247.9</w:t>
            </w:r>
          </w:p>
        </w:tc>
        <w:tc>
          <w:tcPr>
            <w:tcW w:w="910" w:type="dxa"/>
            <w:tcBorders>
              <w:top w:val="nil"/>
              <w:left w:val="nil"/>
              <w:bottom w:val="nil"/>
              <w:right w:val="nil"/>
            </w:tcBorders>
            <w:shd w:val="clear" w:color="000000" w:fill="E7E6E6"/>
            <w:noWrap/>
            <w:vAlign w:val="center"/>
            <w:hideMark/>
          </w:tcPr>
          <w:p w14:paraId="18BDB18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288,986.8</w:t>
            </w:r>
          </w:p>
        </w:tc>
        <w:tc>
          <w:tcPr>
            <w:tcW w:w="910" w:type="dxa"/>
            <w:tcBorders>
              <w:top w:val="nil"/>
              <w:left w:val="nil"/>
              <w:bottom w:val="nil"/>
              <w:right w:val="nil"/>
            </w:tcBorders>
            <w:shd w:val="clear" w:color="000000" w:fill="E7E6E6"/>
            <w:noWrap/>
            <w:vAlign w:val="center"/>
            <w:hideMark/>
          </w:tcPr>
          <w:p w14:paraId="405126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318,379.4</w:t>
            </w:r>
          </w:p>
        </w:tc>
      </w:tr>
      <w:tr w:rsidR="00134C08" w:rsidRPr="00134C08" w14:paraId="224980AF" w14:textId="77777777" w:rsidTr="00360FE5">
        <w:trPr>
          <w:trHeight w:val="210"/>
        </w:trPr>
        <w:tc>
          <w:tcPr>
            <w:tcW w:w="450" w:type="dxa"/>
            <w:tcBorders>
              <w:top w:val="nil"/>
              <w:left w:val="nil"/>
              <w:bottom w:val="nil"/>
              <w:right w:val="nil"/>
            </w:tcBorders>
            <w:shd w:val="clear" w:color="auto" w:fill="auto"/>
            <w:noWrap/>
            <w:hideMark/>
          </w:tcPr>
          <w:p w14:paraId="024A388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center"/>
            <w:hideMark/>
          </w:tcPr>
          <w:p w14:paraId="746778D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Moldovan crop, horticulture, and livestock production supplied at reduced rate of 8%</w:t>
            </w:r>
          </w:p>
        </w:tc>
        <w:tc>
          <w:tcPr>
            <w:tcW w:w="910" w:type="dxa"/>
            <w:tcBorders>
              <w:top w:val="nil"/>
              <w:left w:val="nil"/>
              <w:bottom w:val="nil"/>
              <w:right w:val="nil"/>
            </w:tcBorders>
            <w:shd w:val="clear" w:color="000000" w:fill="E7E6E6"/>
            <w:noWrap/>
            <w:vAlign w:val="center"/>
            <w:hideMark/>
          </w:tcPr>
          <w:p w14:paraId="4094D7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1,017,408.3</w:t>
            </w:r>
          </w:p>
        </w:tc>
        <w:tc>
          <w:tcPr>
            <w:tcW w:w="910" w:type="dxa"/>
            <w:tcBorders>
              <w:top w:val="nil"/>
              <w:left w:val="nil"/>
              <w:bottom w:val="nil"/>
              <w:right w:val="nil"/>
            </w:tcBorders>
            <w:shd w:val="clear" w:color="000000" w:fill="E7E6E6"/>
            <w:noWrap/>
            <w:vAlign w:val="center"/>
            <w:hideMark/>
          </w:tcPr>
          <w:p w14:paraId="290C29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1,114,907.2</w:t>
            </w:r>
          </w:p>
        </w:tc>
        <w:tc>
          <w:tcPr>
            <w:tcW w:w="910" w:type="dxa"/>
            <w:tcBorders>
              <w:top w:val="nil"/>
              <w:left w:val="nil"/>
              <w:bottom w:val="nil"/>
              <w:right w:val="nil"/>
            </w:tcBorders>
            <w:shd w:val="clear" w:color="000000" w:fill="E7E6E6"/>
            <w:noWrap/>
            <w:vAlign w:val="center"/>
            <w:hideMark/>
          </w:tcPr>
          <w:p w14:paraId="52B064A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1,084,245.6</w:t>
            </w:r>
          </w:p>
        </w:tc>
        <w:tc>
          <w:tcPr>
            <w:tcW w:w="910" w:type="dxa"/>
            <w:tcBorders>
              <w:top w:val="nil"/>
              <w:left w:val="nil"/>
              <w:bottom w:val="nil"/>
              <w:right w:val="nil"/>
            </w:tcBorders>
            <w:shd w:val="clear" w:color="000000" w:fill="E7E6E6"/>
            <w:noWrap/>
            <w:vAlign w:val="center"/>
            <w:hideMark/>
          </w:tcPr>
          <w:p w14:paraId="5411229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1,320,697.6</w:t>
            </w:r>
          </w:p>
        </w:tc>
        <w:tc>
          <w:tcPr>
            <w:tcW w:w="910" w:type="dxa"/>
            <w:tcBorders>
              <w:top w:val="nil"/>
              <w:left w:val="nil"/>
              <w:bottom w:val="nil"/>
              <w:right w:val="nil"/>
            </w:tcBorders>
            <w:shd w:val="clear" w:color="000000" w:fill="E7E6E6"/>
            <w:noWrap/>
            <w:vAlign w:val="center"/>
            <w:hideMark/>
          </w:tcPr>
          <w:p w14:paraId="306809B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1,455,024.2</w:t>
            </w:r>
          </w:p>
        </w:tc>
      </w:tr>
      <w:tr w:rsidR="00360FE5" w:rsidRPr="00134C08" w14:paraId="34DA35FB" w14:textId="77777777" w:rsidTr="00360FE5">
        <w:trPr>
          <w:trHeight w:val="210"/>
        </w:trPr>
        <w:tc>
          <w:tcPr>
            <w:tcW w:w="450" w:type="dxa"/>
            <w:tcBorders>
              <w:top w:val="nil"/>
              <w:left w:val="nil"/>
              <w:bottom w:val="nil"/>
              <w:right w:val="nil"/>
            </w:tcBorders>
            <w:shd w:val="clear" w:color="auto" w:fill="auto"/>
            <w:noWrap/>
            <w:hideMark/>
          </w:tcPr>
          <w:p w14:paraId="78DA6CD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center"/>
            <w:hideMark/>
          </w:tcPr>
          <w:p w14:paraId="6E8DBDC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rate for beet sugar produced, imported, and supplied in Moldova</w:t>
            </w:r>
          </w:p>
        </w:tc>
        <w:tc>
          <w:tcPr>
            <w:tcW w:w="910" w:type="dxa"/>
            <w:tcBorders>
              <w:top w:val="nil"/>
              <w:left w:val="nil"/>
              <w:bottom w:val="nil"/>
              <w:right w:val="nil"/>
            </w:tcBorders>
            <w:shd w:val="clear" w:color="000000" w:fill="E7E6E6"/>
            <w:noWrap/>
            <w:vAlign w:val="center"/>
            <w:hideMark/>
          </w:tcPr>
          <w:p w14:paraId="4EB6877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5,067.8</w:t>
            </w:r>
          </w:p>
        </w:tc>
        <w:tc>
          <w:tcPr>
            <w:tcW w:w="910" w:type="dxa"/>
            <w:tcBorders>
              <w:top w:val="nil"/>
              <w:left w:val="nil"/>
              <w:bottom w:val="nil"/>
              <w:right w:val="nil"/>
            </w:tcBorders>
            <w:shd w:val="clear" w:color="000000" w:fill="E7E6E6"/>
            <w:noWrap/>
            <w:vAlign w:val="center"/>
            <w:hideMark/>
          </w:tcPr>
          <w:p w14:paraId="4B7874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5,507.7</w:t>
            </w:r>
          </w:p>
        </w:tc>
        <w:tc>
          <w:tcPr>
            <w:tcW w:w="910" w:type="dxa"/>
            <w:tcBorders>
              <w:top w:val="nil"/>
              <w:left w:val="nil"/>
              <w:bottom w:val="nil"/>
              <w:right w:val="nil"/>
            </w:tcBorders>
            <w:shd w:val="clear" w:color="000000" w:fill="E7E6E6"/>
            <w:noWrap/>
            <w:vAlign w:val="center"/>
            <w:hideMark/>
          </w:tcPr>
          <w:p w14:paraId="670E54F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5,334.3</w:t>
            </w:r>
          </w:p>
        </w:tc>
        <w:tc>
          <w:tcPr>
            <w:tcW w:w="910" w:type="dxa"/>
            <w:tcBorders>
              <w:top w:val="nil"/>
              <w:left w:val="nil"/>
              <w:bottom w:val="nil"/>
              <w:right w:val="nil"/>
            </w:tcBorders>
            <w:shd w:val="clear" w:color="000000" w:fill="E7E6E6"/>
            <w:noWrap/>
            <w:vAlign w:val="center"/>
            <w:hideMark/>
          </w:tcPr>
          <w:p w14:paraId="2BDE676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6,037.1</w:t>
            </w:r>
          </w:p>
        </w:tc>
        <w:tc>
          <w:tcPr>
            <w:tcW w:w="910" w:type="dxa"/>
            <w:tcBorders>
              <w:top w:val="nil"/>
              <w:left w:val="nil"/>
              <w:bottom w:val="nil"/>
              <w:right w:val="nil"/>
            </w:tcBorders>
            <w:shd w:val="clear" w:color="000000" w:fill="E7E6E6"/>
            <w:noWrap/>
            <w:vAlign w:val="center"/>
            <w:hideMark/>
          </w:tcPr>
          <w:p w14:paraId="0E3225A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6,636.9</w:t>
            </w:r>
          </w:p>
        </w:tc>
      </w:tr>
      <w:tr w:rsidR="00134C08" w:rsidRPr="00134C08" w14:paraId="2FCC0433" w14:textId="77777777" w:rsidTr="00360FE5">
        <w:trPr>
          <w:trHeight w:val="210"/>
        </w:trPr>
        <w:tc>
          <w:tcPr>
            <w:tcW w:w="450" w:type="dxa"/>
            <w:tcBorders>
              <w:top w:val="nil"/>
              <w:left w:val="nil"/>
              <w:bottom w:val="nil"/>
              <w:right w:val="nil"/>
            </w:tcBorders>
            <w:shd w:val="clear" w:color="auto" w:fill="auto"/>
            <w:noWrap/>
            <w:hideMark/>
          </w:tcPr>
          <w:p w14:paraId="3255A34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w:t>
            </w:r>
          </w:p>
        </w:tc>
        <w:tc>
          <w:tcPr>
            <w:tcW w:w="5130" w:type="dxa"/>
            <w:tcBorders>
              <w:top w:val="nil"/>
              <w:left w:val="nil"/>
              <w:bottom w:val="nil"/>
              <w:right w:val="nil"/>
            </w:tcBorders>
            <w:shd w:val="clear" w:color="auto" w:fill="auto"/>
            <w:noWrap/>
            <w:vAlign w:val="center"/>
            <w:hideMark/>
          </w:tcPr>
          <w:p w14:paraId="1A6553A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Reduced rate applies for solid biofuel used in the production of electricity</w:t>
            </w:r>
          </w:p>
        </w:tc>
        <w:tc>
          <w:tcPr>
            <w:tcW w:w="910" w:type="dxa"/>
            <w:tcBorders>
              <w:top w:val="nil"/>
              <w:left w:val="nil"/>
              <w:bottom w:val="nil"/>
              <w:right w:val="nil"/>
            </w:tcBorders>
            <w:shd w:val="clear" w:color="auto" w:fill="auto"/>
            <w:noWrap/>
            <w:vAlign w:val="center"/>
            <w:hideMark/>
          </w:tcPr>
          <w:p w14:paraId="3C47E3D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CFDBB8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D10EC6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D4955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160F6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EAF1D6D" w14:textId="77777777" w:rsidTr="00360FE5">
        <w:trPr>
          <w:trHeight w:val="210"/>
        </w:trPr>
        <w:tc>
          <w:tcPr>
            <w:tcW w:w="450" w:type="dxa"/>
            <w:tcBorders>
              <w:top w:val="nil"/>
              <w:left w:val="nil"/>
              <w:bottom w:val="nil"/>
              <w:right w:val="nil"/>
            </w:tcBorders>
            <w:shd w:val="clear" w:color="auto" w:fill="auto"/>
            <w:noWrap/>
            <w:hideMark/>
          </w:tcPr>
          <w:p w14:paraId="40C9EA4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w:t>
            </w:r>
          </w:p>
        </w:tc>
        <w:tc>
          <w:tcPr>
            <w:tcW w:w="5130" w:type="dxa"/>
            <w:tcBorders>
              <w:top w:val="nil"/>
              <w:left w:val="nil"/>
              <w:bottom w:val="nil"/>
              <w:right w:val="nil"/>
            </w:tcBorders>
            <w:shd w:val="clear" w:color="auto" w:fill="auto"/>
            <w:noWrap/>
            <w:vAlign w:val="center"/>
            <w:hideMark/>
          </w:tcPr>
          <w:p w14:paraId="1D2D5FC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The supplies of zero-rated goods and services—i.e., electricity to residential customers</w:t>
            </w:r>
          </w:p>
        </w:tc>
        <w:tc>
          <w:tcPr>
            <w:tcW w:w="910" w:type="dxa"/>
            <w:tcBorders>
              <w:top w:val="nil"/>
              <w:left w:val="nil"/>
              <w:bottom w:val="nil"/>
              <w:right w:val="nil"/>
            </w:tcBorders>
            <w:shd w:val="clear" w:color="000000" w:fill="E7E6E6"/>
            <w:noWrap/>
            <w:vAlign w:val="center"/>
            <w:hideMark/>
          </w:tcPr>
          <w:p w14:paraId="70C0927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499,437.7</w:t>
            </w:r>
          </w:p>
        </w:tc>
        <w:tc>
          <w:tcPr>
            <w:tcW w:w="910" w:type="dxa"/>
            <w:tcBorders>
              <w:top w:val="nil"/>
              <w:left w:val="nil"/>
              <w:bottom w:val="nil"/>
              <w:right w:val="nil"/>
            </w:tcBorders>
            <w:shd w:val="clear" w:color="000000" w:fill="E7E6E6"/>
            <w:noWrap/>
            <w:vAlign w:val="center"/>
            <w:hideMark/>
          </w:tcPr>
          <w:p w14:paraId="26C0918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547,299.1</w:t>
            </w:r>
          </w:p>
        </w:tc>
        <w:tc>
          <w:tcPr>
            <w:tcW w:w="910" w:type="dxa"/>
            <w:tcBorders>
              <w:top w:val="nil"/>
              <w:left w:val="nil"/>
              <w:bottom w:val="nil"/>
              <w:right w:val="nil"/>
            </w:tcBorders>
            <w:shd w:val="clear" w:color="000000" w:fill="E7E6E6"/>
            <w:noWrap/>
            <w:vAlign w:val="center"/>
            <w:hideMark/>
          </w:tcPr>
          <w:p w14:paraId="449C23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532,247.6</w:t>
            </w:r>
          </w:p>
        </w:tc>
        <w:tc>
          <w:tcPr>
            <w:tcW w:w="910" w:type="dxa"/>
            <w:tcBorders>
              <w:top w:val="nil"/>
              <w:left w:val="nil"/>
              <w:bottom w:val="nil"/>
              <w:right w:val="nil"/>
            </w:tcBorders>
            <w:shd w:val="clear" w:color="000000" w:fill="E7E6E6"/>
            <w:noWrap/>
            <w:vAlign w:val="center"/>
            <w:hideMark/>
          </w:tcPr>
          <w:p w14:paraId="350E24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648,320.0</w:t>
            </w:r>
          </w:p>
        </w:tc>
        <w:tc>
          <w:tcPr>
            <w:tcW w:w="910" w:type="dxa"/>
            <w:tcBorders>
              <w:top w:val="nil"/>
              <w:left w:val="nil"/>
              <w:bottom w:val="nil"/>
              <w:right w:val="nil"/>
            </w:tcBorders>
            <w:shd w:val="clear" w:color="000000" w:fill="E7E6E6"/>
            <w:noWrap/>
            <w:vAlign w:val="center"/>
            <w:hideMark/>
          </w:tcPr>
          <w:p w14:paraId="7A8D02B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714,259.8</w:t>
            </w:r>
          </w:p>
        </w:tc>
      </w:tr>
      <w:tr w:rsidR="00134C08" w:rsidRPr="00134C08" w14:paraId="31D03A8C" w14:textId="77777777" w:rsidTr="00360FE5">
        <w:trPr>
          <w:trHeight w:val="210"/>
        </w:trPr>
        <w:tc>
          <w:tcPr>
            <w:tcW w:w="450" w:type="dxa"/>
            <w:tcBorders>
              <w:top w:val="nil"/>
              <w:left w:val="nil"/>
              <w:bottom w:val="nil"/>
              <w:right w:val="nil"/>
            </w:tcBorders>
            <w:shd w:val="clear" w:color="auto" w:fill="auto"/>
            <w:noWrap/>
            <w:hideMark/>
          </w:tcPr>
          <w:p w14:paraId="6F088F6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w:t>
            </w:r>
          </w:p>
        </w:tc>
        <w:tc>
          <w:tcPr>
            <w:tcW w:w="5130" w:type="dxa"/>
            <w:tcBorders>
              <w:top w:val="nil"/>
              <w:left w:val="nil"/>
              <w:bottom w:val="nil"/>
              <w:right w:val="nil"/>
            </w:tcBorders>
            <w:shd w:val="clear" w:color="auto" w:fill="auto"/>
            <w:noWrap/>
            <w:vAlign w:val="center"/>
            <w:hideMark/>
          </w:tcPr>
          <w:p w14:paraId="3671393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Zero-rating of supplies of goods and services consumed by foreign diplomatic mission and representative offices of international organizations</w:t>
            </w:r>
          </w:p>
        </w:tc>
        <w:tc>
          <w:tcPr>
            <w:tcW w:w="910" w:type="dxa"/>
            <w:tcBorders>
              <w:top w:val="nil"/>
              <w:left w:val="nil"/>
              <w:bottom w:val="nil"/>
              <w:right w:val="nil"/>
            </w:tcBorders>
            <w:shd w:val="clear" w:color="auto" w:fill="auto"/>
            <w:noWrap/>
            <w:vAlign w:val="center"/>
            <w:hideMark/>
          </w:tcPr>
          <w:p w14:paraId="30AD60E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66A66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AE7BFB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7B25C5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08E65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10EBE6C" w14:textId="77777777" w:rsidTr="00360FE5">
        <w:trPr>
          <w:trHeight w:val="210"/>
        </w:trPr>
        <w:tc>
          <w:tcPr>
            <w:tcW w:w="450" w:type="dxa"/>
            <w:tcBorders>
              <w:top w:val="nil"/>
              <w:left w:val="nil"/>
              <w:bottom w:val="nil"/>
              <w:right w:val="nil"/>
            </w:tcBorders>
            <w:shd w:val="clear" w:color="auto" w:fill="auto"/>
            <w:noWrap/>
            <w:hideMark/>
          </w:tcPr>
          <w:p w14:paraId="1C62D9F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5130" w:type="dxa"/>
            <w:tcBorders>
              <w:top w:val="nil"/>
              <w:left w:val="nil"/>
              <w:bottom w:val="nil"/>
              <w:right w:val="nil"/>
            </w:tcBorders>
            <w:shd w:val="clear" w:color="auto" w:fill="auto"/>
            <w:noWrap/>
            <w:vAlign w:val="center"/>
            <w:hideMark/>
          </w:tcPr>
          <w:p w14:paraId="175088B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Zero-rating the supply of goods and services destined for technical and investment assistance projects conducted in the territory of Moldova</w:t>
            </w:r>
          </w:p>
        </w:tc>
        <w:tc>
          <w:tcPr>
            <w:tcW w:w="910" w:type="dxa"/>
            <w:tcBorders>
              <w:top w:val="nil"/>
              <w:left w:val="nil"/>
              <w:bottom w:val="nil"/>
              <w:right w:val="nil"/>
            </w:tcBorders>
            <w:shd w:val="clear" w:color="auto" w:fill="auto"/>
            <w:noWrap/>
            <w:vAlign w:val="center"/>
            <w:hideMark/>
          </w:tcPr>
          <w:p w14:paraId="0798850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13352A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8F5A71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3188E9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02470F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200416E" w14:textId="77777777" w:rsidTr="00360FE5">
        <w:trPr>
          <w:trHeight w:val="210"/>
        </w:trPr>
        <w:tc>
          <w:tcPr>
            <w:tcW w:w="450" w:type="dxa"/>
            <w:tcBorders>
              <w:top w:val="nil"/>
              <w:left w:val="nil"/>
              <w:bottom w:val="nil"/>
              <w:right w:val="nil"/>
            </w:tcBorders>
            <w:shd w:val="clear" w:color="auto" w:fill="auto"/>
            <w:noWrap/>
            <w:hideMark/>
          </w:tcPr>
          <w:p w14:paraId="0DAC176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w:t>
            </w:r>
          </w:p>
        </w:tc>
        <w:tc>
          <w:tcPr>
            <w:tcW w:w="5130" w:type="dxa"/>
            <w:tcBorders>
              <w:top w:val="nil"/>
              <w:left w:val="nil"/>
              <w:bottom w:val="nil"/>
              <w:right w:val="nil"/>
            </w:tcBorders>
            <w:shd w:val="clear" w:color="auto" w:fill="auto"/>
            <w:noWrap/>
            <w:vAlign w:val="center"/>
            <w:hideMark/>
          </w:tcPr>
          <w:p w14:paraId="1E0A2F3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residential buildings, land and the lease of such buildings, land and land plots</w:t>
            </w:r>
          </w:p>
        </w:tc>
        <w:tc>
          <w:tcPr>
            <w:tcW w:w="910" w:type="dxa"/>
            <w:tcBorders>
              <w:top w:val="nil"/>
              <w:left w:val="nil"/>
              <w:bottom w:val="nil"/>
              <w:right w:val="nil"/>
            </w:tcBorders>
            <w:shd w:val="clear" w:color="000000" w:fill="E7E6E6"/>
            <w:noWrap/>
            <w:vAlign w:val="center"/>
            <w:hideMark/>
          </w:tcPr>
          <w:p w14:paraId="07C253A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233,321.4</w:t>
            </w:r>
          </w:p>
        </w:tc>
        <w:tc>
          <w:tcPr>
            <w:tcW w:w="910" w:type="dxa"/>
            <w:tcBorders>
              <w:top w:val="nil"/>
              <w:left w:val="nil"/>
              <w:bottom w:val="nil"/>
              <w:right w:val="nil"/>
            </w:tcBorders>
            <w:shd w:val="clear" w:color="000000" w:fill="E7E6E6"/>
            <w:noWrap/>
            <w:vAlign w:val="center"/>
            <w:hideMark/>
          </w:tcPr>
          <w:p w14:paraId="451025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257,123.6</w:t>
            </w:r>
          </w:p>
        </w:tc>
        <w:tc>
          <w:tcPr>
            <w:tcW w:w="910" w:type="dxa"/>
            <w:tcBorders>
              <w:top w:val="nil"/>
              <w:left w:val="nil"/>
              <w:bottom w:val="nil"/>
              <w:right w:val="nil"/>
            </w:tcBorders>
            <w:shd w:val="clear" w:color="000000" w:fill="E7E6E6"/>
            <w:noWrap/>
            <w:vAlign w:val="center"/>
            <w:hideMark/>
          </w:tcPr>
          <w:p w14:paraId="177AA42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249,322.9</w:t>
            </w:r>
          </w:p>
        </w:tc>
        <w:tc>
          <w:tcPr>
            <w:tcW w:w="910" w:type="dxa"/>
            <w:tcBorders>
              <w:top w:val="nil"/>
              <w:left w:val="nil"/>
              <w:bottom w:val="nil"/>
              <w:right w:val="nil"/>
            </w:tcBorders>
            <w:shd w:val="clear" w:color="000000" w:fill="E7E6E6"/>
            <w:noWrap/>
            <w:vAlign w:val="center"/>
            <w:hideMark/>
          </w:tcPr>
          <w:p w14:paraId="56F8E03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304,227.9</w:t>
            </w:r>
          </w:p>
        </w:tc>
        <w:tc>
          <w:tcPr>
            <w:tcW w:w="910" w:type="dxa"/>
            <w:tcBorders>
              <w:top w:val="nil"/>
              <w:left w:val="nil"/>
              <w:bottom w:val="nil"/>
              <w:right w:val="nil"/>
            </w:tcBorders>
            <w:shd w:val="clear" w:color="000000" w:fill="E7E6E6"/>
            <w:noWrap/>
            <w:vAlign w:val="center"/>
            <w:hideMark/>
          </w:tcPr>
          <w:p w14:paraId="24BE423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336,330.9</w:t>
            </w:r>
          </w:p>
        </w:tc>
      </w:tr>
      <w:tr w:rsidR="00134C08" w:rsidRPr="00134C08" w14:paraId="54E56E4C" w14:textId="77777777" w:rsidTr="00360FE5">
        <w:trPr>
          <w:trHeight w:val="210"/>
        </w:trPr>
        <w:tc>
          <w:tcPr>
            <w:tcW w:w="450" w:type="dxa"/>
            <w:tcBorders>
              <w:top w:val="nil"/>
              <w:left w:val="nil"/>
              <w:bottom w:val="nil"/>
              <w:right w:val="nil"/>
            </w:tcBorders>
            <w:shd w:val="clear" w:color="auto" w:fill="auto"/>
            <w:noWrap/>
            <w:hideMark/>
          </w:tcPr>
          <w:p w14:paraId="4EDAEAE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w:t>
            </w:r>
          </w:p>
        </w:tc>
        <w:tc>
          <w:tcPr>
            <w:tcW w:w="5130" w:type="dxa"/>
            <w:tcBorders>
              <w:top w:val="nil"/>
              <w:left w:val="nil"/>
              <w:bottom w:val="nil"/>
              <w:right w:val="nil"/>
            </w:tcBorders>
            <w:shd w:val="clear" w:color="auto" w:fill="auto"/>
            <w:noWrap/>
            <w:vAlign w:val="center"/>
            <w:hideMark/>
          </w:tcPr>
          <w:p w14:paraId="3F73A1B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baby food and non-food baby products</w:t>
            </w:r>
          </w:p>
        </w:tc>
        <w:tc>
          <w:tcPr>
            <w:tcW w:w="910" w:type="dxa"/>
            <w:tcBorders>
              <w:top w:val="nil"/>
              <w:left w:val="nil"/>
              <w:bottom w:val="nil"/>
              <w:right w:val="nil"/>
            </w:tcBorders>
            <w:shd w:val="clear" w:color="000000" w:fill="E7E6E6"/>
            <w:noWrap/>
            <w:vAlign w:val="center"/>
            <w:hideMark/>
          </w:tcPr>
          <w:p w14:paraId="52101A4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20,426.8</w:t>
            </w:r>
          </w:p>
        </w:tc>
        <w:tc>
          <w:tcPr>
            <w:tcW w:w="910" w:type="dxa"/>
            <w:tcBorders>
              <w:top w:val="nil"/>
              <w:left w:val="nil"/>
              <w:bottom w:val="nil"/>
              <w:right w:val="nil"/>
            </w:tcBorders>
            <w:shd w:val="clear" w:color="000000" w:fill="E7E6E6"/>
            <w:noWrap/>
            <w:vAlign w:val="center"/>
            <w:hideMark/>
          </w:tcPr>
          <w:p w14:paraId="4ECE3C5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22,200.0</w:t>
            </w:r>
          </w:p>
        </w:tc>
        <w:tc>
          <w:tcPr>
            <w:tcW w:w="910" w:type="dxa"/>
            <w:tcBorders>
              <w:top w:val="nil"/>
              <w:left w:val="nil"/>
              <w:bottom w:val="nil"/>
              <w:right w:val="nil"/>
            </w:tcBorders>
            <w:shd w:val="clear" w:color="000000" w:fill="E7E6E6"/>
            <w:noWrap/>
            <w:vAlign w:val="center"/>
            <w:hideMark/>
          </w:tcPr>
          <w:p w14:paraId="58ECAD5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21,501.0</w:t>
            </w:r>
          </w:p>
        </w:tc>
        <w:tc>
          <w:tcPr>
            <w:tcW w:w="910" w:type="dxa"/>
            <w:tcBorders>
              <w:top w:val="nil"/>
              <w:left w:val="nil"/>
              <w:bottom w:val="nil"/>
              <w:right w:val="nil"/>
            </w:tcBorders>
            <w:shd w:val="clear" w:color="000000" w:fill="E7E6E6"/>
            <w:noWrap/>
            <w:vAlign w:val="center"/>
            <w:hideMark/>
          </w:tcPr>
          <w:p w14:paraId="0AC1D79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24,334.0</w:t>
            </w:r>
          </w:p>
        </w:tc>
        <w:tc>
          <w:tcPr>
            <w:tcW w:w="910" w:type="dxa"/>
            <w:tcBorders>
              <w:top w:val="nil"/>
              <w:left w:val="nil"/>
              <w:bottom w:val="nil"/>
              <w:right w:val="nil"/>
            </w:tcBorders>
            <w:shd w:val="clear" w:color="000000" w:fill="E7E6E6"/>
            <w:noWrap/>
            <w:vAlign w:val="center"/>
            <w:hideMark/>
          </w:tcPr>
          <w:p w14:paraId="49797E0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26,751.7</w:t>
            </w:r>
          </w:p>
        </w:tc>
      </w:tr>
      <w:tr w:rsidR="00134C08" w:rsidRPr="00134C08" w14:paraId="1CD0E909" w14:textId="77777777" w:rsidTr="00360FE5">
        <w:trPr>
          <w:trHeight w:val="210"/>
        </w:trPr>
        <w:tc>
          <w:tcPr>
            <w:tcW w:w="450" w:type="dxa"/>
            <w:tcBorders>
              <w:top w:val="nil"/>
              <w:left w:val="nil"/>
              <w:bottom w:val="nil"/>
              <w:right w:val="nil"/>
            </w:tcBorders>
            <w:shd w:val="clear" w:color="auto" w:fill="auto"/>
            <w:noWrap/>
            <w:hideMark/>
          </w:tcPr>
          <w:p w14:paraId="00C52E9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w:t>
            </w:r>
          </w:p>
        </w:tc>
        <w:tc>
          <w:tcPr>
            <w:tcW w:w="5130" w:type="dxa"/>
            <w:tcBorders>
              <w:top w:val="nil"/>
              <w:left w:val="nil"/>
              <w:bottom w:val="nil"/>
              <w:right w:val="nil"/>
            </w:tcBorders>
            <w:shd w:val="clear" w:color="auto" w:fill="auto"/>
            <w:noWrap/>
            <w:vAlign w:val="center"/>
            <w:hideMark/>
          </w:tcPr>
          <w:p w14:paraId="2798BCD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educational services</w:t>
            </w:r>
          </w:p>
        </w:tc>
        <w:tc>
          <w:tcPr>
            <w:tcW w:w="910" w:type="dxa"/>
            <w:tcBorders>
              <w:top w:val="nil"/>
              <w:left w:val="nil"/>
              <w:bottom w:val="nil"/>
              <w:right w:val="nil"/>
            </w:tcBorders>
            <w:shd w:val="clear" w:color="000000" w:fill="E7E6E6"/>
            <w:noWrap/>
            <w:vAlign w:val="center"/>
            <w:hideMark/>
          </w:tcPr>
          <w:p w14:paraId="2991F6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912,917.7</w:t>
            </w:r>
          </w:p>
        </w:tc>
        <w:tc>
          <w:tcPr>
            <w:tcW w:w="910" w:type="dxa"/>
            <w:tcBorders>
              <w:top w:val="nil"/>
              <w:left w:val="nil"/>
              <w:bottom w:val="nil"/>
              <w:right w:val="nil"/>
            </w:tcBorders>
            <w:shd w:val="clear" w:color="000000" w:fill="E7E6E6"/>
            <w:noWrap/>
            <w:vAlign w:val="center"/>
            <w:hideMark/>
          </w:tcPr>
          <w:p w14:paraId="5FA1C32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1,004,119.5</w:t>
            </w:r>
          </w:p>
        </w:tc>
        <w:tc>
          <w:tcPr>
            <w:tcW w:w="910" w:type="dxa"/>
            <w:tcBorders>
              <w:top w:val="nil"/>
              <w:left w:val="nil"/>
              <w:bottom w:val="nil"/>
              <w:right w:val="nil"/>
            </w:tcBorders>
            <w:shd w:val="clear" w:color="000000" w:fill="E7E6E6"/>
            <w:noWrap/>
            <w:vAlign w:val="center"/>
            <w:hideMark/>
          </w:tcPr>
          <w:p w14:paraId="5BC921B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974,718.9</w:t>
            </w:r>
          </w:p>
        </w:tc>
        <w:tc>
          <w:tcPr>
            <w:tcW w:w="910" w:type="dxa"/>
            <w:tcBorders>
              <w:top w:val="nil"/>
              <w:left w:val="nil"/>
              <w:bottom w:val="nil"/>
              <w:right w:val="nil"/>
            </w:tcBorders>
            <w:shd w:val="clear" w:color="000000" w:fill="E7E6E6"/>
            <w:noWrap/>
            <w:vAlign w:val="center"/>
            <w:hideMark/>
          </w:tcPr>
          <w:p w14:paraId="4E208B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1,188,623.1</w:t>
            </w:r>
          </w:p>
        </w:tc>
        <w:tc>
          <w:tcPr>
            <w:tcW w:w="910" w:type="dxa"/>
            <w:tcBorders>
              <w:top w:val="nil"/>
              <w:left w:val="nil"/>
              <w:bottom w:val="nil"/>
              <w:right w:val="nil"/>
            </w:tcBorders>
            <w:shd w:val="clear" w:color="000000" w:fill="E7E6E6"/>
            <w:noWrap/>
            <w:vAlign w:val="center"/>
            <w:hideMark/>
          </w:tcPr>
          <w:p w14:paraId="519D5BA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1,312,425.5</w:t>
            </w:r>
          </w:p>
        </w:tc>
      </w:tr>
      <w:tr w:rsidR="00134C08" w:rsidRPr="00134C08" w14:paraId="532D9F63" w14:textId="77777777" w:rsidTr="00360FE5">
        <w:trPr>
          <w:trHeight w:val="210"/>
        </w:trPr>
        <w:tc>
          <w:tcPr>
            <w:tcW w:w="450" w:type="dxa"/>
            <w:tcBorders>
              <w:top w:val="nil"/>
              <w:left w:val="nil"/>
              <w:bottom w:val="nil"/>
              <w:right w:val="nil"/>
            </w:tcBorders>
            <w:shd w:val="clear" w:color="auto" w:fill="auto"/>
            <w:noWrap/>
            <w:hideMark/>
          </w:tcPr>
          <w:p w14:paraId="1588C4E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w:t>
            </w:r>
          </w:p>
        </w:tc>
        <w:tc>
          <w:tcPr>
            <w:tcW w:w="5130" w:type="dxa"/>
            <w:tcBorders>
              <w:top w:val="nil"/>
              <w:left w:val="nil"/>
              <w:bottom w:val="nil"/>
              <w:right w:val="nil"/>
            </w:tcBorders>
            <w:shd w:val="clear" w:color="auto" w:fill="auto"/>
            <w:noWrap/>
            <w:vAlign w:val="center"/>
            <w:hideMark/>
          </w:tcPr>
          <w:p w14:paraId="3AF79CF4"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services and goods used for the care of the sick and elderly</w:t>
            </w:r>
          </w:p>
        </w:tc>
        <w:tc>
          <w:tcPr>
            <w:tcW w:w="910" w:type="dxa"/>
            <w:tcBorders>
              <w:top w:val="nil"/>
              <w:left w:val="nil"/>
              <w:bottom w:val="nil"/>
              <w:right w:val="nil"/>
            </w:tcBorders>
            <w:shd w:val="clear" w:color="auto" w:fill="auto"/>
            <w:noWrap/>
            <w:vAlign w:val="center"/>
            <w:hideMark/>
          </w:tcPr>
          <w:p w14:paraId="484D02D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D73203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4A8A31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485AEE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792BB7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C8E4300" w14:textId="77777777" w:rsidTr="00360FE5">
        <w:trPr>
          <w:trHeight w:val="210"/>
        </w:trPr>
        <w:tc>
          <w:tcPr>
            <w:tcW w:w="450" w:type="dxa"/>
            <w:tcBorders>
              <w:top w:val="nil"/>
              <w:left w:val="nil"/>
              <w:bottom w:val="nil"/>
              <w:right w:val="nil"/>
            </w:tcBorders>
            <w:shd w:val="clear" w:color="auto" w:fill="auto"/>
            <w:noWrap/>
            <w:hideMark/>
          </w:tcPr>
          <w:p w14:paraId="184881C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w:t>
            </w:r>
          </w:p>
        </w:tc>
        <w:tc>
          <w:tcPr>
            <w:tcW w:w="5130" w:type="dxa"/>
            <w:tcBorders>
              <w:top w:val="nil"/>
              <w:left w:val="nil"/>
              <w:bottom w:val="nil"/>
              <w:right w:val="nil"/>
            </w:tcBorders>
            <w:shd w:val="clear" w:color="auto" w:fill="auto"/>
            <w:noWrap/>
            <w:vAlign w:val="center"/>
            <w:hideMark/>
          </w:tcPr>
          <w:p w14:paraId="30A800A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medical services and associated goods</w:t>
            </w:r>
          </w:p>
        </w:tc>
        <w:tc>
          <w:tcPr>
            <w:tcW w:w="910" w:type="dxa"/>
            <w:tcBorders>
              <w:top w:val="nil"/>
              <w:left w:val="nil"/>
              <w:bottom w:val="nil"/>
              <w:right w:val="nil"/>
            </w:tcBorders>
            <w:shd w:val="clear" w:color="000000" w:fill="E7E6E6"/>
            <w:noWrap/>
            <w:vAlign w:val="center"/>
            <w:hideMark/>
          </w:tcPr>
          <w:p w14:paraId="382D80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787,558.4</w:t>
            </w:r>
          </w:p>
        </w:tc>
        <w:tc>
          <w:tcPr>
            <w:tcW w:w="910" w:type="dxa"/>
            <w:tcBorders>
              <w:top w:val="nil"/>
              <w:left w:val="nil"/>
              <w:bottom w:val="nil"/>
              <w:right w:val="nil"/>
            </w:tcBorders>
            <w:shd w:val="clear" w:color="000000" w:fill="E7E6E6"/>
            <w:noWrap/>
            <w:vAlign w:val="center"/>
            <w:hideMark/>
          </w:tcPr>
          <w:p w14:paraId="44B1122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863,954.4</w:t>
            </w:r>
          </w:p>
        </w:tc>
        <w:tc>
          <w:tcPr>
            <w:tcW w:w="910" w:type="dxa"/>
            <w:tcBorders>
              <w:top w:val="nil"/>
              <w:left w:val="nil"/>
              <w:bottom w:val="nil"/>
              <w:right w:val="nil"/>
            </w:tcBorders>
            <w:shd w:val="clear" w:color="000000" w:fill="E7E6E6"/>
            <w:noWrap/>
            <w:vAlign w:val="center"/>
            <w:hideMark/>
          </w:tcPr>
          <w:p w14:paraId="58132CA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839,755.7</w:t>
            </w:r>
          </w:p>
        </w:tc>
        <w:tc>
          <w:tcPr>
            <w:tcW w:w="910" w:type="dxa"/>
            <w:tcBorders>
              <w:top w:val="nil"/>
              <w:left w:val="nil"/>
              <w:bottom w:val="nil"/>
              <w:right w:val="nil"/>
            </w:tcBorders>
            <w:shd w:val="clear" w:color="000000" w:fill="E7E6E6"/>
            <w:noWrap/>
            <w:vAlign w:val="center"/>
            <w:hideMark/>
          </w:tcPr>
          <w:p w14:paraId="72A5CB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1,023,246.0</w:t>
            </w:r>
          </w:p>
        </w:tc>
        <w:tc>
          <w:tcPr>
            <w:tcW w:w="910" w:type="dxa"/>
            <w:tcBorders>
              <w:top w:val="nil"/>
              <w:left w:val="nil"/>
              <w:bottom w:val="nil"/>
              <w:right w:val="nil"/>
            </w:tcBorders>
            <w:shd w:val="clear" w:color="000000" w:fill="E7E6E6"/>
            <w:noWrap/>
            <w:vAlign w:val="center"/>
            <w:hideMark/>
          </w:tcPr>
          <w:p w14:paraId="5D69BD4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1,128,040.5</w:t>
            </w:r>
          </w:p>
        </w:tc>
      </w:tr>
      <w:tr w:rsidR="00134C08" w:rsidRPr="00134C08" w14:paraId="3A8DB2A7" w14:textId="77777777" w:rsidTr="00360FE5">
        <w:trPr>
          <w:trHeight w:val="210"/>
        </w:trPr>
        <w:tc>
          <w:tcPr>
            <w:tcW w:w="450" w:type="dxa"/>
            <w:tcBorders>
              <w:top w:val="nil"/>
              <w:left w:val="nil"/>
              <w:bottom w:val="nil"/>
              <w:right w:val="nil"/>
            </w:tcBorders>
            <w:shd w:val="clear" w:color="auto" w:fill="auto"/>
            <w:noWrap/>
            <w:hideMark/>
          </w:tcPr>
          <w:p w14:paraId="38AD2F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w:t>
            </w:r>
          </w:p>
        </w:tc>
        <w:tc>
          <w:tcPr>
            <w:tcW w:w="5130" w:type="dxa"/>
            <w:tcBorders>
              <w:top w:val="nil"/>
              <w:left w:val="nil"/>
              <w:bottom w:val="nil"/>
              <w:right w:val="nil"/>
            </w:tcBorders>
            <w:shd w:val="clear" w:color="auto" w:fill="auto"/>
            <w:noWrap/>
            <w:vAlign w:val="center"/>
            <w:hideMark/>
          </w:tcPr>
          <w:p w14:paraId="6700DC3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goods and services in canteens of educational and healthcare institutions</w:t>
            </w:r>
          </w:p>
        </w:tc>
        <w:tc>
          <w:tcPr>
            <w:tcW w:w="910" w:type="dxa"/>
            <w:tcBorders>
              <w:top w:val="nil"/>
              <w:left w:val="nil"/>
              <w:bottom w:val="nil"/>
              <w:right w:val="nil"/>
            </w:tcBorders>
            <w:shd w:val="clear" w:color="auto" w:fill="auto"/>
            <w:noWrap/>
            <w:vAlign w:val="center"/>
            <w:hideMark/>
          </w:tcPr>
          <w:p w14:paraId="270DC4C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64233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4CFB33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F1B18D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D943A4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A12DB5E" w14:textId="77777777" w:rsidTr="00360FE5">
        <w:trPr>
          <w:trHeight w:val="210"/>
        </w:trPr>
        <w:tc>
          <w:tcPr>
            <w:tcW w:w="450" w:type="dxa"/>
            <w:tcBorders>
              <w:top w:val="nil"/>
              <w:left w:val="nil"/>
              <w:bottom w:val="nil"/>
              <w:right w:val="nil"/>
            </w:tcBorders>
            <w:shd w:val="clear" w:color="auto" w:fill="auto"/>
            <w:noWrap/>
            <w:hideMark/>
          </w:tcPr>
          <w:p w14:paraId="690B954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w:t>
            </w:r>
          </w:p>
        </w:tc>
        <w:tc>
          <w:tcPr>
            <w:tcW w:w="5130" w:type="dxa"/>
            <w:tcBorders>
              <w:top w:val="nil"/>
              <w:left w:val="nil"/>
              <w:bottom w:val="nil"/>
              <w:right w:val="nil"/>
            </w:tcBorders>
            <w:shd w:val="clear" w:color="auto" w:fill="auto"/>
            <w:noWrap/>
            <w:vAlign w:val="center"/>
            <w:hideMark/>
          </w:tcPr>
          <w:p w14:paraId="7C6B5C4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VAT exemption of financial services</w:t>
            </w:r>
          </w:p>
        </w:tc>
        <w:tc>
          <w:tcPr>
            <w:tcW w:w="910" w:type="dxa"/>
            <w:tcBorders>
              <w:top w:val="nil"/>
              <w:left w:val="nil"/>
              <w:bottom w:val="nil"/>
              <w:right w:val="nil"/>
            </w:tcBorders>
            <w:shd w:val="clear" w:color="000000" w:fill="E7E6E6"/>
            <w:noWrap/>
            <w:vAlign w:val="center"/>
            <w:hideMark/>
          </w:tcPr>
          <w:p w14:paraId="3DBFD7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-2,201.3</w:t>
            </w:r>
          </w:p>
        </w:tc>
        <w:tc>
          <w:tcPr>
            <w:tcW w:w="910" w:type="dxa"/>
            <w:tcBorders>
              <w:top w:val="nil"/>
              <w:left w:val="nil"/>
              <w:bottom w:val="nil"/>
              <w:right w:val="nil"/>
            </w:tcBorders>
            <w:shd w:val="clear" w:color="000000" w:fill="E7E6E6"/>
            <w:noWrap/>
            <w:vAlign w:val="center"/>
            <w:hideMark/>
          </w:tcPr>
          <w:p w14:paraId="03AF9D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-2,001.2</w:t>
            </w:r>
          </w:p>
        </w:tc>
        <w:tc>
          <w:tcPr>
            <w:tcW w:w="910" w:type="dxa"/>
            <w:tcBorders>
              <w:top w:val="nil"/>
              <w:left w:val="nil"/>
              <w:bottom w:val="nil"/>
              <w:right w:val="nil"/>
            </w:tcBorders>
            <w:shd w:val="clear" w:color="000000" w:fill="E7E6E6"/>
            <w:noWrap/>
            <w:vAlign w:val="center"/>
            <w:hideMark/>
          </w:tcPr>
          <w:p w14:paraId="0336B5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-2,101.3</w:t>
            </w:r>
          </w:p>
        </w:tc>
        <w:tc>
          <w:tcPr>
            <w:tcW w:w="910" w:type="dxa"/>
            <w:tcBorders>
              <w:top w:val="nil"/>
              <w:left w:val="nil"/>
              <w:bottom w:val="nil"/>
              <w:right w:val="nil"/>
            </w:tcBorders>
            <w:shd w:val="clear" w:color="000000" w:fill="E7E6E6"/>
            <w:noWrap/>
            <w:vAlign w:val="center"/>
            <w:hideMark/>
          </w:tcPr>
          <w:p w14:paraId="64EAB3C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-2,501.5</w:t>
            </w:r>
          </w:p>
        </w:tc>
        <w:tc>
          <w:tcPr>
            <w:tcW w:w="910" w:type="dxa"/>
            <w:tcBorders>
              <w:top w:val="nil"/>
              <w:left w:val="nil"/>
              <w:bottom w:val="nil"/>
              <w:right w:val="nil"/>
            </w:tcBorders>
            <w:shd w:val="clear" w:color="000000" w:fill="E7E6E6"/>
            <w:noWrap/>
            <w:vAlign w:val="center"/>
            <w:hideMark/>
          </w:tcPr>
          <w:p w14:paraId="1AFF95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-2,401.5</w:t>
            </w:r>
          </w:p>
        </w:tc>
      </w:tr>
      <w:tr w:rsidR="00134C08" w:rsidRPr="00134C08" w14:paraId="6F774ED7" w14:textId="77777777" w:rsidTr="00360FE5">
        <w:trPr>
          <w:trHeight w:val="210"/>
        </w:trPr>
        <w:tc>
          <w:tcPr>
            <w:tcW w:w="450" w:type="dxa"/>
            <w:tcBorders>
              <w:top w:val="nil"/>
              <w:left w:val="nil"/>
              <w:bottom w:val="nil"/>
              <w:right w:val="nil"/>
            </w:tcBorders>
            <w:shd w:val="clear" w:color="auto" w:fill="auto"/>
            <w:noWrap/>
            <w:hideMark/>
          </w:tcPr>
          <w:p w14:paraId="20768E4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w:t>
            </w:r>
          </w:p>
        </w:tc>
        <w:tc>
          <w:tcPr>
            <w:tcW w:w="5130" w:type="dxa"/>
            <w:tcBorders>
              <w:top w:val="nil"/>
              <w:left w:val="nil"/>
              <w:bottom w:val="nil"/>
              <w:right w:val="nil"/>
            </w:tcBorders>
            <w:shd w:val="clear" w:color="auto" w:fill="auto"/>
            <w:noWrap/>
            <w:vAlign w:val="center"/>
            <w:hideMark/>
          </w:tcPr>
          <w:p w14:paraId="7F3CE73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VAT exemption of postal services</w:t>
            </w:r>
          </w:p>
        </w:tc>
        <w:tc>
          <w:tcPr>
            <w:tcW w:w="910" w:type="dxa"/>
            <w:tcBorders>
              <w:top w:val="nil"/>
              <w:left w:val="nil"/>
              <w:bottom w:val="nil"/>
              <w:right w:val="nil"/>
            </w:tcBorders>
            <w:shd w:val="clear" w:color="000000" w:fill="E7E6E6"/>
            <w:noWrap/>
            <w:vAlign w:val="center"/>
            <w:hideMark/>
          </w:tcPr>
          <w:p w14:paraId="5E7E6C3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20,275.0</w:t>
            </w:r>
          </w:p>
        </w:tc>
        <w:tc>
          <w:tcPr>
            <w:tcW w:w="910" w:type="dxa"/>
            <w:tcBorders>
              <w:top w:val="nil"/>
              <w:left w:val="nil"/>
              <w:bottom w:val="nil"/>
              <w:right w:val="nil"/>
            </w:tcBorders>
            <w:shd w:val="clear" w:color="000000" w:fill="E7E6E6"/>
            <w:noWrap/>
            <w:vAlign w:val="center"/>
            <w:hideMark/>
          </w:tcPr>
          <w:p w14:paraId="330A47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22,272.6</w:t>
            </w:r>
          </w:p>
        </w:tc>
        <w:tc>
          <w:tcPr>
            <w:tcW w:w="910" w:type="dxa"/>
            <w:tcBorders>
              <w:top w:val="nil"/>
              <w:left w:val="nil"/>
              <w:bottom w:val="nil"/>
              <w:right w:val="nil"/>
            </w:tcBorders>
            <w:shd w:val="clear" w:color="000000" w:fill="E7E6E6"/>
            <w:noWrap/>
            <w:vAlign w:val="center"/>
            <w:hideMark/>
          </w:tcPr>
          <w:p w14:paraId="2C78456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21,573.4</w:t>
            </w:r>
          </w:p>
        </w:tc>
        <w:tc>
          <w:tcPr>
            <w:tcW w:w="910" w:type="dxa"/>
            <w:tcBorders>
              <w:top w:val="nil"/>
              <w:left w:val="nil"/>
              <w:bottom w:val="nil"/>
              <w:right w:val="nil"/>
            </w:tcBorders>
            <w:shd w:val="clear" w:color="000000" w:fill="E7E6E6"/>
            <w:noWrap/>
            <w:vAlign w:val="center"/>
            <w:hideMark/>
          </w:tcPr>
          <w:p w14:paraId="1D0B0C0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26,367.5</w:t>
            </w:r>
          </w:p>
        </w:tc>
        <w:tc>
          <w:tcPr>
            <w:tcW w:w="910" w:type="dxa"/>
            <w:tcBorders>
              <w:top w:val="nil"/>
              <w:left w:val="nil"/>
              <w:bottom w:val="nil"/>
              <w:right w:val="nil"/>
            </w:tcBorders>
            <w:shd w:val="clear" w:color="000000" w:fill="E7E6E6"/>
            <w:noWrap/>
            <w:vAlign w:val="center"/>
            <w:hideMark/>
          </w:tcPr>
          <w:p w14:paraId="4BD96EA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29,164.1</w:t>
            </w:r>
          </w:p>
        </w:tc>
      </w:tr>
      <w:tr w:rsidR="00134C08" w:rsidRPr="00134C08" w14:paraId="054EFA71" w14:textId="77777777" w:rsidTr="00360FE5">
        <w:trPr>
          <w:trHeight w:val="210"/>
        </w:trPr>
        <w:tc>
          <w:tcPr>
            <w:tcW w:w="450" w:type="dxa"/>
            <w:tcBorders>
              <w:top w:val="nil"/>
              <w:left w:val="nil"/>
              <w:bottom w:val="nil"/>
              <w:right w:val="nil"/>
            </w:tcBorders>
            <w:shd w:val="clear" w:color="auto" w:fill="auto"/>
            <w:noWrap/>
            <w:hideMark/>
          </w:tcPr>
          <w:p w14:paraId="4F187B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w:t>
            </w:r>
          </w:p>
        </w:tc>
        <w:tc>
          <w:tcPr>
            <w:tcW w:w="5130" w:type="dxa"/>
            <w:tcBorders>
              <w:top w:val="nil"/>
              <w:left w:val="nil"/>
              <w:bottom w:val="nil"/>
              <w:right w:val="nil"/>
            </w:tcBorders>
            <w:shd w:val="clear" w:color="auto" w:fill="auto"/>
            <w:noWrap/>
            <w:vAlign w:val="center"/>
            <w:hideMark/>
          </w:tcPr>
          <w:p w14:paraId="793B3F5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VAT exemption of gaming and gambling services</w:t>
            </w:r>
          </w:p>
        </w:tc>
        <w:tc>
          <w:tcPr>
            <w:tcW w:w="910" w:type="dxa"/>
            <w:tcBorders>
              <w:top w:val="nil"/>
              <w:left w:val="nil"/>
              <w:bottom w:val="nil"/>
              <w:right w:val="nil"/>
            </w:tcBorders>
            <w:shd w:val="clear" w:color="000000" w:fill="E7E6E6"/>
            <w:noWrap/>
            <w:vAlign w:val="center"/>
            <w:hideMark/>
          </w:tcPr>
          <w:p w14:paraId="70FA21C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41,473.5</w:t>
            </w:r>
          </w:p>
        </w:tc>
        <w:tc>
          <w:tcPr>
            <w:tcW w:w="910" w:type="dxa"/>
            <w:tcBorders>
              <w:top w:val="nil"/>
              <w:left w:val="nil"/>
              <w:bottom w:val="nil"/>
              <w:right w:val="nil"/>
            </w:tcBorders>
            <w:shd w:val="clear" w:color="000000" w:fill="E7E6E6"/>
            <w:noWrap/>
            <w:vAlign w:val="center"/>
            <w:hideMark/>
          </w:tcPr>
          <w:p w14:paraId="46EED79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47,969.3</w:t>
            </w:r>
          </w:p>
        </w:tc>
        <w:tc>
          <w:tcPr>
            <w:tcW w:w="910" w:type="dxa"/>
            <w:tcBorders>
              <w:top w:val="nil"/>
              <w:left w:val="nil"/>
              <w:bottom w:val="nil"/>
              <w:right w:val="nil"/>
            </w:tcBorders>
            <w:shd w:val="clear" w:color="000000" w:fill="E7E6E6"/>
            <w:noWrap/>
            <w:vAlign w:val="center"/>
            <w:hideMark/>
          </w:tcPr>
          <w:p w14:paraId="53D17E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45,470.9</w:t>
            </w:r>
          </w:p>
        </w:tc>
        <w:tc>
          <w:tcPr>
            <w:tcW w:w="910" w:type="dxa"/>
            <w:tcBorders>
              <w:top w:val="nil"/>
              <w:left w:val="nil"/>
              <w:bottom w:val="nil"/>
              <w:right w:val="nil"/>
            </w:tcBorders>
            <w:shd w:val="clear" w:color="000000" w:fill="E7E6E6"/>
            <w:noWrap/>
            <w:vAlign w:val="center"/>
            <w:hideMark/>
          </w:tcPr>
          <w:p w14:paraId="26FEC6A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56,264.0</w:t>
            </w:r>
          </w:p>
        </w:tc>
        <w:tc>
          <w:tcPr>
            <w:tcW w:w="910" w:type="dxa"/>
            <w:tcBorders>
              <w:top w:val="nil"/>
              <w:left w:val="nil"/>
              <w:bottom w:val="nil"/>
              <w:right w:val="nil"/>
            </w:tcBorders>
            <w:shd w:val="clear" w:color="000000" w:fill="E7E6E6"/>
            <w:noWrap/>
            <w:vAlign w:val="center"/>
            <w:hideMark/>
          </w:tcPr>
          <w:p w14:paraId="1717C0D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64,059.0</w:t>
            </w:r>
          </w:p>
        </w:tc>
      </w:tr>
      <w:tr w:rsidR="00134C08" w:rsidRPr="00134C08" w14:paraId="4C2DFBA1" w14:textId="77777777" w:rsidTr="00360FE5">
        <w:trPr>
          <w:trHeight w:val="210"/>
        </w:trPr>
        <w:tc>
          <w:tcPr>
            <w:tcW w:w="450" w:type="dxa"/>
            <w:tcBorders>
              <w:top w:val="nil"/>
              <w:left w:val="nil"/>
              <w:bottom w:val="nil"/>
              <w:right w:val="nil"/>
            </w:tcBorders>
            <w:shd w:val="clear" w:color="auto" w:fill="auto"/>
            <w:noWrap/>
            <w:hideMark/>
          </w:tcPr>
          <w:p w14:paraId="41EA62D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w:t>
            </w:r>
          </w:p>
        </w:tc>
        <w:tc>
          <w:tcPr>
            <w:tcW w:w="5130" w:type="dxa"/>
            <w:tcBorders>
              <w:top w:val="nil"/>
              <w:left w:val="nil"/>
              <w:bottom w:val="nil"/>
              <w:right w:val="nil"/>
            </w:tcBorders>
            <w:shd w:val="clear" w:color="auto" w:fill="auto"/>
            <w:noWrap/>
            <w:vAlign w:val="center"/>
            <w:hideMark/>
          </w:tcPr>
          <w:p w14:paraId="57DECF3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VAT exemption for burial and crematorium services of human and animal bodies</w:t>
            </w:r>
          </w:p>
        </w:tc>
        <w:tc>
          <w:tcPr>
            <w:tcW w:w="910" w:type="dxa"/>
            <w:tcBorders>
              <w:top w:val="nil"/>
              <w:left w:val="nil"/>
              <w:bottom w:val="nil"/>
              <w:right w:val="nil"/>
            </w:tcBorders>
            <w:shd w:val="clear" w:color="000000" w:fill="E7E6E6"/>
            <w:noWrap/>
            <w:vAlign w:val="center"/>
            <w:hideMark/>
          </w:tcPr>
          <w:p w14:paraId="19C117A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5,514.5</w:t>
            </w:r>
          </w:p>
        </w:tc>
        <w:tc>
          <w:tcPr>
            <w:tcW w:w="910" w:type="dxa"/>
            <w:tcBorders>
              <w:top w:val="nil"/>
              <w:left w:val="nil"/>
              <w:bottom w:val="nil"/>
              <w:right w:val="nil"/>
            </w:tcBorders>
            <w:shd w:val="clear" w:color="000000" w:fill="E7E6E6"/>
            <w:noWrap/>
            <w:vAlign w:val="center"/>
            <w:hideMark/>
          </w:tcPr>
          <w:p w14:paraId="1FB60A6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6,116.1</w:t>
            </w:r>
          </w:p>
        </w:tc>
        <w:tc>
          <w:tcPr>
            <w:tcW w:w="910" w:type="dxa"/>
            <w:tcBorders>
              <w:top w:val="nil"/>
              <w:left w:val="nil"/>
              <w:bottom w:val="nil"/>
              <w:right w:val="nil"/>
            </w:tcBorders>
            <w:shd w:val="clear" w:color="000000" w:fill="E7E6E6"/>
            <w:noWrap/>
            <w:vAlign w:val="center"/>
            <w:hideMark/>
          </w:tcPr>
          <w:p w14:paraId="25B936D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5,915.5</w:t>
            </w:r>
          </w:p>
        </w:tc>
        <w:tc>
          <w:tcPr>
            <w:tcW w:w="910" w:type="dxa"/>
            <w:tcBorders>
              <w:top w:val="nil"/>
              <w:left w:val="nil"/>
              <w:bottom w:val="nil"/>
              <w:right w:val="nil"/>
            </w:tcBorders>
            <w:shd w:val="clear" w:color="000000" w:fill="E7E6E6"/>
            <w:noWrap/>
            <w:vAlign w:val="center"/>
            <w:hideMark/>
          </w:tcPr>
          <w:p w14:paraId="4D794C1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7,219.0</w:t>
            </w:r>
          </w:p>
        </w:tc>
        <w:tc>
          <w:tcPr>
            <w:tcW w:w="910" w:type="dxa"/>
            <w:tcBorders>
              <w:top w:val="nil"/>
              <w:left w:val="nil"/>
              <w:bottom w:val="nil"/>
              <w:right w:val="nil"/>
            </w:tcBorders>
            <w:shd w:val="clear" w:color="000000" w:fill="E7E6E6"/>
            <w:noWrap/>
            <w:vAlign w:val="center"/>
            <w:hideMark/>
          </w:tcPr>
          <w:p w14:paraId="4167F4F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8,021.1</w:t>
            </w:r>
          </w:p>
        </w:tc>
      </w:tr>
      <w:tr w:rsidR="00134C08" w:rsidRPr="00134C08" w14:paraId="3850F849" w14:textId="77777777" w:rsidTr="00360FE5">
        <w:trPr>
          <w:trHeight w:val="210"/>
        </w:trPr>
        <w:tc>
          <w:tcPr>
            <w:tcW w:w="450" w:type="dxa"/>
            <w:tcBorders>
              <w:top w:val="nil"/>
              <w:left w:val="nil"/>
              <w:bottom w:val="nil"/>
              <w:right w:val="nil"/>
            </w:tcBorders>
            <w:shd w:val="clear" w:color="auto" w:fill="auto"/>
            <w:noWrap/>
            <w:hideMark/>
          </w:tcPr>
          <w:p w14:paraId="1B1B1D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w:t>
            </w:r>
          </w:p>
        </w:tc>
        <w:tc>
          <w:tcPr>
            <w:tcW w:w="5130" w:type="dxa"/>
            <w:tcBorders>
              <w:top w:val="nil"/>
              <w:left w:val="nil"/>
              <w:bottom w:val="nil"/>
              <w:right w:val="nil"/>
            </w:tcBorders>
            <w:shd w:val="clear" w:color="auto" w:fill="auto"/>
            <w:noWrap/>
            <w:vAlign w:val="center"/>
            <w:hideMark/>
          </w:tcPr>
          <w:p w14:paraId="7A35E26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VAT exemption for utilities for the general public, rental of dwelling, water supply, sewage, heating, sanitation, elevators</w:t>
            </w:r>
          </w:p>
        </w:tc>
        <w:tc>
          <w:tcPr>
            <w:tcW w:w="910" w:type="dxa"/>
            <w:tcBorders>
              <w:top w:val="nil"/>
              <w:left w:val="nil"/>
              <w:bottom w:val="nil"/>
              <w:right w:val="nil"/>
            </w:tcBorders>
            <w:shd w:val="clear" w:color="000000" w:fill="E7E6E6"/>
            <w:noWrap/>
            <w:vAlign w:val="center"/>
            <w:hideMark/>
          </w:tcPr>
          <w:p w14:paraId="003B2DC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113,259.9</w:t>
            </w:r>
          </w:p>
        </w:tc>
        <w:tc>
          <w:tcPr>
            <w:tcW w:w="910" w:type="dxa"/>
            <w:tcBorders>
              <w:top w:val="nil"/>
              <w:left w:val="nil"/>
              <w:bottom w:val="nil"/>
              <w:right w:val="nil"/>
            </w:tcBorders>
            <w:shd w:val="clear" w:color="000000" w:fill="E7E6E6"/>
            <w:noWrap/>
            <w:vAlign w:val="center"/>
            <w:hideMark/>
          </w:tcPr>
          <w:p w14:paraId="7957490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124,655.9</w:t>
            </w:r>
          </w:p>
        </w:tc>
        <w:tc>
          <w:tcPr>
            <w:tcW w:w="910" w:type="dxa"/>
            <w:tcBorders>
              <w:top w:val="nil"/>
              <w:left w:val="nil"/>
              <w:bottom w:val="nil"/>
              <w:right w:val="nil"/>
            </w:tcBorders>
            <w:shd w:val="clear" w:color="000000" w:fill="E7E6E6"/>
            <w:noWrap/>
            <w:vAlign w:val="center"/>
            <w:hideMark/>
          </w:tcPr>
          <w:p w14:paraId="249ABFA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120,957.2</w:t>
            </w:r>
          </w:p>
        </w:tc>
        <w:tc>
          <w:tcPr>
            <w:tcW w:w="910" w:type="dxa"/>
            <w:tcBorders>
              <w:top w:val="nil"/>
              <w:left w:val="nil"/>
              <w:bottom w:val="nil"/>
              <w:right w:val="nil"/>
            </w:tcBorders>
            <w:shd w:val="clear" w:color="000000" w:fill="E7E6E6"/>
            <w:noWrap/>
            <w:vAlign w:val="center"/>
            <w:hideMark/>
          </w:tcPr>
          <w:p w14:paraId="5FB683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147,547.8</w:t>
            </w:r>
          </w:p>
        </w:tc>
        <w:tc>
          <w:tcPr>
            <w:tcW w:w="910" w:type="dxa"/>
            <w:tcBorders>
              <w:top w:val="nil"/>
              <w:left w:val="nil"/>
              <w:bottom w:val="nil"/>
              <w:right w:val="nil"/>
            </w:tcBorders>
            <w:shd w:val="clear" w:color="000000" w:fill="E7E6E6"/>
            <w:noWrap/>
            <w:vAlign w:val="center"/>
            <w:hideMark/>
          </w:tcPr>
          <w:p w14:paraId="77DB6F7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162,942.3</w:t>
            </w:r>
          </w:p>
        </w:tc>
      </w:tr>
      <w:tr w:rsidR="00134C08" w:rsidRPr="00134C08" w14:paraId="4A7B71B4" w14:textId="77777777" w:rsidTr="00360FE5">
        <w:trPr>
          <w:trHeight w:val="210"/>
        </w:trPr>
        <w:tc>
          <w:tcPr>
            <w:tcW w:w="450" w:type="dxa"/>
            <w:tcBorders>
              <w:top w:val="nil"/>
              <w:left w:val="nil"/>
              <w:bottom w:val="nil"/>
              <w:right w:val="nil"/>
            </w:tcBorders>
            <w:shd w:val="clear" w:color="auto" w:fill="auto"/>
            <w:noWrap/>
            <w:hideMark/>
          </w:tcPr>
          <w:p w14:paraId="1551D55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w:t>
            </w:r>
          </w:p>
        </w:tc>
        <w:tc>
          <w:tcPr>
            <w:tcW w:w="5130" w:type="dxa"/>
            <w:tcBorders>
              <w:top w:val="nil"/>
              <w:left w:val="nil"/>
              <w:bottom w:val="nil"/>
              <w:right w:val="nil"/>
            </w:tcBorders>
            <w:shd w:val="clear" w:color="auto" w:fill="auto"/>
            <w:noWrap/>
            <w:vAlign w:val="center"/>
            <w:hideMark/>
          </w:tcPr>
          <w:p w14:paraId="7F718B9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editing of books and periodicals as well as publishing service with respect to such books/periodicals, copyright services, and other related rights used in the editing of books and periodicals</w:t>
            </w:r>
          </w:p>
        </w:tc>
        <w:tc>
          <w:tcPr>
            <w:tcW w:w="910" w:type="dxa"/>
            <w:tcBorders>
              <w:top w:val="nil"/>
              <w:left w:val="nil"/>
              <w:bottom w:val="nil"/>
              <w:right w:val="nil"/>
            </w:tcBorders>
            <w:shd w:val="clear" w:color="000000" w:fill="E7E6E6"/>
            <w:noWrap/>
            <w:vAlign w:val="center"/>
            <w:hideMark/>
          </w:tcPr>
          <w:p w14:paraId="42053A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98,873.8</w:t>
            </w:r>
          </w:p>
        </w:tc>
        <w:tc>
          <w:tcPr>
            <w:tcW w:w="910" w:type="dxa"/>
            <w:tcBorders>
              <w:top w:val="nil"/>
              <w:left w:val="nil"/>
              <w:bottom w:val="nil"/>
              <w:right w:val="nil"/>
            </w:tcBorders>
            <w:shd w:val="clear" w:color="000000" w:fill="E7E6E6"/>
            <w:noWrap/>
            <w:vAlign w:val="center"/>
            <w:hideMark/>
          </w:tcPr>
          <w:p w14:paraId="5D94043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108,371.3</w:t>
            </w:r>
          </w:p>
        </w:tc>
        <w:tc>
          <w:tcPr>
            <w:tcW w:w="910" w:type="dxa"/>
            <w:tcBorders>
              <w:top w:val="nil"/>
              <w:left w:val="nil"/>
              <w:bottom w:val="nil"/>
              <w:right w:val="nil"/>
            </w:tcBorders>
            <w:shd w:val="clear" w:color="000000" w:fill="E7E6E6"/>
            <w:noWrap/>
            <w:vAlign w:val="center"/>
            <w:hideMark/>
          </w:tcPr>
          <w:p w14:paraId="12719D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105,372.1</w:t>
            </w:r>
          </w:p>
        </w:tc>
        <w:tc>
          <w:tcPr>
            <w:tcW w:w="910" w:type="dxa"/>
            <w:tcBorders>
              <w:top w:val="nil"/>
              <w:left w:val="nil"/>
              <w:bottom w:val="nil"/>
              <w:right w:val="nil"/>
            </w:tcBorders>
            <w:shd w:val="clear" w:color="000000" w:fill="E7E6E6"/>
            <w:noWrap/>
            <w:vAlign w:val="center"/>
            <w:hideMark/>
          </w:tcPr>
          <w:p w14:paraId="2BB3045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128,366.0</w:t>
            </w:r>
          </w:p>
        </w:tc>
        <w:tc>
          <w:tcPr>
            <w:tcW w:w="910" w:type="dxa"/>
            <w:tcBorders>
              <w:top w:val="nil"/>
              <w:left w:val="nil"/>
              <w:bottom w:val="nil"/>
              <w:right w:val="nil"/>
            </w:tcBorders>
            <w:shd w:val="clear" w:color="000000" w:fill="E7E6E6"/>
            <w:noWrap/>
            <w:vAlign w:val="center"/>
            <w:hideMark/>
          </w:tcPr>
          <w:p w14:paraId="0DBA98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141,562.5</w:t>
            </w:r>
          </w:p>
        </w:tc>
      </w:tr>
      <w:tr w:rsidR="00134C08" w:rsidRPr="00134C08" w14:paraId="40F5D31F" w14:textId="77777777" w:rsidTr="00360FE5">
        <w:trPr>
          <w:trHeight w:val="210"/>
        </w:trPr>
        <w:tc>
          <w:tcPr>
            <w:tcW w:w="450" w:type="dxa"/>
            <w:tcBorders>
              <w:top w:val="nil"/>
              <w:left w:val="nil"/>
              <w:bottom w:val="nil"/>
              <w:right w:val="nil"/>
            </w:tcBorders>
            <w:shd w:val="clear" w:color="auto" w:fill="auto"/>
            <w:noWrap/>
            <w:hideMark/>
          </w:tcPr>
          <w:p w14:paraId="7CC5D25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w:t>
            </w:r>
          </w:p>
        </w:tc>
        <w:tc>
          <w:tcPr>
            <w:tcW w:w="5130" w:type="dxa"/>
            <w:tcBorders>
              <w:top w:val="nil"/>
              <w:left w:val="nil"/>
              <w:bottom w:val="nil"/>
              <w:right w:val="nil"/>
            </w:tcBorders>
            <w:shd w:val="clear" w:color="auto" w:fill="auto"/>
            <w:noWrap/>
            <w:vAlign w:val="center"/>
            <w:hideMark/>
          </w:tcPr>
          <w:p w14:paraId="4C24410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Exempting the supply of fixed assets used as contributions to the owner’s equity of a company </w:t>
            </w:r>
          </w:p>
        </w:tc>
        <w:tc>
          <w:tcPr>
            <w:tcW w:w="910" w:type="dxa"/>
            <w:tcBorders>
              <w:top w:val="nil"/>
              <w:left w:val="nil"/>
              <w:bottom w:val="nil"/>
              <w:right w:val="nil"/>
            </w:tcBorders>
            <w:shd w:val="clear" w:color="auto" w:fill="auto"/>
            <w:noWrap/>
            <w:vAlign w:val="center"/>
            <w:hideMark/>
          </w:tcPr>
          <w:p w14:paraId="25DFA4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FB69F1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C02E27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5B7D62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89ED8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9121ECB" w14:textId="77777777" w:rsidTr="00360FE5">
        <w:trPr>
          <w:trHeight w:val="210"/>
        </w:trPr>
        <w:tc>
          <w:tcPr>
            <w:tcW w:w="450" w:type="dxa"/>
            <w:tcBorders>
              <w:top w:val="nil"/>
              <w:left w:val="nil"/>
              <w:bottom w:val="nil"/>
              <w:right w:val="nil"/>
            </w:tcBorders>
            <w:shd w:val="clear" w:color="auto" w:fill="auto"/>
            <w:noWrap/>
            <w:hideMark/>
          </w:tcPr>
          <w:p w14:paraId="31B114D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w:t>
            </w:r>
          </w:p>
        </w:tc>
        <w:tc>
          <w:tcPr>
            <w:tcW w:w="5130" w:type="dxa"/>
            <w:tcBorders>
              <w:top w:val="nil"/>
              <w:left w:val="nil"/>
              <w:bottom w:val="nil"/>
              <w:right w:val="nil"/>
            </w:tcBorders>
            <w:shd w:val="clear" w:color="auto" w:fill="auto"/>
            <w:noWrap/>
            <w:vAlign w:val="center"/>
            <w:hideMark/>
          </w:tcPr>
          <w:p w14:paraId="717A62D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services performed by entities operating in the field of science and innovation technologies</w:t>
            </w:r>
          </w:p>
        </w:tc>
        <w:tc>
          <w:tcPr>
            <w:tcW w:w="910" w:type="dxa"/>
            <w:tcBorders>
              <w:top w:val="nil"/>
              <w:left w:val="nil"/>
              <w:bottom w:val="nil"/>
              <w:right w:val="nil"/>
            </w:tcBorders>
            <w:shd w:val="clear" w:color="000000" w:fill="E7E6E6"/>
            <w:noWrap/>
            <w:vAlign w:val="center"/>
            <w:hideMark/>
          </w:tcPr>
          <w:p w14:paraId="7F2F866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1,646.7</w:t>
            </w:r>
          </w:p>
        </w:tc>
        <w:tc>
          <w:tcPr>
            <w:tcW w:w="910" w:type="dxa"/>
            <w:tcBorders>
              <w:top w:val="nil"/>
              <w:left w:val="nil"/>
              <w:bottom w:val="nil"/>
              <w:right w:val="nil"/>
            </w:tcBorders>
            <w:shd w:val="clear" w:color="000000" w:fill="E7E6E6"/>
            <w:noWrap/>
            <w:vAlign w:val="center"/>
            <w:hideMark/>
          </w:tcPr>
          <w:p w14:paraId="5D453B8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1,852.5</w:t>
            </w:r>
          </w:p>
        </w:tc>
        <w:tc>
          <w:tcPr>
            <w:tcW w:w="910" w:type="dxa"/>
            <w:tcBorders>
              <w:top w:val="nil"/>
              <w:left w:val="nil"/>
              <w:bottom w:val="nil"/>
              <w:right w:val="nil"/>
            </w:tcBorders>
            <w:shd w:val="clear" w:color="000000" w:fill="E7E6E6"/>
            <w:noWrap/>
            <w:vAlign w:val="center"/>
            <w:hideMark/>
          </w:tcPr>
          <w:p w14:paraId="440A41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1,852.5</w:t>
            </w:r>
          </w:p>
        </w:tc>
        <w:tc>
          <w:tcPr>
            <w:tcW w:w="910" w:type="dxa"/>
            <w:tcBorders>
              <w:top w:val="nil"/>
              <w:left w:val="nil"/>
              <w:bottom w:val="nil"/>
              <w:right w:val="nil"/>
            </w:tcBorders>
            <w:shd w:val="clear" w:color="000000" w:fill="E7E6E6"/>
            <w:noWrap/>
            <w:vAlign w:val="center"/>
            <w:hideMark/>
          </w:tcPr>
          <w:p w14:paraId="586C80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2,264.2</w:t>
            </w:r>
          </w:p>
        </w:tc>
        <w:tc>
          <w:tcPr>
            <w:tcW w:w="910" w:type="dxa"/>
            <w:tcBorders>
              <w:top w:val="nil"/>
              <w:left w:val="nil"/>
              <w:bottom w:val="nil"/>
              <w:right w:val="nil"/>
            </w:tcBorders>
            <w:shd w:val="clear" w:color="000000" w:fill="E7E6E6"/>
            <w:noWrap/>
            <w:vAlign w:val="center"/>
            <w:hideMark/>
          </w:tcPr>
          <w:p w14:paraId="5584F75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2,470.0</w:t>
            </w:r>
          </w:p>
        </w:tc>
      </w:tr>
      <w:tr w:rsidR="00134C08" w:rsidRPr="00134C08" w14:paraId="59DBCB9D" w14:textId="77777777" w:rsidTr="00360FE5">
        <w:trPr>
          <w:trHeight w:val="210"/>
        </w:trPr>
        <w:tc>
          <w:tcPr>
            <w:tcW w:w="450" w:type="dxa"/>
            <w:tcBorders>
              <w:top w:val="nil"/>
              <w:left w:val="nil"/>
              <w:bottom w:val="nil"/>
              <w:right w:val="nil"/>
            </w:tcBorders>
            <w:shd w:val="clear" w:color="auto" w:fill="auto"/>
            <w:noWrap/>
            <w:hideMark/>
          </w:tcPr>
          <w:p w14:paraId="77344F8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w:t>
            </w:r>
          </w:p>
        </w:tc>
        <w:tc>
          <w:tcPr>
            <w:tcW w:w="5130" w:type="dxa"/>
            <w:tcBorders>
              <w:top w:val="nil"/>
              <w:left w:val="nil"/>
              <w:bottom w:val="nil"/>
              <w:right w:val="nil"/>
            </w:tcBorders>
            <w:shd w:val="clear" w:color="auto" w:fill="auto"/>
            <w:noWrap/>
            <w:vAlign w:val="center"/>
            <w:hideMark/>
          </w:tcPr>
          <w:p w14:paraId="2CDCAD1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aircraft, helicopters and trains for passenger transportation, and related leasing services</w:t>
            </w:r>
          </w:p>
        </w:tc>
        <w:tc>
          <w:tcPr>
            <w:tcW w:w="910" w:type="dxa"/>
            <w:tcBorders>
              <w:top w:val="nil"/>
              <w:left w:val="nil"/>
              <w:bottom w:val="nil"/>
              <w:right w:val="nil"/>
            </w:tcBorders>
            <w:shd w:val="clear" w:color="auto" w:fill="auto"/>
            <w:noWrap/>
            <w:vAlign w:val="center"/>
            <w:hideMark/>
          </w:tcPr>
          <w:p w14:paraId="28E90F5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FFD669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755E31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4F48A5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46D22C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3003FB5" w14:textId="77777777" w:rsidTr="00360FE5">
        <w:trPr>
          <w:trHeight w:val="210"/>
        </w:trPr>
        <w:tc>
          <w:tcPr>
            <w:tcW w:w="450" w:type="dxa"/>
            <w:tcBorders>
              <w:top w:val="nil"/>
              <w:left w:val="nil"/>
              <w:bottom w:val="nil"/>
              <w:right w:val="nil"/>
            </w:tcBorders>
            <w:shd w:val="clear" w:color="auto" w:fill="auto"/>
            <w:noWrap/>
            <w:hideMark/>
          </w:tcPr>
          <w:p w14:paraId="601F1D0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lastRenderedPageBreak/>
              <w:t>26</w:t>
            </w:r>
          </w:p>
        </w:tc>
        <w:tc>
          <w:tcPr>
            <w:tcW w:w="5130" w:type="dxa"/>
            <w:tcBorders>
              <w:top w:val="nil"/>
              <w:left w:val="nil"/>
              <w:bottom w:val="nil"/>
              <w:right w:val="nil"/>
            </w:tcBorders>
            <w:shd w:val="clear" w:color="auto" w:fill="auto"/>
            <w:noWrap/>
            <w:vAlign w:val="center"/>
            <w:hideMark/>
          </w:tcPr>
          <w:p w14:paraId="24A96AF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air medical services</w:t>
            </w:r>
          </w:p>
        </w:tc>
        <w:tc>
          <w:tcPr>
            <w:tcW w:w="910" w:type="dxa"/>
            <w:tcBorders>
              <w:top w:val="nil"/>
              <w:left w:val="nil"/>
              <w:bottom w:val="nil"/>
              <w:right w:val="nil"/>
            </w:tcBorders>
            <w:shd w:val="clear" w:color="auto" w:fill="auto"/>
            <w:noWrap/>
            <w:vAlign w:val="center"/>
            <w:hideMark/>
          </w:tcPr>
          <w:p w14:paraId="12793B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FFBF34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FB07C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00A708F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30E9F4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19533372" w14:textId="77777777" w:rsidTr="00360FE5">
        <w:trPr>
          <w:trHeight w:val="210"/>
        </w:trPr>
        <w:tc>
          <w:tcPr>
            <w:tcW w:w="450" w:type="dxa"/>
            <w:tcBorders>
              <w:top w:val="nil"/>
              <w:left w:val="nil"/>
              <w:bottom w:val="nil"/>
              <w:right w:val="nil"/>
            </w:tcBorders>
            <w:shd w:val="clear" w:color="auto" w:fill="auto"/>
            <w:noWrap/>
            <w:hideMark/>
          </w:tcPr>
          <w:p w14:paraId="3B98BF7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w:t>
            </w:r>
          </w:p>
        </w:tc>
        <w:tc>
          <w:tcPr>
            <w:tcW w:w="5130" w:type="dxa"/>
            <w:tcBorders>
              <w:top w:val="nil"/>
              <w:left w:val="nil"/>
              <w:bottom w:val="nil"/>
              <w:right w:val="nil"/>
            </w:tcBorders>
            <w:shd w:val="clear" w:color="auto" w:fill="auto"/>
            <w:noWrap/>
            <w:vAlign w:val="center"/>
            <w:hideMark/>
          </w:tcPr>
          <w:p w14:paraId="6DF6C72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(and importation) of samples the value of which does not exceed MDL22,000</w:t>
            </w:r>
          </w:p>
        </w:tc>
        <w:tc>
          <w:tcPr>
            <w:tcW w:w="910" w:type="dxa"/>
            <w:tcBorders>
              <w:top w:val="nil"/>
              <w:left w:val="nil"/>
              <w:bottom w:val="nil"/>
              <w:right w:val="nil"/>
            </w:tcBorders>
            <w:shd w:val="clear" w:color="auto" w:fill="auto"/>
            <w:noWrap/>
            <w:vAlign w:val="center"/>
            <w:hideMark/>
          </w:tcPr>
          <w:p w14:paraId="2F425CA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FE99C3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01B5F4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523B49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5D4A1E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C4BBA3A" w14:textId="77777777" w:rsidTr="00360FE5">
        <w:trPr>
          <w:trHeight w:val="210"/>
        </w:trPr>
        <w:tc>
          <w:tcPr>
            <w:tcW w:w="450" w:type="dxa"/>
            <w:tcBorders>
              <w:top w:val="nil"/>
              <w:left w:val="nil"/>
              <w:bottom w:val="nil"/>
              <w:right w:val="nil"/>
            </w:tcBorders>
            <w:shd w:val="clear" w:color="auto" w:fill="auto"/>
            <w:noWrap/>
            <w:hideMark/>
          </w:tcPr>
          <w:p w14:paraId="27E955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w:t>
            </w:r>
          </w:p>
        </w:tc>
        <w:tc>
          <w:tcPr>
            <w:tcW w:w="5130" w:type="dxa"/>
            <w:tcBorders>
              <w:top w:val="nil"/>
              <w:left w:val="nil"/>
              <w:bottom w:val="nil"/>
              <w:right w:val="nil"/>
            </w:tcBorders>
            <w:shd w:val="clear" w:color="auto" w:fill="auto"/>
            <w:noWrap/>
            <w:vAlign w:val="center"/>
            <w:hideMark/>
          </w:tcPr>
          <w:p w14:paraId="3D8DC54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(and importation) of tractors and other agricultural machinery, provided that these are not rented or leased during 3 years from the date of importation or acquisition</w:t>
            </w:r>
          </w:p>
        </w:tc>
        <w:tc>
          <w:tcPr>
            <w:tcW w:w="910" w:type="dxa"/>
            <w:tcBorders>
              <w:top w:val="nil"/>
              <w:left w:val="nil"/>
              <w:bottom w:val="nil"/>
              <w:right w:val="nil"/>
            </w:tcBorders>
            <w:shd w:val="clear" w:color="auto" w:fill="auto"/>
            <w:noWrap/>
            <w:vAlign w:val="center"/>
            <w:hideMark/>
          </w:tcPr>
          <w:p w14:paraId="02D648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19EAB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F15B9F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2F8D17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2D5B9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38E0EC3" w14:textId="77777777" w:rsidTr="00360FE5">
        <w:trPr>
          <w:trHeight w:val="210"/>
        </w:trPr>
        <w:tc>
          <w:tcPr>
            <w:tcW w:w="450" w:type="dxa"/>
            <w:tcBorders>
              <w:top w:val="nil"/>
              <w:left w:val="nil"/>
              <w:bottom w:val="nil"/>
              <w:right w:val="nil"/>
            </w:tcBorders>
            <w:shd w:val="clear" w:color="auto" w:fill="auto"/>
            <w:noWrap/>
            <w:hideMark/>
          </w:tcPr>
          <w:p w14:paraId="3034353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w:t>
            </w:r>
          </w:p>
        </w:tc>
        <w:tc>
          <w:tcPr>
            <w:tcW w:w="5130" w:type="dxa"/>
            <w:tcBorders>
              <w:top w:val="nil"/>
              <w:left w:val="nil"/>
              <w:bottom w:val="nil"/>
              <w:right w:val="nil"/>
            </w:tcBorders>
            <w:shd w:val="clear" w:color="auto" w:fill="auto"/>
            <w:noWrap/>
            <w:vAlign w:val="center"/>
            <w:hideMark/>
          </w:tcPr>
          <w:p w14:paraId="5DE93E7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the supply of goods and services for no consideration for the promotion of trade in the amount of 0.5% of sales return for the previous year</w:t>
            </w:r>
          </w:p>
        </w:tc>
        <w:tc>
          <w:tcPr>
            <w:tcW w:w="910" w:type="dxa"/>
            <w:tcBorders>
              <w:top w:val="nil"/>
              <w:left w:val="nil"/>
              <w:bottom w:val="nil"/>
              <w:right w:val="nil"/>
            </w:tcBorders>
            <w:shd w:val="clear" w:color="auto" w:fill="auto"/>
            <w:noWrap/>
            <w:vAlign w:val="center"/>
            <w:hideMark/>
          </w:tcPr>
          <w:p w14:paraId="580F29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8AEBFB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2FE8BA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A4159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81D9F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0F19E66" w14:textId="77777777" w:rsidTr="00360FE5">
        <w:trPr>
          <w:trHeight w:val="210"/>
        </w:trPr>
        <w:tc>
          <w:tcPr>
            <w:tcW w:w="450" w:type="dxa"/>
            <w:tcBorders>
              <w:top w:val="nil"/>
              <w:left w:val="nil"/>
              <w:bottom w:val="nil"/>
              <w:right w:val="nil"/>
            </w:tcBorders>
            <w:shd w:val="clear" w:color="auto" w:fill="auto"/>
            <w:noWrap/>
            <w:hideMark/>
          </w:tcPr>
          <w:p w14:paraId="1BD90E7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w:t>
            </w:r>
          </w:p>
        </w:tc>
        <w:tc>
          <w:tcPr>
            <w:tcW w:w="5130" w:type="dxa"/>
            <w:tcBorders>
              <w:top w:val="nil"/>
              <w:left w:val="nil"/>
              <w:bottom w:val="nil"/>
              <w:right w:val="nil"/>
            </w:tcBorders>
            <w:shd w:val="clear" w:color="auto" w:fill="auto"/>
            <w:noWrap/>
            <w:vAlign w:val="center"/>
            <w:hideMark/>
          </w:tcPr>
          <w:p w14:paraId="710C5A2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Exempting property transferred as a result of a company reorganization</w:t>
            </w:r>
          </w:p>
        </w:tc>
        <w:tc>
          <w:tcPr>
            <w:tcW w:w="910" w:type="dxa"/>
            <w:tcBorders>
              <w:top w:val="nil"/>
              <w:left w:val="nil"/>
              <w:bottom w:val="nil"/>
              <w:right w:val="nil"/>
            </w:tcBorders>
            <w:shd w:val="clear" w:color="auto" w:fill="auto"/>
            <w:noWrap/>
            <w:vAlign w:val="center"/>
            <w:hideMark/>
          </w:tcPr>
          <w:p w14:paraId="01EB2DC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647501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8D8F3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6016D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5FDB73A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74E43CE" w14:textId="77777777" w:rsidTr="00360FE5">
        <w:trPr>
          <w:trHeight w:val="210"/>
        </w:trPr>
        <w:tc>
          <w:tcPr>
            <w:tcW w:w="450" w:type="dxa"/>
            <w:tcBorders>
              <w:top w:val="nil"/>
              <w:left w:val="nil"/>
              <w:bottom w:val="nil"/>
              <w:right w:val="nil"/>
            </w:tcBorders>
            <w:shd w:val="clear" w:color="auto" w:fill="auto"/>
            <w:noWrap/>
            <w:hideMark/>
          </w:tcPr>
          <w:p w14:paraId="50566D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w:t>
            </w:r>
          </w:p>
        </w:tc>
        <w:tc>
          <w:tcPr>
            <w:tcW w:w="5130" w:type="dxa"/>
            <w:tcBorders>
              <w:top w:val="nil"/>
              <w:left w:val="nil"/>
              <w:bottom w:val="nil"/>
              <w:right w:val="nil"/>
            </w:tcBorders>
            <w:shd w:val="clear" w:color="auto" w:fill="auto"/>
            <w:noWrap/>
            <w:vAlign w:val="center"/>
            <w:hideMark/>
          </w:tcPr>
          <w:p w14:paraId="1EBDF9A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goods imported for personal use or consumption</w:t>
            </w:r>
          </w:p>
        </w:tc>
        <w:tc>
          <w:tcPr>
            <w:tcW w:w="910" w:type="dxa"/>
            <w:tcBorders>
              <w:top w:val="nil"/>
              <w:left w:val="nil"/>
              <w:bottom w:val="nil"/>
              <w:right w:val="nil"/>
            </w:tcBorders>
            <w:shd w:val="clear" w:color="auto" w:fill="auto"/>
            <w:noWrap/>
            <w:vAlign w:val="center"/>
            <w:hideMark/>
          </w:tcPr>
          <w:p w14:paraId="792068B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6B5E32E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7D2F26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2AB0FD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78BBF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57635C9" w14:textId="77777777" w:rsidTr="00360FE5">
        <w:trPr>
          <w:trHeight w:val="210"/>
        </w:trPr>
        <w:tc>
          <w:tcPr>
            <w:tcW w:w="450" w:type="dxa"/>
            <w:tcBorders>
              <w:top w:val="nil"/>
              <w:left w:val="nil"/>
              <w:bottom w:val="nil"/>
              <w:right w:val="nil"/>
            </w:tcBorders>
            <w:shd w:val="clear" w:color="auto" w:fill="auto"/>
            <w:noWrap/>
            <w:hideMark/>
          </w:tcPr>
          <w:p w14:paraId="708C20D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32</w:t>
            </w:r>
          </w:p>
        </w:tc>
        <w:tc>
          <w:tcPr>
            <w:tcW w:w="5130" w:type="dxa"/>
            <w:tcBorders>
              <w:top w:val="nil"/>
              <w:left w:val="nil"/>
              <w:bottom w:val="nil"/>
              <w:right w:val="nil"/>
            </w:tcBorders>
            <w:shd w:val="clear" w:color="auto" w:fill="auto"/>
            <w:noWrap/>
            <w:vAlign w:val="center"/>
            <w:hideMark/>
          </w:tcPr>
          <w:p w14:paraId="4AD473E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personal goods inherited or imported upon establishing residence in Moldova</w:t>
            </w:r>
          </w:p>
        </w:tc>
        <w:tc>
          <w:tcPr>
            <w:tcW w:w="910" w:type="dxa"/>
            <w:tcBorders>
              <w:top w:val="nil"/>
              <w:left w:val="nil"/>
              <w:bottom w:val="nil"/>
              <w:right w:val="nil"/>
            </w:tcBorders>
            <w:shd w:val="clear" w:color="auto" w:fill="auto"/>
            <w:noWrap/>
            <w:vAlign w:val="center"/>
            <w:hideMark/>
          </w:tcPr>
          <w:p w14:paraId="536F4DB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7006504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3D42C75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45E5AE0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center"/>
            <w:hideMark/>
          </w:tcPr>
          <w:p w14:paraId="1751BAC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E9574FF" w14:textId="77777777" w:rsidTr="00360FE5">
        <w:trPr>
          <w:trHeight w:val="210"/>
        </w:trPr>
        <w:tc>
          <w:tcPr>
            <w:tcW w:w="450" w:type="dxa"/>
            <w:tcBorders>
              <w:top w:val="nil"/>
              <w:left w:val="nil"/>
              <w:bottom w:val="nil"/>
              <w:right w:val="nil"/>
            </w:tcBorders>
            <w:shd w:val="clear" w:color="auto" w:fill="auto"/>
            <w:noWrap/>
            <w:hideMark/>
          </w:tcPr>
          <w:p w14:paraId="12FA38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w:t>
            </w:r>
          </w:p>
        </w:tc>
        <w:tc>
          <w:tcPr>
            <w:tcW w:w="5130" w:type="dxa"/>
            <w:tcBorders>
              <w:top w:val="nil"/>
              <w:left w:val="nil"/>
              <w:bottom w:val="nil"/>
              <w:right w:val="nil"/>
            </w:tcBorders>
            <w:shd w:val="clear" w:color="auto" w:fill="auto"/>
            <w:noWrap/>
            <w:vAlign w:val="center"/>
            <w:hideMark/>
          </w:tcPr>
          <w:p w14:paraId="244E215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honorary decorations and awards</w:t>
            </w:r>
          </w:p>
        </w:tc>
        <w:tc>
          <w:tcPr>
            <w:tcW w:w="910" w:type="dxa"/>
            <w:tcBorders>
              <w:top w:val="nil"/>
              <w:left w:val="nil"/>
              <w:bottom w:val="nil"/>
              <w:right w:val="nil"/>
            </w:tcBorders>
            <w:shd w:val="clear" w:color="auto" w:fill="auto"/>
            <w:noWrap/>
            <w:vAlign w:val="bottom"/>
            <w:hideMark/>
          </w:tcPr>
          <w:p w14:paraId="6460B6E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6D55A8A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0A3364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0A598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BE36B3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303E5259" w14:textId="77777777" w:rsidTr="00360FE5">
        <w:trPr>
          <w:trHeight w:val="210"/>
        </w:trPr>
        <w:tc>
          <w:tcPr>
            <w:tcW w:w="450" w:type="dxa"/>
            <w:tcBorders>
              <w:top w:val="nil"/>
              <w:left w:val="nil"/>
              <w:bottom w:val="nil"/>
              <w:right w:val="nil"/>
            </w:tcBorders>
            <w:shd w:val="clear" w:color="auto" w:fill="auto"/>
            <w:noWrap/>
            <w:hideMark/>
          </w:tcPr>
          <w:p w14:paraId="46B64E2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w:t>
            </w:r>
          </w:p>
        </w:tc>
        <w:tc>
          <w:tcPr>
            <w:tcW w:w="5130" w:type="dxa"/>
            <w:tcBorders>
              <w:top w:val="nil"/>
              <w:left w:val="nil"/>
              <w:bottom w:val="nil"/>
              <w:right w:val="nil"/>
            </w:tcBorders>
            <w:shd w:val="clear" w:color="auto" w:fill="auto"/>
            <w:noWrap/>
            <w:vAlign w:val="center"/>
            <w:hideMark/>
          </w:tcPr>
          <w:p w14:paraId="5AE1F1C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imported funerary goods</w:t>
            </w:r>
          </w:p>
        </w:tc>
        <w:tc>
          <w:tcPr>
            <w:tcW w:w="910" w:type="dxa"/>
            <w:tcBorders>
              <w:top w:val="nil"/>
              <w:left w:val="nil"/>
              <w:bottom w:val="nil"/>
              <w:right w:val="nil"/>
            </w:tcBorders>
            <w:shd w:val="clear" w:color="auto" w:fill="auto"/>
            <w:noWrap/>
            <w:vAlign w:val="center"/>
            <w:hideMark/>
          </w:tcPr>
          <w:p w14:paraId="290572E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5115DB5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4E8B6C4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55C575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33D42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394DD2FC" w14:textId="77777777" w:rsidTr="00360FE5">
        <w:trPr>
          <w:trHeight w:val="210"/>
        </w:trPr>
        <w:tc>
          <w:tcPr>
            <w:tcW w:w="450" w:type="dxa"/>
            <w:tcBorders>
              <w:top w:val="nil"/>
              <w:left w:val="nil"/>
              <w:bottom w:val="nil"/>
              <w:right w:val="nil"/>
            </w:tcBorders>
            <w:shd w:val="clear" w:color="auto" w:fill="auto"/>
            <w:noWrap/>
            <w:hideMark/>
          </w:tcPr>
          <w:p w14:paraId="61E9F3A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35</w:t>
            </w:r>
          </w:p>
        </w:tc>
        <w:tc>
          <w:tcPr>
            <w:tcW w:w="5130" w:type="dxa"/>
            <w:tcBorders>
              <w:top w:val="nil"/>
              <w:left w:val="nil"/>
              <w:bottom w:val="nil"/>
              <w:right w:val="nil"/>
            </w:tcBorders>
            <w:shd w:val="clear" w:color="auto" w:fill="auto"/>
            <w:noWrap/>
            <w:vAlign w:val="center"/>
            <w:hideMark/>
          </w:tcPr>
          <w:p w14:paraId="673526E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goods imported for trade promotion purposes</w:t>
            </w:r>
          </w:p>
        </w:tc>
        <w:tc>
          <w:tcPr>
            <w:tcW w:w="910" w:type="dxa"/>
            <w:tcBorders>
              <w:top w:val="nil"/>
              <w:left w:val="nil"/>
              <w:bottom w:val="nil"/>
              <w:right w:val="nil"/>
            </w:tcBorders>
            <w:shd w:val="clear" w:color="auto" w:fill="auto"/>
            <w:noWrap/>
            <w:vAlign w:val="center"/>
            <w:hideMark/>
          </w:tcPr>
          <w:p w14:paraId="7D2278E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2E863CD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6ED80F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1DB02B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A0552F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3A548A2E" w14:textId="77777777" w:rsidTr="00360FE5">
        <w:trPr>
          <w:trHeight w:val="210"/>
        </w:trPr>
        <w:tc>
          <w:tcPr>
            <w:tcW w:w="450" w:type="dxa"/>
            <w:tcBorders>
              <w:top w:val="nil"/>
              <w:left w:val="nil"/>
              <w:bottom w:val="nil"/>
              <w:right w:val="nil"/>
            </w:tcBorders>
            <w:shd w:val="clear" w:color="auto" w:fill="auto"/>
            <w:noWrap/>
            <w:hideMark/>
          </w:tcPr>
          <w:p w14:paraId="79A3D8F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w:t>
            </w:r>
          </w:p>
        </w:tc>
        <w:tc>
          <w:tcPr>
            <w:tcW w:w="5130" w:type="dxa"/>
            <w:tcBorders>
              <w:top w:val="nil"/>
              <w:left w:val="nil"/>
              <w:bottom w:val="nil"/>
              <w:right w:val="nil"/>
            </w:tcBorders>
            <w:shd w:val="clear" w:color="auto" w:fill="auto"/>
            <w:noWrap/>
            <w:vAlign w:val="center"/>
            <w:hideMark/>
          </w:tcPr>
          <w:p w14:paraId="1DC8AB7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gifts received in the context of international relations</w:t>
            </w:r>
          </w:p>
        </w:tc>
        <w:tc>
          <w:tcPr>
            <w:tcW w:w="910" w:type="dxa"/>
            <w:tcBorders>
              <w:top w:val="nil"/>
              <w:left w:val="nil"/>
              <w:bottom w:val="nil"/>
              <w:right w:val="nil"/>
            </w:tcBorders>
            <w:shd w:val="clear" w:color="auto" w:fill="auto"/>
            <w:noWrap/>
            <w:vAlign w:val="center"/>
            <w:hideMark/>
          </w:tcPr>
          <w:p w14:paraId="3666E5B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2488B15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2B08587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A36520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0F5A2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169602D5" w14:textId="77777777" w:rsidTr="00360FE5">
        <w:trPr>
          <w:trHeight w:val="210"/>
        </w:trPr>
        <w:tc>
          <w:tcPr>
            <w:tcW w:w="450" w:type="dxa"/>
            <w:tcBorders>
              <w:top w:val="nil"/>
              <w:left w:val="nil"/>
              <w:bottom w:val="nil"/>
              <w:right w:val="nil"/>
            </w:tcBorders>
            <w:shd w:val="clear" w:color="auto" w:fill="auto"/>
            <w:noWrap/>
            <w:hideMark/>
          </w:tcPr>
          <w:p w14:paraId="5845D8A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37</w:t>
            </w:r>
          </w:p>
        </w:tc>
        <w:tc>
          <w:tcPr>
            <w:tcW w:w="5130" w:type="dxa"/>
            <w:tcBorders>
              <w:top w:val="nil"/>
              <w:left w:val="nil"/>
              <w:bottom w:val="nil"/>
              <w:right w:val="nil"/>
            </w:tcBorders>
            <w:shd w:val="clear" w:color="auto" w:fill="auto"/>
            <w:noWrap/>
            <w:vAlign w:val="center"/>
            <w:hideMark/>
          </w:tcPr>
          <w:p w14:paraId="0A96807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goods intended for heads of state</w:t>
            </w:r>
          </w:p>
        </w:tc>
        <w:tc>
          <w:tcPr>
            <w:tcW w:w="910" w:type="dxa"/>
            <w:tcBorders>
              <w:top w:val="nil"/>
              <w:left w:val="nil"/>
              <w:bottom w:val="nil"/>
              <w:right w:val="nil"/>
            </w:tcBorders>
            <w:shd w:val="clear" w:color="auto" w:fill="auto"/>
            <w:noWrap/>
            <w:vAlign w:val="center"/>
            <w:hideMark/>
          </w:tcPr>
          <w:p w14:paraId="4ACB861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CE2E10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26E107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21D8F2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ADC75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19DD2EF3" w14:textId="77777777" w:rsidTr="00360FE5">
        <w:trPr>
          <w:trHeight w:val="210"/>
        </w:trPr>
        <w:tc>
          <w:tcPr>
            <w:tcW w:w="450" w:type="dxa"/>
            <w:tcBorders>
              <w:top w:val="nil"/>
              <w:left w:val="nil"/>
              <w:bottom w:val="nil"/>
              <w:right w:val="nil"/>
            </w:tcBorders>
            <w:shd w:val="clear" w:color="auto" w:fill="auto"/>
            <w:noWrap/>
            <w:hideMark/>
          </w:tcPr>
          <w:p w14:paraId="13F754B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w:t>
            </w:r>
          </w:p>
        </w:tc>
        <w:tc>
          <w:tcPr>
            <w:tcW w:w="5130" w:type="dxa"/>
            <w:tcBorders>
              <w:top w:val="nil"/>
              <w:left w:val="nil"/>
              <w:bottom w:val="nil"/>
              <w:right w:val="nil"/>
            </w:tcBorders>
            <w:shd w:val="clear" w:color="auto" w:fill="auto"/>
            <w:noWrap/>
            <w:vAlign w:val="center"/>
            <w:hideMark/>
          </w:tcPr>
          <w:p w14:paraId="127A825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various official documents and goods</w:t>
            </w:r>
          </w:p>
        </w:tc>
        <w:tc>
          <w:tcPr>
            <w:tcW w:w="910" w:type="dxa"/>
            <w:tcBorders>
              <w:top w:val="nil"/>
              <w:left w:val="nil"/>
              <w:bottom w:val="nil"/>
              <w:right w:val="nil"/>
            </w:tcBorders>
            <w:shd w:val="clear" w:color="auto" w:fill="auto"/>
            <w:noWrap/>
            <w:vAlign w:val="center"/>
            <w:hideMark/>
          </w:tcPr>
          <w:p w14:paraId="00E73F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4288D4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655B13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07BB75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5536295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55CA65DF" w14:textId="77777777" w:rsidTr="00360FE5">
        <w:trPr>
          <w:trHeight w:val="210"/>
        </w:trPr>
        <w:tc>
          <w:tcPr>
            <w:tcW w:w="450" w:type="dxa"/>
            <w:tcBorders>
              <w:top w:val="nil"/>
              <w:left w:val="nil"/>
              <w:bottom w:val="nil"/>
              <w:right w:val="nil"/>
            </w:tcBorders>
            <w:shd w:val="clear" w:color="auto" w:fill="auto"/>
            <w:noWrap/>
            <w:hideMark/>
          </w:tcPr>
          <w:p w14:paraId="555EDE2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39</w:t>
            </w:r>
          </w:p>
        </w:tc>
        <w:tc>
          <w:tcPr>
            <w:tcW w:w="5130" w:type="dxa"/>
            <w:tcBorders>
              <w:top w:val="nil"/>
              <w:left w:val="nil"/>
              <w:bottom w:val="nil"/>
              <w:right w:val="nil"/>
            </w:tcBorders>
            <w:shd w:val="clear" w:color="auto" w:fill="auto"/>
            <w:noWrap/>
            <w:vAlign w:val="center"/>
            <w:hideMark/>
          </w:tcPr>
          <w:p w14:paraId="337DF2C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international aid</w:t>
            </w:r>
          </w:p>
        </w:tc>
        <w:tc>
          <w:tcPr>
            <w:tcW w:w="910" w:type="dxa"/>
            <w:tcBorders>
              <w:top w:val="nil"/>
              <w:left w:val="nil"/>
              <w:bottom w:val="nil"/>
              <w:right w:val="nil"/>
            </w:tcBorders>
            <w:shd w:val="clear" w:color="auto" w:fill="auto"/>
            <w:noWrap/>
            <w:vAlign w:val="center"/>
            <w:hideMark/>
          </w:tcPr>
          <w:p w14:paraId="01D8CB3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4F8B28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03E6C6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475C25C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352133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1515067C" w14:textId="77777777" w:rsidTr="00360FE5">
        <w:trPr>
          <w:trHeight w:val="210"/>
        </w:trPr>
        <w:tc>
          <w:tcPr>
            <w:tcW w:w="450" w:type="dxa"/>
            <w:tcBorders>
              <w:top w:val="nil"/>
              <w:left w:val="nil"/>
              <w:bottom w:val="nil"/>
              <w:right w:val="nil"/>
            </w:tcBorders>
            <w:shd w:val="clear" w:color="auto" w:fill="auto"/>
            <w:noWrap/>
            <w:hideMark/>
          </w:tcPr>
          <w:p w14:paraId="50B30D2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40</w:t>
            </w:r>
          </w:p>
        </w:tc>
        <w:tc>
          <w:tcPr>
            <w:tcW w:w="5130" w:type="dxa"/>
            <w:tcBorders>
              <w:top w:val="nil"/>
              <w:left w:val="nil"/>
              <w:bottom w:val="nil"/>
              <w:right w:val="nil"/>
            </w:tcBorders>
            <w:shd w:val="clear" w:color="auto" w:fill="auto"/>
            <w:noWrap/>
            <w:vAlign w:val="center"/>
            <w:hideMark/>
          </w:tcPr>
          <w:p w14:paraId="000C75A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goods for the use of disaster victims</w:t>
            </w:r>
          </w:p>
        </w:tc>
        <w:tc>
          <w:tcPr>
            <w:tcW w:w="910" w:type="dxa"/>
            <w:tcBorders>
              <w:top w:val="nil"/>
              <w:left w:val="nil"/>
              <w:bottom w:val="nil"/>
              <w:right w:val="nil"/>
            </w:tcBorders>
            <w:shd w:val="clear" w:color="auto" w:fill="auto"/>
            <w:noWrap/>
            <w:vAlign w:val="center"/>
            <w:hideMark/>
          </w:tcPr>
          <w:p w14:paraId="790A2B0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621C7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28FF6D2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6A0AF80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41DB4C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079E12DD" w14:textId="77777777" w:rsidTr="00360FE5">
        <w:trPr>
          <w:trHeight w:val="210"/>
        </w:trPr>
        <w:tc>
          <w:tcPr>
            <w:tcW w:w="450" w:type="dxa"/>
            <w:tcBorders>
              <w:top w:val="nil"/>
              <w:left w:val="nil"/>
              <w:bottom w:val="nil"/>
              <w:right w:val="nil"/>
            </w:tcBorders>
            <w:shd w:val="clear" w:color="auto" w:fill="auto"/>
            <w:noWrap/>
            <w:hideMark/>
          </w:tcPr>
          <w:p w14:paraId="62A6722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41</w:t>
            </w:r>
          </w:p>
        </w:tc>
        <w:tc>
          <w:tcPr>
            <w:tcW w:w="5130" w:type="dxa"/>
            <w:tcBorders>
              <w:top w:val="nil"/>
              <w:left w:val="nil"/>
              <w:bottom w:val="nil"/>
              <w:right w:val="nil"/>
            </w:tcBorders>
            <w:shd w:val="clear" w:color="auto" w:fill="auto"/>
            <w:noWrap/>
            <w:vAlign w:val="center"/>
            <w:hideMark/>
          </w:tcPr>
          <w:p w14:paraId="26770BD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goods for the use of disabled persons</w:t>
            </w:r>
          </w:p>
        </w:tc>
        <w:tc>
          <w:tcPr>
            <w:tcW w:w="910" w:type="dxa"/>
            <w:tcBorders>
              <w:top w:val="nil"/>
              <w:left w:val="nil"/>
              <w:bottom w:val="nil"/>
              <w:right w:val="nil"/>
            </w:tcBorders>
            <w:shd w:val="clear" w:color="auto" w:fill="auto"/>
            <w:noWrap/>
            <w:vAlign w:val="center"/>
            <w:hideMark/>
          </w:tcPr>
          <w:p w14:paraId="400E8C6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092E10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473A30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1E6AEE7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074BF26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7DE70EFA" w14:textId="77777777" w:rsidTr="00360FE5">
        <w:trPr>
          <w:trHeight w:val="210"/>
        </w:trPr>
        <w:tc>
          <w:tcPr>
            <w:tcW w:w="450" w:type="dxa"/>
            <w:tcBorders>
              <w:top w:val="nil"/>
              <w:left w:val="nil"/>
              <w:bottom w:val="nil"/>
              <w:right w:val="nil"/>
            </w:tcBorders>
            <w:shd w:val="clear" w:color="auto" w:fill="auto"/>
            <w:noWrap/>
            <w:hideMark/>
          </w:tcPr>
          <w:p w14:paraId="56464E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42</w:t>
            </w:r>
          </w:p>
        </w:tc>
        <w:tc>
          <w:tcPr>
            <w:tcW w:w="5130" w:type="dxa"/>
            <w:tcBorders>
              <w:top w:val="nil"/>
              <w:left w:val="nil"/>
              <w:bottom w:val="nil"/>
              <w:right w:val="nil"/>
            </w:tcBorders>
            <w:shd w:val="clear" w:color="auto" w:fill="auto"/>
            <w:noWrap/>
            <w:vAlign w:val="center"/>
            <w:hideMark/>
          </w:tcPr>
          <w:p w14:paraId="623B708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reference substances for quality control of medicines</w:t>
            </w:r>
          </w:p>
        </w:tc>
        <w:tc>
          <w:tcPr>
            <w:tcW w:w="910" w:type="dxa"/>
            <w:tcBorders>
              <w:top w:val="nil"/>
              <w:left w:val="nil"/>
              <w:bottom w:val="nil"/>
              <w:right w:val="nil"/>
            </w:tcBorders>
            <w:shd w:val="clear" w:color="auto" w:fill="auto"/>
            <w:noWrap/>
            <w:vAlign w:val="center"/>
            <w:hideMark/>
          </w:tcPr>
          <w:p w14:paraId="1D58EF7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7E69A5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64BAEE3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725197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c>
          <w:tcPr>
            <w:tcW w:w="910" w:type="dxa"/>
            <w:tcBorders>
              <w:top w:val="nil"/>
              <w:left w:val="nil"/>
              <w:bottom w:val="nil"/>
              <w:right w:val="nil"/>
            </w:tcBorders>
            <w:shd w:val="clear" w:color="auto" w:fill="auto"/>
            <w:noWrap/>
            <w:vAlign w:val="center"/>
            <w:hideMark/>
          </w:tcPr>
          <w:p w14:paraId="3F24B2A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 —</w:t>
            </w:r>
          </w:p>
        </w:tc>
      </w:tr>
      <w:tr w:rsidR="00134C08" w:rsidRPr="00134C08" w14:paraId="41206B41" w14:textId="77777777" w:rsidTr="00360FE5">
        <w:trPr>
          <w:trHeight w:val="210"/>
        </w:trPr>
        <w:tc>
          <w:tcPr>
            <w:tcW w:w="450" w:type="dxa"/>
            <w:tcBorders>
              <w:top w:val="nil"/>
              <w:left w:val="nil"/>
              <w:bottom w:val="nil"/>
              <w:right w:val="nil"/>
            </w:tcBorders>
            <w:shd w:val="clear" w:color="auto" w:fill="auto"/>
            <w:noWrap/>
            <w:hideMark/>
          </w:tcPr>
          <w:p w14:paraId="24368A4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43</w:t>
            </w:r>
          </w:p>
        </w:tc>
        <w:tc>
          <w:tcPr>
            <w:tcW w:w="5130" w:type="dxa"/>
            <w:tcBorders>
              <w:top w:val="nil"/>
              <w:left w:val="nil"/>
              <w:bottom w:val="nil"/>
              <w:right w:val="nil"/>
            </w:tcBorders>
            <w:shd w:val="clear" w:color="auto" w:fill="auto"/>
            <w:noWrap/>
            <w:vAlign w:val="center"/>
            <w:hideMark/>
          </w:tcPr>
          <w:p w14:paraId="5B6295C9"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certain medical products and instruments</w:t>
            </w:r>
          </w:p>
        </w:tc>
        <w:tc>
          <w:tcPr>
            <w:tcW w:w="910" w:type="dxa"/>
            <w:tcBorders>
              <w:top w:val="nil"/>
              <w:left w:val="nil"/>
              <w:bottom w:val="nil"/>
              <w:right w:val="nil"/>
            </w:tcBorders>
            <w:shd w:val="clear" w:color="auto" w:fill="auto"/>
            <w:noWrap/>
            <w:vAlign w:val="center"/>
            <w:hideMark/>
          </w:tcPr>
          <w:p w14:paraId="7019265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0FE1E9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68B45A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69FDCEA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48ECD7D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3C3316FF" w14:textId="77777777" w:rsidTr="00360FE5">
        <w:trPr>
          <w:trHeight w:val="210"/>
        </w:trPr>
        <w:tc>
          <w:tcPr>
            <w:tcW w:w="450" w:type="dxa"/>
            <w:tcBorders>
              <w:top w:val="nil"/>
              <w:left w:val="nil"/>
              <w:bottom w:val="nil"/>
              <w:right w:val="nil"/>
            </w:tcBorders>
            <w:shd w:val="clear" w:color="auto" w:fill="auto"/>
            <w:noWrap/>
            <w:hideMark/>
          </w:tcPr>
          <w:p w14:paraId="13BF7F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44</w:t>
            </w:r>
          </w:p>
        </w:tc>
        <w:tc>
          <w:tcPr>
            <w:tcW w:w="5130" w:type="dxa"/>
            <w:tcBorders>
              <w:top w:val="nil"/>
              <w:left w:val="nil"/>
              <w:bottom w:val="nil"/>
              <w:right w:val="nil"/>
            </w:tcBorders>
            <w:shd w:val="clear" w:color="auto" w:fill="auto"/>
            <w:noWrap/>
            <w:vAlign w:val="center"/>
            <w:hideMark/>
          </w:tcPr>
          <w:p w14:paraId="349A418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educational, scientific and cultural materials</w:t>
            </w:r>
          </w:p>
        </w:tc>
        <w:tc>
          <w:tcPr>
            <w:tcW w:w="910" w:type="dxa"/>
            <w:tcBorders>
              <w:top w:val="nil"/>
              <w:left w:val="nil"/>
              <w:bottom w:val="nil"/>
              <w:right w:val="nil"/>
            </w:tcBorders>
            <w:shd w:val="clear" w:color="auto" w:fill="auto"/>
            <w:noWrap/>
            <w:vAlign w:val="center"/>
            <w:hideMark/>
          </w:tcPr>
          <w:p w14:paraId="1CD050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7EA0A56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73F6AFE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59C6BCA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38414C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4B2935DA" w14:textId="77777777" w:rsidTr="00360FE5">
        <w:trPr>
          <w:trHeight w:val="210"/>
        </w:trPr>
        <w:tc>
          <w:tcPr>
            <w:tcW w:w="450" w:type="dxa"/>
            <w:tcBorders>
              <w:top w:val="nil"/>
              <w:left w:val="nil"/>
              <w:bottom w:val="nil"/>
              <w:right w:val="nil"/>
            </w:tcBorders>
            <w:shd w:val="clear" w:color="auto" w:fill="auto"/>
            <w:noWrap/>
            <w:hideMark/>
          </w:tcPr>
          <w:p w14:paraId="0F05F8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45</w:t>
            </w:r>
          </w:p>
        </w:tc>
        <w:tc>
          <w:tcPr>
            <w:tcW w:w="5130" w:type="dxa"/>
            <w:tcBorders>
              <w:top w:val="nil"/>
              <w:left w:val="nil"/>
              <w:bottom w:val="nil"/>
              <w:right w:val="nil"/>
            </w:tcBorders>
            <w:shd w:val="clear" w:color="auto" w:fill="auto"/>
            <w:noWrap/>
            <w:vAlign w:val="center"/>
            <w:hideMark/>
          </w:tcPr>
          <w:p w14:paraId="7307D6C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goods imported for examination, analysis or testing</w:t>
            </w:r>
          </w:p>
        </w:tc>
        <w:tc>
          <w:tcPr>
            <w:tcW w:w="910" w:type="dxa"/>
            <w:tcBorders>
              <w:top w:val="nil"/>
              <w:left w:val="nil"/>
              <w:bottom w:val="nil"/>
              <w:right w:val="nil"/>
            </w:tcBorders>
            <w:shd w:val="clear" w:color="auto" w:fill="auto"/>
            <w:noWrap/>
            <w:vAlign w:val="center"/>
            <w:hideMark/>
          </w:tcPr>
          <w:p w14:paraId="0EC7E57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25BAD73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0BDFB3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1FF4F5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138AB40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33B597A8" w14:textId="77777777" w:rsidTr="00360FE5">
        <w:trPr>
          <w:trHeight w:val="210"/>
        </w:trPr>
        <w:tc>
          <w:tcPr>
            <w:tcW w:w="450" w:type="dxa"/>
            <w:tcBorders>
              <w:top w:val="nil"/>
              <w:left w:val="nil"/>
              <w:bottom w:val="nil"/>
              <w:right w:val="nil"/>
            </w:tcBorders>
            <w:shd w:val="clear" w:color="auto" w:fill="auto"/>
            <w:noWrap/>
            <w:hideMark/>
          </w:tcPr>
          <w:p w14:paraId="0703C6B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46</w:t>
            </w:r>
          </w:p>
        </w:tc>
        <w:tc>
          <w:tcPr>
            <w:tcW w:w="5130" w:type="dxa"/>
            <w:tcBorders>
              <w:top w:val="nil"/>
              <w:left w:val="nil"/>
              <w:bottom w:val="nil"/>
              <w:right w:val="nil"/>
            </w:tcBorders>
            <w:shd w:val="clear" w:color="auto" w:fill="auto"/>
            <w:noWrap/>
            <w:vAlign w:val="center"/>
            <w:hideMark/>
          </w:tcPr>
          <w:p w14:paraId="36EAF7C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pharmaceutical products used at international sporting events</w:t>
            </w:r>
          </w:p>
        </w:tc>
        <w:tc>
          <w:tcPr>
            <w:tcW w:w="910" w:type="dxa"/>
            <w:tcBorders>
              <w:top w:val="nil"/>
              <w:left w:val="nil"/>
              <w:bottom w:val="nil"/>
              <w:right w:val="nil"/>
            </w:tcBorders>
            <w:shd w:val="clear" w:color="auto" w:fill="auto"/>
            <w:noWrap/>
            <w:vAlign w:val="center"/>
            <w:hideMark/>
          </w:tcPr>
          <w:p w14:paraId="6F3067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2F10F39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385E2D7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1002215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3CC6DA6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34805AF" w14:textId="77777777" w:rsidTr="00360FE5">
        <w:trPr>
          <w:trHeight w:val="210"/>
        </w:trPr>
        <w:tc>
          <w:tcPr>
            <w:tcW w:w="450" w:type="dxa"/>
            <w:tcBorders>
              <w:top w:val="nil"/>
              <w:left w:val="nil"/>
              <w:bottom w:val="nil"/>
              <w:right w:val="nil"/>
            </w:tcBorders>
            <w:shd w:val="clear" w:color="auto" w:fill="auto"/>
            <w:noWrap/>
            <w:hideMark/>
          </w:tcPr>
          <w:p w14:paraId="5887D3A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47</w:t>
            </w:r>
          </w:p>
        </w:tc>
        <w:tc>
          <w:tcPr>
            <w:tcW w:w="5130" w:type="dxa"/>
            <w:tcBorders>
              <w:top w:val="nil"/>
              <w:left w:val="nil"/>
              <w:bottom w:val="nil"/>
              <w:right w:val="nil"/>
            </w:tcBorders>
            <w:shd w:val="clear" w:color="auto" w:fill="auto"/>
            <w:noWrap/>
            <w:vAlign w:val="center"/>
            <w:hideMark/>
          </w:tcPr>
          <w:p w14:paraId="6DCED241"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goods intended for the State Agency for Intellectual Property</w:t>
            </w:r>
          </w:p>
        </w:tc>
        <w:tc>
          <w:tcPr>
            <w:tcW w:w="910" w:type="dxa"/>
            <w:tcBorders>
              <w:top w:val="nil"/>
              <w:left w:val="nil"/>
              <w:bottom w:val="nil"/>
              <w:right w:val="nil"/>
            </w:tcBorders>
            <w:shd w:val="clear" w:color="auto" w:fill="auto"/>
            <w:noWrap/>
            <w:vAlign w:val="center"/>
            <w:hideMark/>
          </w:tcPr>
          <w:p w14:paraId="3264F0B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657456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3B27768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73FA961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6F5DF9E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295B97ED" w14:textId="77777777" w:rsidTr="00360FE5">
        <w:trPr>
          <w:trHeight w:val="210"/>
        </w:trPr>
        <w:tc>
          <w:tcPr>
            <w:tcW w:w="450" w:type="dxa"/>
            <w:tcBorders>
              <w:top w:val="nil"/>
              <w:left w:val="nil"/>
              <w:bottom w:val="nil"/>
              <w:right w:val="nil"/>
            </w:tcBorders>
            <w:shd w:val="clear" w:color="auto" w:fill="auto"/>
            <w:noWrap/>
            <w:hideMark/>
          </w:tcPr>
          <w:p w14:paraId="7D0EAF1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w:t>
            </w:r>
          </w:p>
        </w:tc>
        <w:tc>
          <w:tcPr>
            <w:tcW w:w="5130" w:type="dxa"/>
            <w:tcBorders>
              <w:top w:val="nil"/>
              <w:left w:val="nil"/>
              <w:bottom w:val="nil"/>
              <w:right w:val="nil"/>
            </w:tcBorders>
            <w:shd w:val="clear" w:color="auto" w:fill="auto"/>
            <w:noWrap/>
            <w:vAlign w:val="center"/>
            <w:hideMark/>
          </w:tcPr>
          <w:p w14:paraId="375EE443"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tourist information materials</w:t>
            </w:r>
          </w:p>
        </w:tc>
        <w:tc>
          <w:tcPr>
            <w:tcW w:w="910" w:type="dxa"/>
            <w:tcBorders>
              <w:top w:val="nil"/>
              <w:left w:val="nil"/>
              <w:bottom w:val="nil"/>
              <w:right w:val="nil"/>
            </w:tcBorders>
            <w:shd w:val="clear" w:color="auto" w:fill="auto"/>
            <w:noWrap/>
            <w:vAlign w:val="center"/>
            <w:hideMark/>
          </w:tcPr>
          <w:p w14:paraId="4E67BB0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7C7EC97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2703D6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5955AC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46BF062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76ECC2D" w14:textId="77777777" w:rsidTr="00360FE5">
        <w:trPr>
          <w:trHeight w:val="210"/>
        </w:trPr>
        <w:tc>
          <w:tcPr>
            <w:tcW w:w="450" w:type="dxa"/>
            <w:tcBorders>
              <w:top w:val="nil"/>
              <w:left w:val="nil"/>
              <w:bottom w:val="nil"/>
              <w:right w:val="nil"/>
            </w:tcBorders>
            <w:shd w:val="clear" w:color="auto" w:fill="auto"/>
            <w:noWrap/>
            <w:hideMark/>
          </w:tcPr>
          <w:p w14:paraId="39E03A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49</w:t>
            </w:r>
          </w:p>
        </w:tc>
        <w:tc>
          <w:tcPr>
            <w:tcW w:w="5130" w:type="dxa"/>
            <w:tcBorders>
              <w:top w:val="nil"/>
              <w:left w:val="nil"/>
              <w:bottom w:val="nil"/>
              <w:right w:val="nil"/>
            </w:tcBorders>
            <w:shd w:val="clear" w:color="auto" w:fill="auto"/>
            <w:noWrap/>
            <w:vAlign w:val="center"/>
            <w:hideMark/>
          </w:tcPr>
          <w:p w14:paraId="6A3CFDA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packing and similar materials</w:t>
            </w:r>
          </w:p>
        </w:tc>
        <w:tc>
          <w:tcPr>
            <w:tcW w:w="910" w:type="dxa"/>
            <w:tcBorders>
              <w:top w:val="nil"/>
              <w:left w:val="nil"/>
              <w:bottom w:val="nil"/>
              <w:right w:val="nil"/>
            </w:tcBorders>
            <w:shd w:val="clear" w:color="auto" w:fill="auto"/>
            <w:noWrap/>
            <w:vAlign w:val="center"/>
            <w:hideMark/>
          </w:tcPr>
          <w:p w14:paraId="40DAC89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244DAD5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530062D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50DD73D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5AB25B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1F3023A2" w14:textId="77777777" w:rsidTr="00360FE5">
        <w:trPr>
          <w:trHeight w:val="210"/>
        </w:trPr>
        <w:tc>
          <w:tcPr>
            <w:tcW w:w="450" w:type="dxa"/>
            <w:tcBorders>
              <w:top w:val="nil"/>
              <w:left w:val="nil"/>
              <w:bottom w:val="nil"/>
              <w:right w:val="nil"/>
            </w:tcBorders>
            <w:shd w:val="clear" w:color="auto" w:fill="auto"/>
            <w:noWrap/>
            <w:hideMark/>
          </w:tcPr>
          <w:p w14:paraId="409B844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50</w:t>
            </w:r>
          </w:p>
        </w:tc>
        <w:tc>
          <w:tcPr>
            <w:tcW w:w="5130" w:type="dxa"/>
            <w:tcBorders>
              <w:top w:val="nil"/>
              <w:left w:val="nil"/>
              <w:bottom w:val="nil"/>
              <w:right w:val="nil"/>
            </w:tcBorders>
            <w:shd w:val="clear" w:color="auto" w:fill="auto"/>
            <w:noWrap/>
            <w:vAlign w:val="center"/>
            <w:hideMark/>
          </w:tcPr>
          <w:p w14:paraId="292F99C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the transfer of foreign businesses to Moldova</w:t>
            </w:r>
          </w:p>
        </w:tc>
        <w:tc>
          <w:tcPr>
            <w:tcW w:w="910" w:type="dxa"/>
            <w:tcBorders>
              <w:top w:val="nil"/>
              <w:left w:val="nil"/>
              <w:bottom w:val="nil"/>
              <w:right w:val="nil"/>
            </w:tcBorders>
            <w:shd w:val="clear" w:color="auto" w:fill="auto"/>
            <w:noWrap/>
            <w:vAlign w:val="center"/>
            <w:hideMark/>
          </w:tcPr>
          <w:p w14:paraId="222A266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46110EF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1778251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7734043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2192FE3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4C01BFC3" w14:textId="77777777" w:rsidTr="00360FE5">
        <w:trPr>
          <w:trHeight w:val="210"/>
        </w:trPr>
        <w:tc>
          <w:tcPr>
            <w:tcW w:w="450" w:type="dxa"/>
            <w:tcBorders>
              <w:top w:val="nil"/>
              <w:left w:val="nil"/>
              <w:bottom w:val="nil"/>
              <w:right w:val="nil"/>
            </w:tcBorders>
            <w:shd w:val="clear" w:color="auto" w:fill="auto"/>
            <w:noWrap/>
            <w:hideMark/>
          </w:tcPr>
          <w:p w14:paraId="14D3BD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51</w:t>
            </w:r>
          </w:p>
        </w:tc>
        <w:tc>
          <w:tcPr>
            <w:tcW w:w="5130" w:type="dxa"/>
            <w:tcBorders>
              <w:top w:val="nil"/>
              <w:left w:val="nil"/>
              <w:bottom w:val="nil"/>
              <w:right w:val="nil"/>
            </w:tcBorders>
            <w:shd w:val="clear" w:color="auto" w:fill="auto"/>
            <w:noWrap/>
            <w:vAlign w:val="center"/>
            <w:hideMark/>
          </w:tcPr>
          <w:p w14:paraId="1A1B401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from VAT for the manufacture of goods intended for exports</w:t>
            </w:r>
          </w:p>
        </w:tc>
        <w:tc>
          <w:tcPr>
            <w:tcW w:w="910" w:type="dxa"/>
            <w:tcBorders>
              <w:top w:val="nil"/>
              <w:left w:val="nil"/>
              <w:bottom w:val="nil"/>
              <w:right w:val="nil"/>
            </w:tcBorders>
            <w:shd w:val="clear" w:color="auto" w:fill="auto"/>
            <w:noWrap/>
            <w:vAlign w:val="center"/>
            <w:hideMark/>
          </w:tcPr>
          <w:p w14:paraId="2277380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52AC63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3A6A01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0FC5698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center"/>
            <w:hideMark/>
          </w:tcPr>
          <w:p w14:paraId="236DF2A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386672D2" w14:textId="77777777" w:rsidTr="009960D0">
        <w:trPr>
          <w:trHeight w:val="210"/>
        </w:trPr>
        <w:tc>
          <w:tcPr>
            <w:tcW w:w="450" w:type="dxa"/>
            <w:tcBorders>
              <w:top w:val="nil"/>
              <w:left w:val="nil"/>
              <w:bottom w:val="nil"/>
              <w:right w:val="nil"/>
            </w:tcBorders>
            <w:shd w:val="clear" w:color="auto" w:fill="auto"/>
            <w:noWrap/>
            <w:vAlign w:val="bottom"/>
            <w:hideMark/>
          </w:tcPr>
          <w:p w14:paraId="7A267B4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single" w:sz="4" w:space="0" w:color="auto"/>
              <w:left w:val="nil"/>
              <w:bottom w:val="nil"/>
              <w:right w:val="nil"/>
            </w:tcBorders>
            <w:shd w:val="clear" w:color="auto" w:fill="auto"/>
            <w:noWrap/>
            <w:vAlign w:val="center"/>
            <w:hideMark/>
          </w:tcPr>
          <w:p w14:paraId="3154FC2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Total Revenue Forgone from Value Added Tax</w:t>
            </w:r>
          </w:p>
        </w:tc>
        <w:tc>
          <w:tcPr>
            <w:tcW w:w="910" w:type="dxa"/>
            <w:tcBorders>
              <w:top w:val="single" w:sz="4" w:space="0" w:color="auto"/>
              <w:left w:val="nil"/>
              <w:bottom w:val="nil"/>
              <w:right w:val="nil"/>
            </w:tcBorders>
            <w:shd w:val="clear" w:color="auto" w:fill="auto"/>
            <w:noWrap/>
            <w:vAlign w:val="center"/>
            <w:hideMark/>
          </w:tcPr>
          <w:p w14:paraId="245B6E5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4,290,640.3</w:t>
            </w:r>
          </w:p>
        </w:tc>
        <w:tc>
          <w:tcPr>
            <w:tcW w:w="910" w:type="dxa"/>
            <w:tcBorders>
              <w:top w:val="single" w:sz="4" w:space="0" w:color="auto"/>
              <w:left w:val="nil"/>
              <w:bottom w:val="nil"/>
              <w:right w:val="nil"/>
            </w:tcBorders>
            <w:shd w:val="clear" w:color="auto" w:fill="auto"/>
            <w:noWrap/>
            <w:vAlign w:val="center"/>
            <w:hideMark/>
          </w:tcPr>
          <w:p w14:paraId="62A5D71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4,760,852.3</w:t>
            </w:r>
          </w:p>
        </w:tc>
        <w:tc>
          <w:tcPr>
            <w:tcW w:w="910" w:type="dxa"/>
            <w:tcBorders>
              <w:top w:val="single" w:sz="4" w:space="0" w:color="auto"/>
              <w:left w:val="nil"/>
              <w:bottom w:val="nil"/>
              <w:right w:val="nil"/>
            </w:tcBorders>
            <w:shd w:val="clear" w:color="auto" w:fill="auto"/>
            <w:noWrap/>
            <w:vAlign w:val="center"/>
            <w:hideMark/>
          </w:tcPr>
          <w:p w14:paraId="0F38E65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4,586,307.1</w:t>
            </w:r>
          </w:p>
        </w:tc>
        <w:tc>
          <w:tcPr>
            <w:tcW w:w="910" w:type="dxa"/>
            <w:tcBorders>
              <w:top w:val="single" w:sz="4" w:space="0" w:color="auto"/>
              <w:left w:val="nil"/>
              <w:bottom w:val="nil"/>
              <w:right w:val="nil"/>
            </w:tcBorders>
            <w:shd w:val="clear" w:color="auto" w:fill="auto"/>
            <w:noWrap/>
            <w:vAlign w:val="center"/>
            <w:hideMark/>
          </w:tcPr>
          <w:p w14:paraId="14E8994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5,672,513.8</w:t>
            </w:r>
          </w:p>
        </w:tc>
        <w:tc>
          <w:tcPr>
            <w:tcW w:w="910" w:type="dxa"/>
            <w:tcBorders>
              <w:top w:val="single" w:sz="4" w:space="0" w:color="auto"/>
              <w:left w:val="nil"/>
              <w:bottom w:val="nil"/>
              <w:right w:val="nil"/>
            </w:tcBorders>
            <w:shd w:val="clear" w:color="auto" w:fill="auto"/>
            <w:noWrap/>
            <w:vAlign w:val="center"/>
            <w:hideMark/>
          </w:tcPr>
          <w:p w14:paraId="3A4D09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6,327,438.7</w:t>
            </w:r>
          </w:p>
        </w:tc>
      </w:tr>
      <w:tr w:rsidR="00134C08" w:rsidRPr="00134C08" w14:paraId="1B17F9E1" w14:textId="77777777" w:rsidTr="009960D0">
        <w:trPr>
          <w:trHeight w:val="220"/>
        </w:trPr>
        <w:tc>
          <w:tcPr>
            <w:tcW w:w="450" w:type="dxa"/>
            <w:tcBorders>
              <w:top w:val="nil"/>
              <w:left w:val="nil"/>
              <w:bottom w:val="nil"/>
              <w:right w:val="nil"/>
            </w:tcBorders>
            <w:shd w:val="clear" w:color="auto" w:fill="auto"/>
            <w:noWrap/>
            <w:vAlign w:val="bottom"/>
            <w:hideMark/>
          </w:tcPr>
          <w:p w14:paraId="4D4FA9D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double" w:sz="6" w:space="0" w:color="auto"/>
              <w:right w:val="nil"/>
            </w:tcBorders>
            <w:shd w:val="clear" w:color="auto" w:fill="auto"/>
            <w:noWrap/>
            <w:vAlign w:val="center"/>
            <w:hideMark/>
          </w:tcPr>
          <w:p w14:paraId="0433AF3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Total Revenue Forgone from Value Added Tax as a % of GDP</w:t>
            </w:r>
          </w:p>
        </w:tc>
        <w:tc>
          <w:tcPr>
            <w:tcW w:w="910" w:type="dxa"/>
            <w:tcBorders>
              <w:top w:val="nil"/>
              <w:left w:val="nil"/>
              <w:bottom w:val="double" w:sz="6" w:space="0" w:color="auto"/>
              <w:right w:val="nil"/>
            </w:tcBorders>
            <w:shd w:val="clear" w:color="auto" w:fill="auto"/>
            <w:noWrap/>
            <w:vAlign w:val="center"/>
            <w:hideMark/>
          </w:tcPr>
          <w:p w14:paraId="4DD5B2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2.23%</w:t>
            </w:r>
          </w:p>
        </w:tc>
        <w:tc>
          <w:tcPr>
            <w:tcW w:w="910" w:type="dxa"/>
            <w:tcBorders>
              <w:top w:val="nil"/>
              <w:left w:val="nil"/>
              <w:bottom w:val="double" w:sz="6" w:space="0" w:color="auto"/>
              <w:right w:val="nil"/>
            </w:tcBorders>
            <w:shd w:val="clear" w:color="auto" w:fill="auto"/>
            <w:noWrap/>
            <w:vAlign w:val="center"/>
            <w:hideMark/>
          </w:tcPr>
          <w:p w14:paraId="1A2C3EC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2.26%</w:t>
            </w:r>
          </w:p>
        </w:tc>
        <w:tc>
          <w:tcPr>
            <w:tcW w:w="910" w:type="dxa"/>
            <w:tcBorders>
              <w:top w:val="nil"/>
              <w:left w:val="nil"/>
              <w:bottom w:val="double" w:sz="6" w:space="0" w:color="auto"/>
              <w:right w:val="nil"/>
            </w:tcBorders>
            <w:shd w:val="clear" w:color="auto" w:fill="auto"/>
            <w:noWrap/>
            <w:vAlign w:val="center"/>
            <w:hideMark/>
          </w:tcPr>
          <w:p w14:paraId="2E70E69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2.23%</w:t>
            </w:r>
          </w:p>
        </w:tc>
        <w:tc>
          <w:tcPr>
            <w:tcW w:w="910" w:type="dxa"/>
            <w:tcBorders>
              <w:top w:val="nil"/>
              <w:left w:val="nil"/>
              <w:bottom w:val="double" w:sz="6" w:space="0" w:color="auto"/>
              <w:right w:val="nil"/>
            </w:tcBorders>
            <w:shd w:val="clear" w:color="auto" w:fill="auto"/>
            <w:noWrap/>
            <w:vAlign w:val="center"/>
            <w:hideMark/>
          </w:tcPr>
          <w:p w14:paraId="3C4B966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2.44%</w:t>
            </w:r>
          </w:p>
        </w:tc>
        <w:tc>
          <w:tcPr>
            <w:tcW w:w="910" w:type="dxa"/>
            <w:tcBorders>
              <w:top w:val="nil"/>
              <w:left w:val="nil"/>
              <w:bottom w:val="double" w:sz="6" w:space="0" w:color="auto"/>
              <w:right w:val="nil"/>
            </w:tcBorders>
            <w:shd w:val="clear" w:color="auto" w:fill="auto"/>
            <w:noWrap/>
            <w:vAlign w:val="center"/>
            <w:hideMark/>
          </w:tcPr>
          <w:p w14:paraId="3AD511C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2.48%</w:t>
            </w:r>
          </w:p>
        </w:tc>
      </w:tr>
      <w:tr w:rsidR="00134C08" w:rsidRPr="00134C08" w14:paraId="0CF8FCB7" w14:textId="77777777" w:rsidTr="009960D0">
        <w:trPr>
          <w:trHeight w:val="220"/>
        </w:trPr>
        <w:tc>
          <w:tcPr>
            <w:tcW w:w="450" w:type="dxa"/>
            <w:tcBorders>
              <w:top w:val="nil"/>
              <w:left w:val="nil"/>
              <w:bottom w:val="nil"/>
              <w:right w:val="nil"/>
            </w:tcBorders>
            <w:shd w:val="clear" w:color="auto" w:fill="auto"/>
            <w:noWrap/>
            <w:vAlign w:val="bottom"/>
            <w:hideMark/>
          </w:tcPr>
          <w:p w14:paraId="01D9E68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center"/>
            <w:hideMark/>
          </w:tcPr>
          <w:p w14:paraId="1F6CE4CB"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Excise Duties</w:t>
            </w:r>
          </w:p>
        </w:tc>
        <w:tc>
          <w:tcPr>
            <w:tcW w:w="4550" w:type="dxa"/>
            <w:gridSpan w:val="5"/>
            <w:tcBorders>
              <w:top w:val="nil"/>
              <w:left w:val="nil"/>
              <w:bottom w:val="nil"/>
              <w:right w:val="nil"/>
            </w:tcBorders>
            <w:shd w:val="clear" w:color="000000" w:fill="A5A5A5"/>
            <w:noWrap/>
            <w:vAlign w:val="center"/>
            <w:hideMark/>
          </w:tcPr>
          <w:p w14:paraId="2F91F1E0" w14:textId="77777777" w:rsidR="00134C08" w:rsidRPr="00134C08" w:rsidRDefault="00134C08" w:rsidP="00E90BA7">
            <w:pPr>
              <w:spacing w:after="0" w:line="240" w:lineRule="auto"/>
              <w:jc w:val="both"/>
              <w:rPr>
                <w:rFonts w:ascii="Arial Narrow" w:eastAsia="Times New Roman" w:hAnsi="Arial Narrow" w:cs="Calibri"/>
                <w:b/>
                <w:bCs/>
                <w:color w:val="000000"/>
                <w:sz w:val="16"/>
                <w:szCs w:val="16"/>
              </w:rPr>
            </w:pPr>
            <w:r w:rsidRPr="00134C08">
              <w:rPr>
                <w:rFonts w:ascii="Arial Narrow" w:eastAsia="Times New Roman" w:hAnsi="Arial Narrow" w:cs="Calibri"/>
                <w:b/>
                <w:bCs/>
                <w:color w:val="000000"/>
                <w:sz w:val="16"/>
                <w:szCs w:val="16"/>
              </w:rPr>
              <w:t>Thousand MDL</w:t>
            </w:r>
          </w:p>
        </w:tc>
      </w:tr>
      <w:tr w:rsidR="00134C08" w:rsidRPr="00134C08" w14:paraId="51F222E2" w14:textId="77777777" w:rsidTr="00360FE5">
        <w:trPr>
          <w:trHeight w:val="210"/>
        </w:trPr>
        <w:tc>
          <w:tcPr>
            <w:tcW w:w="450" w:type="dxa"/>
            <w:tcBorders>
              <w:top w:val="nil"/>
              <w:left w:val="nil"/>
              <w:bottom w:val="nil"/>
              <w:right w:val="nil"/>
            </w:tcBorders>
            <w:shd w:val="clear" w:color="auto" w:fill="auto"/>
            <w:noWrap/>
            <w:hideMark/>
          </w:tcPr>
          <w:p w14:paraId="47039F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bottom"/>
            <w:hideMark/>
          </w:tcPr>
          <w:p w14:paraId="7119DC7F"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wines</w:t>
            </w:r>
          </w:p>
        </w:tc>
        <w:tc>
          <w:tcPr>
            <w:tcW w:w="910" w:type="dxa"/>
            <w:tcBorders>
              <w:top w:val="nil"/>
              <w:left w:val="nil"/>
              <w:bottom w:val="nil"/>
              <w:right w:val="nil"/>
            </w:tcBorders>
            <w:shd w:val="clear" w:color="auto" w:fill="auto"/>
            <w:noWrap/>
            <w:vAlign w:val="bottom"/>
            <w:hideMark/>
          </w:tcPr>
          <w:p w14:paraId="082CD8D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468,487.5</w:t>
            </w:r>
          </w:p>
        </w:tc>
        <w:tc>
          <w:tcPr>
            <w:tcW w:w="910" w:type="dxa"/>
            <w:tcBorders>
              <w:top w:val="nil"/>
              <w:left w:val="nil"/>
              <w:bottom w:val="nil"/>
              <w:right w:val="nil"/>
            </w:tcBorders>
            <w:shd w:val="clear" w:color="auto" w:fill="auto"/>
            <w:noWrap/>
            <w:vAlign w:val="bottom"/>
            <w:hideMark/>
          </w:tcPr>
          <w:p w14:paraId="3B878EB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415,681.2</w:t>
            </w:r>
          </w:p>
        </w:tc>
        <w:tc>
          <w:tcPr>
            <w:tcW w:w="910" w:type="dxa"/>
            <w:tcBorders>
              <w:top w:val="nil"/>
              <w:left w:val="nil"/>
              <w:bottom w:val="nil"/>
              <w:right w:val="nil"/>
            </w:tcBorders>
            <w:shd w:val="clear" w:color="auto" w:fill="auto"/>
            <w:noWrap/>
            <w:vAlign w:val="bottom"/>
            <w:hideMark/>
          </w:tcPr>
          <w:p w14:paraId="5A7BD24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621,451.3</w:t>
            </w:r>
          </w:p>
        </w:tc>
        <w:tc>
          <w:tcPr>
            <w:tcW w:w="910" w:type="dxa"/>
            <w:tcBorders>
              <w:top w:val="nil"/>
              <w:left w:val="nil"/>
              <w:bottom w:val="nil"/>
              <w:right w:val="nil"/>
            </w:tcBorders>
            <w:shd w:val="clear" w:color="auto" w:fill="auto"/>
            <w:noWrap/>
            <w:vAlign w:val="bottom"/>
            <w:hideMark/>
          </w:tcPr>
          <w:p w14:paraId="5B3FFEE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752,892.0</w:t>
            </w:r>
          </w:p>
        </w:tc>
        <w:tc>
          <w:tcPr>
            <w:tcW w:w="910" w:type="dxa"/>
            <w:tcBorders>
              <w:top w:val="nil"/>
              <w:left w:val="nil"/>
              <w:bottom w:val="nil"/>
              <w:right w:val="nil"/>
            </w:tcBorders>
            <w:shd w:val="clear" w:color="000000" w:fill="E7E6E6"/>
            <w:noWrap/>
            <w:vAlign w:val="bottom"/>
            <w:hideMark/>
          </w:tcPr>
          <w:p w14:paraId="41220A4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1,330,649.2</w:t>
            </w:r>
          </w:p>
        </w:tc>
      </w:tr>
      <w:tr w:rsidR="00134C08" w:rsidRPr="00134C08" w14:paraId="4E4715AA" w14:textId="77777777" w:rsidTr="00360FE5">
        <w:trPr>
          <w:trHeight w:val="210"/>
        </w:trPr>
        <w:tc>
          <w:tcPr>
            <w:tcW w:w="450" w:type="dxa"/>
            <w:tcBorders>
              <w:top w:val="nil"/>
              <w:left w:val="nil"/>
              <w:bottom w:val="nil"/>
              <w:right w:val="nil"/>
            </w:tcBorders>
            <w:shd w:val="clear" w:color="auto" w:fill="auto"/>
            <w:noWrap/>
            <w:hideMark/>
          </w:tcPr>
          <w:p w14:paraId="51311C0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bottom"/>
            <w:hideMark/>
          </w:tcPr>
          <w:p w14:paraId="640E2AC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ethyl alcohol for pharmaceutical use</w:t>
            </w:r>
          </w:p>
        </w:tc>
        <w:tc>
          <w:tcPr>
            <w:tcW w:w="910" w:type="dxa"/>
            <w:tcBorders>
              <w:top w:val="nil"/>
              <w:left w:val="nil"/>
              <w:bottom w:val="nil"/>
              <w:right w:val="nil"/>
            </w:tcBorders>
            <w:shd w:val="clear" w:color="auto" w:fill="auto"/>
            <w:noWrap/>
            <w:vAlign w:val="bottom"/>
            <w:hideMark/>
          </w:tcPr>
          <w:p w14:paraId="0E8B675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5,997.3</w:t>
            </w:r>
          </w:p>
        </w:tc>
        <w:tc>
          <w:tcPr>
            <w:tcW w:w="910" w:type="dxa"/>
            <w:tcBorders>
              <w:top w:val="nil"/>
              <w:left w:val="nil"/>
              <w:bottom w:val="nil"/>
              <w:right w:val="nil"/>
            </w:tcBorders>
            <w:shd w:val="clear" w:color="auto" w:fill="auto"/>
            <w:noWrap/>
            <w:vAlign w:val="bottom"/>
            <w:hideMark/>
          </w:tcPr>
          <w:p w14:paraId="150828A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31,399.9</w:t>
            </w:r>
          </w:p>
        </w:tc>
        <w:tc>
          <w:tcPr>
            <w:tcW w:w="910" w:type="dxa"/>
            <w:tcBorders>
              <w:top w:val="nil"/>
              <w:left w:val="nil"/>
              <w:bottom w:val="nil"/>
              <w:right w:val="nil"/>
            </w:tcBorders>
            <w:shd w:val="clear" w:color="auto" w:fill="auto"/>
            <w:noWrap/>
            <w:vAlign w:val="bottom"/>
            <w:hideMark/>
          </w:tcPr>
          <w:p w14:paraId="750D7E4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28,403.6</w:t>
            </w:r>
          </w:p>
        </w:tc>
        <w:tc>
          <w:tcPr>
            <w:tcW w:w="910" w:type="dxa"/>
            <w:tcBorders>
              <w:top w:val="nil"/>
              <w:left w:val="nil"/>
              <w:bottom w:val="nil"/>
              <w:right w:val="nil"/>
            </w:tcBorders>
            <w:shd w:val="clear" w:color="auto" w:fill="auto"/>
            <w:noWrap/>
            <w:vAlign w:val="bottom"/>
            <w:hideMark/>
          </w:tcPr>
          <w:p w14:paraId="21B1D57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36,803.1</w:t>
            </w:r>
          </w:p>
        </w:tc>
        <w:tc>
          <w:tcPr>
            <w:tcW w:w="910" w:type="dxa"/>
            <w:tcBorders>
              <w:top w:val="nil"/>
              <w:left w:val="nil"/>
              <w:bottom w:val="nil"/>
              <w:right w:val="nil"/>
            </w:tcBorders>
            <w:shd w:val="clear" w:color="000000" w:fill="E7E6E6"/>
            <w:noWrap/>
            <w:vAlign w:val="bottom"/>
            <w:hideMark/>
          </w:tcPr>
          <w:p w14:paraId="3E57EDB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42,323.4</w:t>
            </w:r>
          </w:p>
        </w:tc>
      </w:tr>
      <w:tr w:rsidR="00134C08" w:rsidRPr="00134C08" w14:paraId="662683BA" w14:textId="77777777" w:rsidTr="00360FE5">
        <w:trPr>
          <w:trHeight w:val="210"/>
        </w:trPr>
        <w:tc>
          <w:tcPr>
            <w:tcW w:w="450" w:type="dxa"/>
            <w:tcBorders>
              <w:top w:val="nil"/>
              <w:left w:val="nil"/>
              <w:bottom w:val="nil"/>
              <w:right w:val="nil"/>
            </w:tcBorders>
            <w:shd w:val="clear" w:color="auto" w:fill="auto"/>
            <w:noWrap/>
            <w:hideMark/>
          </w:tcPr>
          <w:p w14:paraId="1816FD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bottom"/>
            <w:hideMark/>
          </w:tcPr>
          <w:p w14:paraId="450B53BC"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ethyl alcohol for use in the perfumery and cosmetics industry</w:t>
            </w:r>
          </w:p>
        </w:tc>
        <w:tc>
          <w:tcPr>
            <w:tcW w:w="910" w:type="dxa"/>
            <w:tcBorders>
              <w:top w:val="nil"/>
              <w:left w:val="nil"/>
              <w:bottom w:val="nil"/>
              <w:right w:val="nil"/>
            </w:tcBorders>
            <w:shd w:val="clear" w:color="auto" w:fill="auto"/>
            <w:noWrap/>
            <w:vAlign w:val="bottom"/>
            <w:hideMark/>
          </w:tcPr>
          <w:p w14:paraId="5E9830E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F9822E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28,138.7</w:t>
            </w:r>
          </w:p>
        </w:tc>
        <w:tc>
          <w:tcPr>
            <w:tcW w:w="910" w:type="dxa"/>
            <w:tcBorders>
              <w:top w:val="nil"/>
              <w:left w:val="nil"/>
              <w:bottom w:val="nil"/>
              <w:right w:val="nil"/>
            </w:tcBorders>
            <w:shd w:val="clear" w:color="auto" w:fill="auto"/>
            <w:noWrap/>
            <w:vAlign w:val="bottom"/>
            <w:hideMark/>
          </w:tcPr>
          <w:p w14:paraId="5A8082E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206,957.6</w:t>
            </w:r>
          </w:p>
        </w:tc>
        <w:tc>
          <w:tcPr>
            <w:tcW w:w="910" w:type="dxa"/>
            <w:tcBorders>
              <w:top w:val="nil"/>
              <w:left w:val="nil"/>
              <w:bottom w:val="nil"/>
              <w:right w:val="nil"/>
            </w:tcBorders>
            <w:shd w:val="clear" w:color="auto" w:fill="auto"/>
            <w:noWrap/>
            <w:vAlign w:val="bottom"/>
            <w:hideMark/>
          </w:tcPr>
          <w:p w14:paraId="0F2A1F6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215,804.8</w:t>
            </w:r>
          </w:p>
        </w:tc>
        <w:tc>
          <w:tcPr>
            <w:tcW w:w="910" w:type="dxa"/>
            <w:tcBorders>
              <w:top w:val="nil"/>
              <w:left w:val="nil"/>
              <w:bottom w:val="nil"/>
              <w:right w:val="nil"/>
            </w:tcBorders>
            <w:shd w:val="clear" w:color="000000" w:fill="E7E6E6"/>
            <w:noWrap/>
            <w:vAlign w:val="bottom"/>
            <w:hideMark/>
          </w:tcPr>
          <w:p w14:paraId="5E044DB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248,174.9</w:t>
            </w:r>
          </w:p>
        </w:tc>
      </w:tr>
      <w:tr w:rsidR="00134C08" w:rsidRPr="00134C08" w14:paraId="1597B69B" w14:textId="77777777" w:rsidTr="00360FE5">
        <w:trPr>
          <w:trHeight w:val="210"/>
        </w:trPr>
        <w:tc>
          <w:tcPr>
            <w:tcW w:w="450" w:type="dxa"/>
            <w:tcBorders>
              <w:top w:val="nil"/>
              <w:left w:val="nil"/>
              <w:bottom w:val="nil"/>
              <w:right w:val="nil"/>
            </w:tcBorders>
            <w:shd w:val="clear" w:color="auto" w:fill="auto"/>
            <w:noWrap/>
            <w:hideMark/>
          </w:tcPr>
          <w:p w14:paraId="6E98686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bottom"/>
            <w:hideMark/>
          </w:tcPr>
          <w:p w14:paraId="67E9746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domestically-produced alcoholic products</w:t>
            </w:r>
          </w:p>
        </w:tc>
        <w:tc>
          <w:tcPr>
            <w:tcW w:w="910" w:type="dxa"/>
            <w:tcBorders>
              <w:top w:val="nil"/>
              <w:left w:val="nil"/>
              <w:bottom w:val="nil"/>
              <w:right w:val="nil"/>
            </w:tcBorders>
            <w:shd w:val="clear" w:color="auto" w:fill="auto"/>
            <w:noWrap/>
            <w:vAlign w:val="bottom"/>
            <w:hideMark/>
          </w:tcPr>
          <w:p w14:paraId="0224917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FEDD64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2423D4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235DBA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17398B0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4EA186CF" w14:textId="77777777" w:rsidTr="00360FE5">
        <w:trPr>
          <w:trHeight w:val="210"/>
        </w:trPr>
        <w:tc>
          <w:tcPr>
            <w:tcW w:w="450" w:type="dxa"/>
            <w:tcBorders>
              <w:top w:val="nil"/>
              <w:left w:val="nil"/>
              <w:bottom w:val="nil"/>
              <w:right w:val="nil"/>
            </w:tcBorders>
            <w:shd w:val="clear" w:color="auto" w:fill="auto"/>
            <w:noWrap/>
            <w:hideMark/>
          </w:tcPr>
          <w:p w14:paraId="784526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bottom"/>
            <w:hideMark/>
          </w:tcPr>
          <w:p w14:paraId="0FD2E24D"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on coal and coke</w:t>
            </w:r>
          </w:p>
        </w:tc>
        <w:tc>
          <w:tcPr>
            <w:tcW w:w="910" w:type="dxa"/>
            <w:tcBorders>
              <w:top w:val="nil"/>
              <w:left w:val="nil"/>
              <w:bottom w:val="nil"/>
              <w:right w:val="nil"/>
            </w:tcBorders>
            <w:shd w:val="clear" w:color="auto" w:fill="auto"/>
            <w:noWrap/>
            <w:vAlign w:val="bottom"/>
            <w:hideMark/>
          </w:tcPr>
          <w:p w14:paraId="2840626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55,600.6</w:t>
            </w:r>
          </w:p>
        </w:tc>
        <w:tc>
          <w:tcPr>
            <w:tcW w:w="910" w:type="dxa"/>
            <w:tcBorders>
              <w:top w:val="nil"/>
              <w:left w:val="nil"/>
              <w:bottom w:val="nil"/>
              <w:right w:val="nil"/>
            </w:tcBorders>
            <w:shd w:val="clear" w:color="auto" w:fill="auto"/>
            <w:noWrap/>
            <w:vAlign w:val="bottom"/>
            <w:hideMark/>
          </w:tcPr>
          <w:p w14:paraId="490B559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60,165.7</w:t>
            </w:r>
          </w:p>
        </w:tc>
        <w:tc>
          <w:tcPr>
            <w:tcW w:w="910" w:type="dxa"/>
            <w:tcBorders>
              <w:top w:val="nil"/>
              <w:left w:val="nil"/>
              <w:bottom w:val="nil"/>
              <w:right w:val="nil"/>
            </w:tcBorders>
            <w:shd w:val="clear" w:color="auto" w:fill="auto"/>
            <w:noWrap/>
            <w:vAlign w:val="bottom"/>
            <w:hideMark/>
          </w:tcPr>
          <w:p w14:paraId="52DE813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54,292.5</w:t>
            </w:r>
          </w:p>
        </w:tc>
        <w:tc>
          <w:tcPr>
            <w:tcW w:w="910" w:type="dxa"/>
            <w:tcBorders>
              <w:top w:val="nil"/>
              <w:left w:val="nil"/>
              <w:bottom w:val="nil"/>
              <w:right w:val="nil"/>
            </w:tcBorders>
            <w:shd w:val="clear" w:color="auto" w:fill="auto"/>
            <w:noWrap/>
            <w:vAlign w:val="bottom"/>
            <w:hideMark/>
          </w:tcPr>
          <w:p w14:paraId="3D0F867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52,068.6</w:t>
            </w:r>
          </w:p>
        </w:tc>
        <w:tc>
          <w:tcPr>
            <w:tcW w:w="910" w:type="dxa"/>
            <w:tcBorders>
              <w:top w:val="nil"/>
              <w:left w:val="nil"/>
              <w:bottom w:val="nil"/>
              <w:right w:val="nil"/>
            </w:tcBorders>
            <w:shd w:val="clear" w:color="000000" w:fill="E7E6E6"/>
            <w:noWrap/>
            <w:vAlign w:val="bottom"/>
            <w:hideMark/>
          </w:tcPr>
          <w:p w14:paraId="17A5CC7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54,477.4</w:t>
            </w:r>
          </w:p>
        </w:tc>
      </w:tr>
      <w:tr w:rsidR="00134C08" w:rsidRPr="00134C08" w14:paraId="0072A02B" w14:textId="77777777" w:rsidTr="00360FE5">
        <w:trPr>
          <w:trHeight w:val="210"/>
        </w:trPr>
        <w:tc>
          <w:tcPr>
            <w:tcW w:w="450" w:type="dxa"/>
            <w:tcBorders>
              <w:top w:val="nil"/>
              <w:left w:val="nil"/>
              <w:bottom w:val="nil"/>
              <w:right w:val="nil"/>
            </w:tcBorders>
            <w:shd w:val="clear" w:color="auto" w:fill="auto"/>
            <w:noWrap/>
            <w:hideMark/>
          </w:tcPr>
          <w:p w14:paraId="25BD990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bottom"/>
            <w:hideMark/>
          </w:tcPr>
          <w:p w14:paraId="75A4759C"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natural gas</w:t>
            </w:r>
          </w:p>
        </w:tc>
        <w:tc>
          <w:tcPr>
            <w:tcW w:w="910" w:type="dxa"/>
            <w:tcBorders>
              <w:top w:val="nil"/>
              <w:left w:val="nil"/>
              <w:bottom w:val="nil"/>
              <w:right w:val="nil"/>
            </w:tcBorders>
            <w:shd w:val="clear" w:color="auto" w:fill="auto"/>
            <w:noWrap/>
            <w:vAlign w:val="bottom"/>
            <w:hideMark/>
          </w:tcPr>
          <w:p w14:paraId="4140DA3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2,512,767.7</w:t>
            </w:r>
          </w:p>
        </w:tc>
        <w:tc>
          <w:tcPr>
            <w:tcW w:w="910" w:type="dxa"/>
            <w:tcBorders>
              <w:top w:val="nil"/>
              <w:left w:val="nil"/>
              <w:bottom w:val="nil"/>
              <w:right w:val="nil"/>
            </w:tcBorders>
            <w:shd w:val="clear" w:color="auto" w:fill="auto"/>
            <w:noWrap/>
            <w:vAlign w:val="bottom"/>
            <w:hideMark/>
          </w:tcPr>
          <w:p w14:paraId="7000ED4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2,579,529.9</w:t>
            </w:r>
          </w:p>
        </w:tc>
        <w:tc>
          <w:tcPr>
            <w:tcW w:w="910" w:type="dxa"/>
            <w:tcBorders>
              <w:top w:val="nil"/>
              <w:left w:val="nil"/>
              <w:bottom w:val="nil"/>
              <w:right w:val="nil"/>
            </w:tcBorders>
            <w:shd w:val="clear" w:color="auto" w:fill="auto"/>
            <w:noWrap/>
            <w:vAlign w:val="bottom"/>
            <w:hideMark/>
          </w:tcPr>
          <w:p w14:paraId="6E9CF4C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2,742,243.0</w:t>
            </w:r>
          </w:p>
        </w:tc>
        <w:tc>
          <w:tcPr>
            <w:tcW w:w="910" w:type="dxa"/>
            <w:tcBorders>
              <w:top w:val="nil"/>
              <w:left w:val="nil"/>
              <w:bottom w:val="nil"/>
              <w:right w:val="nil"/>
            </w:tcBorders>
            <w:shd w:val="clear" w:color="auto" w:fill="auto"/>
            <w:noWrap/>
            <w:vAlign w:val="bottom"/>
            <w:hideMark/>
          </w:tcPr>
          <w:p w14:paraId="16671A3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3,308,866.8</w:t>
            </w:r>
          </w:p>
        </w:tc>
        <w:tc>
          <w:tcPr>
            <w:tcW w:w="910" w:type="dxa"/>
            <w:tcBorders>
              <w:top w:val="nil"/>
              <w:left w:val="nil"/>
              <w:bottom w:val="nil"/>
              <w:right w:val="nil"/>
            </w:tcBorders>
            <w:shd w:val="clear" w:color="000000" w:fill="E7E6E6"/>
            <w:noWrap/>
            <w:vAlign w:val="bottom"/>
            <w:hideMark/>
          </w:tcPr>
          <w:p w14:paraId="0C64573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2,870,569.7</w:t>
            </w:r>
          </w:p>
        </w:tc>
      </w:tr>
      <w:tr w:rsidR="00134C08" w:rsidRPr="00134C08" w14:paraId="2C1F33BA" w14:textId="77777777" w:rsidTr="00360FE5">
        <w:trPr>
          <w:trHeight w:val="210"/>
        </w:trPr>
        <w:tc>
          <w:tcPr>
            <w:tcW w:w="450" w:type="dxa"/>
            <w:tcBorders>
              <w:top w:val="nil"/>
              <w:left w:val="nil"/>
              <w:bottom w:val="nil"/>
              <w:right w:val="nil"/>
            </w:tcBorders>
            <w:shd w:val="clear" w:color="auto" w:fill="auto"/>
            <w:noWrap/>
            <w:hideMark/>
          </w:tcPr>
          <w:p w14:paraId="4877342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w:t>
            </w:r>
          </w:p>
        </w:tc>
        <w:tc>
          <w:tcPr>
            <w:tcW w:w="5130" w:type="dxa"/>
            <w:tcBorders>
              <w:top w:val="nil"/>
              <w:left w:val="nil"/>
              <w:bottom w:val="nil"/>
              <w:right w:val="nil"/>
            </w:tcBorders>
            <w:shd w:val="clear" w:color="auto" w:fill="auto"/>
            <w:noWrap/>
            <w:vAlign w:val="bottom"/>
            <w:hideMark/>
          </w:tcPr>
          <w:p w14:paraId="2018FEFC"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jet fuel</w:t>
            </w:r>
          </w:p>
        </w:tc>
        <w:tc>
          <w:tcPr>
            <w:tcW w:w="910" w:type="dxa"/>
            <w:tcBorders>
              <w:top w:val="nil"/>
              <w:left w:val="nil"/>
              <w:bottom w:val="nil"/>
              <w:right w:val="nil"/>
            </w:tcBorders>
            <w:shd w:val="clear" w:color="auto" w:fill="auto"/>
            <w:noWrap/>
            <w:vAlign w:val="bottom"/>
            <w:hideMark/>
          </w:tcPr>
          <w:p w14:paraId="79FAD2A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72,043.4</w:t>
            </w:r>
          </w:p>
        </w:tc>
        <w:tc>
          <w:tcPr>
            <w:tcW w:w="910" w:type="dxa"/>
            <w:tcBorders>
              <w:top w:val="nil"/>
              <w:left w:val="nil"/>
              <w:bottom w:val="nil"/>
              <w:right w:val="nil"/>
            </w:tcBorders>
            <w:shd w:val="clear" w:color="auto" w:fill="auto"/>
            <w:noWrap/>
            <w:vAlign w:val="bottom"/>
            <w:hideMark/>
          </w:tcPr>
          <w:p w14:paraId="26711B7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263,536.8</w:t>
            </w:r>
          </w:p>
        </w:tc>
        <w:tc>
          <w:tcPr>
            <w:tcW w:w="910" w:type="dxa"/>
            <w:tcBorders>
              <w:top w:val="nil"/>
              <w:left w:val="nil"/>
              <w:bottom w:val="nil"/>
              <w:right w:val="nil"/>
            </w:tcBorders>
            <w:shd w:val="clear" w:color="auto" w:fill="auto"/>
            <w:noWrap/>
            <w:vAlign w:val="bottom"/>
            <w:hideMark/>
          </w:tcPr>
          <w:p w14:paraId="5C37EF0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92,752.0</w:t>
            </w:r>
          </w:p>
        </w:tc>
        <w:tc>
          <w:tcPr>
            <w:tcW w:w="910" w:type="dxa"/>
            <w:tcBorders>
              <w:top w:val="nil"/>
              <w:left w:val="nil"/>
              <w:bottom w:val="nil"/>
              <w:right w:val="nil"/>
            </w:tcBorders>
            <w:shd w:val="clear" w:color="auto" w:fill="auto"/>
            <w:noWrap/>
            <w:vAlign w:val="bottom"/>
            <w:hideMark/>
          </w:tcPr>
          <w:p w14:paraId="68DB072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263,893.0</w:t>
            </w:r>
          </w:p>
        </w:tc>
        <w:tc>
          <w:tcPr>
            <w:tcW w:w="910" w:type="dxa"/>
            <w:tcBorders>
              <w:top w:val="nil"/>
              <w:left w:val="nil"/>
              <w:bottom w:val="nil"/>
              <w:right w:val="nil"/>
            </w:tcBorders>
            <w:shd w:val="clear" w:color="000000" w:fill="E7E6E6"/>
            <w:noWrap/>
            <w:vAlign w:val="bottom"/>
            <w:hideMark/>
          </w:tcPr>
          <w:p w14:paraId="35AF962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303,476.3</w:t>
            </w:r>
          </w:p>
        </w:tc>
      </w:tr>
      <w:tr w:rsidR="00134C08" w:rsidRPr="00134C08" w14:paraId="57AA4464" w14:textId="77777777" w:rsidTr="00360FE5">
        <w:trPr>
          <w:trHeight w:val="210"/>
        </w:trPr>
        <w:tc>
          <w:tcPr>
            <w:tcW w:w="450" w:type="dxa"/>
            <w:tcBorders>
              <w:top w:val="nil"/>
              <w:left w:val="nil"/>
              <w:bottom w:val="nil"/>
              <w:right w:val="nil"/>
            </w:tcBorders>
            <w:shd w:val="clear" w:color="auto" w:fill="auto"/>
            <w:noWrap/>
            <w:hideMark/>
          </w:tcPr>
          <w:p w14:paraId="441021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w:t>
            </w:r>
          </w:p>
        </w:tc>
        <w:tc>
          <w:tcPr>
            <w:tcW w:w="5130" w:type="dxa"/>
            <w:tcBorders>
              <w:top w:val="nil"/>
              <w:left w:val="nil"/>
              <w:bottom w:val="nil"/>
              <w:right w:val="nil"/>
            </w:tcBorders>
            <w:shd w:val="clear" w:color="auto" w:fill="auto"/>
            <w:noWrap/>
            <w:vAlign w:val="bottom"/>
            <w:hideMark/>
          </w:tcPr>
          <w:p w14:paraId="39EF029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domestically-produced nitrogen and oxygen</w:t>
            </w:r>
          </w:p>
        </w:tc>
        <w:tc>
          <w:tcPr>
            <w:tcW w:w="910" w:type="dxa"/>
            <w:tcBorders>
              <w:top w:val="nil"/>
              <w:left w:val="nil"/>
              <w:bottom w:val="nil"/>
              <w:right w:val="nil"/>
            </w:tcBorders>
            <w:shd w:val="clear" w:color="auto" w:fill="auto"/>
            <w:noWrap/>
            <w:vAlign w:val="bottom"/>
            <w:hideMark/>
          </w:tcPr>
          <w:p w14:paraId="2142E0E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1DBBB2E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4,993.4</w:t>
            </w:r>
          </w:p>
        </w:tc>
        <w:tc>
          <w:tcPr>
            <w:tcW w:w="910" w:type="dxa"/>
            <w:tcBorders>
              <w:top w:val="nil"/>
              <w:left w:val="nil"/>
              <w:bottom w:val="nil"/>
              <w:right w:val="nil"/>
            </w:tcBorders>
            <w:shd w:val="clear" w:color="auto" w:fill="auto"/>
            <w:noWrap/>
            <w:vAlign w:val="bottom"/>
            <w:hideMark/>
          </w:tcPr>
          <w:p w14:paraId="44CBE4D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8,990.4</w:t>
            </w:r>
          </w:p>
        </w:tc>
        <w:tc>
          <w:tcPr>
            <w:tcW w:w="910" w:type="dxa"/>
            <w:tcBorders>
              <w:top w:val="nil"/>
              <w:left w:val="nil"/>
              <w:bottom w:val="nil"/>
              <w:right w:val="nil"/>
            </w:tcBorders>
            <w:shd w:val="clear" w:color="auto" w:fill="auto"/>
            <w:noWrap/>
            <w:vAlign w:val="bottom"/>
            <w:hideMark/>
          </w:tcPr>
          <w:p w14:paraId="5D18106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9,699.5</w:t>
            </w:r>
          </w:p>
        </w:tc>
        <w:tc>
          <w:tcPr>
            <w:tcW w:w="910" w:type="dxa"/>
            <w:tcBorders>
              <w:top w:val="nil"/>
              <w:left w:val="nil"/>
              <w:bottom w:val="nil"/>
              <w:right w:val="nil"/>
            </w:tcBorders>
            <w:shd w:val="clear" w:color="000000" w:fill="E7E6E6"/>
            <w:noWrap/>
            <w:vAlign w:val="bottom"/>
            <w:hideMark/>
          </w:tcPr>
          <w:p w14:paraId="7F39637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11,154.4</w:t>
            </w:r>
          </w:p>
        </w:tc>
      </w:tr>
      <w:tr w:rsidR="00134C08" w:rsidRPr="00134C08" w14:paraId="34E2208F" w14:textId="77777777" w:rsidTr="00360FE5">
        <w:trPr>
          <w:trHeight w:val="210"/>
        </w:trPr>
        <w:tc>
          <w:tcPr>
            <w:tcW w:w="450" w:type="dxa"/>
            <w:tcBorders>
              <w:top w:val="nil"/>
              <w:left w:val="nil"/>
              <w:bottom w:val="nil"/>
              <w:right w:val="nil"/>
            </w:tcBorders>
            <w:shd w:val="clear" w:color="auto" w:fill="auto"/>
            <w:noWrap/>
            <w:hideMark/>
          </w:tcPr>
          <w:p w14:paraId="3A0EA0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w:t>
            </w:r>
          </w:p>
        </w:tc>
        <w:tc>
          <w:tcPr>
            <w:tcW w:w="5130" w:type="dxa"/>
            <w:tcBorders>
              <w:top w:val="nil"/>
              <w:left w:val="nil"/>
              <w:bottom w:val="nil"/>
              <w:right w:val="nil"/>
            </w:tcBorders>
            <w:shd w:val="clear" w:color="auto" w:fill="auto"/>
            <w:noWrap/>
            <w:vAlign w:val="bottom"/>
            <w:hideMark/>
          </w:tcPr>
          <w:p w14:paraId="5E413DFA"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goods and services intended to secure natural gas supplies</w:t>
            </w:r>
          </w:p>
        </w:tc>
        <w:tc>
          <w:tcPr>
            <w:tcW w:w="910" w:type="dxa"/>
            <w:tcBorders>
              <w:top w:val="nil"/>
              <w:left w:val="nil"/>
              <w:bottom w:val="nil"/>
              <w:right w:val="nil"/>
            </w:tcBorders>
            <w:shd w:val="clear" w:color="auto" w:fill="auto"/>
            <w:noWrap/>
            <w:vAlign w:val="bottom"/>
            <w:hideMark/>
          </w:tcPr>
          <w:p w14:paraId="07F3866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477C4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1AA28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7F2E66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C7CA56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2BF33347" w14:textId="77777777" w:rsidTr="00360FE5">
        <w:trPr>
          <w:trHeight w:val="210"/>
        </w:trPr>
        <w:tc>
          <w:tcPr>
            <w:tcW w:w="450" w:type="dxa"/>
            <w:tcBorders>
              <w:top w:val="nil"/>
              <w:left w:val="nil"/>
              <w:bottom w:val="nil"/>
              <w:right w:val="nil"/>
            </w:tcBorders>
            <w:shd w:val="clear" w:color="auto" w:fill="auto"/>
            <w:noWrap/>
            <w:hideMark/>
          </w:tcPr>
          <w:p w14:paraId="6207D4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5130" w:type="dxa"/>
            <w:tcBorders>
              <w:top w:val="nil"/>
              <w:left w:val="nil"/>
              <w:bottom w:val="nil"/>
              <w:right w:val="nil"/>
            </w:tcBorders>
            <w:shd w:val="clear" w:color="auto" w:fill="auto"/>
            <w:noWrap/>
            <w:vAlign w:val="bottom"/>
            <w:hideMark/>
          </w:tcPr>
          <w:p w14:paraId="615D2432"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motorcycles and mopeds</w:t>
            </w:r>
          </w:p>
        </w:tc>
        <w:tc>
          <w:tcPr>
            <w:tcW w:w="910" w:type="dxa"/>
            <w:tcBorders>
              <w:top w:val="nil"/>
              <w:left w:val="nil"/>
              <w:bottom w:val="nil"/>
              <w:right w:val="nil"/>
            </w:tcBorders>
            <w:shd w:val="clear" w:color="auto" w:fill="auto"/>
            <w:noWrap/>
            <w:vAlign w:val="bottom"/>
            <w:hideMark/>
          </w:tcPr>
          <w:p w14:paraId="4D42795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2,369.0</w:t>
            </w:r>
          </w:p>
        </w:tc>
        <w:tc>
          <w:tcPr>
            <w:tcW w:w="910" w:type="dxa"/>
            <w:tcBorders>
              <w:top w:val="nil"/>
              <w:left w:val="nil"/>
              <w:bottom w:val="nil"/>
              <w:right w:val="nil"/>
            </w:tcBorders>
            <w:shd w:val="clear" w:color="auto" w:fill="auto"/>
            <w:noWrap/>
            <w:vAlign w:val="bottom"/>
            <w:hideMark/>
          </w:tcPr>
          <w:p w14:paraId="0A35DD0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5,888.2</w:t>
            </w:r>
          </w:p>
        </w:tc>
        <w:tc>
          <w:tcPr>
            <w:tcW w:w="910" w:type="dxa"/>
            <w:tcBorders>
              <w:top w:val="nil"/>
              <w:left w:val="nil"/>
              <w:bottom w:val="nil"/>
              <w:right w:val="nil"/>
            </w:tcBorders>
            <w:shd w:val="clear" w:color="auto" w:fill="auto"/>
            <w:noWrap/>
            <w:vAlign w:val="bottom"/>
            <w:hideMark/>
          </w:tcPr>
          <w:p w14:paraId="4F6CB73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7,664.0</w:t>
            </w:r>
          </w:p>
        </w:tc>
        <w:tc>
          <w:tcPr>
            <w:tcW w:w="910" w:type="dxa"/>
            <w:tcBorders>
              <w:top w:val="nil"/>
              <w:left w:val="nil"/>
              <w:bottom w:val="nil"/>
              <w:right w:val="nil"/>
            </w:tcBorders>
            <w:shd w:val="clear" w:color="auto" w:fill="auto"/>
            <w:noWrap/>
            <w:vAlign w:val="bottom"/>
            <w:hideMark/>
          </w:tcPr>
          <w:p w14:paraId="18BCE3B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5,156.2</w:t>
            </w:r>
          </w:p>
        </w:tc>
        <w:tc>
          <w:tcPr>
            <w:tcW w:w="910" w:type="dxa"/>
            <w:tcBorders>
              <w:top w:val="nil"/>
              <w:left w:val="nil"/>
              <w:bottom w:val="nil"/>
              <w:right w:val="nil"/>
            </w:tcBorders>
            <w:shd w:val="clear" w:color="000000" w:fill="E7E6E6"/>
            <w:noWrap/>
            <w:vAlign w:val="bottom"/>
            <w:hideMark/>
          </w:tcPr>
          <w:p w14:paraId="2178A23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7,790.9</w:t>
            </w:r>
          </w:p>
        </w:tc>
      </w:tr>
      <w:tr w:rsidR="00134C08" w:rsidRPr="00134C08" w14:paraId="63B2519E" w14:textId="77777777" w:rsidTr="00360FE5">
        <w:trPr>
          <w:trHeight w:val="210"/>
        </w:trPr>
        <w:tc>
          <w:tcPr>
            <w:tcW w:w="450" w:type="dxa"/>
            <w:tcBorders>
              <w:top w:val="nil"/>
              <w:left w:val="nil"/>
              <w:bottom w:val="nil"/>
              <w:right w:val="nil"/>
            </w:tcBorders>
            <w:shd w:val="clear" w:color="auto" w:fill="auto"/>
            <w:noWrap/>
            <w:hideMark/>
          </w:tcPr>
          <w:p w14:paraId="2C02FF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w:t>
            </w:r>
          </w:p>
        </w:tc>
        <w:tc>
          <w:tcPr>
            <w:tcW w:w="5130" w:type="dxa"/>
            <w:tcBorders>
              <w:top w:val="nil"/>
              <w:left w:val="nil"/>
              <w:bottom w:val="nil"/>
              <w:right w:val="nil"/>
            </w:tcBorders>
            <w:shd w:val="clear" w:color="auto" w:fill="auto"/>
            <w:noWrap/>
            <w:vAlign w:val="bottom"/>
            <w:hideMark/>
          </w:tcPr>
          <w:p w14:paraId="0A1D94C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tractors, buses, trucks and special-purpose vehicles</w:t>
            </w:r>
          </w:p>
        </w:tc>
        <w:tc>
          <w:tcPr>
            <w:tcW w:w="910" w:type="dxa"/>
            <w:tcBorders>
              <w:top w:val="nil"/>
              <w:left w:val="nil"/>
              <w:bottom w:val="nil"/>
              <w:right w:val="nil"/>
            </w:tcBorders>
            <w:shd w:val="clear" w:color="auto" w:fill="auto"/>
            <w:noWrap/>
            <w:vAlign w:val="bottom"/>
            <w:hideMark/>
          </w:tcPr>
          <w:p w14:paraId="2BE2511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241,656.1</w:t>
            </w:r>
          </w:p>
        </w:tc>
        <w:tc>
          <w:tcPr>
            <w:tcW w:w="910" w:type="dxa"/>
            <w:tcBorders>
              <w:top w:val="nil"/>
              <w:left w:val="nil"/>
              <w:bottom w:val="nil"/>
              <w:right w:val="nil"/>
            </w:tcBorders>
            <w:shd w:val="clear" w:color="auto" w:fill="auto"/>
            <w:noWrap/>
            <w:vAlign w:val="bottom"/>
            <w:hideMark/>
          </w:tcPr>
          <w:p w14:paraId="244CD5C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278,865.7</w:t>
            </w:r>
          </w:p>
        </w:tc>
        <w:tc>
          <w:tcPr>
            <w:tcW w:w="910" w:type="dxa"/>
            <w:tcBorders>
              <w:top w:val="nil"/>
              <w:left w:val="nil"/>
              <w:bottom w:val="nil"/>
              <w:right w:val="nil"/>
            </w:tcBorders>
            <w:shd w:val="clear" w:color="auto" w:fill="auto"/>
            <w:noWrap/>
            <w:vAlign w:val="bottom"/>
            <w:hideMark/>
          </w:tcPr>
          <w:p w14:paraId="32B26D5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390,551.0</w:t>
            </w:r>
          </w:p>
        </w:tc>
        <w:tc>
          <w:tcPr>
            <w:tcW w:w="910" w:type="dxa"/>
            <w:tcBorders>
              <w:top w:val="nil"/>
              <w:left w:val="nil"/>
              <w:bottom w:val="nil"/>
              <w:right w:val="nil"/>
            </w:tcBorders>
            <w:shd w:val="clear" w:color="auto" w:fill="auto"/>
            <w:noWrap/>
            <w:vAlign w:val="bottom"/>
            <w:hideMark/>
          </w:tcPr>
          <w:p w14:paraId="02197CF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707,832.2</w:t>
            </w:r>
          </w:p>
        </w:tc>
        <w:tc>
          <w:tcPr>
            <w:tcW w:w="910" w:type="dxa"/>
            <w:tcBorders>
              <w:top w:val="nil"/>
              <w:left w:val="nil"/>
              <w:bottom w:val="nil"/>
              <w:right w:val="nil"/>
            </w:tcBorders>
            <w:shd w:val="clear" w:color="000000" w:fill="E7E6E6"/>
            <w:noWrap/>
            <w:vAlign w:val="bottom"/>
            <w:hideMark/>
          </w:tcPr>
          <w:p w14:paraId="26DC122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357,162.6</w:t>
            </w:r>
          </w:p>
        </w:tc>
      </w:tr>
      <w:tr w:rsidR="00134C08" w:rsidRPr="00134C08" w14:paraId="621B5A07" w14:textId="77777777" w:rsidTr="00360FE5">
        <w:trPr>
          <w:trHeight w:val="210"/>
        </w:trPr>
        <w:tc>
          <w:tcPr>
            <w:tcW w:w="450" w:type="dxa"/>
            <w:tcBorders>
              <w:top w:val="nil"/>
              <w:left w:val="nil"/>
              <w:bottom w:val="nil"/>
              <w:right w:val="nil"/>
            </w:tcBorders>
            <w:shd w:val="clear" w:color="auto" w:fill="auto"/>
            <w:noWrap/>
            <w:hideMark/>
          </w:tcPr>
          <w:p w14:paraId="4AF2024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w:t>
            </w:r>
          </w:p>
        </w:tc>
        <w:tc>
          <w:tcPr>
            <w:tcW w:w="5130" w:type="dxa"/>
            <w:tcBorders>
              <w:top w:val="nil"/>
              <w:left w:val="nil"/>
              <w:bottom w:val="nil"/>
              <w:right w:val="nil"/>
            </w:tcBorders>
            <w:shd w:val="clear" w:color="auto" w:fill="auto"/>
            <w:noWrap/>
            <w:vAlign w:val="bottom"/>
            <w:hideMark/>
          </w:tcPr>
          <w:p w14:paraId="414D21A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motor cultivators and agricultural tractors</w:t>
            </w:r>
          </w:p>
        </w:tc>
        <w:tc>
          <w:tcPr>
            <w:tcW w:w="910" w:type="dxa"/>
            <w:tcBorders>
              <w:top w:val="nil"/>
              <w:left w:val="nil"/>
              <w:bottom w:val="nil"/>
              <w:right w:val="nil"/>
            </w:tcBorders>
            <w:shd w:val="clear" w:color="auto" w:fill="auto"/>
            <w:noWrap/>
            <w:vAlign w:val="bottom"/>
            <w:hideMark/>
          </w:tcPr>
          <w:p w14:paraId="4710B35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288,597.5</w:t>
            </w:r>
          </w:p>
        </w:tc>
        <w:tc>
          <w:tcPr>
            <w:tcW w:w="910" w:type="dxa"/>
            <w:tcBorders>
              <w:top w:val="nil"/>
              <w:left w:val="nil"/>
              <w:bottom w:val="nil"/>
              <w:right w:val="nil"/>
            </w:tcBorders>
            <w:shd w:val="clear" w:color="auto" w:fill="auto"/>
            <w:noWrap/>
            <w:vAlign w:val="bottom"/>
            <w:hideMark/>
          </w:tcPr>
          <w:p w14:paraId="66BC3EB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159,186.0</w:t>
            </w:r>
          </w:p>
        </w:tc>
        <w:tc>
          <w:tcPr>
            <w:tcW w:w="910" w:type="dxa"/>
            <w:tcBorders>
              <w:top w:val="nil"/>
              <w:left w:val="nil"/>
              <w:bottom w:val="nil"/>
              <w:right w:val="nil"/>
            </w:tcBorders>
            <w:shd w:val="clear" w:color="auto" w:fill="auto"/>
            <w:noWrap/>
            <w:vAlign w:val="bottom"/>
            <w:hideMark/>
          </w:tcPr>
          <w:p w14:paraId="5EBE918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141,925.0</w:t>
            </w:r>
          </w:p>
        </w:tc>
        <w:tc>
          <w:tcPr>
            <w:tcW w:w="910" w:type="dxa"/>
            <w:tcBorders>
              <w:top w:val="nil"/>
              <w:left w:val="nil"/>
              <w:bottom w:val="nil"/>
              <w:right w:val="nil"/>
            </w:tcBorders>
            <w:shd w:val="clear" w:color="auto" w:fill="auto"/>
            <w:noWrap/>
            <w:vAlign w:val="bottom"/>
            <w:hideMark/>
          </w:tcPr>
          <w:p w14:paraId="4FE0BCF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182,305.0</w:t>
            </w:r>
          </w:p>
        </w:tc>
        <w:tc>
          <w:tcPr>
            <w:tcW w:w="910" w:type="dxa"/>
            <w:tcBorders>
              <w:top w:val="nil"/>
              <w:left w:val="nil"/>
              <w:bottom w:val="nil"/>
              <w:right w:val="nil"/>
            </w:tcBorders>
            <w:shd w:val="clear" w:color="000000" w:fill="E7E6E6"/>
            <w:noWrap/>
            <w:vAlign w:val="bottom"/>
            <w:hideMark/>
          </w:tcPr>
          <w:p w14:paraId="7BBECF1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198,659.0</w:t>
            </w:r>
          </w:p>
        </w:tc>
      </w:tr>
      <w:tr w:rsidR="00134C08" w:rsidRPr="00134C08" w14:paraId="321C6412" w14:textId="77777777" w:rsidTr="00360FE5">
        <w:trPr>
          <w:trHeight w:val="210"/>
        </w:trPr>
        <w:tc>
          <w:tcPr>
            <w:tcW w:w="450" w:type="dxa"/>
            <w:tcBorders>
              <w:top w:val="nil"/>
              <w:left w:val="nil"/>
              <w:bottom w:val="nil"/>
              <w:right w:val="nil"/>
            </w:tcBorders>
            <w:shd w:val="clear" w:color="auto" w:fill="auto"/>
            <w:noWrap/>
            <w:hideMark/>
          </w:tcPr>
          <w:p w14:paraId="4E59B30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w:t>
            </w:r>
          </w:p>
        </w:tc>
        <w:tc>
          <w:tcPr>
            <w:tcW w:w="5130" w:type="dxa"/>
            <w:tcBorders>
              <w:top w:val="nil"/>
              <w:left w:val="nil"/>
              <w:bottom w:val="nil"/>
              <w:right w:val="nil"/>
            </w:tcBorders>
            <w:shd w:val="clear" w:color="auto" w:fill="auto"/>
            <w:noWrap/>
            <w:vAlign w:val="bottom"/>
            <w:hideMark/>
          </w:tcPr>
          <w:p w14:paraId="62370B3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means of transport for persons with disabilities of the locomotor apparatus</w:t>
            </w:r>
          </w:p>
        </w:tc>
        <w:tc>
          <w:tcPr>
            <w:tcW w:w="910" w:type="dxa"/>
            <w:tcBorders>
              <w:top w:val="nil"/>
              <w:left w:val="nil"/>
              <w:bottom w:val="nil"/>
              <w:right w:val="nil"/>
            </w:tcBorders>
            <w:shd w:val="clear" w:color="auto" w:fill="auto"/>
            <w:noWrap/>
            <w:vAlign w:val="bottom"/>
            <w:hideMark/>
          </w:tcPr>
          <w:p w14:paraId="74B6CCE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3DF4DB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8,797.7</w:t>
            </w:r>
          </w:p>
        </w:tc>
        <w:tc>
          <w:tcPr>
            <w:tcW w:w="910" w:type="dxa"/>
            <w:tcBorders>
              <w:top w:val="nil"/>
              <w:left w:val="nil"/>
              <w:bottom w:val="nil"/>
              <w:right w:val="nil"/>
            </w:tcBorders>
            <w:shd w:val="clear" w:color="auto" w:fill="auto"/>
            <w:noWrap/>
            <w:vAlign w:val="bottom"/>
            <w:hideMark/>
          </w:tcPr>
          <w:p w14:paraId="48B4A41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42,972.2</w:t>
            </w:r>
          </w:p>
        </w:tc>
        <w:tc>
          <w:tcPr>
            <w:tcW w:w="910" w:type="dxa"/>
            <w:tcBorders>
              <w:top w:val="nil"/>
              <w:left w:val="nil"/>
              <w:bottom w:val="nil"/>
              <w:right w:val="nil"/>
            </w:tcBorders>
            <w:shd w:val="clear" w:color="auto" w:fill="auto"/>
            <w:noWrap/>
            <w:vAlign w:val="bottom"/>
            <w:hideMark/>
          </w:tcPr>
          <w:p w14:paraId="55070A6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203,213.9</w:t>
            </w:r>
          </w:p>
        </w:tc>
        <w:tc>
          <w:tcPr>
            <w:tcW w:w="910" w:type="dxa"/>
            <w:tcBorders>
              <w:top w:val="nil"/>
              <w:left w:val="nil"/>
              <w:bottom w:val="nil"/>
              <w:right w:val="nil"/>
            </w:tcBorders>
            <w:shd w:val="clear" w:color="000000" w:fill="E7E6E6"/>
            <w:noWrap/>
            <w:vAlign w:val="bottom"/>
            <w:hideMark/>
          </w:tcPr>
          <w:p w14:paraId="0A27C0C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25,885.0</w:t>
            </w:r>
          </w:p>
        </w:tc>
      </w:tr>
      <w:tr w:rsidR="00134C08" w:rsidRPr="00134C08" w14:paraId="331EC6D3" w14:textId="77777777" w:rsidTr="00360FE5">
        <w:trPr>
          <w:trHeight w:val="210"/>
        </w:trPr>
        <w:tc>
          <w:tcPr>
            <w:tcW w:w="450" w:type="dxa"/>
            <w:tcBorders>
              <w:top w:val="nil"/>
              <w:left w:val="nil"/>
              <w:bottom w:val="nil"/>
              <w:right w:val="nil"/>
            </w:tcBorders>
            <w:shd w:val="clear" w:color="auto" w:fill="auto"/>
            <w:noWrap/>
            <w:hideMark/>
          </w:tcPr>
          <w:p w14:paraId="0637DA1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w:t>
            </w:r>
          </w:p>
        </w:tc>
        <w:tc>
          <w:tcPr>
            <w:tcW w:w="5130" w:type="dxa"/>
            <w:tcBorders>
              <w:top w:val="nil"/>
              <w:left w:val="nil"/>
              <w:bottom w:val="nil"/>
              <w:right w:val="nil"/>
            </w:tcBorders>
            <w:shd w:val="clear" w:color="auto" w:fill="auto"/>
            <w:noWrap/>
            <w:vAlign w:val="bottom"/>
            <w:hideMark/>
          </w:tcPr>
          <w:p w14:paraId="27B645C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certain imported public utility vehicles</w:t>
            </w:r>
          </w:p>
        </w:tc>
        <w:tc>
          <w:tcPr>
            <w:tcW w:w="910" w:type="dxa"/>
            <w:tcBorders>
              <w:top w:val="nil"/>
              <w:left w:val="nil"/>
              <w:bottom w:val="nil"/>
              <w:right w:val="nil"/>
            </w:tcBorders>
            <w:shd w:val="clear" w:color="auto" w:fill="auto"/>
            <w:noWrap/>
            <w:vAlign w:val="bottom"/>
            <w:hideMark/>
          </w:tcPr>
          <w:p w14:paraId="169F973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357.4</w:t>
            </w:r>
          </w:p>
        </w:tc>
        <w:tc>
          <w:tcPr>
            <w:tcW w:w="910" w:type="dxa"/>
            <w:tcBorders>
              <w:top w:val="nil"/>
              <w:left w:val="nil"/>
              <w:bottom w:val="nil"/>
              <w:right w:val="nil"/>
            </w:tcBorders>
            <w:shd w:val="clear" w:color="auto" w:fill="auto"/>
            <w:noWrap/>
            <w:vAlign w:val="bottom"/>
            <w:hideMark/>
          </w:tcPr>
          <w:p w14:paraId="0379147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95.7</w:t>
            </w:r>
          </w:p>
        </w:tc>
        <w:tc>
          <w:tcPr>
            <w:tcW w:w="910" w:type="dxa"/>
            <w:tcBorders>
              <w:top w:val="nil"/>
              <w:left w:val="nil"/>
              <w:bottom w:val="nil"/>
              <w:right w:val="nil"/>
            </w:tcBorders>
            <w:shd w:val="clear" w:color="auto" w:fill="auto"/>
            <w:noWrap/>
            <w:vAlign w:val="bottom"/>
            <w:hideMark/>
          </w:tcPr>
          <w:p w14:paraId="5712D9E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4.1</w:t>
            </w:r>
          </w:p>
        </w:tc>
        <w:tc>
          <w:tcPr>
            <w:tcW w:w="910" w:type="dxa"/>
            <w:tcBorders>
              <w:top w:val="nil"/>
              <w:left w:val="nil"/>
              <w:bottom w:val="nil"/>
              <w:right w:val="nil"/>
            </w:tcBorders>
            <w:shd w:val="clear" w:color="auto" w:fill="auto"/>
            <w:noWrap/>
            <w:vAlign w:val="bottom"/>
            <w:hideMark/>
          </w:tcPr>
          <w:p w14:paraId="093DF6A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1,653.1</w:t>
            </w:r>
          </w:p>
        </w:tc>
        <w:tc>
          <w:tcPr>
            <w:tcW w:w="910" w:type="dxa"/>
            <w:tcBorders>
              <w:top w:val="nil"/>
              <w:left w:val="nil"/>
              <w:bottom w:val="nil"/>
              <w:right w:val="nil"/>
            </w:tcBorders>
            <w:shd w:val="clear" w:color="000000" w:fill="E7E6E6"/>
            <w:noWrap/>
            <w:vAlign w:val="bottom"/>
            <w:hideMark/>
          </w:tcPr>
          <w:p w14:paraId="292CB4B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527.6</w:t>
            </w:r>
          </w:p>
        </w:tc>
      </w:tr>
      <w:tr w:rsidR="00134C08" w:rsidRPr="00134C08" w14:paraId="19C6705A" w14:textId="77777777" w:rsidTr="00360FE5">
        <w:trPr>
          <w:trHeight w:val="210"/>
        </w:trPr>
        <w:tc>
          <w:tcPr>
            <w:tcW w:w="450" w:type="dxa"/>
            <w:tcBorders>
              <w:top w:val="nil"/>
              <w:left w:val="nil"/>
              <w:bottom w:val="nil"/>
              <w:right w:val="nil"/>
            </w:tcBorders>
            <w:shd w:val="clear" w:color="auto" w:fill="auto"/>
            <w:noWrap/>
            <w:hideMark/>
          </w:tcPr>
          <w:p w14:paraId="3EBE526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w:t>
            </w:r>
          </w:p>
        </w:tc>
        <w:tc>
          <w:tcPr>
            <w:tcW w:w="5130" w:type="dxa"/>
            <w:tcBorders>
              <w:top w:val="nil"/>
              <w:left w:val="nil"/>
              <w:bottom w:val="nil"/>
              <w:right w:val="nil"/>
            </w:tcBorders>
            <w:shd w:val="clear" w:color="auto" w:fill="auto"/>
            <w:noWrap/>
            <w:vAlign w:val="bottom"/>
            <w:hideMark/>
          </w:tcPr>
          <w:p w14:paraId="266C641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goods imported for personal use or consumption</w:t>
            </w:r>
          </w:p>
        </w:tc>
        <w:tc>
          <w:tcPr>
            <w:tcW w:w="910" w:type="dxa"/>
            <w:tcBorders>
              <w:top w:val="nil"/>
              <w:left w:val="nil"/>
              <w:bottom w:val="nil"/>
              <w:right w:val="nil"/>
            </w:tcBorders>
            <w:shd w:val="clear" w:color="auto" w:fill="auto"/>
            <w:noWrap/>
            <w:vAlign w:val="bottom"/>
            <w:hideMark/>
          </w:tcPr>
          <w:p w14:paraId="2749311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DEDB5B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36136A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37B54B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000000" w:fill="E7E6E6"/>
            <w:noWrap/>
            <w:vAlign w:val="bottom"/>
            <w:hideMark/>
          </w:tcPr>
          <w:p w14:paraId="4D6E412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16661E9B" w14:textId="77777777" w:rsidTr="00360FE5">
        <w:trPr>
          <w:trHeight w:val="210"/>
        </w:trPr>
        <w:tc>
          <w:tcPr>
            <w:tcW w:w="450" w:type="dxa"/>
            <w:tcBorders>
              <w:top w:val="nil"/>
              <w:left w:val="nil"/>
              <w:bottom w:val="nil"/>
              <w:right w:val="nil"/>
            </w:tcBorders>
            <w:shd w:val="clear" w:color="auto" w:fill="auto"/>
            <w:noWrap/>
            <w:hideMark/>
          </w:tcPr>
          <w:p w14:paraId="6CD0F7D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w:t>
            </w:r>
          </w:p>
        </w:tc>
        <w:tc>
          <w:tcPr>
            <w:tcW w:w="5130" w:type="dxa"/>
            <w:tcBorders>
              <w:top w:val="nil"/>
              <w:left w:val="nil"/>
              <w:bottom w:val="nil"/>
              <w:right w:val="nil"/>
            </w:tcBorders>
            <w:shd w:val="clear" w:color="auto" w:fill="auto"/>
            <w:noWrap/>
            <w:vAlign w:val="bottom"/>
            <w:hideMark/>
          </w:tcPr>
          <w:p w14:paraId="27C120C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personal goods inherited or imported upon establishing residence in Moldova</w:t>
            </w:r>
          </w:p>
        </w:tc>
        <w:tc>
          <w:tcPr>
            <w:tcW w:w="910" w:type="dxa"/>
            <w:tcBorders>
              <w:top w:val="nil"/>
              <w:left w:val="nil"/>
              <w:bottom w:val="nil"/>
              <w:right w:val="nil"/>
            </w:tcBorders>
            <w:shd w:val="clear" w:color="auto" w:fill="auto"/>
            <w:noWrap/>
            <w:vAlign w:val="bottom"/>
            <w:hideMark/>
          </w:tcPr>
          <w:p w14:paraId="3713C10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1,149.1</w:t>
            </w:r>
          </w:p>
        </w:tc>
        <w:tc>
          <w:tcPr>
            <w:tcW w:w="910" w:type="dxa"/>
            <w:tcBorders>
              <w:top w:val="nil"/>
              <w:left w:val="nil"/>
              <w:bottom w:val="nil"/>
              <w:right w:val="nil"/>
            </w:tcBorders>
            <w:shd w:val="clear" w:color="auto" w:fill="auto"/>
            <w:noWrap/>
            <w:vAlign w:val="bottom"/>
            <w:hideMark/>
          </w:tcPr>
          <w:p w14:paraId="0BE0BC4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212.4</w:t>
            </w:r>
          </w:p>
        </w:tc>
        <w:tc>
          <w:tcPr>
            <w:tcW w:w="910" w:type="dxa"/>
            <w:tcBorders>
              <w:top w:val="nil"/>
              <w:left w:val="nil"/>
              <w:bottom w:val="nil"/>
              <w:right w:val="nil"/>
            </w:tcBorders>
            <w:shd w:val="clear" w:color="auto" w:fill="auto"/>
            <w:noWrap/>
            <w:vAlign w:val="bottom"/>
            <w:hideMark/>
          </w:tcPr>
          <w:p w14:paraId="47A3B30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808.4</w:t>
            </w:r>
          </w:p>
        </w:tc>
        <w:tc>
          <w:tcPr>
            <w:tcW w:w="910" w:type="dxa"/>
            <w:tcBorders>
              <w:top w:val="nil"/>
              <w:left w:val="nil"/>
              <w:bottom w:val="nil"/>
              <w:right w:val="nil"/>
            </w:tcBorders>
            <w:shd w:val="clear" w:color="auto" w:fill="auto"/>
            <w:noWrap/>
            <w:vAlign w:val="bottom"/>
            <w:hideMark/>
          </w:tcPr>
          <w:p w14:paraId="6E17049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974.0</w:t>
            </w:r>
          </w:p>
        </w:tc>
        <w:tc>
          <w:tcPr>
            <w:tcW w:w="910" w:type="dxa"/>
            <w:tcBorders>
              <w:top w:val="nil"/>
              <w:left w:val="nil"/>
              <w:bottom w:val="nil"/>
              <w:right w:val="nil"/>
            </w:tcBorders>
            <w:shd w:val="clear" w:color="000000" w:fill="E7E6E6"/>
            <w:noWrap/>
            <w:vAlign w:val="bottom"/>
            <w:hideMark/>
          </w:tcPr>
          <w:p w14:paraId="04178C1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786.0</w:t>
            </w:r>
          </w:p>
        </w:tc>
      </w:tr>
      <w:tr w:rsidR="00134C08" w:rsidRPr="00134C08" w14:paraId="1295CE0C" w14:textId="77777777" w:rsidTr="00360FE5">
        <w:trPr>
          <w:trHeight w:val="210"/>
        </w:trPr>
        <w:tc>
          <w:tcPr>
            <w:tcW w:w="450" w:type="dxa"/>
            <w:tcBorders>
              <w:top w:val="nil"/>
              <w:left w:val="nil"/>
              <w:bottom w:val="nil"/>
              <w:right w:val="nil"/>
            </w:tcBorders>
            <w:shd w:val="clear" w:color="auto" w:fill="auto"/>
            <w:noWrap/>
            <w:hideMark/>
          </w:tcPr>
          <w:p w14:paraId="66B0E86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w:t>
            </w:r>
          </w:p>
        </w:tc>
        <w:tc>
          <w:tcPr>
            <w:tcW w:w="5130" w:type="dxa"/>
            <w:tcBorders>
              <w:top w:val="nil"/>
              <w:left w:val="nil"/>
              <w:bottom w:val="nil"/>
              <w:right w:val="nil"/>
            </w:tcBorders>
            <w:shd w:val="clear" w:color="auto" w:fill="auto"/>
            <w:noWrap/>
            <w:vAlign w:val="bottom"/>
            <w:hideMark/>
          </w:tcPr>
          <w:p w14:paraId="2BD0142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duty-free shops</w:t>
            </w:r>
          </w:p>
        </w:tc>
        <w:tc>
          <w:tcPr>
            <w:tcW w:w="910" w:type="dxa"/>
            <w:tcBorders>
              <w:top w:val="nil"/>
              <w:left w:val="nil"/>
              <w:bottom w:val="nil"/>
              <w:right w:val="nil"/>
            </w:tcBorders>
            <w:shd w:val="clear" w:color="auto" w:fill="auto"/>
            <w:noWrap/>
            <w:vAlign w:val="bottom"/>
            <w:hideMark/>
          </w:tcPr>
          <w:p w14:paraId="68A0FA9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47,130.0</w:t>
            </w:r>
          </w:p>
        </w:tc>
        <w:tc>
          <w:tcPr>
            <w:tcW w:w="910" w:type="dxa"/>
            <w:tcBorders>
              <w:top w:val="nil"/>
              <w:left w:val="nil"/>
              <w:bottom w:val="nil"/>
              <w:right w:val="nil"/>
            </w:tcBorders>
            <w:shd w:val="clear" w:color="auto" w:fill="auto"/>
            <w:noWrap/>
            <w:vAlign w:val="bottom"/>
            <w:hideMark/>
          </w:tcPr>
          <w:p w14:paraId="02BB8E4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55,355.3</w:t>
            </w:r>
          </w:p>
        </w:tc>
        <w:tc>
          <w:tcPr>
            <w:tcW w:w="910" w:type="dxa"/>
            <w:tcBorders>
              <w:top w:val="nil"/>
              <w:left w:val="nil"/>
              <w:bottom w:val="nil"/>
              <w:right w:val="nil"/>
            </w:tcBorders>
            <w:shd w:val="clear" w:color="auto" w:fill="auto"/>
            <w:noWrap/>
            <w:vAlign w:val="bottom"/>
            <w:hideMark/>
          </w:tcPr>
          <w:p w14:paraId="704E6F4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6,762.1</w:t>
            </w:r>
          </w:p>
        </w:tc>
        <w:tc>
          <w:tcPr>
            <w:tcW w:w="910" w:type="dxa"/>
            <w:tcBorders>
              <w:top w:val="nil"/>
              <w:left w:val="nil"/>
              <w:bottom w:val="nil"/>
              <w:right w:val="nil"/>
            </w:tcBorders>
            <w:shd w:val="clear" w:color="000000" w:fill="E7E6E6"/>
            <w:noWrap/>
            <w:vAlign w:val="bottom"/>
            <w:hideMark/>
          </w:tcPr>
          <w:p w14:paraId="0C0F815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20,000.0</w:t>
            </w:r>
          </w:p>
        </w:tc>
        <w:tc>
          <w:tcPr>
            <w:tcW w:w="910" w:type="dxa"/>
            <w:tcBorders>
              <w:top w:val="nil"/>
              <w:left w:val="nil"/>
              <w:bottom w:val="nil"/>
              <w:right w:val="nil"/>
            </w:tcBorders>
            <w:shd w:val="clear" w:color="000000" w:fill="E7E6E6"/>
            <w:noWrap/>
            <w:vAlign w:val="bottom"/>
            <w:hideMark/>
          </w:tcPr>
          <w:p w14:paraId="49E2885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46,124.1</w:t>
            </w:r>
          </w:p>
        </w:tc>
      </w:tr>
      <w:tr w:rsidR="00134C08" w:rsidRPr="00134C08" w14:paraId="055AD81C" w14:textId="77777777" w:rsidTr="00360FE5">
        <w:trPr>
          <w:trHeight w:val="210"/>
        </w:trPr>
        <w:tc>
          <w:tcPr>
            <w:tcW w:w="450" w:type="dxa"/>
            <w:tcBorders>
              <w:top w:val="nil"/>
              <w:left w:val="nil"/>
              <w:bottom w:val="nil"/>
              <w:right w:val="nil"/>
            </w:tcBorders>
            <w:shd w:val="clear" w:color="auto" w:fill="auto"/>
            <w:noWrap/>
            <w:hideMark/>
          </w:tcPr>
          <w:p w14:paraId="180E64A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w:t>
            </w:r>
          </w:p>
        </w:tc>
        <w:tc>
          <w:tcPr>
            <w:tcW w:w="5130" w:type="dxa"/>
            <w:tcBorders>
              <w:top w:val="nil"/>
              <w:left w:val="nil"/>
              <w:bottom w:val="nil"/>
              <w:right w:val="nil"/>
            </w:tcBorders>
            <w:shd w:val="clear" w:color="auto" w:fill="auto"/>
            <w:noWrap/>
            <w:vAlign w:val="bottom"/>
            <w:hideMark/>
          </w:tcPr>
          <w:p w14:paraId="7B38EAC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goods imported by legal persons for non-commercial purposes</w:t>
            </w:r>
          </w:p>
        </w:tc>
        <w:tc>
          <w:tcPr>
            <w:tcW w:w="910" w:type="dxa"/>
            <w:tcBorders>
              <w:top w:val="nil"/>
              <w:left w:val="nil"/>
              <w:bottom w:val="nil"/>
              <w:right w:val="nil"/>
            </w:tcBorders>
            <w:shd w:val="clear" w:color="auto" w:fill="auto"/>
            <w:noWrap/>
            <w:vAlign w:val="bottom"/>
            <w:hideMark/>
          </w:tcPr>
          <w:p w14:paraId="5194D63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5EC210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EBAEF5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47CBD7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07E38E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46F189E5" w14:textId="77777777" w:rsidTr="00360FE5">
        <w:trPr>
          <w:trHeight w:val="210"/>
        </w:trPr>
        <w:tc>
          <w:tcPr>
            <w:tcW w:w="450" w:type="dxa"/>
            <w:tcBorders>
              <w:top w:val="nil"/>
              <w:left w:val="nil"/>
              <w:bottom w:val="nil"/>
              <w:right w:val="nil"/>
            </w:tcBorders>
            <w:shd w:val="clear" w:color="auto" w:fill="auto"/>
            <w:noWrap/>
            <w:hideMark/>
          </w:tcPr>
          <w:p w14:paraId="09214EE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w:t>
            </w:r>
          </w:p>
        </w:tc>
        <w:tc>
          <w:tcPr>
            <w:tcW w:w="5130" w:type="dxa"/>
            <w:tcBorders>
              <w:top w:val="nil"/>
              <w:left w:val="nil"/>
              <w:bottom w:val="nil"/>
              <w:right w:val="nil"/>
            </w:tcBorders>
            <w:shd w:val="clear" w:color="auto" w:fill="auto"/>
            <w:noWrap/>
            <w:vAlign w:val="bottom"/>
            <w:hideMark/>
          </w:tcPr>
          <w:p w14:paraId="5DDC3FF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goods imported for trade promotion purposes</w:t>
            </w:r>
          </w:p>
        </w:tc>
        <w:tc>
          <w:tcPr>
            <w:tcW w:w="910" w:type="dxa"/>
            <w:tcBorders>
              <w:top w:val="nil"/>
              <w:left w:val="nil"/>
              <w:bottom w:val="nil"/>
              <w:right w:val="nil"/>
            </w:tcBorders>
            <w:shd w:val="clear" w:color="auto" w:fill="auto"/>
            <w:noWrap/>
            <w:vAlign w:val="bottom"/>
            <w:hideMark/>
          </w:tcPr>
          <w:p w14:paraId="658E33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B6A4D8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82C423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4F5884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A7A0A7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67CFED4" w14:textId="77777777" w:rsidTr="00360FE5">
        <w:trPr>
          <w:trHeight w:val="210"/>
        </w:trPr>
        <w:tc>
          <w:tcPr>
            <w:tcW w:w="450" w:type="dxa"/>
            <w:tcBorders>
              <w:top w:val="nil"/>
              <w:left w:val="nil"/>
              <w:bottom w:val="nil"/>
              <w:right w:val="nil"/>
            </w:tcBorders>
            <w:shd w:val="clear" w:color="auto" w:fill="auto"/>
            <w:noWrap/>
            <w:hideMark/>
          </w:tcPr>
          <w:p w14:paraId="3B43F5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w:t>
            </w:r>
          </w:p>
        </w:tc>
        <w:tc>
          <w:tcPr>
            <w:tcW w:w="5130" w:type="dxa"/>
            <w:tcBorders>
              <w:top w:val="nil"/>
              <w:left w:val="nil"/>
              <w:bottom w:val="nil"/>
              <w:right w:val="nil"/>
            </w:tcBorders>
            <w:shd w:val="clear" w:color="auto" w:fill="auto"/>
            <w:noWrap/>
            <w:vAlign w:val="bottom"/>
            <w:hideMark/>
          </w:tcPr>
          <w:p w14:paraId="39256B87"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diplomats and representatives of international organizations</w:t>
            </w:r>
          </w:p>
        </w:tc>
        <w:tc>
          <w:tcPr>
            <w:tcW w:w="910" w:type="dxa"/>
            <w:tcBorders>
              <w:top w:val="nil"/>
              <w:left w:val="nil"/>
              <w:bottom w:val="nil"/>
              <w:right w:val="nil"/>
            </w:tcBorders>
            <w:shd w:val="clear" w:color="auto" w:fill="auto"/>
            <w:noWrap/>
            <w:vAlign w:val="bottom"/>
            <w:hideMark/>
          </w:tcPr>
          <w:p w14:paraId="6B9ADF8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7,404.8</w:t>
            </w:r>
          </w:p>
        </w:tc>
        <w:tc>
          <w:tcPr>
            <w:tcW w:w="910" w:type="dxa"/>
            <w:tcBorders>
              <w:top w:val="nil"/>
              <w:left w:val="nil"/>
              <w:bottom w:val="nil"/>
              <w:right w:val="nil"/>
            </w:tcBorders>
            <w:shd w:val="clear" w:color="auto" w:fill="auto"/>
            <w:noWrap/>
            <w:vAlign w:val="bottom"/>
            <w:hideMark/>
          </w:tcPr>
          <w:p w14:paraId="2F7D19F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9,391.7</w:t>
            </w:r>
          </w:p>
        </w:tc>
        <w:tc>
          <w:tcPr>
            <w:tcW w:w="910" w:type="dxa"/>
            <w:tcBorders>
              <w:top w:val="nil"/>
              <w:left w:val="nil"/>
              <w:bottom w:val="nil"/>
              <w:right w:val="nil"/>
            </w:tcBorders>
            <w:shd w:val="clear" w:color="auto" w:fill="auto"/>
            <w:noWrap/>
            <w:vAlign w:val="bottom"/>
            <w:hideMark/>
          </w:tcPr>
          <w:p w14:paraId="6D59613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9,179.7</w:t>
            </w:r>
          </w:p>
        </w:tc>
        <w:tc>
          <w:tcPr>
            <w:tcW w:w="910" w:type="dxa"/>
            <w:tcBorders>
              <w:top w:val="nil"/>
              <w:left w:val="nil"/>
              <w:bottom w:val="nil"/>
              <w:right w:val="nil"/>
            </w:tcBorders>
            <w:shd w:val="clear" w:color="000000" w:fill="E7E6E6"/>
            <w:noWrap/>
            <w:vAlign w:val="bottom"/>
            <w:hideMark/>
          </w:tcPr>
          <w:p w14:paraId="18F3179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9,990.6</w:t>
            </w:r>
          </w:p>
        </w:tc>
        <w:tc>
          <w:tcPr>
            <w:tcW w:w="910" w:type="dxa"/>
            <w:tcBorders>
              <w:top w:val="nil"/>
              <w:left w:val="nil"/>
              <w:bottom w:val="nil"/>
              <w:right w:val="nil"/>
            </w:tcBorders>
            <w:shd w:val="clear" w:color="000000" w:fill="E7E6E6"/>
            <w:noWrap/>
            <w:vAlign w:val="bottom"/>
            <w:hideMark/>
          </w:tcPr>
          <w:p w14:paraId="40DD57C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9,990.6</w:t>
            </w:r>
          </w:p>
        </w:tc>
      </w:tr>
      <w:tr w:rsidR="00134C08" w:rsidRPr="00134C08" w14:paraId="1CAD80ED" w14:textId="77777777" w:rsidTr="00360FE5">
        <w:trPr>
          <w:trHeight w:val="210"/>
        </w:trPr>
        <w:tc>
          <w:tcPr>
            <w:tcW w:w="450" w:type="dxa"/>
            <w:tcBorders>
              <w:top w:val="nil"/>
              <w:left w:val="nil"/>
              <w:bottom w:val="nil"/>
              <w:right w:val="nil"/>
            </w:tcBorders>
            <w:shd w:val="clear" w:color="auto" w:fill="auto"/>
            <w:noWrap/>
            <w:hideMark/>
          </w:tcPr>
          <w:p w14:paraId="0448D1D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w:t>
            </w:r>
          </w:p>
        </w:tc>
        <w:tc>
          <w:tcPr>
            <w:tcW w:w="5130" w:type="dxa"/>
            <w:tcBorders>
              <w:top w:val="nil"/>
              <w:left w:val="nil"/>
              <w:bottom w:val="nil"/>
              <w:right w:val="nil"/>
            </w:tcBorders>
            <w:shd w:val="clear" w:color="auto" w:fill="auto"/>
            <w:noWrap/>
            <w:vAlign w:val="bottom"/>
            <w:hideMark/>
          </w:tcPr>
          <w:p w14:paraId="78A6581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gifts received in the context of international relations</w:t>
            </w:r>
          </w:p>
        </w:tc>
        <w:tc>
          <w:tcPr>
            <w:tcW w:w="910" w:type="dxa"/>
            <w:tcBorders>
              <w:top w:val="nil"/>
              <w:left w:val="nil"/>
              <w:bottom w:val="nil"/>
              <w:right w:val="nil"/>
            </w:tcBorders>
            <w:shd w:val="clear" w:color="auto" w:fill="auto"/>
            <w:noWrap/>
            <w:vAlign w:val="bottom"/>
            <w:hideMark/>
          </w:tcPr>
          <w:p w14:paraId="208DDB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D2E387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13872A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D92AF8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F65BA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72070C01" w14:textId="77777777" w:rsidTr="00360FE5">
        <w:trPr>
          <w:trHeight w:val="210"/>
        </w:trPr>
        <w:tc>
          <w:tcPr>
            <w:tcW w:w="450" w:type="dxa"/>
            <w:tcBorders>
              <w:top w:val="nil"/>
              <w:left w:val="nil"/>
              <w:bottom w:val="nil"/>
              <w:right w:val="nil"/>
            </w:tcBorders>
            <w:shd w:val="clear" w:color="auto" w:fill="auto"/>
            <w:noWrap/>
            <w:hideMark/>
          </w:tcPr>
          <w:p w14:paraId="4737C6B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w:t>
            </w:r>
          </w:p>
        </w:tc>
        <w:tc>
          <w:tcPr>
            <w:tcW w:w="5130" w:type="dxa"/>
            <w:tcBorders>
              <w:top w:val="nil"/>
              <w:left w:val="nil"/>
              <w:bottom w:val="nil"/>
              <w:right w:val="nil"/>
            </w:tcBorders>
            <w:shd w:val="clear" w:color="auto" w:fill="auto"/>
            <w:noWrap/>
            <w:vAlign w:val="bottom"/>
            <w:hideMark/>
          </w:tcPr>
          <w:p w14:paraId="41CEF9F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goods intended for heads of state</w:t>
            </w:r>
          </w:p>
        </w:tc>
        <w:tc>
          <w:tcPr>
            <w:tcW w:w="910" w:type="dxa"/>
            <w:tcBorders>
              <w:top w:val="nil"/>
              <w:left w:val="nil"/>
              <w:bottom w:val="nil"/>
              <w:right w:val="nil"/>
            </w:tcBorders>
            <w:shd w:val="clear" w:color="auto" w:fill="auto"/>
            <w:noWrap/>
            <w:vAlign w:val="bottom"/>
            <w:hideMark/>
          </w:tcPr>
          <w:p w14:paraId="3C57C43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E0EF26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E77433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05BA7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72A04C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28A345E3" w14:textId="77777777" w:rsidTr="00360FE5">
        <w:trPr>
          <w:trHeight w:val="210"/>
        </w:trPr>
        <w:tc>
          <w:tcPr>
            <w:tcW w:w="450" w:type="dxa"/>
            <w:tcBorders>
              <w:top w:val="nil"/>
              <w:left w:val="nil"/>
              <w:bottom w:val="nil"/>
              <w:right w:val="nil"/>
            </w:tcBorders>
            <w:shd w:val="clear" w:color="auto" w:fill="auto"/>
            <w:noWrap/>
            <w:hideMark/>
          </w:tcPr>
          <w:p w14:paraId="136472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w:t>
            </w:r>
          </w:p>
        </w:tc>
        <w:tc>
          <w:tcPr>
            <w:tcW w:w="5130" w:type="dxa"/>
            <w:tcBorders>
              <w:top w:val="nil"/>
              <w:left w:val="nil"/>
              <w:bottom w:val="nil"/>
              <w:right w:val="nil"/>
            </w:tcBorders>
            <w:shd w:val="clear" w:color="auto" w:fill="auto"/>
            <w:noWrap/>
            <w:vAlign w:val="bottom"/>
            <w:hideMark/>
          </w:tcPr>
          <w:p w14:paraId="0F990188"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foreign military forces and international intervention teams</w:t>
            </w:r>
          </w:p>
        </w:tc>
        <w:tc>
          <w:tcPr>
            <w:tcW w:w="910" w:type="dxa"/>
            <w:tcBorders>
              <w:top w:val="nil"/>
              <w:left w:val="nil"/>
              <w:bottom w:val="nil"/>
              <w:right w:val="nil"/>
            </w:tcBorders>
            <w:shd w:val="clear" w:color="auto" w:fill="auto"/>
            <w:noWrap/>
            <w:vAlign w:val="bottom"/>
            <w:hideMark/>
          </w:tcPr>
          <w:p w14:paraId="7BDC6A5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1E769D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5D40A7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2A1406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1F30A7D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69F46BDE" w14:textId="77777777" w:rsidTr="00360FE5">
        <w:trPr>
          <w:trHeight w:val="210"/>
        </w:trPr>
        <w:tc>
          <w:tcPr>
            <w:tcW w:w="450" w:type="dxa"/>
            <w:tcBorders>
              <w:top w:val="nil"/>
              <w:left w:val="nil"/>
              <w:bottom w:val="nil"/>
              <w:right w:val="nil"/>
            </w:tcBorders>
            <w:shd w:val="clear" w:color="auto" w:fill="auto"/>
            <w:noWrap/>
            <w:hideMark/>
          </w:tcPr>
          <w:p w14:paraId="1ABCCF1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lastRenderedPageBreak/>
              <w:t>24</w:t>
            </w:r>
          </w:p>
        </w:tc>
        <w:tc>
          <w:tcPr>
            <w:tcW w:w="5130" w:type="dxa"/>
            <w:tcBorders>
              <w:top w:val="nil"/>
              <w:left w:val="nil"/>
              <w:bottom w:val="nil"/>
              <w:right w:val="nil"/>
            </w:tcBorders>
            <w:shd w:val="clear" w:color="auto" w:fill="auto"/>
            <w:noWrap/>
            <w:vAlign w:val="bottom"/>
            <w:hideMark/>
          </w:tcPr>
          <w:p w14:paraId="58614C9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humanitarian aid and international assistance projects</w:t>
            </w:r>
          </w:p>
        </w:tc>
        <w:tc>
          <w:tcPr>
            <w:tcW w:w="910" w:type="dxa"/>
            <w:tcBorders>
              <w:top w:val="nil"/>
              <w:left w:val="nil"/>
              <w:bottom w:val="nil"/>
              <w:right w:val="nil"/>
            </w:tcBorders>
            <w:shd w:val="clear" w:color="auto" w:fill="auto"/>
            <w:noWrap/>
            <w:vAlign w:val="bottom"/>
            <w:hideMark/>
          </w:tcPr>
          <w:p w14:paraId="27C52A2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1,553.7</w:t>
            </w:r>
          </w:p>
        </w:tc>
        <w:tc>
          <w:tcPr>
            <w:tcW w:w="910" w:type="dxa"/>
            <w:tcBorders>
              <w:top w:val="nil"/>
              <w:left w:val="nil"/>
              <w:bottom w:val="nil"/>
              <w:right w:val="nil"/>
            </w:tcBorders>
            <w:shd w:val="clear" w:color="auto" w:fill="auto"/>
            <w:noWrap/>
            <w:vAlign w:val="bottom"/>
            <w:hideMark/>
          </w:tcPr>
          <w:p w14:paraId="51EE20E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8,566.2</w:t>
            </w:r>
          </w:p>
        </w:tc>
        <w:tc>
          <w:tcPr>
            <w:tcW w:w="910" w:type="dxa"/>
            <w:tcBorders>
              <w:top w:val="nil"/>
              <w:left w:val="nil"/>
              <w:bottom w:val="nil"/>
              <w:right w:val="nil"/>
            </w:tcBorders>
            <w:shd w:val="clear" w:color="auto" w:fill="auto"/>
            <w:noWrap/>
            <w:vAlign w:val="bottom"/>
            <w:hideMark/>
          </w:tcPr>
          <w:p w14:paraId="37724EB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19,870.7</w:t>
            </w:r>
          </w:p>
        </w:tc>
        <w:tc>
          <w:tcPr>
            <w:tcW w:w="910" w:type="dxa"/>
            <w:tcBorders>
              <w:top w:val="nil"/>
              <w:left w:val="nil"/>
              <w:bottom w:val="nil"/>
              <w:right w:val="nil"/>
            </w:tcBorders>
            <w:shd w:val="clear" w:color="auto" w:fill="auto"/>
            <w:noWrap/>
            <w:vAlign w:val="bottom"/>
            <w:hideMark/>
          </w:tcPr>
          <w:p w14:paraId="3742667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69,323.2</w:t>
            </w:r>
          </w:p>
        </w:tc>
        <w:tc>
          <w:tcPr>
            <w:tcW w:w="910" w:type="dxa"/>
            <w:tcBorders>
              <w:top w:val="nil"/>
              <w:left w:val="nil"/>
              <w:bottom w:val="nil"/>
              <w:right w:val="nil"/>
            </w:tcBorders>
            <w:shd w:val="clear" w:color="000000" w:fill="E7E6E6"/>
            <w:noWrap/>
            <w:vAlign w:val="bottom"/>
            <w:hideMark/>
          </w:tcPr>
          <w:p w14:paraId="0961047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24,828.4</w:t>
            </w:r>
          </w:p>
        </w:tc>
      </w:tr>
      <w:tr w:rsidR="00134C08" w:rsidRPr="00134C08" w14:paraId="16D0430E" w14:textId="77777777" w:rsidTr="00360FE5">
        <w:trPr>
          <w:trHeight w:val="210"/>
        </w:trPr>
        <w:tc>
          <w:tcPr>
            <w:tcW w:w="450" w:type="dxa"/>
            <w:tcBorders>
              <w:top w:val="nil"/>
              <w:left w:val="nil"/>
              <w:bottom w:val="nil"/>
              <w:right w:val="nil"/>
            </w:tcBorders>
            <w:shd w:val="clear" w:color="auto" w:fill="auto"/>
            <w:noWrap/>
            <w:hideMark/>
          </w:tcPr>
          <w:p w14:paraId="60DB176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w:t>
            </w:r>
          </w:p>
        </w:tc>
        <w:tc>
          <w:tcPr>
            <w:tcW w:w="5130" w:type="dxa"/>
            <w:tcBorders>
              <w:top w:val="nil"/>
              <w:left w:val="nil"/>
              <w:bottom w:val="nil"/>
              <w:right w:val="nil"/>
            </w:tcBorders>
            <w:shd w:val="clear" w:color="auto" w:fill="auto"/>
            <w:noWrap/>
            <w:vAlign w:val="bottom"/>
            <w:hideMark/>
          </w:tcPr>
          <w:p w14:paraId="501E095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international aid</w:t>
            </w:r>
          </w:p>
        </w:tc>
        <w:tc>
          <w:tcPr>
            <w:tcW w:w="910" w:type="dxa"/>
            <w:tcBorders>
              <w:top w:val="nil"/>
              <w:left w:val="nil"/>
              <w:bottom w:val="nil"/>
              <w:right w:val="nil"/>
            </w:tcBorders>
            <w:shd w:val="clear" w:color="auto" w:fill="auto"/>
            <w:noWrap/>
            <w:vAlign w:val="bottom"/>
            <w:hideMark/>
          </w:tcPr>
          <w:p w14:paraId="2B58FB3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FA93D3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A9DA2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C6CDB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7280E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2376A700" w14:textId="77777777" w:rsidTr="00360FE5">
        <w:trPr>
          <w:trHeight w:val="210"/>
        </w:trPr>
        <w:tc>
          <w:tcPr>
            <w:tcW w:w="450" w:type="dxa"/>
            <w:tcBorders>
              <w:top w:val="nil"/>
              <w:left w:val="nil"/>
              <w:bottom w:val="nil"/>
              <w:right w:val="nil"/>
            </w:tcBorders>
            <w:shd w:val="clear" w:color="auto" w:fill="auto"/>
            <w:noWrap/>
            <w:hideMark/>
          </w:tcPr>
          <w:p w14:paraId="4EA93E1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w:t>
            </w:r>
          </w:p>
        </w:tc>
        <w:tc>
          <w:tcPr>
            <w:tcW w:w="5130" w:type="dxa"/>
            <w:tcBorders>
              <w:top w:val="nil"/>
              <w:left w:val="nil"/>
              <w:bottom w:val="nil"/>
              <w:right w:val="nil"/>
            </w:tcBorders>
            <w:shd w:val="clear" w:color="auto" w:fill="auto"/>
            <w:noWrap/>
            <w:vAlign w:val="bottom"/>
            <w:hideMark/>
          </w:tcPr>
          <w:p w14:paraId="4DBFAF34"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established under the Compact Agreement with the Millennium Challenge Corporation</w:t>
            </w:r>
          </w:p>
        </w:tc>
        <w:tc>
          <w:tcPr>
            <w:tcW w:w="910" w:type="dxa"/>
            <w:tcBorders>
              <w:top w:val="nil"/>
              <w:left w:val="nil"/>
              <w:bottom w:val="nil"/>
              <w:right w:val="nil"/>
            </w:tcBorders>
            <w:shd w:val="clear" w:color="auto" w:fill="auto"/>
            <w:noWrap/>
            <w:vAlign w:val="bottom"/>
            <w:hideMark/>
          </w:tcPr>
          <w:p w14:paraId="4DB1363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27A553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A2317E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F58263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3BE37F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58FACDAB" w14:textId="77777777" w:rsidTr="00360FE5">
        <w:trPr>
          <w:trHeight w:val="210"/>
        </w:trPr>
        <w:tc>
          <w:tcPr>
            <w:tcW w:w="450" w:type="dxa"/>
            <w:tcBorders>
              <w:top w:val="nil"/>
              <w:left w:val="nil"/>
              <w:bottom w:val="nil"/>
              <w:right w:val="nil"/>
            </w:tcBorders>
            <w:shd w:val="clear" w:color="auto" w:fill="auto"/>
            <w:noWrap/>
            <w:hideMark/>
          </w:tcPr>
          <w:p w14:paraId="19F166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w:t>
            </w:r>
          </w:p>
        </w:tc>
        <w:tc>
          <w:tcPr>
            <w:tcW w:w="5130" w:type="dxa"/>
            <w:tcBorders>
              <w:top w:val="nil"/>
              <w:left w:val="nil"/>
              <w:bottom w:val="nil"/>
              <w:right w:val="nil"/>
            </w:tcBorders>
            <w:shd w:val="clear" w:color="auto" w:fill="auto"/>
            <w:noWrap/>
            <w:vAlign w:val="bottom"/>
            <w:hideMark/>
          </w:tcPr>
          <w:p w14:paraId="5CF2F248"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excise duties for goods for the use of disaster victims</w:t>
            </w:r>
          </w:p>
        </w:tc>
        <w:tc>
          <w:tcPr>
            <w:tcW w:w="910" w:type="dxa"/>
            <w:tcBorders>
              <w:top w:val="nil"/>
              <w:left w:val="nil"/>
              <w:bottom w:val="nil"/>
              <w:right w:val="nil"/>
            </w:tcBorders>
            <w:shd w:val="clear" w:color="auto" w:fill="auto"/>
            <w:noWrap/>
            <w:vAlign w:val="bottom"/>
            <w:hideMark/>
          </w:tcPr>
          <w:p w14:paraId="6F45A5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DDA99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63EB39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E7B77C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1AEC65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9AD47CB" w14:textId="77777777" w:rsidTr="00360FE5">
        <w:trPr>
          <w:trHeight w:val="210"/>
        </w:trPr>
        <w:tc>
          <w:tcPr>
            <w:tcW w:w="450" w:type="dxa"/>
            <w:tcBorders>
              <w:top w:val="nil"/>
              <w:left w:val="nil"/>
              <w:bottom w:val="nil"/>
              <w:right w:val="nil"/>
            </w:tcBorders>
            <w:shd w:val="clear" w:color="auto" w:fill="auto"/>
            <w:noWrap/>
            <w:hideMark/>
          </w:tcPr>
          <w:p w14:paraId="28B0F4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w:t>
            </w:r>
          </w:p>
        </w:tc>
        <w:tc>
          <w:tcPr>
            <w:tcW w:w="5130" w:type="dxa"/>
            <w:tcBorders>
              <w:top w:val="nil"/>
              <w:left w:val="nil"/>
              <w:bottom w:val="nil"/>
              <w:right w:val="nil"/>
            </w:tcBorders>
            <w:shd w:val="clear" w:color="auto" w:fill="auto"/>
            <w:noWrap/>
            <w:vAlign w:val="bottom"/>
            <w:hideMark/>
          </w:tcPr>
          <w:p w14:paraId="279F1674"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Excise duty refunds for the processing and manufacturing of excisable goods</w:t>
            </w:r>
          </w:p>
        </w:tc>
        <w:tc>
          <w:tcPr>
            <w:tcW w:w="910" w:type="dxa"/>
            <w:tcBorders>
              <w:top w:val="nil"/>
              <w:left w:val="nil"/>
              <w:bottom w:val="nil"/>
              <w:right w:val="nil"/>
            </w:tcBorders>
            <w:shd w:val="clear" w:color="auto" w:fill="auto"/>
            <w:noWrap/>
            <w:vAlign w:val="bottom"/>
            <w:hideMark/>
          </w:tcPr>
          <w:p w14:paraId="1D2D33D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A2A6E7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8DC76E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CCAC4E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9EFA58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5263D277" w14:textId="77777777" w:rsidTr="00360FE5">
        <w:trPr>
          <w:trHeight w:val="210"/>
        </w:trPr>
        <w:tc>
          <w:tcPr>
            <w:tcW w:w="450" w:type="dxa"/>
            <w:tcBorders>
              <w:top w:val="nil"/>
              <w:left w:val="nil"/>
              <w:bottom w:val="nil"/>
              <w:right w:val="nil"/>
            </w:tcBorders>
            <w:shd w:val="clear" w:color="auto" w:fill="auto"/>
            <w:noWrap/>
            <w:hideMark/>
          </w:tcPr>
          <w:p w14:paraId="57A7E8D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w:t>
            </w:r>
          </w:p>
        </w:tc>
        <w:tc>
          <w:tcPr>
            <w:tcW w:w="5130" w:type="dxa"/>
            <w:tcBorders>
              <w:top w:val="nil"/>
              <w:left w:val="nil"/>
              <w:bottom w:val="nil"/>
              <w:right w:val="nil"/>
            </w:tcBorders>
            <w:shd w:val="clear" w:color="auto" w:fill="auto"/>
            <w:noWrap/>
            <w:vAlign w:val="bottom"/>
            <w:hideMark/>
          </w:tcPr>
          <w:p w14:paraId="5F9DA0B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the free economic zones, the Free International Port "Giurgiuleşti" and the Free International Airport "Mărculeşti"</w:t>
            </w:r>
          </w:p>
        </w:tc>
        <w:tc>
          <w:tcPr>
            <w:tcW w:w="910" w:type="dxa"/>
            <w:tcBorders>
              <w:top w:val="nil"/>
              <w:left w:val="nil"/>
              <w:bottom w:val="nil"/>
              <w:right w:val="nil"/>
            </w:tcBorders>
            <w:shd w:val="clear" w:color="auto" w:fill="auto"/>
            <w:noWrap/>
            <w:vAlign w:val="bottom"/>
            <w:hideMark/>
          </w:tcPr>
          <w:p w14:paraId="3D2B169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798.3</w:t>
            </w:r>
          </w:p>
        </w:tc>
        <w:tc>
          <w:tcPr>
            <w:tcW w:w="910" w:type="dxa"/>
            <w:tcBorders>
              <w:top w:val="nil"/>
              <w:left w:val="nil"/>
              <w:bottom w:val="nil"/>
              <w:right w:val="nil"/>
            </w:tcBorders>
            <w:shd w:val="clear" w:color="auto" w:fill="auto"/>
            <w:noWrap/>
            <w:vAlign w:val="bottom"/>
            <w:hideMark/>
          </w:tcPr>
          <w:p w14:paraId="390EB31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934.8</w:t>
            </w:r>
          </w:p>
        </w:tc>
        <w:tc>
          <w:tcPr>
            <w:tcW w:w="910" w:type="dxa"/>
            <w:tcBorders>
              <w:top w:val="nil"/>
              <w:left w:val="nil"/>
              <w:bottom w:val="nil"/>
              <w:right w:val="nil"/>
            </w:tcBorders>
            <w:shd w:val="clear" w:color="auto" w:fill="auto"/>
            <w:noWrap/>
            <w:vAlign w:val="bottom"/>
            <w:hideMark/>
          </w:tcPr>
          <w:p w14:paraId="03F8519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388.7</w:t>
            </w:r>
          </w:p>
        </w:tc>
        <w:tc>
          <w:tcPr>
            <w:tcW w:w="910" w:type="dxa"/>
            <w:tcBorders>
              <w:top w:val="nil"/>
              <w:left w:val="nil"/>
              <w:bottom w:val="nil"/>
              <w:right w:val="nil"/>
            </w:tcBorders>
            <w:shd w:val="clear" w:color="auto" w:fill="auto"/>
            <w:noWrap/>
            <w:vAlign w:val="bottom"/>
            <w:hideMark/>
          </w:tcPr>
          <w:p w14:paraId="685EF37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284.3</w:t>
            </w:r>
          </w:p>
        </w:tc>
        <w:tc>
          <w:tcPr>
            <w:tcW w:w="910" w:type="dxa"/>
            <w:tcBorders>
              <w:top w:val="nil"/>
              <w:left w:val="nil"/>
              <w:bottom w:val="nil"/>
              <w:right w:val="nil"/>
            </w:tcBorders>
            <w:shd w:val="clear" w:color="000000" w:fill="E7E6E6"/>
            <w:noWrap/>
            <w:vAlign w:val="bottom"/>
            <w:hideMark/>
          </w:tcPr>
          <w:p w14:paraId="1DAEB50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601.5</w:t>
            </w:r>
          </w:p>
        </w:tc>
      </w:tr>
      <w:tr w:rsidR="00134C08" w:rsidRPr="00134C08" w14:paraId="1BABDED0" w14:textId="77777777" w:rsidTr="009960D0">
        <w:trPr>
          <w:trHeight w:val="210"/>
        </w:trPr>
        <w:tc>
          <w:tcPr>
            <w:tcW w:w="450" w:type="dxa"/>
            <w:tcBorders>
              <w:top w:val="nil"/>
              <w:left w:val="nil"/>
              <w:bottom w:val="nil"/>
              <w:right w:val="nil"/>
            </w:tcBorders>
            <w:shd w:val="clear" w:color="auto" w:fill="auto"/>
            <w:noWrap/>
            <w:vAlign w:val="bottom"/>
            <w:hideMark/>
          </w:tcPr>
          <w:p w14:paraId="5A8E01E9"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single" w:sz="4" w:space="0" w:color="auto"/>
              <w:left w:val="nil"/>
              <w:bottom w:val="nil"/>
              <w:right w:val="nil"/>
            </w:tcBorders>
            <w:shd w:val="clear" w:color="auto" w:fill="auto"/>
            <w:noWrap/>
            <w:vAlign w:val="bottom"/>
            <w:hideMark/>
          </w:tcPr>
          <w:p w14:paraId="14EC29F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Excise Duties</w:t>
            </w:r>
          </w:p>
        </w:tc>
        <w:tc>
          <w:tcPr>
            <w:tcW w:w="910" w:type="dxa"/>
            <w:tcBorders>
              <w:top w:val="single" w:sz="4" w:space="0" w:color="auto"/>
              <w:left w:val="nil"/>
              <w:bottom w:val="nil"/>
              <w:right w:val="nil"/>
            </w:tcBorders>
            <w:shd w:val="clear" w:color="auto" w:fill="auto"/>
            <w:noWrap/>
            <w:vAlign w:val="bottom"/>
            <w:hideMark/>
          </w:tcPr>
          <w:p w14:paraId="4312351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3,705,912.3</w:t>
            </w:r>
          </w:p>
        </w:tc>
        <w:tc>
          <w:tcPr>
            <w:tcW w:w="910" w:type="dxa"/>
            <w:tcBorders>
              <w:top w:val="single" w:sz="4" w:space="0" w:color="auto"/>
              <w:left w:val="nil"/>
              <w:bottom w:val="nil"/>
              <w:right w:val="nil"/>
            </w:tcBorders>
            <w:shd w:val="clear" w:color="auto" w:fill="auto"/>
            <w:noWrap/>
            <w:vAlign w:val="bottom"/>
            <w:hideMark/>
          </w:tcPr>
          <w:p w14:paraId="2C8C20E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3,910,739.3</w:t>
            </w:r>
          </w:p>
        </w:tc>
        <w:tc>
          <w:tcPr>
            <w:tcW w:w="910" w:type="dxa"/>
            <w:tcBorders>
              <w:top w:val="single" w:sz="4" w:space="0" w:color="auto"/>
              <w:left w:val="nil"/>
              <w:bottom w:val="nil"/>
              <w:right w:val="nil"/>
            </w:tcBorders>
            <w:shd w:val="clear" w:color="auto" w:fill="auto"/>
            <w:noWrap/>
            <w:vAlign w:val="bottom"/>
            <w:hideMark/>
          </w:tcPr>
          <w:p w14:paraId="16D629F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4,375,216.5</w:t>
            </w:r>
          </w:p>
        </w:tc>
        <w:tc>
          <w:tcPr>
            <w:tcW w:w="910" w:type="dxa"/>
            <w:tcBorders>
              <w:top w:val="single" w:sz="4" w:space="0" w:color="auto"/>
              <w:left w:val="nil"/>
              <w:bottom w:val="nil"/>
              <w:right w:val="nil"/>
            </w:tcBorders>
            <w:shd w:val="clear" w:color="auto" w:fill="auto"/>
            <w:noWrap/>
            <w:vAlign w:val="bottom"/>
            <w:hideMark/>
          </w:tcPr>
          <w:p w14:paraId="311399A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5,840,760.3</w:t>
            </w:r>
          </w:p>
        </w:tc>
        <w:tc>
          <w:tcPr>
            <w:tcW w:w="910" w:type="dxa"/>
            <w:tcBorders>
              <w:top w:val="single" w:sz="4" w:space="0" w:color="auto"/>
              <w:left w:val="nil"/>
              <w:bottom w:val="nil"/>
              <w:right w:val="nil"/>
            </w:tcBorders>
            <w:shd w:val="clear" w:color="auto" w:fill="auto"/>
            <w:noWrap/>
            <w:vAlign w:val="bottom"/>
            <w:hideMark/>
          </w:tcPr>
          <w:p w14:paraId="57F98D3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5,533,181.0</w:t>
            </w:r>
          </w:p>
        </w:tc>
      </w:tr>
      <w:tr w:rsidR="00134C08" w:rsidRPr="00134C08" w14:paraId="3FA4D375" w14:textId="77777777" w:rsidTr="009960D0">
        <w:trPr>
          <w:trHeight w:val="220"/>
        </w:trPr>
        <w:tc>
          <w:tcPr>
            <w:tcW w:w="450" w:type="dxa"/>
            <w:tcBorders>
              <w:top w:val="nil"/>
              <w:left w:val="nil"/>
              <w:bottom w:val="nil"/>
              <w:right w:val="nil"/>
            </w:tcBorders>
            <w:shd w:val="clear" w:color="auto" w:fill="auto"/>
            <w:noWrap/>
            <w:vAlign w:val="bottom"/>
            <w:hideMark/>
          </w:tcPr>
          <w:p w14:paraId="2B8F84E4"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nil"/>
              <w:left w:val="nil"/>
              <w:bottom w:val="double" w:sz="6" w:space="0" w:color="auto"/>
              <w:right w:val="nil"/>
            </w:tcBorders>
            <w:shd w:val="clear" w:color="auto" w:fill="auto"/>
            <w:noWrap/>
            <w:vAlign w:val="bottom"/>
            <w:hideMark/>
          </w:tcPr>
          <w:p w14:paraId="3BE9E29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Excise Duties as a % of GDP</w:t>
            </w:r>
          </w:p>
        </w:tc>
        <w:tc>
          <w:tcPr>
            <w:tcW w:w="910" w:type="dxa"/>
            <w:tcBorders>
              <w:top w:val="nil"/>
              <w:left w:val="nil"/>
              <w:bottom w:val="double" w:sz="6" w:space="0" w:color="auto"/>
              <w:right w:val="nil"/>
            </w:tcBorders>
            <w:shd w:val="clear" w:color="auto" w:fill="auto"/>
            <w:noWrap/>
            <w:vAlign w:val="center"/>
            <w:hideMark/>
          </w:tcPr>
          <w:p w14:paraId="16A58F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1.93%</w:t>
            </w:r>
          </w:p>
        </w:tc>
        <w:tc>
          <w:tcPr>
            <w:tcW w:w="910" w:type="dxa"/>
            <w:tcBorders>
              <w:top w:val="nil"/>
              <w:left w:val="nil"/>
              <w:bottom w:val="double" w:sz="6" w:space="0" w:color="auto"/>
              <w:right w:val="nil"/>
            </w:tcBorders>
            <w:shd w:val="clear" w:color="auto" w:fill="auto"/>
            <w:noWrap/>
            <w:vAlign w:val="center"/>
            <w:hideMark/>
          </w:tcPr>
          <w:p w14:paraId="6890046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1.86%</w:t>
            </w:r>
          </w:p>
        </w:tc>
        <w:tc>
          <w:tcPr>
            <w:tcW w:w="910" w:type="dxa"/>
            <w:tcBorders>
              <w:top w:val="nil"/>
              <w:left w:val="nil"/>
              <w:bottom w:val="double" w:sz="6" w:space="0" w:color="auto"/>
              <w:right w:val="nil"/>
            </w:tcBorders>
            <w:shd w:val="clear" w:color="auto" w:fill="auto"/>
            <w:noWrap/>
            <w:vAlign w:val="center"/>
            <w:hideMark/>
          </w:tcPr>
          <w:p w14:paraId="780543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2.13%</w:t>
            </w:r>
          </w:p>
        </w:tc>
        <w:tc>
          <w:tcPr>
            <w:tcW w:w="910" w:type="dxa"/>
            <w:tcBorders>
              <w:top w:val="nil"/>
              <w:left w:val="nil"/>
              <w:bottom w:val="double" w:sz="6" w:space="0" w:color="auto"/>
              <w:right w:val="nil"/>
            </w:tcBorders>
            <w:shd w:val="clear" w:color="auto" w:fill="auto"/>
            <w:noWrap/>
            <w:vAlign w:val="center"/>
            <w:hideMark/>
          </w:tcPr>
          <w:p w14:paraId="7CECF17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2.51%</w:t>
            </w:r>
          </w:p>
        </w:tc>
        <w:tc>
          <w:tcPr>
            <w:tcW w:w="910" w:type="dxa"/>
            <w:tcBorders>
              <w:top w:val="nil"/>
              <w:left w:val="nil"/>
              <w:bottom w:val="double" w:sz="6" w:space="0" w:color="auto"/>
              <w:right w:val="nil"/>
            </w:tcBorders>
            <w:shd w:val="clear" w:color="auto" w:fill="auto"/>
            <w:noWrap/>
            <w:vAlign w:val="center"/>
            <w:hideMark/>
          </w:tcPr>
          <w:p w14:paraId="28F7A5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2.16%</w:t>
            </w:r>
          </w:p>
        </w:tc>
      </w:tr>
      <w:tr w:rsidR="00134C08" w:rsidRPr="00134C08" w14:paraId="43A1E088" w14:textId="77777777" w:rsidTr="009960D0">
        <w:trPr>
          <w:trHeight w:val="220"/>
        </w:trPr>
        <w:tc>
          <w:tcPr>
            <w:tcW w:w="450" w:type="dxa"/>
            <w:tcBorders>
              <w:top w:val="nil"/>
              <w:left w:val="nil"/>
              <w:bottom w:val="nil"/>
              <w:right w:val="nil"/>
            </w:tcBorders>
            <w:shd w:val="clear" w:color="auto" w:fill="auto"/>
            <w:noWrap/>
            <w:vAlign w:val="bottom"/>
            <w:hideMark/>
          </w:tcPr>
          <w:p w14:paraId="3150F3F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bottom"/>
            <w:hideMark/>
          </w:tcPr>
          <w:p w14:paraId="09AD0B81"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Road Usage Fees</w:t>
            </w:r>
          </w:p>
        </w:tc>
        <w:tc>
          <w:tcPr>
            <w:tcW w:w="4550" w:type="dxa"/>
            <w:gridSpan w:val="5"/>
            <w:tcBorders>
              <w:top w:val="nil"/>
              <w:left w:val="nil"/>
              <w:bottom w:val="nil"/>
              <w:right w:val="nil"/>
            </w:tcBorders>
            <w:shd w:val="clear" w:color="000000" w:fill="A5A5A5"/>
            <w:noWrap/>
            <w:vAlign w:val="bottom"/>
            <w:hideMark/>
          </w:tcPr>
          <w:p w14:paraId="4E9EF821"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Thousand MDL</w:t>
            </w:r>
          </w:p>
        </w:tc>
      </w:tr>
      <w:tr w:rsidR="00134C08" w:rsidRPr="00134C08" w14:paraId="3FD26DA6" w14:textId="77777777" w:rsidTr="00360FE5">
        <w:trPr>
          <w:trHeight w:val="210"/>
        </w:trPr>
        <w:tc>
          <w:tcPr>
            <w:tcW w:w="450" w:type="dxa"/>
            <w:tcBorders>
              <w:top w:val="nil"/>
              <w:left w:val="nil"/>
              <w:bottom w:val="nil"/>
              <w:right w:val="nil"/>
            </w:tcBorders>
            <w:shd w:val="clear" w:color="auto" w:fill="auto"/>
            <w:noWrap/>
            <w:hideMark/>
          </w:tcPr>
          <w:p w14:paraId="342F936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bottom"/>
            <w:hideMark/>
          </w:tcPr>
          <w:p w14:paraId="2035BF24"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road usage fees for electric vehicles</w:t>
            </w:r>
          </w:p>
        </w:tc>
        <w:tc>
          <w:tcPr>
            <w:tcW w:w="910" w:type="dxa"/>
            <w:tcBorders>
              <w:top w:val="nil"/>
              <w:left w:val="nil"/>
              <w:bottom w:val="nil"/>
              <w:right w:val="nil"/>
            </w:tcBorders>
            <w:shd w:val="clear" w:color="auto" w:fill="auto"/>
            <w:noWrap/>
            <w:vAlign w:val="bottom"/>
            <w:hideMark/>
          </w:tcPr>
          <w:p w14:paraId="48F285D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3,318.8</w:t>
            </w:r>
          </w:p>
        </w:tc>
        <w:tc>
          <w:tcPr>
            <w:tcW w:w="910" w:type="dxa"/>
            <w:tcBorders>
              <w:top w:val="nil"/>
              <w:left w:val="nil"/>
              <w:bottom w:val="nil"/>
              <w:right w:val="nil"/>
            </w:tcBorders>
            <w:shd w:val="clear" w:color="auto" w:fill="auto"/>
            <w:noWrap/>
            <w:vAlign w:val="bottom"/>
            <w:hideMark/>
          </w:tcPr>
          <w:p w14:paraId="1B04968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5,514.9</w:t>
            </w:r>
          </w:p>
        </w:tc>
        <w:tc>
          <w:tcPr>
            <w:tcW w:w="910" w:type="dxa"/>
            <w:tcBorders>
              <w:top w:val="nil"/>
              <w:left w:val="nil"/>
              <w:bottom w:val="nil"/>
              <w:right w:val="nil"/>
            </w:tcBorders>
            <w:shd w:val="clear" w:color="auto" w:fill="auto"/>
            <w:noWrap/>
            <w:vAlign w:val="bottom"/>
            <w:hideMark/>
          </w:tcPr>
          <w:p w14:paraId="1A10106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9,597.8</w:t>
            </w:r>
          </w:p>
        </w:tc>
        <w:tc>
          <w:tcPr>
            <w:tcW w:w="910" w:type="dxa"/>
            <w:tcBorders>
              <w:top w:val="nil"/>
              <w:left w:val="nil"/>
              <w:bottom w:val="nil"/>
              <w:right w:val="nil"/>
            </w:tcBorders>
            <w:shd w:val="clear" w:color="auto" w:fill="auto"/>
            <w:noWrap/>
            <w:vAlign w:val="bottom"/>
            <w:hideMark/>
          </w:tcPr>
          <w:p w14:paraId="7551812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13,807.7</w:t>
            </w:r>
          </w:p>
        </w:tc>
        <w:tc>
          <w:tcPr>
            <w:tcW w:w="910" w:type="dxa"/>
            <w:tcBorders>
              <w:top w:val="nil"/>
              <w:left w:val="nil"/>
              <w:bottom w:val="nil"/>
              <w:right w:val="nil"/>
            </w:tcBorders>
            <w:shd w:val="clear" w:color="000000" w:fill="E7E6E6"/>
            <w:noWrap/>
            <w:vAlign w:val="bottom"/>
            <w:hideMark/>
          </w:tcPr>
          <w:p w14:paraId="52D4912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19,069.7</w:t>
            </w:r>
          </w:p>
        </w:tc>
      </w:tr>
      <w:tr w:rsidR="00134C08" w:rsidRPr="00134C08" w14:paraId="3D4D8271" w14:textId="77777777" w:rsidTr="00360FE5">
        <w:trPr>
          <w:trHeight w:val="210"/>
        </w:trPr>
        <w:tc>
          <w:tcPr>
            <w:tcW w:w="450" w:type="dxa"/>
            <w:tcBorders>
              <w:top w:val="nil"/>
              <w:left w:val="nil"/>
              <w:bottom w:val="nil"/>
              <w:right w:val="nil"/>
            </w:tcBorders>
            <w:shd w:val="clear" w:color="auto" w:fill="auto"/>
            <w:noWrap/>
            <w:hideMark/>
          </w:tcPr>
          <w:p w14:paraId="06C54E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bottom"/>
            <w:hideMark/>
          </w:tcPr>
          <w:p w14:paraId="5A58AC8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road usage fees for tractors and trailers used in agricultural activity</w:t>
            </w:r>
          </w:p>
        </w:tc>
        <w:tc>
          <w:tcPr>
            <w:tcW w:w="910" w:type="dxa"/>
            <w:tcBorders>
              <w:top w:val="nil"/>
              <w:left w:val="nil"/>
              <w:bottom w:val="nil"/>
              <w:right w:val="nil"/>
            </w:tcBorders>
            <w:shd w:val="clear" w:color="auto" w:fill="auto"/>
            <w:noWrap/>
            <w:vAlign w:val="bottom"/>
            <w:hideMark/>
          </w:tcPr>
          <w:p w14:paraId="16DF430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2,978.6</w:t>
            </w:r>
          </w:p>
        </w:tc>
        <w:tc>
          <w:tcPr>
            <w:tcW w:w="910" w:type="dxa"/>
            <w:tcBorders>
              <w:top w:val="nil"/>
              <w:left w:val="nil"/>
              <w:bottom w:val="nil"/>
              <w:right w:val="nil"/>
            </w:tcBorders>
            <w:shd w:val="clear" w:color="auto" w:fill="auto"/>
            <w:noWrap/>
            <w:vAlign w:val="bottom"/>
            <w:hideMark/>
          </w:tcPr>
          <w:p w14:paraId="0E1B662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3,008.4</w:t>
            </w:r>
          </w:p>
        </w:tc>
        <w:tc>
          <w:tcPr>
            <w:tcW w:w="910" w:type="dxa"/>
            <w:tcBorders>
              <w:top w:val="nil"/>
              <w:left w:val="nil"/>
              <w:bottom w:val="nil"/>
              <w:right w:val="nil"/>
            </w:tcBorders>
            <w:shd w:val="clear" w:color="auto" w:fill="auto"/>
            <w:noWrap/>
            <w:vAlign w:val="bottom"/>
            <w:hideMark/>
          </w:tcPr>
          <w:p w14:paraId="4C2A63E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3,038.5</w:t>
            </w:r>
          </w:p>
        </w:tc>
        <w:tc>
          <w:tcPr>
            <w:tcW w:w="910" w:type="dxa"/>
            <w:tcBorders>
              <w:top w:val="nil"/>
              <w:left w:val="nil"/>
              <w:bottom w:val="nil"/>
              <w:right w:val="nil"/>
            </w:tcBorders>
            <w:shd w:val="clear" w:color="auto" w:fill="auto"/>
            <w:noWrap/>
            <w:vAlign w:val="bottom"/>
            <w:hideMark/>
          </w:tcPr>
          <w:p w14:paraId="11481D5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3,068.8</w:t>
            </w:r>
          </w:p>
        </w:tc>
        <w:tc>
          <w:tcPr>
            <w:tcW w:w="910" w:type="dxa"/>
            <w:tcBorders>
              <w:top w:val="nil"/>
              <w:left w:val="nil"/>
              <w:bottom w:val="nil"/>
              <w:right w:val="nil"/>
            </w:tcBorders>
            <w:shd w:val="clear" w:color="000000" w:fill="E7E6E6"/>
            <w:noWrap/>
            <w:vAlign w:val="bottom"/>
            <w:hideMark/>
          </w:tcPr>
          <w:p w14:paraId="169A6CD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3,099.5</w:t>
            </w:r>
          </w:p>
        </w:tc>
      </w:tr>
      <w:tr w:rsidR="00134C08" w:rsidRPr="00134C08" w14:paraId="7B9CD696" w14:textId="77777777" w:rsidTr="00360FE5">
        <w:trPr>
          <w:trHeight w:val="210"/>
        </w:trPr>
        <w:tc>
          <w:tcPr>
            <w:tcW w:w="450" w:type="dxa"/>
            <w:tcBorders>
              <w:top w:val="nil"/>
              <w:left w:val="nil"/>
              <w:bottom w:val="nil"/>
              <w:right w:val="nil"/>
            </w:tcBorders>
            <w:shd w:val="clear" w:color="auto" w:fill="auto"/>
            <w:noWrap/>
            <w:hideMark/>
          </w:tcPr>
          <w:p w14:paraId="6191EDD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bottom"/>
            <w:hideMark/>
          </w:tcPr>
          <w:p w14:paraId="365DFAD7"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road usage fees for motorcycles not registered in Moldova</w:t>
            </w:r>
          </w:p>
        </w:tc>
        <w:tc>
          <w:tcPr>
            <w:tcW w:w="910" w:type="dxa"/>
            <w:tcBorders>
              <w:top w:val="nil"/>
              <w:left w:val="nil"/>
              <w:bottom w:val="nil"/>
              <w:right w:val="nil"/>
            </w:tcBorders>
            <w:shd w:val="clear" w:color="auto" w:fill="auto"/>
            <w:noWrap/>
            <w:vAlign w:val="bottom"/>
            <w:hideMark/>
          </w:tcPr>
          <w:p w14:paraId="4E6CEA9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371611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FA6002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E60A15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73.2</w:t>
            </w:r>
          </w:p>
        </w:tc>
        <w:tc>
          <w:tcPr>
            <w:tcW w:w="910" w:type="dxa"/>
            <w:tcBorders>
              <w:top w:val="nil"/>
              <w:left w:val="nil"/>
              <w:bottom w:val="nil"/>
              <w:right w:val="nil"/>
            </w:tcBorders>
            <w:shd w:val="clear" w:color="auto" w:fill="auto"/>
            <w:noWrap/>
            <w:vAlign w:val="bottom"/>
            <w:hideMark/>
          </w:tcPr>
          <w:p w14:paraId="6C1BA52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0ADD90ED" w14:textId="77777777" w:rsidTr="00360FE5">
        <w:trPr>
          <w:trHeight w:val="210"/>
        </w:trPr>
        <w:tc>
          <w:tcPr>
            <w:tcW w:w="450" w:type="dxa"/>
            <w:tcBorders>
              <w:top w:val="nil"/>
              <w:left w:val="nil"/>
              <w:bottom w:val="nil"/>
              <w:right w:val="nil"/>
            </w:tcBorders>
            <w:shd w:val="clear" w:color="auto" w:fill="auto"/>
            <w:noWrap/>
            <w:hideMark/>
          </w:tcPr>
          <w:p w14:paraId="4AE122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bottom"/>
            <w:hideMark/>
          </w:tcPr>
          <w:p w14:paraId="39F5FCB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means of transport for persons with disabilities of the locomotor apparatus</w:t>
            </w:r>
          </w:p>
        </w:tc>
        <w:tc>
          <w:tcPr>
            <w:tcW w:w="910" w:type="dxa"/>
            <w:tcBorders>
              <w:top w:val="nil"/>
              <w:left w:val="nil"/>
              <w:bottom w:val="nil"/>
              <w:right w:val="nil"/>
            </w:tcBorders>
            <w:shd w:val="clear" w:color="auto" w:fill="auto"/>
            <w:noWrap/>
            <w:vAlign w:val="bottom"/>
            <w:hideMark/>
          </w:tcPr>
          <w:p w14:paraId="2CEBEAD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19E14F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89680F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0DFA4D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EC446D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BDE2F73" w14:textId="77777777" w:rsidTr="00360FE5">
        <w:trPr>
          <w:trHeight w:val="210"/>
        </w:trPr>
        <w:tc>
          <w:tcPr>
            <w:tcW w:w="450" w:type="dxa"/>
            <w:tcBorders>
              <w:top w:val="nil"/>
              <w:left w:val="nil"/>
              <w:bottom w:val="nil"/>
              <w:right w:val="nil"/>
            </w:tcBorders>
            <w:shd w:val="clear" w:color="auto" w:fill="auto"/>
            <w:noWrap/>
            <w:hideMark/>
          </w:tcPr>
          <w:p w14:paraId="710D95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bottom"/>
            <w:hideMark/>
          </w:tcPr>
          <w:p w14:paraId="311F2CA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Preferential tax regime for information technology parks</w:t>
            </w:r>
          </w:p>
        </w:tc>
        <w:tc>
          <w:tcPr>
            <w:tcW w:w="910" w:type="dxa"/>
            <w:tcBorders>
              <w:top w:val="nil"/>
              <w:left w:val="nil"/>
              <w:bottom w:val="nil"/>
              <w:right w:val="nil"/>
            </w:tcBorders>
            <w:shd w:val="clear" w:color="auto" w:fill="auto"/>
            <w:noWrap/>
            <w:vAlign w:val="bottom"/>
            <w:hideMark/>
          </w:tcPr>
          <w:p w14:paraId="1401649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147C4E0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FCAD26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2F60A5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3F868E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19AA310C" w14:textId="77777777" w:rsidTr="00360FE5">
        <w:trPr>
          <w:trHeight w:val="210"/>
        </w:trPr>
        <w:tc>
          <w:tcPr>
            <w:tcW w:w="450" w:type="dxa"/>
            <w:tcBorders>
              <w:top w:val="nil"/>
              <w:left w:val="nil"/>
              <w:bottom w:val="nil"/>
              <w:right w:val="nil"/>
            </w:tcBorders>
            <w:shd w:val="clear" w:color="auto" w:fill="auto"/>
            <w:noWrap/>
            <w:hideMark/>
          </w:tcPr>
          <w:p w14:paraId="15CF497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bottom"/>
            <w:hideMark/>
          </w:tcPr>
          <w:p w14:paraId="4C410E80"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on a reciprocal basis from road usage fees (vignettes)</w:t>
            </w:r>
          </w:p>
        </w:tc>
        <w:tc>
          <w:tcPr>
            <w:tcW w:w="910" w:type="dxa"/>
            <w:tcBorders>
              <w:top w:val="nil"/>
              <w:left w:val="nil"/>
              <w:bottom w:val="nil"/>
              <w:right w:val="nil"/>
            </w:tcBorders>
            <w:shd w:val="clear" w:color="auto" w:fill="auto"/>
            <w:noWrap/>
            <w:vAlign w:val="bottom"/>
            <w:hideMark/>
          </w:tcPr>
          <w:p w14:paraId="76D622E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1,726.6</w:t>
            </w:r>
          </w:p>
        </w:tc>
        <w:tc>
          <w:tcPr>
            <w:tcW w:w="910" w:type="dxa"/>
            <w:tcBorders>
              <w:top w:val="nil"/>
              <w:left w:val="nil"/>
              <w:bottom w:val="nil"/>
              <w:right w:val="nil"/>
            </w:tcBorders>
            <w:shd w:val="clear" w:color="auto" w:fill="auto"/>
            <w:noWrap/>
            <w:vAlign w:val="bottom"/>
            <w:hideMark/>
          </w:tcPr>
          <w:p w14:paraId="1006196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17,637.7</w:t>
            </w:r>
          </w:p>
        </w:tc>
        <w:tc>
          <w:tcPr>
            <w:tcW w:w="910" w:type="dxa"/>
            <w:tcBorders>
              <w:top w:val="nil"/>
              <w:left w:val="nil"/>
              <w:bottom w:val="nil"/>
              <w:right w:val="nil"/>
            </w:tcBorders>
            <w:shd w:val="clear" w:color="auto" w:fill="auto"/>
            <w:noWrap/>
            <w:vAlign w:val="bottom"/>
            <w:hideMark/>
          </w:tcPr>
          <w:p w14:paraId="5508D59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EF6C78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C51D01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17CC8D6F" w14:textId="77777777" w:rsidTr="009960D0">
        <w:trPr>
          <w:trHeight w:val="210"/>
        </w:trPr>
        <w:tc>
          <w:tcPr>
            <w:tcW w:w="450" w:type="dxa"/>
            <w:tcBorders>
              <w:top w:val="nil"/>
              <w:left w:val="nil"/>
              <w:bottom w:val="nil"/>
              <w:right w:val="nil"/>
            </w:tcBorders>
            <w:shd w:val="clear" w:color="auto" w:fill="auto"/>
            <w:noWrap/>
            <w:vAlign w:val="bottom"/>
            <w:hideMark/>
          </w:tcPr>
          <w:p w14:paraId="31284F89"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single" w:sz="4" w:space="0" w:color="auto"/>
              <w:left w:val="nil"/>
              <w:bottom w:val="nil"/>
              <w:right w:val="nil"/>
            </w:tcBorders>
            <w:shd w:val="clear" w:color="auto" w:fill="auto"/>
            <w:noWrap/>
            <w:vAlign w:val="bottom"/>
            <w:hideMark/>
          </w:tcPr>
          <w:p w14:paraId="727FFAC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Road Usage Fees</w:t>
            </w:r>
          </w:p>
        </w:tc>
        <w:tc>
          <w:tcPr>
            <w:tcW w:w="910" w:type="dxa"/>
            <w:tcBorders>
              <w:top w:val="single" w:sz="4" w:space="0" w:color="auto"/>
              <w:left w:val="nil"/>
              <w:bottom w:val="nil"/>
              <w:right w:val="nil"/>
            </w:tcBorders>
            <w:shd w:val="clear" w:color="auto" w:fill="auto"/>
            <w:noWrap/>
            <w:vAlign w:val="bottom"/>
            <w:hideMark/>
          </w:tcPr>
          <w:p w14:paraId="32C3C2F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8,024.0</w:t>
            </w:r>
          </w:p>
        </w:tc>
        <w:tc>
          <w:tcPr>
            <w:tcW w:w="910" w:type="dxa"/>
            <w:tcBorders>
              <w:top w:val="single" w:sz="4" w:space="0" w:color="auto"/>
              <w:left w:val="nil"/>
              <w:bottom w:val="nil"/>
              <w:right w:val="nil"/>
            </w:tcBorders>
            <w:shd w:val="clear" w:color="auto" w:fill="auto"/>
            <w:noWrap/>
            <w:vAlign w:val="bottom"/>
            <w:hideMark/>
          </w:tcPr>
          <w:p w14:paraId="1B1B332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26,161.0</w:t>
            </w:r>
          </w:p>
        </w:tc>
        <w:tc>
          <w:tcPr>
            <w:tcW w:w="910" w:type="dxa"/>
            <w:tcBorders>
              <w:top w:val="single" w:sz="4" w:space="0" w:color="auto"/>
              <w:left w:val="nil"/>
              <w:bottom w:val="nil"/>
              <w:right w:val="nil"/>
            </w:tcBorders>
            <w:shd w:val="clear" w:color="auto" w:fill="auto"/>
            <w:noWrap/>
            <w:vAlign w:val="bottom"/>
            <w:hideMark/>
          </w:tcPr>
          <w:p w14:paraId="7D864C8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12,636.2</w:t>
            </w:r>
          </w:p>
        </w:tc>
        <w:tc>
          <w:tcPr>
            <w:tcW w:w="910" w:type="dxa"/>
            <w:tcBorders>
              <w:top w:val="single" w:sz="4" w:space="0" w:color="auto"/>
              <w:left w:val="nil"/>
              <w:bottom w:val="nil"/>
              <w:right w:val="nil"/>
            </w:tcBorders>
            <w:shd w:val="clear" w:color="auto" w:fill="auto"/>
            <w:noWrap/>
            <w:vAlign w:val="bottom"/>
            <w:hideMark/>
          </w:tcPr>
          <w:p w14:paraId="243411A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16,949.7</w:t>
            </w:r>
          </w:p>
        </w:tc>
        <w:tc>
          <w:tcPr>
            <w:tcW w:w="910" w:type="dxa"/>
            <w:tcBorders>
              <w:top w:val="single" w:sz="4" w:space="0" w:color="auto"/>
              <w:left w:val="nil"/>
              <w:bottom w:val="nil"/>
              <w:right w:val="nil"/>
            </w:tcBorders>
            <w:shd w:val="clear" w:color="auto" w:fill="auto"/>
            <w:noWrap/>
            <w:vAlign w:val="bottom"/>
            <w:hideMark/>
          </w:tcPr>
          <w:p w14:paraId="7C95BEF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22,169.2</w:t>
            </w:r>
          </w:p>
        </w:tc>
      </w:tr>
      <w:tr w:rsidR="00134C08" w:rsidRPr="00134C08" w14:paraId="0DD064C6" w14:textId="77777777" w:rsidTr="009960D0">
        <w:trPr>
          <w:trHeight w:val="220"/>
        </w:trPr>
        <w:tc>
          <w:tcPr>
            <w:tcW w:w="450" w:type="dxa"/>
            <w:tcBorders>
              <w:top w:val="nil"/>
              <w:left w:val="nil"/>
              <w:bottom w:val="nil"/>
              <w:right w:val="nil"/>
            </w:tcBorders>
            <w:shd w:val="clear" w:color="auto" w:fill="auto"/>
            <w:noWrap/>
            <w:vAlign w:val="bottom"/>
            <w:hideMark/>
          </w:tcPr>
          <w:p w14:paraId="1D5AA4AE"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nil"/>
              <w:left w:val="nil"/>
              <w:bottom w:val="double" w:sz="6" w:space="0" w:color="auto"/>
              <w:right w:val="nil"/>
            </w:tcBorders>
            <w:shd w:val="clear" w:color="auto" w:fill="auto"/>
            <w:noWrap/>
            <w:vAlign w:val="bottom"/>
            <w:hideMark/>
          </w:tcPr>
          <w:p w14:paraId="396C7A6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Road Usage Fees as % of GDP</w:t>
            </w:r>
          </w:p>
        </w:tc>
        <w:tc>
          <w:tcPr>
            <w:tcW w:w="910" w:type="dxa"/>
            <w:tcBorders>
              <w:top w:val="nil"/>
              <w:left w:val="nil"/>
              <w:bottom w:val="double" w:sz="6" w:space="0" w:color="auto"/>
              <w:right w:val="nil"/>
            </w:tcBorders>
            <w:shd w:val="clear" w:color="auto" w:fill="auto"/>
            <w:noWrap/>
            <w:vAlign w:val="center"/>
            <w:hideMark/>
          </w:tcPr>
          <w:p w14:paraId="119FCC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0.00%</w:t>
            </w:r>
          </w:p>
        </w:tc>
        <w:tc>
          <w:tcPr>
            <w:tcW w:w="910" w:type="dxa"/>
            <w:tcBorders>
              <w:top w:val="nil"/>
              <w:left w:val="nil"/>
              <w:bottom w:val="double" w:sz="6" w:space="0" w:color="auto"/>
              <w:right w:val="nil"/>
            </w:tcBorders>
            <w:shd w:val="clear" w:color="auto" w:fill="auto"/>
            <w:noWrap/>
            <w:vAlign w:val="center"/>
            <w:hideMark/>
          </w:tcPr>
          <w:p w14:paraId="3A84A8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c>
          <w:tcPr>
            <w:tcW w:w="910" w:type="dxa"/>
            <w:tcBorders>
              <w:top w:val="nil"/>
              <w:left w:val="nil"/>
              <w:bottom w:val="double" w:sz="6" w:space="0" w:color="auto"/>
              <w:right w:val="nil"/>
            </w:tcBorders>
            <w:shd w:val="clear" w:color="auto" w:fill="auto"/>
            <w:noWrap/>
            <w:vAlign w:val="center"/>
            <w:hideMark/>
          </w:tcPr>
          <w:p w14:paraId="0E4D06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c>
          <w:tcPr>
            <w:tcW w:w="910" w:type="dxa"/>
            <w:tcBorders>
              <w:top w:val="nil"/>
              <w:left w:val="nil"/>
              <w:bottom w:val="double" w:sz="6" w:space="0" w:color="auto"/>
              <w:right w:val="nil"/>
            </w:tcBorders>
            <w:shd w:val="clear" w:color="auto" w:fill="auto"/>
            <w:noWrap/>
            <w:vAlign w:val="center"/>
            <w:hideMark/>
          </w:tcPr>
          <w:p w14:paraId="3C0B057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c>
          <w:tcPr>
            <w:tcW w:w="910" w:type="dxa"/>
            <w:tcBorders>
              <w:top w:val="nil"/>
              <w:left w:val="nil"/>
              <w:bottom w:val="double" w:sz="6" w:space="0" w:color="auto"/>
              <w:right w:val="nil"/>
            </w:tcBorders>
            <w:shd w:val="clear" w:color="auto" w:fill="auto"/>
            <w:noWrap/>
            <w:vAlign w:val="center"/>
            <w:hideMark/>
          </w:tcPr>
          <w:p w14:paraId="0DDDB75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r>
      <w:tr w:rsidR="00134C08" w:rsidRPr="00134C08" w14:paraId="32819EA0" w14:textId="77777777" w:rsidTr="009960D0">
        <w:trPr>
          <w:trHeight w:val="220"/>
        </w:trPr>
        <w:tc>
          <w:tcPr>
            <w:tcW w:w="450" w:type="dxa"/>
            <w:tcBorders>
              <w:top w:val="nil"/>
              <w:left w:val="nil"/>
              <w:bottom w:val="nil"/>
              <w:right w:val="nil"/>
            </w:tcBorders>
            <w:shd w:val="clear" w:color="auto" w:fill="auto"/>
            <w:noWrap/>
            <w:vAlign w:val="bottom"/>
            <w:hideMark/>
          </w:tcPr>
          <w:p w14:paraId="0EB6A85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bottom"/>
            <w:hideMark/>
          </w:tcPr>
          <w:p w14:paraId="10640199"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Import Duties</w:t>
            </w:r>
          </w:p>
        </w:tc>
        <w:tc>
          <w:tcPr>
            <w:tcW w:w="4550" w:type="dxa"/>
            <w:gridSpan w:val="5"/>
            <w:tcBorders>
              <w:top w:val="nil"/>
              <w:left w:val="nil"/>
              <w:bottom w:val="nil"/>
              <w:right w:val="nil"/>
            </w:tcBorders>
            <w:shd w:val="clear" w:color="000000" w:fill="A5A5A5"/>
            <w:noWrap/>
            <w:vAlign w:val="bottom"/>
            <w:hideMark/>
          </w:tcPr>
          <w:p w14:paraId="679DF9B6"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Thousand MDL</w:t>
            </w:r>
          </w:p>
        </w:tc>
      </w:tr>
      <w:tr w:rsidR="00134C08" w:rsidRPr="00134C08" w14:paraId="4234F66D" w14:textId="77777777" w:rsidTr="00360FE5">
        <w:trPr>
          <w:trHeight w:val="210"/>
        </w:trPr>
        <w:tc>
          <w:tcPr>
            <w:tcW w:w="450" w:type="dxa"/>
            <w:tcBorders>
              <w:top w:val="nil"/>
              <w:left w:val="nil"/>
              <w:bottom w:val="nil"/>
              <w:right w:val="nil"/>
            </w:tcBorders>
            <w:shd w:val="clear" w:color="auto" w:fill="auto"/>
            <w:noWrap/>
            <w:hideMark/>
          </w:tcPr>
          <w:p w14:paraId="31AF1BF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bottom"/>
            <w:hideMark/>
          </w:tcPr>
          <w:p w14:paraId="25D1BE22"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goods imported for personal use or consumption</w:t>
            </w:r>
          </w:p>
        </w:tc>
        <w:tc>
          <w:tcPr>
            <w:tcW w:w="910" w:type="dxa"/>
            <w:tcBorders>
              <w:top w:val="nil"/>
              <w:left w:val="nil"/>
              <w:bottom w:val="nil"/>
              <w:right w:val="nil"/>
            </w:tcBorders>
            <w:shd w:val="clear" w:color="auto" w:fill="auto"/>
            <w:noWrap/>
            <w:vAlign w:val="bottom"/>
            <w:hideMark/>
          </w:tcPr>
          <w:p w14:paraId="7A77F68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73A045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7C47EC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83F781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5EF239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014AEB08" w14:textId="77777777" w:rsidTr="00360FE5">
        <w:trPr>
          <w:trHeight w:val="210"/>
        </w:trPr>
        <w:tc>
          <w:tcPr>
            <w:tcW w:w="450" w:type="dxa"/>
            <w:tcBorders>
              <w:top w:val="nil"/>
              <w:left w:val="nil"/>
              <w:bottom w:val="nil"/>
              <w:right w:val="nil"/>
            </w:tcBorders>
            <w:shd w:val="clear" w:color="auto" w:fill="auto"/>
            <w:noWrap/>
            <w:hideMark/>
          </w:tcPr>
          <w:p w14:paraId="04DE91A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bottom"/>
            <w:hideMark/>
          </w:tcPr>
          <w:p w14:paraId="6985CC1D"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 xml:space="preserve">Exemption from import duties for personal goods inherited or imported upon establishing residence in Moldova </w:t>
            </w:r>
          </w:p>
        </w:tc>
        <w:tc>
          <w:tcPr>
            <w:tcW w:w="910" w:type="dxa"/>
            <w:tcBorders>
              <w:top w:val="nil"/>
              <w:left w:val="nil"/>
              <w:bottom w:val="nil"/>
              <w:right w:val="nil"/>
            </w:tcBorders>
            <w:shd w:val="clear" w:color="auto" w:fill="auto"/>
            <w:noWrap/>
            <w:vAlign w:val="bottom"/>
            <w:hideMark/>
          </w:tcPr>
          <w:p w14:paraId="4CF473B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9070A2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E1CF3C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7C1C87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033E0F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6F2DB141" w14:textId="77777777" w:rsidTr="00360FE5">
        <w:trPr>
          <w:trHeight w:val="210"/>
        </w:trPr>
        <w:tc>
          <w:tcPr>
            <w:tcW w:w="450" w:type="dxa"/>
            <w:tcBorders>
              <w:top w:val="nil"/>
              <w:left w:val="nil"/>
              <w:bottom w:val="nil"/>
              <w:right w:val="nil"/>
            </w:tcBorders>
            <w:shd w:val="clear" w:color="auto" w:fill="auto"/>
            <w:noWrap/>
            <w:hideMark/>
          </w:tcPr>
          <w:p w14:paraId="3227505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bottom"/>
            <w:hideMark/>
          </w:tcPr>
          <w:p w14:paraId="29413F6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duty-free shops</w:t>
            </w:r>
          </w:p>
        </w:tc>
        <w:tc>
          <w:tcPr>
            <w:tcW w:w="910" w:type="dxa"/>
            <w:tcBorders>
              <w:top w:val="nil"/>
              <w:left w:val="nil"/>
              <w:bottom w:val="nil"/>
              <w:right w:val="nil"/>
            </w:tcBorders>
            <w:shd w:val="clear" w:color="auto" w:fill="auto"/>
            <w:noWrap/>
            <w:vAlign w:val="bottom"/>
            <w:hideMark/>
          </w:tcPr>
          <w:p w14:paraId="4729D05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10,193.3</w:t>
            </w:r>
          </w:p>
        </w:tc>
        <w:tc>
          <w:tcPr>
            <w:tcW w:w="910" w:type="dxa"/>
            <w:tcBorders>
              <w:top w:val="nil"/>
              <w:left w:val="nil"/>
              <w:bottom w:val="nil"/>
              <w:right w:val="nil"/>
            </w:tcBorders>
            <w:shd w:val="clear" w:color="auto" w:fill="auto"/>
            <w:noWrap/>
            <w:vAlign w:val="bottom"/>
            <w:hideMark/>
          </w:tcPr>
          <w:p w14:paraId="2A2B204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10,695.8</w:t>
            </w:r>
          </w:p>
        </w:tc>
        <w:tc>
          <w:tcPr>
            <w:tcW w:w="910" w:type="dxa"/>
            <w:tcBorders>
              <w:top w:val="nil"/>
              <w:left w:val="nil"/>
              <w:bottom w:val="nil"/>
              <w:right w:val="nil"/>
            </w:tcBorders>
            <w:shd w:val="clear" w:color="auto" w:fill="auto"/>
            <w:noWrap/>
            <w:vAlign w:val="bottom"/>
            <w:hideMark/>
          </w:tcPr>
          <w:p w14:paraId="5381B3C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3,146.1</w:t>
            </w:r>
          </w:p>
        </w:tc>
        <w:tc>
          <w:tcPr>
            <w:tcW w:w="910" w:type="dxa"/>
            <w:tcBorders>
              <w:top w:val="nil"/>
              <w:left w:val="nil"/>
              <w:bottom w:val="nil"/>
              <w:right w:val="nil"/>
            </w:tcBorders>
            <w:shd w:val="clear" w:color="auto" w:fill="auto"/>
            <w:noWrap/>
            <w:vAlign w:val="bottom"/>
            <w:hideMark/>
          </w:tcPr>
          <w:p w14:paraId="31D9F84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2,831.3</w:t>
            </w:r>
          </w:p>
        </w:tc>
        <w:tc>
          <w:tcPr>
            <w:tcW w:w="910" w:type="dxa"/>
            <w:tcBorders>
              <w:top w:val="nil"/>
              <w:left w:val="nil"/>
              <w:bottom w:val="nil"/>
              <w:right w:val="nil"/>
            </w:tcBorders>
            <w:shd w:val="clear" w:color="000000" w:fill="E7E6E6"/>
            <w:noWrap/>
            <w:vAlign w:val="bottom"/>
            <w:hideMark/>
          </w:tcPr>
          <w:p w14:paraId="1215F39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5,557.7</w:t>
            </w:r>
          </w:p>
        </w:tc>
      </w:tr>
      <w:tr w:rsidR="00134C08" w:rsidRPr="00134C08" w14:paraId="217C6CC7" w14:textId="77777777" w:rsidTr="00360FE5">
        <w:trPr>
          <w:trHeight w:val="210"/>
        </w:trPr>
        <w:tc>
          <w:tcPr>
            <w:tcW w:w="450" w:type="dxa"/>
            <w:tcBorders>
              <w:top w:val="nil"/>
              <w:left w:val="nil"/>
              <w:bottom w:val="nil"/>
              <w:right w:val="nil"/>
            </w:tcBorders>
            <w:shd w:val="clear" w:color="auto" w:fill="auto"/>
            <w:noWrap/>
            <w:hideMark/>
          </w:tcPr>
          <w:p w14:paraId="46F5F19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bottom"/>
            <w:hideMark/>
          </w:tcPr>
          <w:p w14:paraId="64411154"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honorary decorations and awards</w:t>
            </w:r>
          </w:p>
        </w:tc>
        <w:tc>
          <w:tcPr>
            <w:tcW w:w="910" w:type="dxa"/>
            <w:tcBorders>
              <w:top w:val="nil"/>
              <w:left w:val="nil"/>
              <w:bottom w:val="nil"/>
              <w:right w:val="nil"/>
            </w:tcBorders>
            <w:shd w:val="clear" w:color="auto" w:fill="auto"/>
            <w:noWrap/>
            <w:vAlign w:val="bottom"/>
            <w:hideMark/>
          </w:tcPr>
          <w:p w14:paraId="2F42B2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CC8F9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50A576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8C70FC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7B4786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4A48AA5" w14:textId="77777777" w:rsidTr="00360FE5">
        <w:trPr>
          <w:trHeight w:val="210"/>
        </w:trPr>
        <w:tc>
          <w:tcPr>
            <w:tcW w:w="450" w:type="dxa"/>
            <w:tcBorders>
              <w:top w:val="nil"/>
              <w:left w:val="nil"/>
              <w:bottom w:val="nil"/>
              <w:right w:val="nil"/>
            </w:tcBorders>
            <w:shd w:val="clear" w:color="auto" w:fill="auto"/>
            <w:noWrap/>
            <w:hideMark/>
          </w:tcPr>
          <w:p w14:paraId="3D65C1D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bottom"/>
            <w:hideMark/>
          </w:tcPr>
          <w:p w14:paraId="03CA541D"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funerary goods</w:t>
            </w:r>
          </w:p>
        </w:tc>
        <w:tc>
          <w:tcPr>
            <w:tcW w:w="910" w:type="dxa"/>
            <w:tcBorders>
              <w:top w:val="nil"/>
              <w:left w:val="nil"/>
              <w:bottom w:val="nil"/>
              <w:right w:val="nil"/>
            </w:tcBorders>
            <w:shd w:val="clear" w:color="auto" w:fill="auto"/>
            <w:noWrap/>
            <w:vAlign w:val="bottom"/>
            <w:hideMark/>
          </w:tcPr>
          <w:p w14:paraId="04098B7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D373CA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B1E9AE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02947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AA0C4A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31BE1AD8" w14:textId="77777777" w:rsidTr="00360FE5">
        <w:trPr>
          <w:trHeight w:val="210"/>
        </w:trPr>
        <w:tc>
          <w:tcPr>
            <w:tcW w:w="450" w:type="dxa"/>
            <w:tcBorders>
              <w:top w:val="nil"/>
              <w:left w:val="nil"/>
              <w:bottom w:val="nil"/>
              <w:right w:val="nil"/>
            </w:tcBorders>
            <w:shd w:val="clear" w:color="auto" w:fill="auto"/>
            <w:noWrap/>
            <w:hideMark/>
          </w:tcPr>
          <w:p w14:paraId="37677EE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bottom"/>
            <w:hideMark/>
          </w:tcPr>
          <w:p w14:paraId="187D69FF"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objects of cult</w:t>
            </w:r>
          </w:p>
        </w:tc>
        <w:tc>
          <w:tcPr>
            <w:tcW w:w="910" w:type="dxa"/>
            <w:tcBorders>
              <w:top w:val="nil"/>
              <w:left w:val="nil"/>
              <w:bottom w:val="nil"/>
              <w:right w:val="nil"/>
            </w:tcBorders>
            <w:shd w:val="clear" w:color="auto" w:fill="auto"/>
            <w:noWrap/>
            <w:vAlign w:val="bottom"/>
            <w:hideMark/>
          </w:tcPr>
          <w:p w14:paraId="1E5826F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6DAB41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F3B5CD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366CFA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35.6</w:t>
            </w:r>
          </w:p>
        </w:tc>
        <w:tc>
          <w:tcPr>
            <w:tcW w:w="910" w:type="dxa"/>
            <w:tcBorders>
              <w:top w:val="nil"/>
              <w:left w:val="nil"/>
              <w:bottom w:val="nil"/>
              <w:right w:val="nil"/>
            </w:tcBorders>
            <w:shd w:val="clear" w:color="000000" w:fill="E7E6E6"/>
            <w:noWrap/>
            <w:vAlign w:val="bottom"/>
            <w:hideMark/>
          </w:tcPr>
          <w:p w14:paraId="3A38D7D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0.0</w:t>
            </w:r>
          </w:p>
        </w:tc>
      </w:tr>
      <w:tr w:rsidR="00134C08" w:rsidRPr="00134C08" w14:paraId="70D91818" w14:textId="77777777" w:rsidTr="00360FE5">
        <w:trPr>
          <w:trHeight w:val="210"/>
        </w:trPr>
        <w:tc>
          <w:tcPr>
            <w:tcW w:w="450" w:type="dxa"/>
            <w:tcBorders>
              <w:top w:val="nil"/>
              <w:left w:val="nil"/>
              <w:bottom w:val="nil"/>
              <w:right w:val="nil"/>
            </w:tcBorders>
            <w:shd w:val="clear" w:color="auto" w:fill="auto"/>
            <w:noWrap/>
            <w:hideMark/>
          </w:tcPr>
          <w:p w14:paraId="651896F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w:t>
            </w:r>
          </w:p>
        </w:tc>
        <w:tc>
          <w:tcPr>
            <w:tcW w:w="5130" w:type="dxa"/>
            <w:tcBorders>
              <w:top w:val="nil"/>
              <w:left w:val="nil"/>
              <w:bottom w:val="nil"/>
              <w:right w:val="nil"/>
            </w:tcBorders>
            <w:shd w:val="clear" w:color="auto" w:fill="auto"/>
            <w:noWrap/>
            <w:vAlign w:val="bottom"/>
            <w:hideMark/>
          </w:tcPr>
          <w:p w14:paraId="7B64CBBC"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goods imported by legal persons for non-commercial purposes</w:t>
            </w:r>
          </w:p>
        </w:tc>
        <w:tc>
          <w:tcPr>
            <w:tcW w:w="910" w:type="dxa"/>
            <w:tcBorders>
              <w:top w:val="nil"/>
              <w:left w:val="nil"/>
              <w:bottom w:val="nil"/>
              <w:right w:val="nil"/>
            </w:tcBorders>
            <w:shd w:val="clear" w:color="auto" w:fill="auto"/>
            <w:noWrap/>
            <w:vAlign w:val="bottom"/>
            <w:hideMark/>
          </w:tcPr>
          <w:p w14:paraId="64E8E01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4EA72E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4.8</w:t>
            </w:r>
          </w:p>
        </w:tc>
        <w:tc>
          <w:tcPr>
            <w:tcW w:w="910" w:type="dxa"/>
            <w:tcBorders>
              <w:top w:val="nil"/>
              <w:left w:val="nil"/>
              <w:bottom w:val="nil"/>
              <w:right w:val="nil"/>
            </w:tcBorders>
            <w:shd w:val="clear" w:color="auto" w:fill="auto"/>
            <w:noWrap/>
            <w:vAlign w:val="bottom"/>
            <w:hideMark/>
          </w:tcPr>
          <w:p w14:paraId="4146F4D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5.0</w:t>
            </w:r>
          </w:p>
        </w:tc>
        <w:tc>
          <w:tcPr>
            <w:tcW w:w="910" w:type="dxa"/>
            <w:tcBorders>
              <w:top w:val="nil"/>
              <w:left w:val="nil"/>
              <w:bottom w:val="nil"/>
              <w:right w:val="nil"/>
            </w:tcBorders>
            <w:shd w:val="clear" w:color="auto" w:fill="auto"/>
            <w:noWrap/>
            <w:vAlign w:val="bottom"/>
            <w:hideMark/>
          </w:tcPr>
          <w:p w14:paraId="5A2CA02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D09824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4F1AE75F" w14:textId="77777777" w:rsidTr="00360FE5">
        <w:trPr>
          <w:trHeight w:val="210"/>
        </w:trPr>
        <w:tc>
          <w:tcPr>
            <w:tcW w:w="450" w:type="dxa"/>
            <w:tcBorders>
              <w:top w:val="nil"/>
              <w:left w:val="nil"/>
              <w:bottom w:val="nil"/>
              <w:right w:val="nil"/>
            </w:tcBorders>
            <w:shd w:val="clear" w:color="auto" w:fill="auto"/>
            <w:noWrap/>
            <w:hideMark/>
          </w:tcPr>
          <w:p w14:paraId="537E334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w:t>
            </w:r>
          </w:p>
        </w:tc>
        <w:tc>
          <w:tcPr>
            <w:tcW w:w="5130" w:type="dxa"/>
            <w:tcBorders>
              <w:top w:val="nil"/>
              <w:left w:val="nil"/>
              <w:bottom w:val="nil"/>
              <w:right w:val="nil"/>
            </w:tcBorders>
            <w:shd w:val="clear" w:color="auto" w:fill="auto"/>
            <w:noWrap/>
            <w:vAlign w:val="bottom"/>
            <w:hideMark/>
          </w:tcPr>
          <w:p w14:paraId="2B80F2B2"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imported for trade promotion purposes</w:t>
            </w:r>
          </w:p>
        </w:tc>
        <w:tc>
          <w:tcPr>
            <w:tcW w:w="910" w:type="dxa"/>
            <w:tcBorders>
              <w:top w:val="nil"/>
              <w:left w:val="nil"/>
              <w:bottom w:val="nil"/>
              <w:right w:val="nil"/>
            </w:tcBorders>
            <w:shd w:val="clear" w:color="auto" w:fill="auto"/>
            <w:noWrap/>
            <w:vAlign w:val="bottom"/>
            <w:hideMark/>
          </w:tcPr>
          <w:p w14:paraId="0CEB655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D9B89C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3027D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19387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3D1B50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4B10FD67" w14:textId="77777777" w:rsidTr="00360FE5">
        <w:trPr>
          <w:trHeight w:val="210"/>
        </w:trPr>
        <w:tc>
          <w:tcPr>
            <w:tcW w:w="450" w:type="dxa"/>
            <w:tcBorders>
              <w:top w:val="nil"/>
              <w:left w:val="nil"/>
              <w:bottom w:val="nil"/>
              <w:right w:val="nil"/>
            </w:tcBorders>
            <w:shd w:val="clear" w:color="auto" w:fill="auto"/>
            <w:noWrap/>
            <w:hideMark/>
          </w:tcPr>
          <w:p w14:paraId="562AFDE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w:t>
            </w:r>
          </w:p>
        </w:tc>
        <w:tc>
          <w:tcPr>
            <w:tcW w:w="5130" w:type="dxa"/>
            <w:tcBorders>
              <w:top w:val="nil"/>
              <w:left w:val="nil"/>
              <w:bottom w:val="nil"/>
              <w:right w:val="nil"/>
            </w:tcBorders>
            <w:shd w:val="clear" w:color="auto" w:fill="auto"/>
            <w:noWrap/>
            <w:vAlign w:val="bottom"/>
            <w:hideMark/>
          </w:tcPr>
          <w:p w14:paraId="4A5B715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diplomats and representatives of international organizations</w:t>
            </w:r>
          </w:p>
        </w:tc>
        <w:tc>
          <w:tcPr>
            <w:tcW w:w="910" w:type="dxa"/>
            <w:tcBorders>
              <w:top w:val="nil"/>
              <w:left w:val="nil"/>
              <w:bottom w:val="nil"/>
              <w:right w:val="nil"/>
            </w:tcBorders>
            <w:shd w:val="clear" w:color="auto" w:fill="auto"/>
            <w:noWrap/>
            <w:vAlign w:val="bottom"/>
            <w:hideMark/>
          </w:tcPr>
          <w:p w14:paraId="3117079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5.0</w:t>
            </w:r>
          </w:p>
        </w:tc>
        <w:tc>
          <w:tcPr>
            <w:tcW w:w="910" w:type="dxa"/>
            <w:tcBorders>
              <w:top w:val="nil"/>
              <w:left w:val="nil"/>
              <w:bottom w:val="nil"/>
              <w:right w:val="nil"/>
            </w:tcBorders>
            <w:shd w:val="clear" w:color="auto" w:fill="auto"/>
            <w:noWrap/>
            <w:vAlign w:val="bottom"/>
            <w:hideMark/>
          </w:tcPr>
          <w:p w14:paraId="5B8A290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0.1</w:t>
            </w:r>
          </w:p>
        </w:tc>
        <w:tc>
          <w:tcPr>
            <w:tcW w:w="910" w:type="dxa"/>
            <w:tcBorders>
              <w:top w:val="nil"/>
              <w:left w:val="nil"/>
              <w:bottom w:val="nil"/>
              <w:right w:val="nil"/>
            </w:tcBorders>
            <w:shd w:val="clear" w:color="auto" w:fill="auto"/>
            <w:noWrap/>
            <w:vAlign w:val="bottom"/>
            <w:hideMark/>
          </w:tcPr>
          <w:p w14:paraId="5E54EC3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12.7</w:t>
            </w:r>
          </w:p>
        </w:tc>
        <w:tc>
          <w:tcPr>
            <w:tcW w:w="910" w:type="dxa"/>
            <w:tcBorders>
              <w:top w:val="nil"/>
              <w:left w:val="nil"/>
              <w:bottom w:val="nil"/>
              <w:right w:val="nil"/>
            </w:tcBorders>
            <w:shd w:val="clear" w:color="auto" w:fill="auto"/>
            <w:noWrap/>
            <w:vAlign w:val="bottom"/>
            <w:hideMark/>
          </w:tcPr>
          <w:p w14:paraId="7AF647A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11.8</w:t>
            </w:r>
          </w:p>
        </w:tc>
        <w:tc>
          <w:tcPr>
            <w:tcW w:w="910" w:type="dxa"/>
            <w:tcBorders>
              <w:top w:val="nil"/>
              <w:left w:val="nil"/>
              <w:bottom w:val="nil"/>
              <w:right w:val="nil"/>
            </w:tcBorders>
            <w:shd w:val="clear" w:color="000000" w:fill="E7E6E6"/>
            <w:noWrap/>
            <w:vAlign w:val="bottom"/>
            <w:hideMark/>
          </w:tcPr>
          <w:p w14:paraId="5526C2E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6.3</w:t>
            </w:r>
          </w:p>
        </w:tc>
      </w:tr>
      <w:tr w:rsidR="00134C08" w:rsidRPr="00134C08" w14:paraId="11B5E547" w14:textId="77777777" w:rsidTr="00360FE5">
        <w:trPr>
          <w:trHeight w:val="210"/>
        </w:trPr>
        <w:tc>
          <w:tcPr>
            <w:tcW w:w="450" w:type="dxa"/>
            <w:tcBorders>
              <w:top w:val="nil"/>
              <w:left w:val="nil"/>
              <w:bottom w:val="nil"/>
              <w:right w:val="nil"/>
            </w:tcBorders>
            <w:shd w:val="clear" w:color="auto" w:fill="auto"/>
            <w:noWrap/>
            <w:hideMark/>
          </w:tcPr>
          <w:p w14:paraId="65D6233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5130" w:type="dxa"/>
            <w:tcBorders>
              <w:top w:val="nil"/>
              <w:left w:val="nil"/>
              <w:bottom w:val="nil"/>
              <w:right w:val="nil"/>
            </w:tcBorders>
            <w:shd w:val="clear" w:color="auto" w:fill="auto"/>
            <w:noWrap/>
            <w:vAlign w:val="bottom"/>
            <w:hideMark/>
          </w:tcPr>
          <w:p w14:paraId="631119A4"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gifts received in the context of international relations</w:t>
            </w:r>
          </w:p>
        </w:tc>
        <w:tc>
          <w:tcPr>
            <w:tcW w:w="910" w:type="dxa"/>
            <w:tcBorders>
              <w:top w:val="nil"/>
              <w:left w:val="nil"/>
              <w:bottom w:val="nil"/>
              <w:right w:val="nil"/>
            </w:tcBorders>
            <w:shd w:val="clear" w:color="auto" w:fill="auto"/>
            <w:noWrap/>
            <w:vAlign w:val="bottom"/>
            <w:hideMark/>
          </w:tcPr>
          <w:p w14:paraId="221198A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81ACE2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762CB6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4226B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792B1A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1A63BE14" w14:textId="77777777" w:rsidTr="00360FE5">
        <w:trPr>
          <w:trHeight w:val="210"/>
        </w:trPr>
        <w:tc>
          <w:tcPr>
            <w:tcW w:w="450" w:type="dxa"/>
            <w:tcBorders>
              <w:top w:val="nil"/>
              <w:left w:val="nil"/>
              <w:bottom w:val="nil"/>
              <w:right w:val="nil"/>
            </w:tcBorders>
            <w:shd w:val="clear" w:color="auto" w:fill="auto"/>
            <w:noWrap/>
            <w:hideMark/>
          </w:tcPr>
          <w:p w14:paraId="0A29A29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w:t>
            </w:r>
          </w:p>
        </w:tc>
        <w:tc>
          <w:tcPr>
            <w:tcW w:w="5130" w:type="dxa"/>
            <w:tcBorders>
              <w:top w:val="nil"/>
              <w:left w:val="nil"/>
              <w:bottom w:val="nil"/>
              <w:right w:val="nil"/>
            </w:tcBorders>
            <w:shd w:val="clear" w:color="auto" w:fill="auto"/>
            <w:noWrap/>
            <w:vAlign w:val="bottom"/>
            <w:hideMark/>
          </w:tcPr>
          <w:p w14:paraId="7A4E8357"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intended for heads of state</w:t>
            </w:r>
          </w:p>
        </w:tc>
        <w:tc>
          <w:tcPr>
            <w:tcW w:w="910" w:type="dxa"/>
            <w:tcBorders>
              <w:top w:val="nil"/>
              <w:left w:val="nil"/>
              <w:bottom w:val="nil"/>
              <w:right w:val="nil"/>
            </w:tcBorders>
            <w:shd w:val="clear" w:color="auto" w:fill="auto"/>
            <w:noWrap/>
            <w:vAlign w:val="bottom"/>
            <w:hideMark/>
          </w:tcPr>
          <w:p w14:paraId="3111ABA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DF3C4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BB79C8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DFD850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1E5DD3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778D5A6B" w14:textId="77777777" w:rsidTr="00855621">
        <w:trPr>
          <w:trHeight w:val="210"/>
        </w:trPr>
        <w:tc>
          <w:tcPr>
            <w:tcW w:w="450" w:type="dxa"/>
            <w:tcBorders>
              <w:top w:val="nil"/>
              <w:left w:val="nil"/>
              <w:bottom w:val="nil"/>
              <w:right w:val="nil"/>
            </w:tcBorders>
            <w:shd w:val="clear" w:color="auto" w:fill="auto"/>
            <w:noWrap/>
            <w:hideMark/>
          </w:tcPr>
          <w:p w14:paraId="7F7FC2E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w:t>
            </w:r>
          </w:p>
        </w:tc>
        <w:tc>
          <w:tcPr>
            <w:tcW w:w="5130" w:type="dxa"/>
            <w:tcBorders>
              <w:top w:val="nil"/>
              <w:left w:val="nil"/>
              <w:bottom w:val="nil"/>
              <w:right w:val="nil"/>
            </w:tcBorders>
            <w:shd w:val="clear" w:color="auto" w:fill="auto"/>
            <w:noWrap/>
            <w:vAlign w:val="bottom"/>
            <w:hideMark/>
          </w:tcPr>
          <w:p w14:paraId="6366111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for official use</w:t>
            </w:r>
          </w:p>
        </w:tc>
        <w:tc>
          <w:tcPr>
            <w:tcW w:w="910" w:type="dxa"/>
            <w:tcBorders>
              <w:top w:val="nil"/>
              <w:left w:val="nil"/>
              <w:bottom w:val="nil"/>
              <w:right w:val="nil"/>
            </w:tcBorders>
            <w:shd w:val="clear" w:color="auto" w:fill="auto"/>
            <w:noWrap/>
            <w:vAlign w:val="bottom"/>
            <w:hideMark/>
          </w:tcPr>
          <w:p w14:paraId="5DAB215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1,632.2</w:t>
            </w:r>
          </w:p>
        </w:tc>
        <w:tc>
          <w:tcPr>
            <w:tcW w:w="910" w:type="dxa"/>
            <w:tcBorders>
              <w:top w:val="nil"/>
              <w:left w:val="nil"/>
              <w:bottom w:val="nil"/>
              <w:right w:val="nil"/>
            </w:tcBorders>
            <w:shd w:val="clear" w:color="auto" w:fill="auto"/>
            <w:noWrap/>
            <w:vAlign w:val="bottom"/>
            <w:hideMark/>
          </w:tcPr>
          <w:p w14:paraId="092AA2A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1,632.2</w:t>
            </w:r>
          </w:p>
        </w:tc>
        <w:tc>
          <w:tcPr>
            <w:tcW w:w="910" w:type="dxa"/>
            <w:tcBorders>
              <w:top w:val="nil"/>
              <w:left w:val="nil"/>
              <w:bottom w:val="nil"/>
              <w:right w:val="nil"/>
            </w:tcBorders>
            <w:shd w:val="clear" w:color="auto" w:fill="auto"/>
            <w:noWrap/>
            <w:vAlign w:val="bottom"/>
            <w:hideMark/>
          </w:tcPr>
          <w:p w14:paraId="43ADD1C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1,632.2</w:t>
            </w:r>
          </w:p>
        </w:tc>
        <w:tc>
          <w:tcPr>
            <w:tcW w:w="910" w:type="dxa"/>
            <w:tcBorders>
              <w:top w:val="nil"/>
              <w:left w:val="nil"/>
              <w:bottom w:val="nil"/>
              <w:right w:val="nil"/>
            </w:tcBorders>
            <w:shd w:val="clear" w:color="auto" w:fill="auto"/>
            <w:noWrap/>
            <w:vAlign w:val="bottom"/>
            <w:hideMark/>
          </w:tcPr>
          <w:p w14:paraId="7E55B09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1,632.2</w:t>
            </w:r>
          </w:p>
        </w:tc>
        <w:tc>
          <w:tcPr>
            <w:tcW w:w="910" w:type="dxa"/>
            <w:tcBorders>
              <w:top w:val="nil"/>
              <w:left w:val="nil"/>
              <w:bottom w:val="nil"/>
              <w:right w:val="nil"/>
            </w:tcBorders>
            <w:shd w:val="clear" w:color="000000" w:fill="E7E6E6"/>
            <w:noWrap/>
            <w:vAlign w:val="bottom"/>
            <w:hideMark/>
          </w:tcPr>
          <w:p w14:paraId="3864368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1,632.2</w:t>
            </w:r>
          </w:p>
        </w:tc>
      </w:tr>
      <w:tr w:rsidR="00134C08" w:rsidRPr="00134C08" w14:paraId="27E4E904" w14:textId="77777777" w:rsidTr="00855621">
        <w:trPr>
          <w:trHeight w:val="210"/>
        </w:trPr>
        <w:tc>
          <w:tcPr>
            <w:tcW w:w="450" w:type="dxa"/>
            <w:tcBorders>
              <w:top w:val="nil"/>
              <w:left w:val="nil"/>
              <w:bottom w:val="nil"/>
              <w:right w:val="nil"/>
            </w:tcBorders>
            <w:shd w:val="clear" w:color="auto" w:fill="auto"/>
            <w:noWrap/>
            <w:hideMark/>
          </w:tcPr>
          <w:p w14:paraId="04D2B89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w:t>
            </w:r>
          </w:p>
        </w:tc>
        <w:tc>
          <w:tcPr>
            <w:tcW w:w="5130" w:type="dxa"/>
            <w:tcBorders>
              <w:top w:val="nil"/>
              <w:left w:val="nil"/>
              <w:bottom w:val="nil"/>
              <w:right w:val="nil"/>
            </w:tcBorders>
            <w:shd w:val="clear" w:color="auto" w:fill="auto"/>
            <w:noWrap/>
            <w:vAlign w:val="bottom"/>
            <w:hideMark/>
          </w:tcPr>
          <w:p w14:paraId="2300BDF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various official documents and goods</w:t>
            </w:r>
          </w:p>
        </w:tc>
        <w:tc>
          <w:tcPr>
            <w:tcW w:w="910" w:type="dxa"/>
            <w:tcBorders>
              <w:top w:val="nil"/>
              <w:left w:val="nil"/>
              <w:bottom w:val="nil"/>
              <w:right w:val="nil"/>
            </w:tcBorders>
            <w:shd w:val="clear" w:color="auto" w:fill="auto"/>
            <w:noWrap/>
            <w:vAlign w:val="bottom"/>
            <w:hideMark/>
          </w:tcPr>
          <w:p w14:paraId="6E858F2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4D1381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9608B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7D508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2ABE7B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126627FC" w14:textId="77777777" w:rsidTr="00855621">
        <w:trPr>
          <w:trHeight w:val="210"/>
        </w:trPr>
        <w:tc>
          <w:tcPr>
            <w:tcW w:w="450" w:type="dxa"/>
            <w:tcBorders>
              <w:top w:val="nil"/>
              <w:left w:val="nil"/>
              <w:bottom w:val="nil"/>
              <w:right w:val="nil"/>
            </w:tcBorders>
            <w:shd w:val="clear" w:color="auto" w:fill="auto"/>
            <w:noWrap/>
            <w:hideMark/>
          </w:tcPr>
          <w:p w14:paraId="13CC054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w:t>
            </w:r>
          </w:p>
        </w:tc>
        <w:tc>
          <w:tcPr>
            <w:tcW w:w="5130" w:type="dxa"/>
            <w:tcBorders>
              <w:top w:val="nil"/>
              <w:left w:val="nil"/>
              <w:bottom w:val="nil"/>
              <w:right w:val="nil"/>
            </w:tcBorders>
            <w:shd w:val="clear" w:color="auto" w:fill="auto"/>
            <w:noWrap/>
            <w:vAlign w:val="bottom"/>
            <w:hideMark/>
          </w:tcPr>
          <w:p w14:paraId="14F2A7C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foreign military forces and international intervention teams</w:t>
            </w:r>
          </w:p>
        </w:tc>
        <w:tc>
          <w:tcPr>
            <w:tcW w:w="910" w:type="dxa"/>
            <w:tcBorders>
              <w:top w:val="nil"/>
              <w:left w:val="nil"/>
              <w:bottom w:val="nil"/>
              <w:right w:val="nil"/>
            </w:tcBorders>
            <w:shd w:val="clear" w:color="auto" w:fill="auto"/>
            <w:noWrap/>
            <w:vAlign w:val="bottom"/>
            <w:hideMark/>
          </w:tcPr>
          <w:p w14:paraId="3C1AEE8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269.2</w:t>
            </w:r>
          </w:p>
        </w:tc>
        <w:tc>
          <w:tcPr>
            <w:tcW w:w="910" w:type="dxa"/>
            <w:tcBorders>
              <w:top w:val="nil"/>
              <w:left w:val="nil"/>
              <w:bottom w:val="nil"/>
              <w:right w:val="nil"/>
            </w:tcBorders>
            <w:shd w:val="clear" w:color="auto" w:fill="auto"/>
            <w:noWrap/>
            <w:vAlign w:val="bottom"/>
            <w:hideMark/>
          </w:tcPr>
          <w:p w14:paraId="703DB98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282.0</w:t>
            </w:r>
          </w:p>
        </w:tc>
        <w:tc>
          <w:tcPr>
            <w:tcW w:w="910" w:type="dxa"/>
            <w:tcBorders>
              <w:top w:val="nil"/>
              <w:left w:val="nil"/>
              <w:bottom w:val="nil"/>
              <w:right w:val="nil"/>
            </w:tcBorders>
            <w:shd w:val="clear" w:color="auto" w:fill="auto"/>
            <w:noWrap/>
            <w:vAlign w:val="bottom"/>
            <w:hideMark/>
          </w:tcPr>
          <w:p w14:paraId="0B04A13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1,487.3</w:t>
            </w:r>
          </w:p>
        </w:tc>
        <w:tc>
          <w:tcPr>
            <w:tcW w:w="910" w:type="dxa"/>
            <w:tcBorders>
              <w:top w:val="nil"/>
              <w:left w:val="nil"/>
              <w:bottom w:val="nil"/>
              <w:right w:val="nil"/>
            </w:tcBorders>
            <w:shd w:val="clear" w:color="auto" w:fill="auto"/>
            <w:noWrap/>
            <w:vAlign w:val="bottom"/>
            <w:hideMark/>
          </w:tcPr>
          <w:p w14:paraId="4BA9244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121.0</w:t>
            </w:r>
          </w:p>
        </w:tc>
        <w:tc>
          <w:tcPr>
            <w:tcW w:w="910" w:type="dxa"/>
            <w:tcBorders>
              <w:top w:val="nil"/>
              <w:left w:val="nil"/>
              <w:bottom w:val="nil"/>
              <w:right w:val="nil"/>
            </w:tcBorders>
            <w:shd w:val="clear" w:color="000000" w:fill="E7E6E6"/>
            <w:noWrap/>
            <w:vAlign w:val="bottom"/>
            <w:hideMark/>
          </w:tcPr>
          <w:p w14:paraId="32E1903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294.1</w:t>
            </w:r>
          </w:p>
        </w:tc>
      </w:tr>
      <w:tr w:rsidR="00134C08" w:rsidRPr="00134C08" w14:paraId="27EA6DE4" w14:textId="77777777" w:rsidTr="00855621">
        <w:trPr>
          <w:trHeight w:val="210"/>
        </w:trPr>
        <w:tc>
          <w:tcPr>
            <w:tcW w:w="450" w:type="dxa"/>
            <w:tcBorders>
              <w:top w:val="nil"/>
              <w:left w:val="nil"/>
              <w:bottom w:val="nil"/>
              <w:right w:val="nil"/>
            </w:tcBorders>
            <w:shd w:val="clear" w:color="auto" w:fill="auto"/>
            <w:noWrap/>
            <w:hideMark/>
          </w:tcPr>
          <w:p w14:paraId="7418A32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w:t>
            </w:r>
          </w:p>
        </w:tc>
        <w:tc>
          <w:tcPr>
            <w:tcW w:w="5130" w:type="dxa"/>
            <w:tcBorders>
              <w:top w:val="nil"/>
              <w:left w:val="nil"/>
              <w:bottom w:val="nil"/>
              <w:right w:val="nil"/>
            </w:tcBorders>
            <w:shd w:val="clear" w:color="auto" w:fill="auto"/>
            <w:noWrap/>
            <w:vAlign w:val="bottom"/>
            <w:hideMark/>
          </w:tcPr>
          <w:p w14:paraId="7037AFE9"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humanitarian aid and international assistance projects</w:t>
            </w:r>
          </w:p>
        </w:tc>
        <w:tc>
          <w:tcPr>
            <w:tcW w:w="910" w:type="dxa"/>
            <w:tcBorders>
              <w:top w:val="nil"/>
              <w:left w:val="nil"/>
              <w:bottom w:val="nil"/>
              <w:right w:val="nil"/>
            </w:tcBorders>
            <w:shd w:val="clear" w:color="auto" w:fill="auto"/>
            <w:noWrap/>
            <w:vAlign w:val="bottom"/>
            <w:hideMark/>
          </w:tcPr>
          <w:p w14:paraId="2364660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50,273.3</w:t>
            </w:r>
          </w:p>
        </w:tc>
        <w:tc>
          <w:tcPr>
            <w:tcW w:w="910" w:type="dxa"/>
            <w:tcBorders>
              <w:top w:val="nil"/>
              <w:left w:val="nil"/>
              <w:bottom w:val="nil"/>
              <w:right w:val="nil"/>
            </w:tcBorders>
            <w:shd w:val="clear" w:color="auto" w:fill="auto"/>
            <w:noWrap/>
            <w:vAlign w:val="bottom"/>
            <w:hideMark/>
          </w:tcPr>
          <w:p w14:paraId="5DAAA8B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39,262.2</w:t>
            </w:r>
          </w:p>
        </w:tc>
        <w:tc>
          <w:tcPr>
            <w:tcW w:w="910" w:type="dxa"/>
            <w:tcBorders>
              <w:top w:val="nil"/>
              <w:left w:val="nil"/>
              <w:bottom w:val="nil"/>
              <w:right w:val="nil"/>
            </w:tcBorders>
            <w:shd w:val="clear" w:color="auto" w:fill="auto"/>
            <w:noWrap/>
            <w:vAlign w:val="bottom"/>
            <w:hideMark/>
          </w:tcPr>
          <w:p w14:paraId="7716E7E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64,612.2</w:t>
            </w:r>
          </w:p>
        </w:tc>
        <w:tc>
          <w:tcPr>
            <w:tcW w:w="910" w:type="dxa"/>
            <w:tcBorders>
              <w:top w:val="nil"/>
              <w:left w:val="nil"/>
              <w:bottom w:val="nil"/>
              <w:right w:val="nil"/>
            </w:tcBorders>
            <w:shd w:val="clear" w:color="auto" w:fill="auto"/>
            <w:noWrap/>
            <w:vAlign w:val="bottom"/>
            <w:hideMark/>
          </w:tcPr>
          <w:p w14:paraId="44CB024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98,332.0</w:t>
            </w:r>
          </w:p>
        </w:tc>
        <w:tc>
          <w:tcPr>
            <w:tcW w:w="910" w:type="dxa"/>
            <w:tcBorders>
              <w:top w:val="nil"/>
              <w:left w:val="nil"/>
              <w:bottom w:val="nil"/>
              <w:right w:val="nil"/>
            </w:tcBorders>
            <w:shd w:val="clear" w:color="000000" w:fill="E7E6E6"/>
            <w:noWrap/>
            <w:vAlign w:val="bottom"/>
            <w:hideMark/>
          </w:tcPr>
          <w:p w14:paraId="3B2224C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87,364.4</w:t>
            </w:r>
          </w:p>
        </w:tc>
      </w:tr>
      <w:tr w:rsidR="00134C08" w:rsidRPr="00134C08" w14:paraId="5D80EEF8" w14:textId="77777777" w:rsidTr="00855621">
        <w:trPr>
          <w:trHeight w:val="210"/>
        </w:trPr>
        <w:tc>
          <w:tcPr>
            <w:tcW w:w="450" w:type="dxa"/>
            <w:tcBorders>
              <w:top w:val="nil"/>
              <w:left w:val="nil"/>
              <w:bottom w:val="nil"/>
              <w:right w:val="nil"/>
            </w:tcBorders>
            <w:shd w:val="clear" w:color="auto" w:fill="auto"/>
            <w:noWrap/>
            <w:hideMark/>
          </w:tcPr>
          <w:p w14:paraId="67869E1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w:t>
            </w:r>
          </w:p>
        </w:tc>
        <w:tc>
          <w:tcPr>
            <w:tcW w:w="5130" w:type="dxa"/>
            <w:tcBorders>
              <w:top w:val="nil"/>
              <w:left w:val="nil"/>
              <w:bottom w:val="nil"/>
              <w:right w:val="nil"/>
            </w:tcBorders>
            <w:shd w:val="clear" w:color="auto" w:fill="auto"/>
            <w:noWrap/>
            <w:vAlign w:val="bottom"/>
            <w:hideMark/>
          </w:tcPr>
          <w:p w14:paraId="326CBA0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international aid</w:t>
            </w:r>
          </w:p>
        </w:tc>
        <w:tc>
          <w:tcPr>
            <w:tcW w:w="910" w:type="dxa"/>
            <w:tcBorders>
              <w:top w:val="nil"/>
              <w:left w:val="nil"/>
              <w:bottom w:val="nil"/>
              <w:right w:val="nil"/>
            </w:tcBorders>
            <w:shd w:val="clear" w:color="auto" w:fill="auto"/>
            <w:noWrap/>
            <w:vAlign w:val="bottom"/>
            <w:hideMark/>
          </w:tcPr>
          <w:p w14:paraId="1029127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2B6C9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94FE08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86511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866DED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384C304C" w14:textId="77777777" w:rsidTr="00855621">
        <w:trPr>
          <w:trHeight w:val="210"/>
        </w:trPr>
        <w:tc>
          <w:tcPr>
            <w:tcW w:w="450" w:type="dxa"/>
            <w:tcBorders>
              <w:top w:val="nil"/>
              <w:left w:val="nil"/>
              <w:bottom w:val="nil"/>
              <w:right w:val="nil"/>
            </w:tcBorders>
            <w:shd w:val="clear" w:color="auto" w:fill="auto"/>
            <w:noWrap/>
            <w:hideMark/>
          </w:tcPr>
          <w:p w14:paraId="365C97C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w:t>
            </w:r>
          </w:p>
        </w:tc>
        <w:tc>
          <w:tcPr>
            <w:tcW w:w="5130" w:type="dxa"/>
            <w:tcBorders>
              <w:top w:val="nil"/>
              <w:left w:val="nil"/>
              <w:bottom w:val="nil"/>
              <w:right w:val="nil"/>
            </w:tcBorders>
            <w:shd w:val="clear" w:color="auto" w:fill="auto"/>
            <w:noWrap/>
            <w:vAlign w:val="bottom"/>
            <w:hideMark/>
          </w:tcPr>
          <w:p w14:paraId="1936A407"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established under the Compact Agreement with the Millennium Challenge Corporation</w:t>
            </w:r>
          </w:p>
        </w:tc>
        <w:tc>
          <w:tcPr>
            <w:tcW w:w="910" w:type="dxa"/>
            <w:tcBorders>
              <w:top w:val="nil"/>
              <w:left w:val="nil"/>
              <w:bottom w:val="nil"/>
              <w:right w:val="nil"/>
            </w:tcBorders>
            <w:shd w:val="clear" w:color="auto" w:fill="auto"/>
            <w:noWrap/>
            <w:vAlign w:val="bottom"/>
            <w:hideMark/>
          </w:tcPr>
          <w:p w14:paraId="603F5D0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9E005F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38.1</w:t>
            </w:r>
          </w:p>
        </w:tc>
        <w:tc>
          <w:tcPr>
            <w:tcW w:w="910" w:type="dxa"/>
            <w:tcBorders>
              <w:top w:val="nil"/>
              <w:left w:val="nil"/>
              <w:bottom w:val="nil"/>
              <w:right w:val="nil"/>
            </w:tcBorders>
            <w:shd w:val="clear" w:color="auto" w:fill="auto"/>
            <w:noWrap/>
            <w:vAlign w:val="bottom"/>
            <w:hideMark/>
          </w:tcPr>
          <w:p w14:paraId="2251D8A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107.3</w:t>
            </w:r>
          </w:p>
        </w:tc>
        <w:tc>
          <w:tcPr>
            <w:tcW w:w="910" w:type="dxa"/>
            <w:tcBorders>
              <w:top w:val="nil"/>
              <w:left w:val="nil"/>
              <w:bottom w:val="nil"/>
              <w:right w:val="nil"/>
            </w:tcBorders>
            <w:shd w:val="clear" w:color="auto" w:fill="auto"/>
            <w:noWrap/>
            <w:vAlign w:val="bottom"/>
            <w:hideMark/>
          </w:tcPr>
          <w:p w14:paraId="38F2601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325.9</w:t>
            </w:r>
          </w:p>
        </w:tc>
        <w:tc>
          <w:tcPr>
            <w:tcW w:w="910" w:type="dxa"/>
            <w:tcBorders>
              <w:top w:val="nil"/>
              <w:left w:val="nil"/>
              <w:bottom w:val="nil"/>
              <w:right w:val="nil"/>
            </w:tcBorders>
            <w:shd w:val="clear" w:color="000000" w:fill="E7E6E6"/>
            <w:noWrap/>
            <w:vAlign w:val="bottom"/>
            <w:hideMark/>
          </w:tcPr>
          <w:p w14:paraId="455DBDE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370.8</w:t>
            </w:r>
          </w:p>
        </w:tc>
      </w:tr>
      <w:tr w:rsidR="00134C08" w:rsidRPr="00134C08" w14:paraId="7D7521C3" w14:textId="77777777" w:rsidTr="00855621">
        <w:trPr>
          <w:trHeight w:val="210"/>
        </w:trPr>
        <w:tc>
          <w:tcPr>
            <w:tcW w:w="450" w:type="dxa"/>
            <w:tcBorders>
              <w:top w:val="nil"/>
              <w:left w:val="nil"/>
              <w:bottom w:val="nil"/>
              <w:right w:val="nil"/>
            </w:tcBorders>
            <w:shd w:val="clear" w:color="auto" w:fill="auto"/>
            <w:noWrap/>
            <w:hideMark/>
          </w:tcPr>
          <w:p w14:paraId="5DE5AF7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w:t>
            </w:r>
          </w:p>
        </w:tc>
        <w:tc>
          <w:tcPr>
            <w:tcW w:w="5130" w:type="dxa"/>
            <w:tcBorders>
              <w:top w:val="nil"/>
              <w:left w:val="nil"/>
              <w:bottom w:val="nil"/>
              <w:right w:val="nil"/>
            </w:tcBorders>
            <w:shd w:val="clear" w:color="auto" w:fill="auto"/>
            <w:noWrap/>
            <w:vAlign w:val="bottom"/>
            <w:hideMark/>
          </w:tcPr>
          <w:p w14:paraId="4F8982F5"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for the use of disaster victims</w:t>
            </w:r>
          </w:p>
        </w:tc>
        <w:tc>
          <w:tcPr>
            <w:tcW w:w="910" w:type="dxa"/>
            <w:tcBorders>
              <w:top w:val="nil"/>
              <w:left w:val="nil"/>
              <w:bottom w:val="nil"/>
              <w:right w:val="nil"/>
            </w:tcBorders>
            <w:shd w:val="clear" w:color="auto" w:fill="auto"/>
            <w:noWrap/>
            <w:vAlign w:val="bottom"/>
            <w:hideMark/>
          </w:tcPr>
          <w:p w14:paraId="6971CE3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E00EC5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476E58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0510A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01DACA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1BC360FF" w14:textId="77777777" w:rsidTr="00855621">
        <w:trPr>
          <w:trHeight w:val="210"/>
        </w:trPr>
        <w:tc>
          <w:tcPr>
            <w:tcW w:w="450" w:type="dxa"/>
            <w:tcBorders>
              <w:top w:val="nil"/>
              <w:left w:val="nil"/>
              <w:bottom w:val="nil"/>
              <w:right w:val="nil"/>
            </w:tcBorders>
            <w:shd w:val="clear" w:color="auto" w:fill="auto"/>
            <w:noWrap/>
            <w:hideMark/>
          </w:tcPr>
          <w:p w14:paraId="119D1E4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w:t>
            </w:r>
          </w:p>
        </w:tc>
        <w:tc>
          <w:tcPr>
            <w:tcW w:w="5130" w:type="dxa"/>
            <w:tcBorders>
              <w:top w:val="nil"/>
              <w:left w:val="nil"/>
              <w:bottom w:val="nil"/>
              <w:right w:val="nil"/>
            </w:tcBorders>
            <w:shd w:val="clear" w:color="auto" w:fill="auto"/>
            <w:noWrap/>
            <w:vAlign w:val="bottom"/>
            <w:hideMark/>
          </w:tcPr>
          <w:p w14:paraId="539FDED0"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means of transport for persons with disabilities of the locomotor apparatus</w:t>
            </w:r>
          </w:p>
        </w:tc>
        <w:tc>
          <w:tcPr>
            <w:tcW w:w="910" w:type="dxa"/>
            <w:tcBorders>
              <w:top w:val="nil"/>
              <w:left w:val="nil"/>
              <w:bottom w:val="nil"/>
              <w:right w:val="nil"/>
            </w:tcBorders>
            <w:shd w:val="clear" w:color="auto" w:fill="auto"/>
            <w:noWrap/>
            <w:vAlign w:val="bottom"/>
            <w:hideMark/>
          </w:tcPr>
          <w:p w14:paraId="3733BAE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696655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2B9CB1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CB1E69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6.1</w:t>
            </w:r>
          </w:p>
        </w:tc>
        <w:tc>
          <w:tcPr>
            <w:tcW w:w="910" w:type="dxa"/>
            <w:tcBorders>
              <w:top w:val="nil"/>
              <w:left w:val="nil"/>
              <w:bottom w:val="nil"/>
              <w:right w:val="nil"/>
            </w:tcBorders>
            <w:shd w:val="clear" w:color="auto" w:fill="auto"/>
            <w:noWrap/>
            <w:vAlign w:val="bottom"/>
            <w:hideMark/>
          </w:tcPr>
          <w:p w14:paraId="1FE7D42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D13D881" w14:textId="77777777" w:rsidTr="00855621">
        <w:trPr>
          <w:trHeight w:val="210"/>
        </w:trPr>
        <w:tc>
          <w:tcPr>
            <w:tcW w:w="450" w:type="dxa"/>
            <w:tcBorders>
              <w:top w:val="nil"/>
              <w:left w:val="nil"/>
              <w:bottom w:val="nil"/>
              <w:right w:val="nil"/>
            </w:tcBorders>
            <w:shd w:val="clear" w:color="auto" w:fill="auto"/>
            <w:noWrap/>
            <w:hideMark/>
          </w:tcPr>
          <w:p w14:paraId="316CD54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w:t>
            </w:r>
          </w:p>
        </w:tc>
        <w:tc>
          <w:tcPr>
            <w:tcW w:w="5130" w:type="dxa"/>
            <w:tcBorders>
              <w:top w:val="nil"/>
              <w:left w:val="nil"/>
              <w:bottom w:val="nil"/>
              <w:right w:val="nil"/>
            </w:tcBorders>
            <w:shd w:val="clear" w:color="auto" w:fill="auto"/>
            <w:noWrap/>
            <w:vAlign w:val="bottom"/>
            <w:hideMark/>
          </w:tcPr>
          <w:p w14:paraId="373ED8F0"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for the use of disabled persons</w:t>
            </w:r>
          </w:p>
        </w:tc>
        <w:tc>
          <w:tcPr>
            <w:tcW w:w="910" w:type="dxa"/>
            <w:tcBorders>
              <w:top w:val="nil"/>
              <w:left w:val="nil"/>
              <w:bottom w:val="nil"/>
              <w:right w:val="nil"/>
            </w:tcBorders>
            <w:shd w:val="clear" w:color="auto" w:fill="auto"/>
            <w:noWrap/>
            <w:vAlign w:val="bottom"/>
            <w:hideMark/>
          </w:tcPr>
          <w:p w14:paraId="011548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885846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53455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3BB5A6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588683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61A7058C" w14:textId="77777777" w:rsidTr="00855621">
        <w:trPr>
          <w:trHeight w:val="210"/>
        </w:trPr>
        <w:tc>
          <w:tcPr>
            <w:tcW w:w="450" w:type="dxa"/>
            <w:tcBorders>
              <w:top w:val="nil"/>
              <w:left w:val="nil"/>
              <w:bottom w:val="nil"/>
              <w:right w:val="nil"/>
            </w:tcBorders>
            <w:shd w:val="clear" w:color="auto" w:fill="auto"/>
            <w:noWrap/>
            <w:hideMark/>
          </w:tcPr>
          <w:p w14:paraId="7D65BF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w:t>
            </w:r>
          </w:p>
        </w:tc>
        <w:tc>
          <w:tcPr>
            <w:tcW w:w="5130" w:type="dxa"/>
            <w:tcBorders>
              <w:top w:val="nil"/>
              <w:left w:val="nil"/>
              <w:bottom w:val="nil"/>
              <w:right w:val="nil"/>
            </w:tcBorders>
            <w:shd w:val="clear" w:color="auto" w:fill="auto"/>
            <w:noWrap/>
            <w:vAlign w:val="bottom"/>
            <w:hideMark/>
          </w:tcPr>
          <w:p w14:paraId="43792DF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in respect of the production of medicines</w:t>
            </w:r>
          </w:p>
        </w:tc>
        <w:tc>
          <w:tcPr>
            <w:tcW w:w="910" w:type="dxa"/>
            <w:tcBorders>
              <w:top w:val="nil"/>
              <w:left w:val="nil"/>
              <w:bottom w:val="nil"/>
              <w:right w:val="nil"/>
            </w:tcBorders>
            <w:shd w:val="clear" w:color="auto" w:fill="auto"/>
            <w:noWrap/>
            <w:vAlign w:val="bottom"/>
            <w:hideMark/>
          </w:tcPr>
          <w:p w14:paraId="1AE45BA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4,131.5</w:t>
            </w:r>
          </w:p>
        </w:tc>
        <w:tc>
          <w:tcPr>
            <w:tcW w:w="910" w:type="dxa"/>
            <w:tcBorders>
              <w:top w:val="nil"/>
              <w:left w:val="nil"/>
              <w:bottom w:val="nil"/>
              <w:right w:val="nil"/>
            </w:tcBorders>
            <w:shd w:val="clear" w:color="auto" w:fill="auto"/>
            <w:noWrap/>
            <w:vAlign w:val="bottom"/>
            <w:hideMark/>
          </w:tcPr>
          <w:p w14:paraId="459C0A9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4,736.6</w:t>
            </w:r>
          </w:p>
        </w:tc>
        <w:tc>
          <w:tcPr>
            <w:tcW w:w="910" w:type="dxa"/>
            <w:tcBorders>
              <w:top w:val="nil"/>
              <w:left w:val="nil"/>
              <w:bottom w:val="nil"/>
              <w:right w:val="nil"/>
            </w:tcBorders>
            <w:shd w:val="clear" w:color="auto" w:fill="auto"/>
            <w:noWrap/>
            <w:vAlign w:val="bottom"/>
            <w:hideMark/>
          </w:tcPr>
          <w:p w14:paraId="0E4F8AF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3,881.7</w:t>
            </w:r>
          </w:p>
        </w:tc>
        <w:tc>
          <w:tcPr>
            <w:tcW w:w="910" w:type="dxa"/>
            <w:tcBorders>
              <w:top w:val="nil"/>
              <w:left w:val="nil"/>
              <w:bottom w:val="nil"/>
              <w:right w:val="nil"/>
            </w:tcBorders>
            <w:shd w:val="clear" w:color="auto" w:fill="auto"/>
            <w:noWrap/>
            <w:vAlign w:val="bottom"/>
            <w:hideMark/>
          </w:tcPr>
          <w:p w14:paraId="1C93EBF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3,341.9</w:t>
            </w:r>
          </w:p>
        </w:tc>
        <w:tc>
          <w:tcPr>
            <w:tcW w:w="910" w:type="dxa"/>
            <w:tcBorders>
              <w:top w:val="nil"/>
              <w:left w:val="nil"/>
              <w:bottom w:val="nil"/>
              <w:right w:val="nil"/>
            </w:tcBorders>
            <w:shd w:val="clear" w:color="000000" w:fill="E7E6E6"/>
            <w:noWrap/>
            <w:vAlign w:val="bottom"/>
            <w:hideMark/>
          </w:tcPr>
          <w:p w14:paraId="71D05DA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3,883.6</w:t>
            </w:r>
          </w:p>
        </w:tc>
      </w:tr>
      <w:tr w:rsidR="00134C08" w:rsidRPr="00134C08" w14:paraId="5807A218" w14:textId="77777777" w:rsidTr="00855621">
        <w:trPr>
          <w:trHeight w:val="210"/>
        </w:trPr>
        <w:tc>
          <w:tcPr>
            <w:tcW w:w="450" w:type="dxa"/>
            <w:tcBorders>
              <w:top w:val="nil"/>
              <w:left w:val="nil"/>
              <w:bottom w:val="nil"/>
              <w:right w:val="nil"/>
            </w:tcBorders>
            <w:shd w:val="clear" w:color="auto" w:fill="auto"/>
            <w:noWrap/>
            <w:hideMark/>
          </w:tcPr>
          <w:p w14:paraId="5F8CB9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w:t>
            </w:r>
          </w:p>
        </w:tc>
        <w:tc>
          <w:tcPr>
            <w:tcW w:w="5130" w:type="dxa"/>
            <w:tcBorders>
              <w:top w:val="nil"/>
              <w:left w:val="nil"/>
              <w:bottom w:val="nil"/>
              <w:right w:val="nil"/>
            </w:tcBorders>
            <w:shd w:val="clear" w:color="auto" w:fill="auto"/>
            <w:noWrap/>
            <w:vAlign w:val="bottom"/>
            <w:hideMark/>
          </w:tcPr>
          <w:p w14:paraId="34A8F41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reference substances for quality control of medicines</w:t>
            </w:r>
          </w:p>
        </w:tc>
        <w:tc>
          <w:tcPr>
            <w:tcW w:w="910" w:type="dxa"/>
            <w:tcBorders>
              <w:top w:val="nil"/>
              <w:left w:val="nil"/>
              <w:bottom w:val="nil"/>
              <w:right w:val="nil"/>
            </w:tcBorders>
            <w:shd w:val="clear" w:color="auto" w:fill="auto"/>
            <w:noWrap/>
            <w:vAlign w:val="bottom"/>
            <w:hideMark/>
          </w:tcPr>
          <w:p w14:paraId="50A858F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56AC4D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C0D56C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6C6C36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242CEE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65D74806" w14:textId="77777777" w:rsidTr="00855621">
        <w:trPr>
          <w:trHeight w:val="210"/>
        </w:trPr>
        <w:tc>
          <w:tcPr>
            <w:tcW w:w="450" w:type="dxa"/>
            <w:tcBorders>
              <w:top w:val="nil"/>
              <w:left w:val="nil"/>
              <w:bottom w:val="nil"/>
              <w:right w:val="nil"/>
            </w:tcBorders>
            <w:shd w:val="clear" w:color="auto" w:fill="auto"/>
            <w:noWrap/>
            <w:hideMark/>
          </w:tcPr>
          <w:p w14:paraId="37E2657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w:t>
            </w:r>
          </w:p>
        </w:tc>
        <w:tc>
          <w:tcPr>
            <w:tcW w:w="5130" w:type="dxa"/>
            <w:tcBorders>
              <w:top w:val="nil"/>
              <w:left w:val="nil"/>
              <w:bottom w:val="nil"/>
              <w:right w:val="nil"/>
            </w:tcBorders>
            <w:shd w:val="clear" w:color="auto" w:fill="auto"/>
            <w:noWrap/>
            <w:vAlign w:val="bottom"/>
            <w:hideMark/>
          </w:tcPr>
          <w:p w14:paraId="035A47B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certain medical products and instruments</w:t>
            </w:r>
          </w:p>
        </w:tc>
        <w:tc>
          <w:tcPr>
            <w:tcW w:w="910" w:type="dxa"/>
            <w:tcBorders>
              <w:top w:val="nil"/>
              <w:left w:val="nil"/>
              <w:bottom w:val="nil"/>
              <w:right w:val="nil"/>
            </w:tcBorders>
            <w:shd w:val="clear" w:color="auto" w:fill="auto"/>
            <w:noWrap/>
            <w:vAlign w:val="bottom"/>
            <w:hideMark/>
          </w:tcPr>
          <w:p w14:paraId="397D082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CAE722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B5DD53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9C8E49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AF721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5E778D3" w14:textId="77777777" w:rsidTr="00855621">
        <w:trPr>
          <w:trHeight w:val="210"/>
        </w:trPr>
        <w:tc>
          <w:tcPr>
            <w:tcW w:w="450" w:type="dxa"/>
            <w:tcBorders>
              <w:top w:val="nil"/>
              <w:left w:val="nil"/>
              <w:bottom w:val="nil"/>
              <w:right w:val="nil"/>
            </w:tcBorders>
            <w:shd w:val="clear" w:color="auto" w:fill="auto"/>
            <w:noWrap/>
            <w:hideMark/>
          </w:tcPr>
          <w:p w14:paraId="0EF2F6A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w:t>
            </w:r>
          </w:p>
        </w:tc>
        <w:tc>
          <w:tcPr>
            <w:tcW w:w="5130" w:type="dxa"/>
            <w:tcBorders>
              <w:top w:val="nil"/>
              <w:left w:val="nil"/>
              <w:bottom w:val="nil"/>
              <w:right w:val="nil"/>
            </w:tcBorders>
            <w:shd w:val="clear" w:color="auto" w:fill="auto"/>
            <w:noWrap/>
            <w:vAlign w:val="bottom"/>
            <w:hideMark/>
          </w:tcPr>
          <w:p w14:paraId="19EC604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dialyzers</w:t>
            </w:r>
          </w:p>
        </w:tc>
        <w:tc>
          <w:tcPr>
            <w:tcW w:w="910" w:type="dxa"/>
            <w:tcBorders>
              <w:top w:val="nil"/>
              <w:left w:val="nil"/>
              <w:bottom w:val="nil"/>
              <w:right w:val="nil"/>
            </w:tcBorders>
            <w:shd w:val="clear" w:color="auto" w:fill="auto"/>
            <w:noWrap/>
            <w:vAlign w:val="bottom"/>
            <w:hideMark/>
          </w:tcPr>
          <w:p w14:paraId="1C36127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1,223.2</w:t>
            </w:r>
          </w:p>
        </w:tc>
        <w:tc>
          <w:tcPr>
            <w:tcW w:w="910" w:type="dxa"/>
            <w:tcBorders>
              <w:top w:val="nil"/>
              <w:left w:val="nil"/>
              <w:bottom w:val="nil"/>
              <w:right w:val="nil"/>
            </w:tcBorders>
            <w:shd w:val="clear" w:color="auto" w:fill="auto"/>
            <w:noWrap/>
            <w:vAlign w:val="bottom"/>
            <w:hideMark/>
          </w:tcPr>
          <w:p w14:paraId="616FC33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995.9</w:t>
            </w:r>
          </w:p>
        </w:tc>
        <w:tc>
          <w:tcPr>
            <w:tcW w:w="910" w:type="dxa"/>
            <w:tcBorders>
              <w:top w:val="nil"/>
              <w:left w:val="nil"/>
              <w:bottom w:val="nil"/>
              <w:right w:val="nil"/>
            </w:tcBorders>
            <w:shd w:val="clear" w:color="auto" w:fill="auto"/>
            <w:noWrap/>
            <w:vAlign w:val="bottom"/>
            <w:hideMark/>
          </w:tcPr>
          <w:p w14:paraId="17A1CAB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1,597.6</w:t>
            </w:r>
          </w:p>
        </w:tc>
        <w:tc>
          <w:tcPr>
            <w:tcW w:w="910" w:type="dxa"/>
            <w:tcBorders>
              <w:top w:val="nil"/>
              <w:left w:val="nil"/>
              <w:bottom w:val="nil"/>
              <w:right w:val="nil"/>
            </w:tcBorders>
            <w:shd w:val="clear" w:color="auto" w:fill="auto"/>
            <w:noWrap/>
            <w:vAlign w:val="bottom"/>
            <w:hideMark/>
          </w:tcPr>
          <w:p w14:paraId="34EB646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1,595.6</w:t>
            </w:r>
          </w:p>
        </w:tc>
        <w:tc>
          <w:tcPr>
            <w:tcW w:w="910" w:type="dxa"/>
            <w:tcBorders>
              <w:top w:val="nil"/>
              <w:left w:val="nil"/>
              <w:bottom w:val="nil"/>
              <w:right w:val="nil"/>
            </w:tcBorders>
            <w:shd w:val="clear" w:color="000000" w:fill="E7E6E6"/>
            <w:noWrap/>
            <w:vAlign w:val="bottom"/>
            <w:hideMark/>
          </w:tcPr>
          <w:p w14:paraId="45771ED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1,908.1</w:t>
            </w:r>
          </w:p>
        </w:tc>
      </w:tr>
      <w:tr w:rsidR="00134C08" w:rsidRPr="00134C08" w14:paraId="36CAD7E3" w14:textId="77777777" w:rsidTr="00855621">
        <w:trPr>
          <w:trHeight w:val="210"/>
        </w:trPr>
        <w:tc>
          <w:tcPr>
            <w:tcW w:w="450" w:type="dxa"/>
            <w:tcBorders>
              <w:top w:val="nil"/>
              <w:left w:val="nil"/>
              <w:bottom w:val="nil"/>
              <w:right w:val="nil"/>
            </w:tcBorders>
            <w:shd w:val="clear" w:color="auto" w:fill="auto"/>
            <w:noWrap/>
            <w:hideMark/>
          </w:tcPr>
          <w:p w14:paraId="1C12F22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w:t>
            </w:r>
          </w:p>
        </w:tc>
        <w:tc>
          <w:tcPr>
            <w:tcW w:w="5130" w:type="dxa"/>
            <w:tcBorders>
              <w:top w:val="nil"/>
              <w:left w:val="nil"/>
              <w:bottom w:val="nil"/>
              <w:right w:val="nil"/>
            </w:tcBorders>
            <w:shd w:val="clear" w:color="auto" w:fill="auto"/>
            <w:noWrap/>
            <w:vAlign w:val="bottom"/>
            <w:hideMark/>
          </w:tcPr>
          <w:p w14:paraId="1DE057D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COVID-19 vaccines</w:t>
            </w:r>
          </w:p>
        </w:tc>
        <w:tc>
          <w:tcPr>
            <w:tcW w:w="910" w:type="dxa"/>
            <w:tcBorders>
              <w:top w:val="nil"/>
              <w:left w:val="nil"/>
              <w:bottom w:val="nil"/>
              <w:right w:val="nil"/>
            </w:tcBorders>
            <w:shd w:val="clear" w:color="auto" w:fill="auto"/>
            <w:noWrap/>
            <w:vAlign w:val="bottom"/>
            <w:hideMark/>
          </w:tcPr>
          <w:p w14:paraId="4296001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F8E1B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9D2BF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4FAE88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8B805F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0CD89C08" w14:textId="77777777" w:rsidTr="00855621">
        <w:trPr>
          <w:trHeight w:val="210"/>
        </w:trPr>
        <w:tc>
          <w:tcPr>
            <w:tcW w:w="450" w:type="dxa"/>
            <w:tcBorders>
              <w:top w:val="nil"/>
              <w:left w:val="nil"/>
              <w:bottom w:val="nil"/>
              <w:right w:val="nil"/>
            </w:tcBorders>
            <w:shd w:val="clear" w:color="auto" w:fill="auto"/>
            <w:noWrap/>
            <w:hideMark/>
          </w:tcPr>
          <w:p w14:paraId="1EC8E78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w:t>
            </w:r>
          </w:p>
        </w:tc>
        <w:tc>
          <w:tcPr>
            <w:tcW w:w="5130" w:type="dxa"/>
            <w:tcBorders>
              <w:top w:val="nil"/>
              <w:left w:val="nil"/>
              <w:bottom w:val="nil"/>
              <w:right w:val="nil"/>
            </w:tcBorders>
            <w:shd w:val="clear" w:color="auto" w:fill="auto"/>
            <w:noWrap/>
            <w:vAlign w:val="bottom"/>
            <w:hideMark/>
          </w:tcPr>
          <w:p w14:paraId="1C67B5A9"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books, periodicals and didactic materials</w:t>
            </w:r>
          </w:p>
        </w:tc>
        <w:tc>
          <w:tcPr>
            <w:tcW w:w="910" w:type="dxa"/>
            <w:tcBorders>
              <w:top w:val="nil"/>
              <w:left w:val="nil"/>
              <w:bottom w:val="nil"/>
              <w:right w:val="nil"/>
            </w:tcBorders>
            <w:shd w:val="clear" w:color="auto" w:fill="auto"/>
            <w:noWrap/>
            <w:vAlign w:val="bottom"/>
            <w:hideMark/>
          </w:tcPr>
          <w:p w14:paraId="51B0D90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10,202.5</w:t>
            </w:r>
          </w:p>
        </w:tc>
        <w:tc>
          <w:tcPr>
            <w:tcW w:w="910" w:type="dxa"/>
            <w:tcBorders>
              <w:top w:val="nil"/>
              <w:left w:val="nil"/>
              <w:bottom w:val="nil"/>
              <w:right w:val="nil"/>
            </w:tcBorders>
            <w:shd w:val="clear" w:color="auto" w:fill="auto"/>
            <w:noWrap/>
            <w:vAlign w:val="bottom"/>
            <w:hideMark/>
          </w:tcPr>
          <w:p w14:paraId="0882CA1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12,656.1</w:t>
            </w:r>
          </w:p>
        </w:tc>
        <w:tc>
          <w:tcPr>
            <w:tcW w:w="910" w:type="dxa"/>
            <w:tcBorders>
              <w:top w:val="nil"/>
              <w:left w:val="nil"/>
              <w:bottom w:val="nil"/>
              <w:right w:val="nil"/>
            </w:tcBorders>
            <w:shd w:val="clear" w:color="auto" w:fill="auto"/>
            <w:noWrap/>
            <w:vAlign w:val="bottom"/>
            <w:hideMark/>
          </w:tcPr>
          <w:p w14:paraId="1C8ED6E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10,412.4</w:t>
            </w:r>
          </w:p>
        </w:tc>
        <w:tc>
          <w:tcPr>
            <w:tcW w:w="910" w:type="dxa"/>
            <w:tcBorders>
              <w:top w:val="nil"/>
              <w:left w:val="nil"/>
              <w:bottom w:val="nil"/>
              <w:right w:val="nil"/>
            </w:tcBorders>
            <w:shd w:val="clear" w:color="auto" w:fill="auto"/>
            <w:noWrap/>
            <w:vAlign w:val="bottom"/>
            <w:hideMark/>
          </w:tcPr>
          <w:p w14:paraId="2ED8196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13,058.2</w:t>
            </w:r>
          </w:p>
        </w:tc>
        <w:tc>
          <w:tcPr>
            <w:tcW w:w="910" w:type="dxa"/>
            <w:tcBorders>
              <w:top w:val="nil"/>
              <w:left w:val="nil"/>
              <w:bottom w:val="nil"/>
              <w:right w:val="nil"/>
            </w:tcBorders>
            <w:shd w:val="clear" w:color="000000" w:fill="E7E6E6"/>
            <w:noWrap/>
            <w:vAlign w:val="bottom"/>
            <w:hideMark/>
          </w:tcPr>
          <w:p w14:paraId="3352DC4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13,668.9</w:t>
            </w:r>
          </w:p>
        </w:tc>
      </w:tr>
      <w:tr w:rsidR="00134C08" w:rsidRPr="00134C08" w14:paraId="6FE000F8" w14:textId="77777777" w:rsidTr="00855621">
        <w:trPr>
          <w:trHeight w:val="210"/>
        </w:trPr>
        <w:tc>
          <w:tcPr>
            <w:tcW w:w="450" w:type="dxa"/>
            <w:tcBorders>
              <w:top w:val="nil"/>
              <w:left w:val="nil"/>
              <w:bottom w:val="nil"/>
              <w:right w:val="nil"/>
            </w:tcBorders>
            <w:shd w:val="clear" w:color="auto" w:fill="auto"/>
            <w:noWrap/>
            <w:hideMark/>
          </w:tcPr>
          <w:p w14:paraId="6CE6A0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w:t>
            </w:r>
          </w:p>
        </w:tc>
        <w:tc>
          <w:tcPr>
            <w:tcW w:w="5130" w:type="dxa"/>
            <w:tcBorders>
              <w:top w:val="nil"/>
              <w:left w:val="nil"/>
              <w:bottom w:val="nil"/>
              <w:right w:val="nil"/>
            </w:tcBorders>
            <w:shd w:val="clear" w:color="auto" w:fill="auto"/>
            <w:noWrap/>
            <w:vAlign w:val="bottom"/>
            <w:hideMark/>
          </w:tcPr>
          <w:p w14:paraId="66A4131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 xml:space="preserve">Exemption from import duties for educational, scientific and cultural materials </w:t>
            </w:r>
          </w:p>
        </w:tc>
        <w:tc>
          <w:tcPr>
            <w:tcW w:w="910" w:type="dxa"/>
            <w:tcBorders>
              <w:top w:val="nil"/>
              <w:left w:val="nil"/>
              <w:bottom w:val="nil"/>
              <w:right w:val="nil"/>
            </w:tcBorders>
            <w:shd w:val="clear" w:color="auto" w:fill="auto"/>
            <w:noWrap/>
            <w:vAlign w:val="bottom"/>
            <w:hideMark/>
          </w:tcPr>
          <w:p w14:paraId="3F7D2F7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0921D4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07AFA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8ECA17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8FA28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4D60F2DA" w14:textId="77777777" w:rsidTr="00855621">
        <w:trPr>
          <w:trHeight w:val="210"/>
        </w:trPr>
        <w:tc>
          <w:tcPr>
            <w:tcW w:w="450" w:type="dxa"/>
            <w:tcBorders>
              <w:top w:val="nil"/>
              <w:left w:val="nil"/>
              <w:bottom w:val="nil"/>
              <w:right w:val="nil"/>
            </w:tcBorders>
            <w:shd w:val="clear" w:color="auto" w:fill="auto"/>
            <w:noWrap/>
            <w:hideMark/>
          </w:tcPr>
          <w:p w14:paraId="7F92206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w:t>
            </w:r>
          </w:p>
        </w:tc>
        <w:tc>
          <w:tcPr>
            <w:tcW w:w="5130" w:type="dxa"/>
            <w:tcBorders>
              <w:top w:val="nil"/>
              <w:left w:val="nil"/>
              <w:bottom w:val="nil"/>
              <w:right w:val="nil"/>
            </w:tcBorders>
            <w:shd w:val="clear" w:color="auto" w:fill="auto"/>
            <w:noWrap/>
            <w:vAlign w:val="bottom"/>
            <w:hideMark/>
          </w:tcPr>
          <w:p w14:paraId="23F2086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imported for examination, analysis or testing</w:t>
            </w:r>
          </w:p>
        </w:tc>
        <w:tc>
          <w:tcPr>
            <w:tcW w:w="910" w:type="dxa"/>
            <w:tcBorders>
              <w:top w:val="nil"/>
              <w:left w:val="nil"/>
              <w:bottom w:val="nil"/>
              <w:right w:val="nil"/>
            </w:tcBorders>
            <w:shd w:val="clear" w:color="auto" w:fill="auto"/>
            <w:noWrap/>
            <w:vAlign w:val="bottom"/>
            <w:hideMark/>
          </w:tcPr>
          <w:p w14:paraId="173A24E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CA75E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BD118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F97954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546EF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13869B39" w14:textId="77777777" w:rsidTr="00855621">
        <w:trPr>
          <w:trHeight w:val="210"/>
        </w:trPr>
        <w:tc>
          <w:tcPr>
            <w:tcW w:w="450" w:type="dxa"/>
            <w:tcBorders>
              <w:top w:val="nil"/>
              <w:left w:val="nil"/>
              <w:bottom w:val="nil"/>
              <w:right w:val="nil"/>
            </w:tcBorders>
            <w:shd w:val="clear" w:color="auto" w:fill="auto"/>
            <w:noWrap/>
            <w:hideMark/>
          </w:tcPr>
          <w:p w14:paraId="1B516DF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w:t>
            </w:r>
          </w:p>
        </w:tc>
        <w:tc>
          <w:tcPr>
            <w:tcW w:w="5130" w:type="dxa"/>
            <w:tcBorders>
              <w:top w:val="nil"/>
              <w:left w:val="nil"/>
              <w:bottom w:val="nil"/>
              <w:right w:val="nil"/>
            </w:tcBorders>
            <w:shd w:val="clear" w:color="auto" w:fill="auto"/>
            <w:noWrap/>
            <w:vAlign w:val="bottom"/>
            <w:hideMark/>
          </w:tcPr>
          <w:p w14:paraId="1DF53FC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the State Commission for the Testing of Plant Varieties</w:t>
            </w:r>
          </w:p>
        </w:tc>
        <w:tc>
          <w:tcPr>
            <w:tcW w:w="910" w:type="dxa"/>
            <w:tcBorders>
              <w:top w:val="nil"/>
              <w:left w:val="nil"/>
              <w:bottom w:val="nil"/>
              <w:right w:val="nil"/>
            </w:tcBorders>
            <w:shd w:val="clear" w:color="auto" w:fill="auto"/>
            <w:noWrap/>
            <w:vAlign w:val="bottom"/>
            <w:hideMark/>
          </w:tcPr>
          <w:p w14:paraId="649B957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48.7</w:t>
            </w:r>
          </w:p>
        </w:tc>
        <w:tc>
          <w:tcPr>
            <w:tcW w:w="910" w:type="dxa"/>
            <w:tcBorders>
              <w:top w:val="nil"/>
              <w:left w:val="nil"/>
              <w:bottom w:val="nil"/>
              <w:right w:val="nil"/>
            </w:tcBorders>
            <w:shd w:val="clear" w:color="auto" w:fill="auto"/>
            <w:noWrap/>
            <w:vAlign w:val="bottom"/>
            <w:hideMark/>
          </w:tcPr>
          <w:p w14:paraId="3FC20BF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33.4</w:t>
            </w:r>
          </w:p>
        </w:tc>
        <w:tc>
          <w:tcPr>
            <w:tcW w:w="910" w:type="dxa"/>
            <w:tcBorders>
              <w:top w:val="nil"/>
              <w:left w:val="nil"/>
              <w:bottom w:val="nil"/>
              <w:right w:val="nil"/>
            </w:tcBorders>
            <w:shd w:val="clear" w:color="auto" w:fill="auto"/>
            <w:noWrap/>
            <w:vAlign w:val="bottom"/>
            <w:hideMark/>
          </w:tcPr>
          <w:p w14:paraId="1250CCE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30.1</w:t>
            </w:r>
          </w:p>
        </w:tc>
        <w:tc>
          <w:tcPr>
            <w:tcW w:w="910" w:type="dxa"/>
            <w:tcBorders>
              <w:top w:val="nil"/>
              <w:left w:val="nil"/>
              <w:bottom w:val="nil"/>
              <w:right w:val="nil"/>
            </w:tcBorders>
            <w:shd w:val="clear" w:color="auto" w:fill="auto"/>
            <w:noWrap/>
            <w:vAlign w:val="bottom"/>
            <w:hideMark/>
          </w:tcPr>
          <w:p w14:paraId="40D0B3A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0.0</w:t>
            </w:r>
          </w:p>
        </w:tc>
        <w:tc>
          <w:tcPr>
            <w:tcW w:w="910" w:type="dxa"/>
            <w:tcBorders>
              <w:top w:val="nil"/>
              <w:left w:val="nil"/>
              <w:bottom w:val="nil"/>
              <w:right w:val="nil"/>
            </w:tcBorders>
            <w:shd w:val="clear" w:color="000000" w:fill="E7E6E6"/>
            <w:noWrap/>
            <w:vAlign w:val="bottom"/>
            <w:hideMark/>
          </w:tcPr>
          <w:p w14:paraId="2188ADF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27.8</w:t>
            </w:r>
          </w:p>
        </w:tc>
      </w:tr>
      <w:tr w:rsidR="00134C08" w:rsidRPr="00134C08" w14:paraId="50BDF968" w14:textId="77777777" w:rsidTr="00855621">
        <w:trPr>
          <w:trHeight w:val="210"/>
        </w:trPr>
        <w:tc>
          <w:tcPr>
            <w:tcW w:w="450" w:type="dxa"/>
            <w:tcBorders>
              <w:top w:val="nil"/>
              <w:left w:val="nil"/>
              <w:bottom w:val="nil"/>
              <w:right w:val="nil"/>
            </w:tcBorders>
            <w:shd w:val="clear" w:color="auto" w:fill="auto"/>
            <w:noWrap/>
            <w:hideMark/>
          </w:tcPr>
          <w:p w14:paraId="2DFD9FE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w:t>
            </w:r>
          </w:p>
        </w:tc>
        <w:tc>
          <w:tcPr>
            <w:tcW w:w="5130" w:type="dxa"/>
            <w:tcBorders>
              <w:top w:val="nil"/>
              <w:left w:val="nil"/>
              <w:bottom w:val="nil"/>
              <w:right w:val="nil"/>
            </w:tcBorders>
            <w:shd w:val="clear" w:color="auto" w:fill="auto"/>
            <w:noWrap/>
            <w:vAlign w:val="bottom"/>
            <w:hideMark/>
          </w:tcPr>
          <w:p w14:paraId="75ECB569"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donated by the International Olympic Committee and European and international sport federations</w:t>
            </w:r>
          </w:p>
        </w:tc>
        <w:tc>
          <w:tcPr>
            <w:tcW w:w="910" w:type="dxa"/>
            <w:tcBorders>
              <w:top w:val="nil"/>
              <w:left w:val="nil"/>
              <w:bottom w:val="nil"/>
              <w:right w:val="nil"/>
            </w:tcBorders>
            <w:shd w:val="clear" w:color="auto" w:fill="auto"/>
            <w:noWrap/>
            <w:vAlign w:val="bottom"/>
            <w:hideMark/>
          </w:tcPr>
          <w:p w14:paraId="14F8827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2,102.5</w:t>
            </w:r>
          </w:p>
        </w:tc>
        <w:tc>
          <w:tcPr>
            <w:tcW w:w="910" w:type="dxa"/>
            <w:tcBorders>
              <w:top w:val="nil"/>
              <w:left w:val="nil"/>
              <w:bottom w:val="nil"/>
              <w:right w:val="nil"/>
            </w:tcBorders>
            <w:shd w:val="clear" w:color="auto" w:fill="auto"/>
            <w:noWrap/>
            <w:vAlign w:val="bottom"/>
            <w:hideMark/>
          </w:tcPr>
          <w:p w14:paraId="1CB1084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1,567.7</w:t>
            </w:r>
          </w:p>
        </w:tc>
        <w:tc>
          <w:tcPr>
            <w:tcW w:w="910" w:type="dxa"/>
            <w:tcBorders>
              <w:top w:val="nil"/>
              <w:left w:val="nil"/>
              <w:bottom w:val="nil"/>
              <w:right w:val="nil"/>
            </w:tcBorders>
            <w:shd w:val="clear" w:color="auto" w:fill="auto"/>
            <w:noWrap/>
            <w:vAlign w:val="bottom"/>
            <w:hideMark/>
          </w:tcPr>
          <w:p w14:paraId="4E97AD3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1,533.8</w:t>
            </w:r>
          </w:p>
        </w:tc>
        <w:tc>
          <w:tcPr>
            <w:tcW w:w="910" w:type="dxa"/>
            <w:tcBorders>
              <w:top w:val="nil"/>
              <w:left w:val="nil"/>
              <w:bottom w:val="nil"/>
              <w:right w:val="nil"/>
            </w:tcBorders>
            <w:shd w:val="clear" w:color="auto" w:fill="auto"/>
            <w:noWrap/>
            <w:vAlign w:val="bottom"/>
            <w:hideMark/>
          </w:tcPr>
          <w:p w14:paraId="2BDBEE0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5,069.6</w:t>
            </w:r>
          </w:p>
        </w:tc>
        <w:tc>
          <w:tcPr>
            <w:tcW w:w="910" w:type="dxa"/>
            <w:tcBorders>
              <w:top w:val="nil"/>
              <w:left w:val="nil"/>
              <w:bottom w:val="nil"/>
              <w:right w:val="nil"/>
            </w:tcBorders>
            <w:shd w:val="clear" w:color="000000" w:fill="E7E6E6"/>
            <w:noWrap/>
            <w:vAlign w:val="bottom"/>
            <w:hideMark/>
          </w:tcPr>
          <w:p w14:paraId="2F46F8A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3,476.2</w:t>
            </w:r>
          </w:p>
        </w:tc>
      </w:tr>
      <w:tr w:rsidR="00134C08" w:rsidRPr="00134C08" w14:paraId="46C163A0" w14:textId="77777777" w:rsidTr="00855621">
        <w:trPr>
          <w:trHeight w:val="210"/>
        </w:trPr>
        <w:tc>
          <w:tcPr>
            <w:tcW w:w="450" w:type="dxa"/>
            <w:tcBorders>
              <w:top w:val="nil"/>
              <w:left w:val="nil"/>
              <w:bottom w:val="nil"/>
              <w:right w:val="nil"/>
            </w:tcBorders>
            <w:shd w:val="clear" w:color="auto" w:fill="auto"/>
            <w:noWrap/>
            <w:hideMark/>
          </w:tcPr>
          <w:p w14:paraId="2315E35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w:t>
            </w:r>
          </w:p>
        </w:tc>
        <w:tc>
          <w:tcPr>
            <w:tcW w:w="5130" w:type="dxa"/>
            <w:tcBorders>
              <w:top w:val="nil"/>
              <w:left w:val="nil"/>
              <w:bottom w:val="nil"/>
              <w:right w:val="nil"/>
            </w:tcBorders>
            <w:shd w:val="clear" w:color="auto" w:fill="auto"/>
            <w:noWrap/>
            <w:vAlign w:val="bottom"/>
            <w:hideMark/>
          </w:tcPr>
          <w:p w14:paraId="19BF9BA2"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pharmaceutical products used at international sporting events</w:t>
            </w:r>
          </w:p>
        </w:tc>
        <w:tc>
          <w:tcPr>
            <w:tcW w:w="910" w:type="dxa"/>
            <w:tcBorders>
              <w:top w:val="nil"/>
              <w:left w:val="nil"/>
              <w:bottom w:val="nil"/>
              <w:right w:val="nil"/>
            </w:tcBorders>
            <w:shd w:val="clear" w:color="auto" w:fill="auto"/>
            <w:noWrap/>
            <w:vAlign w:val="bottom"/>
            <w:hideMark/>
          </w:tcPr>
          <w:p w14:paraId="66C2689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B3297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EE1A03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0CCEEC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0F1C93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3FBD5B71" w14:textId="77777777" w:rsidTr="00855621">
        <w:trPr>
          <w:trHeight w:val="210"/>
        </w:trPr>
        <w:tc>
          <w:tcPr>
            <w:tcW w:w="450" w:type="dxa"/>
            <w:tcBorders>
              <w:top w:val="nil"/>
              <w:left w:val="nil"/>
              <w:bottom w:val="nil"/>
              <w:right w:val="nil"/>
            </w:tcBorders>
            <w:shd w:val="clear" w:color="auto" w:fill="auto"/>
            <w:noWrap/>
            <w:hideMark/>
          </w:tcPr>
          <w:p w14:paraId="0417DB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32</w:t>
            </w:r>
          </w:p>
        </w:tc>
        <w:tc>
          <w:tcPr>
            <w:tcW w:w="5130" w:type="dxa"/>
            <w:tcBorders>
              <w:top w:val="nil"/>
              <w:left w:val="nil"/>
              <w:bottom w:val="nil"/>
              <w:right w:val="nil"/>
            </w:tcBorders>
            <w:shd w:val="clear" w:color="auto" w:fill="auto"/>
            <w:noWrap/>
            <w:vAlign w:val="bottom"/>
            <w:hideMark/>
          </w:tcPr>
          <w:p w14:paraId="22561A6F"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in respect of the arena of national interest project</w:t>
            </w:r>
          </w:p>
        </w:tc>
        <w:tc>
          <w:tcPr>
            <w:tcW w:w="910" w:type="dxa"/>
            <w:tcBorders>
              <w:top w:val="nil"/>
              <w:left w:val="nil"/>
              <w:bottom w:val="nil"/>
              <w:right w:val="nil"/>
            </w:tcBorders>
            <w:shd w:val="clear" w:color="auto" w:fill="auto"/>
            <w:noWrap/>
            <w:vAlign w:val="bottom"/>
            <w:hideMark/>
          </w:tcPr>
          <w:p w14:paraId="5C40EB5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39.2</w:t>
            </w:r>
          </w:p>
        </w:tc>
        <w:tc>
          <w:tcPr>
            <w:tcW w:w="910" w:type="dxa"/>
            <w:tcBorders>
              <w:top w:val="nil"/>
              <w:left w:val="nil"/>
              <w:bottom w:val="nil"/>
              <w:right w:val="nil"/>
            </w:tcBorders>
            <w:shd w:val="clear" w:color="auto" w:fill="auto"/>
            <w:noWrap/>
            <w:vAlign w:val="bottom"/>
            <w:hideMark/>
          </w:tcPr>
          <w:p w14:paraId="419057D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10,277.9</w:t>
            </w:r>
          </w:p>
        </w:tc>
        <w:tc>
          <w:tcPr>
            <w:tcW w:w="910" w:type="dxa"/>
            <w:tcBorders>
              <w:top w:val="nil"/>
              <w:left w:val="nil"/>
              <w:bottom w:val="nil"/>
              <w:right w:val="nil"/>
            </w:tcBorders>
            <w:shd w:val="clear" w:color="auto" w:fill="auto"/>
            <w:noWrap/>
            <w:vAlign w:val="bottom"/>
            <w:hideMark/>
          </w:tcPr>
          <w:p w14:paraId="5986D60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25.0</w:t>
            </w:r>
          </w:p>
        </w:tc>
        <w:tc>
          <w:tcPr>
            <w:tcW w:w="910" w:type="dxa"/>
            <w:tcBorders>
              <w:top w:val="nil"/>
              <w:left w:val="nil"/>
              <w:bottom w:val="nil"/>
              <w:right w:val="nil"/>
            </w:tcBorders>
            <w:shd w:val="clear" w:color="auto" w:fill="auto"/>
            <w:noWrap/>
            <w:vAlign w:val="bottom"/>
            <w:hideMark/>
          </w:tcPr>
          <w:p w14:paraId="24CCCAB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F89ACF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19C1A858" w14:textId="77777777" w:rsidTr="00855621">
        <w:trPr>
          <w:trHeight w:val="210"/>
        </w:trPr>
        <w:tc>
          <w:tcPr>
            <w:tcW w:w="450" w:type="dxa"/>
            <w:tcBorders>
              <w:top w:val="nil"/>
              <w:left w:val="nil"/>
              <w:bottom w:val="nil"/>
              <w:right w:val="nil"/>
            </w:tcBorders>
            <w:shd w:val="clear" w:color="auto" w:fill="auto"/>
            <w:noWrap/>
            <w:hideMark/>
          </w:tcPr>
          <w:p w14:paraId="5E69E4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w:t>
            </w:r>
          </w:p>
        </w:tc>
        <w:tc>
          <w:tcPr>
            <w:tcW w:w="5130" w:type="dxa"/>
            <w:tcBorders>
              <w:top w:val="nil"/>
              <w:left w:val="nil"/>
              <w:bottom w:val="nil"/>
              <w:right w:val="nil"/>
            </w:tcBorders>
            <w:shd w:val="clear" w:color="auto" w:fill="auto"/>
            <w:noWrap/>
            <w:vAlign w:val="bottom"/>
            <w:hideMark/>
          </w:tcPr>
          <w:p w14:paraId="1F6F01C7"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 xml:space="preserve">Exemption from import duties for fixed assets included in statutory capital </w:t>
            </w:r>
          </w:p>
        </w:tc>
        <w:tc>
          <w:tcPr>
            <w:tcW w:w="910" w:type="dxa"/>
            <w:tcBorders>
              <w:top w:val="nil"/>
              <w:left w:val="nil"/>
              <w:bottom w:val="nil"/>
              <w:right w:val="nil"/>
            </w:tcBorders>
            <w:shd w:val="clear" w:color="auto" w:fill="auto"/>
            <w:noWrap/>
            <w:vAlign w:val="bottom"/>
            <w:hideMark/>
          </w:tcPr>
          <w:p w14:paraId="00A3E08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21,644.5</w:t>
            </w:r>
          </w:p>
        </w:tc>
        <w:tc>
          <w:tcPr>
            <w:tcW w:w="910" w:type="dxa"/>
            <w:tcBorders>
              <w:top w:val="nil"/>
              <w:left w:val="nil"/>
              <w:bottom w:val="nil"/>
              <w:right w:val="nil"/>
            </w:tcBorders>
            <w:shd w:val="clear" w:color="auto" w:fill="auto"/>
            <w:noWrap/>
            <w:vAlign w:val="bottom"/>
            <w:hideMark/>
          </w:tcPr>
          <w:p w14:paraId="29E9351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28,160.5</w:t>
            </w:r>
          </w:p>
        </w:tc>
        <w:tc>
          <w:tcPr>
            <w:tcW w:w="910" w:type="dxa"/>
            <w:tcBorders>
              <w:top w:val="nil"/>
              <w:left w:val="nil"/>
              <w:bottom w:val="nil"/>
              <w:right w:val="nil"/>
            </w:tcBorders>
            <w:shd w:val="clear" w:color="auto" w:fill="auto"/>
            <w:noWrap/>
            <w:vAlign w:val="bottom"/>
            <w:hideMark/>
          </w:tcPr>
          <w:p w14:paraId="72A7A1D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16,786.3</w:t>
            </w:r>
          </w:p>
        </w:tc>
        <w:tc>
          <w:tcPr>
            <w:tcW w:w="910" w:type="dxa"/>
            <w:tcBorders>
              <w:top w:val="nil"/>
              <w:left w:val="nil"/>
              <w:bottom w:val="nil"/>
              <w:right w:val="nil"/>
            </w:tcBorders>
            <w:shd w:val="clear" w:color="auto" w:fill="auto"/>
            <w:noWrap/>
            <w:vAlign w:val="bottom"/>
            <w:hideMark/>
          </w:tcPr>
          <w:p w14:paraId="23F836D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55,590.9</w:t>
            </w:r>
          </w:p>
        </w:tc>
        <w:tc>
          <w:tcPr>
            <w:tcW w:w="910" w:type="dxa"/>
            <w:tcBorders>
              <w:top w:val="nil"/>
              <w:left w:val="nil"/>
              <w:bottom w:val="nil"/>
              <w:right w:val="nil"/>
            </w:tcBorders>
            <w:shd w:val="clear" w:color="000000" w:fill="E7E6E6"/>
            <w:noWrap/>
            <w:vAlign w:val="bottom"/>
            <w:hideMark/>
          </w:tcPr>
          <w:p w14:paraId="045DB3A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43,588.1</w:t>
            </w:r>
          </w:p>
        </w:tc>
      </w:tr>
      <w:tr w:rsidR="00134C08" w:rsidRPr="00134C08" w14:paraId="3C9C559D" w14:textId="77777777" w:rsidTr="00855621">
        <w:trPr>
          <w:trHeight w:val="210"/>
        </w:trPr>
        <w:tc>
          <w:tcPr>
            <w:tcW w:w="450" w:type="dxa"/>
            <w:tcBorders>
              <w:top w:val="nil"/>
              <w:left w:val="nil"/>
              <w:bottom w:val="nil"/>
              <w:right w:val="nil"/>
            </w:tcBorders>
            <w:shd w:val="clear" w:color="auto" w:fill="auto"/>
            <w:noWrap/>
            <w:hideMark/>
          </w:tcPr>
          <w:p w14:paraId="356404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w:t>
            </w:r>
          </w:p>
        </w:tc>
        <w:tc>
          <w:tcPr>
            <w:tcW w:w="5130" w:type="dxa"/>
            <w:tcBorders>
              <w:top w:val="nil"/>
              <w:left w:val="nil"/>
              <w:bottom w:val="nil"/>
              <w:right w:val="nil"/>
            </w:tcBorders>
            <w:shd w:val="clear" w:color="auto" w:fill="auto"/>
            <w:noWrap/>
            <w:vAlign w:val="bottom"/>
            <w:hideMark/>
          </w:tcPr>
          <w:p w14:paraId="591D9A1D"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construction materials for detention facilities</w:t>
            </w:r>
          </w:p>
        </w:tc>
        <w:tc>
          <w:tcPr>
            <w:tcW w:w="910" w:type="dxa"/>
            <w:tcBorders>
              <w:top w:val="nil"/>
              <w:left w:val="nil"/>
              <w:bottom w:val="nil"/>
              <w:right w:val="nil"/>
            </w:tcBorders>
            <w:shd w:val="clear" w:color="auto" w:fill="auto"/>
            <w:noWrap/>
            <w:vAlign w:val="bottom"/>
            <w:hideMark/>
          </w:tcPr>
          <w:p w14:paraId="5FAE363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96269C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F806E3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D1181B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3AADAE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5EBB2878" w14:textId="77777777" w:rsidTr="00855621">
        <w:trPr>
          <w:trHeight w:val="210"/>
        </w:trPr>
        <w:tc>
          <w:tcPr>
            <w:tcW w:w="450" w:type="dxa"/>
            <w:tcBorders>
              <w:top w:val="nil"/>
              <w:left w:val="nil"/>
              <w:bottom w:val="nil"/>
              <w:right w:val="nil"/>
            </w:tcBorders>
            <w:shd w:val="clear" w:color="auto" w:fill="auto"/>
            <w:noWrap/>
            <w:hideMark/>
          </w:tcPr>
          <w:p w14:paraId="548D3A6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lastRenderedPageBreak/>
              <w:t>35</w:t>
            </w:r>
          </w:p>
        </w:tc>
        <w:tc>
          <w:tcPr>
            <w:tcW w:w="5130" w:type="dxa"/>
            <w:tcBorders>
              <w:top w:val="nil"/>
              <w:left w:val="nil"/>
              <w:bottom w:val="nil"/>
              <w:right w:val="nil"/>
            </w:tcBorders>
            <w:shd w:val="clear" w:color="auto" w:fill="auto"/>
            <w:noWrap/>
            <w:vAlign w:val="bottom"/>
            <w:hideMark/>
          </w:tcPr>
          <w:p w14:paraId="49058CF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in respect of the repair of the Parliament building</w:t>
            </w:r>
          </w:p>
        </w:tc>
        <w:tc>
          <w:tcPr>
            <w:tcW w:w="910" w:type="dxa"/>
            <w:tcBorders>
              <w:top w:val="nil"/>
              <w:left w:val="nil"/>
              <w:bottom w:val="nil"/>
              <w:right w:val="nil"/>
            </w:tcBorders>
            <w:shd w:val="clear" w:color="auto" w:fill="auto"/>
            <w:noWrap/>
            <w:vAlign w:val="bottom"/>
            <w:hideMark/>
          </w:tcPr>
          <w:p w14:paraId="74FE48A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332.6</w:t>
            </w:r>
          </w:p>
        </w:tc>
        <w:tc>
          <w:tcPr>
            <w:tcW w:w="910" w:type="dxa"/>
            <w:tcBorders>
              <w:top w:val="nil"/>
              <w:left w:val="nil"/>
              <w:bottom w:val="nil"/>
              <w:right w:val="nil"/>
            </w:tcBorders>
            <w:shd w:val="clear" w:color="auto" w:fill="auto"/>
            <w:noWrap/>
            <w:vAlign w:val="bottom"/>
            <w:hideMark/>
          </w:tcPr>
          <w:p w14:paraId="5A3730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25415A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ED04EB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86967A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5BDFF259" w14:textId="77777777" w:rsidTr="00855621">
        <w:trPr>
          <w:trHeight w:val="210"/>
        </w:trPr>
        <w:tc>
          <w:tcPr>
            <w:tcW w:w="450" w:type="dxa"/>
            <w:tcBorders>
              <w:top w:val="nil"/>
              <w:left w:val="nil"/>
              <w:bottom w:val="nil"/>
              <w:right w:val="nil"/>
            </w:tcBorders>
            <w:shd w:val="clear" w:color="auto" w:fill="auto"/>
            <w:noWrap/>
            <w:hideMark/>
          </w:tcPr>
          <w:p w14:paraId="4D0C6E8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w:t>
            </w:r>
          </w:p>
        </w:tc>
        <w:tc>
          <w:tcPr>
            <w:tcW w:w="5130" w:type="dxa"/>
            <w:tcBorders>
              <w:top w:val="nil"/>
              <w:left w:val="nil"/>
              <w:bottom w:val="nil"/>
              <w:right w:val="nil"/>
            </w:tcBorders>
            <w:shd w:val="clear" w:color="auto" w:fill="auto"/>
            <w:noWrap/>
            <w:vAlign w:val="bottom"/>
            <w:hideMark/>
          </w:tcPr>
          <w:p w14:paraId="70F89F82"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aircrafts, helicopters and locomotives</w:t>
            </w:r>
          </w:p>
        </w:tc>
        <w:tc>
          <w:tcPr>
            <w:tcW w:w="910" w:type="dxa"/>
            <w:tcBorders>
              <w:top w:val="nil"/>
              <w:left w:val="nil"/>
              <w:bottom w:val="nil"/>
              <w:right w:val="nil"/>
            </w:tcBorders>
            <w:shd w:val="clear" w:color="auto" w:fill="auto"/>
            <w:noWrap/>
            <w:vAlign w:val="bottom"/>
            <w:hideMark/>
          </w:tcPr>
          <w:p w14:paraId="0D0C2B1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6DE351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5A6EF5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037F95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E64CB8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C82CA17" w14:textId="77777777" w:rsidTr="00855621">
        <w:trPr>
          <w:trHeight w:val="210"/>
        </w:trPr>
        <w:tc>
          <w:tcPr>
            <w:tcW w:w="450" w:type="dxa"/>
            <w:tcBorders>
              <w:top w:val="nil"/>
              <w:left w:val="nil"/>
              <w:bottom w:val="nil"/>
              <w:right w:val="nil"/>
            </w:tcBorders>
            <w:shd w:val="clear" w:color="auto" w:fill="auto"/>
            <w:noWrap/>
            <w:hideMark/>
          </w:tcPr>
          <w:p w14:paraId="39611C0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37</w:t>
            </w:r>
          </w:p>
        </w:tc>
        <w:tc>
          <w:tcPr>
            <w:tcW w:w="5130" w:type="dxa"/>
            <w:tcBorders>
              <w:top w:val="nil"/>
              <w:left w:val="nil"/>
              <w:bottom w:val="nil"/>
              <w:right w:val="nil"/>
            </w:tcBorders>
            <w:shd w:val="clear" w:color="auto" w:fill="auto"/>
            <w:noWrap/>
            <w:vAlign w:val="bottom"/>
            <w:hideMark/>
          </w:tcPr>
          <w:p w14:paraId="5D7DB86C"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in respect of international transportation</w:t>
            </w:r>
          </w:p>
        </w:tc>
        <w:tc>
          <w:tcPr>
            <w:tcW w:w="910" w:type="dxa"/>
            <w:tcBorders>
              <w:top w:val="nil"/>
              <w:left w:val="nil"/>
              <w:bottom w:val="nil"/>
              <w:right w:val="nil"/>
            </w:tcBorders>
            <w:shd w:val="clear" w:color="auto" w:fill="auto"/>
            <w:noWrap/>
            <w:vAlign w:val="bottom"/>
            <w:hideMark/>
          </w:tcPr>
          <w:p w14:paraId="3B18ECB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63CF38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B5768D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35E086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9751A6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A0DF4E6" w14:textId="77777777" w:rsidTr="00855621">
        <w:trPr>
          <w:trHeight w:val="210"/>
        </w:trPr>
        <w:tc>
          <w:tcPr>
            <w:tcW w:w="450" w:type="dxa"/>
            <w:tcBorders>
              <w:top w:val="nil"/>
              <w:left w:val="nil"/>
              <w:bottom w:val="nil"/>
              <w:right w:val="nil"/>
            </w:tcBorders>
            <w:shd w:val="clear" w:color="auto" w:fill="auto"/>
            <w:noWrap/>
            <w:hideMark/>
          </w:tcPr>
          <w:p w14:paraId="408FCB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w:t>
            </w:r>
          </w:p>
        </w:tc>
        <w:tc>
          <w:tcPr>
            <w:tcW w:w="5130" w:type="dxa"/>
            <w:tcBorders>
              <w:top w:val="nil"/>
              <w:left w:val="nil"/>
              <w:bottom w:val="nil"/>
              <w:right w:val="nil"/>
            </w:tcBorders>
            <w:shd w:val="clear" w:color="auto" w:fill="auto"/>
            <w:noWrap/>
            <w:vAlign w:val="bottom"/>
            <w:hideMark/>
          </w:tcPr>
          <w:p w14:paraId="676D340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imported buses and trucks</w:t>
            </w:r>
          </w:p>
        </w:tc>
        <w:tc>
          <w:tcPr>
            <w:tcW w:w="910" w:type="dxa"/>
            <w:tcBorders>
              <w:top w:val="nil"/>
              <w:left w:val="nil"/>
              <w:bottom w:val="nil"/>
              <w:right w:val="nil"/>
            </w:tcBorders>
            <w:shd w:val="clear" w:color="auto" w:fill="auto"/>
            <w:noWrap/>
            <w:vAlign w:val="bottom"/>
            <w:hideMark/>
          </w:tcPr>
          <w:p w14:paraId="63727C0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20,576.2</w:t>
            </w:r>
          </w:p>
        </w:tc>
        <w:tc>
          <w:tcPr>
            <w:tcW w:w="910" w:type="dxa"/>
            <w:tcBorders>
              <w:top w:val="nil"/>
              <w:left w:val="nil"/>
              <w:bottom w:val="nil"/>
              <w:right w:val="nil"/>
            </w:tcBorders>
            <w:shd w:val="clear" w:color="auto" w:fill="auto"/>
            <w:noWrap/>
            <w:vAlign w:val="bottom"/>
            <w:hideMark/>
          </w:tcPr>
          <w:p w14:paraId="3A0D50A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16,711.4</w:t>
            </w:r>
          </w:p>
        </w:tc>
        <w:tc>
          <w:tcPr>
            <w:tcW w:w="910" w:type="dxa"/>
            <w:tcBorders>
              <w:top w:val="nil"/>
              <w:left w:val="nil"/>
              <w:bottom w:val="nil"/>
              <w:right w:val="nil"/>
            </w:tcBorders>
            <w:shd w:val="clear" w:color="auto" w:fill="auto"/>
            <w:noWrap/>
            <w:vAlign w:val="bottom"/>
            <w:hideMark/>
          </w:tcPr>
          <w:p w14:paraId="2BDB889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11,768.4</w:t>
            </w:r>
          </w:p>
        </w:tc>
        <w:tc>
          <w:tcPr>
            <w:tcW w:w="910" w:type="dxa"/>
            <w:tcBorders>
              <w:top w:val="nil"/>
              <w:left w:val="nil"/>
              <w:bottom w:val="nil"/>
              <w:right w:val="nil"/>
            </w:tcBorders>
            <w:shd w:val="clear" w:color="auto" w:fill="auto"/>
            <w:noWrap/>
            <w:vAlign w:val="bottom"/>
            <w:hideMark/>
          </w:tcPr>
          <w:p w14:paraId="2013904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26,628.9</w:t>
            </w:r>
          </w:p>
        </w:tc>
        <w:tc>
          <w:tcPr>
            <w:tcW w:w="910" w:type="dxa"/>
            <w:tcBorders>
              <w:top w:val="nil"/>
              <w:left w:val="nil"/>
              <w:bottom w:val="nil"/>
              <w:right w:val="nil"/>
            </w:tcBorders>
            <w:shd w:val="clear" w:color="000000" w:fill="E7E6E6"/>
            <w:noWrap/>
            <w:vAlign w:val="bottom"/>
            <w:hideMark/>
          </w:tcPr>
          <w:p w14:paraId="2992A69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23,981.8</w:t>
            </w:r>
          </w:p>
        </w:tc>
      </w:tr>
      <w:tr w:rsidR="00134C08" w:rsidRPr="00134C08" w14:paraId="4C0AA8F5" w14:textId="77777777" w:rsidTr="00855621">
        <w:trPr>
          <w:trHeight w:val="210"/>
        </w:trPr>
        <w:tc>
          <w:tcPr>
            <w:tcW w:w="450" w:type="dxa"/>
            <w:tcBorders>
              <w:top w:val="nil"/>
              <w:left w:val="nil"/>
              <w:bottom w:val="nil"/>
              <w:right w:val="nil"/>
            </w:tcBorders>
            <w:shd w:val="clear" w:color="auto" w:fill="auto"/>
            <w:noWrap/>
            <w:hideMark/>
          </w:tcPr>
          <w:p w14:paraId="04791A0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39</w:t>
            </w:r>
          </w:p>
        </w:tc>
        <w:tc>
          <w:tcPr>
            <w:tcW w:w="5130" w:type="dxa"/>
            <w:tcBorders>
              <w:top w:val="nil"/>
              <w:left w:val="nil"/>
              <w:bottom w:val="nil"/>
              <w:right w:val="nil"/>
            </w:tcBorders>
            <w:shd w:val="clear" w:color="auto" w:fill="auto"/>
            <w:noWrap/>
            <w:vAlign w:val="bottom"/>
            <w:hideMark/>
          </w:tcPr>
          <w:p w14:paraId="34E89620"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for certain imported public utility vehicles</w:t>
            </w:r>
          </w:p>
        </w:tc>
        <w:tc>
          <w:tcPr>
            <w:tcW w:w="910" w:type="dxa"/>
            <w:tcBorders>
              <w:top w:val="nil"/>
              <w:left w:val="nil"/>
              <w:bottom w:val="nil"/>
              <w:right w:val="nil"/>
            </w:tcBorders>
            <w:shd w:val="clear" w:color="auto" w:fill="auto"/>
            <w:noWrap/>
            <w:vAlign w:val="bottom"/>
            <w:hideMark/>
          </w:tcPr>
          <w:p w14:paraId="59D40EB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292.7</w:t>
            </w:r>
          </w:p>
        </w:tc>
        <w:tc>
          <w:tcPr>
            <w:tcW w:w="910" w:type="dxa"/>
            <w:tcBorders>
              <w:top w:val="nil"/>
              <w:left w:val="nil"/>
              <w:bottom w:val="nil"/>
              <w:right w:val="nil"/>
            </w:tcBorders>
            <w:shd w:val="clear" w:color="auto" w:fill="auto"/>
            <w:noWrap/>
            <w:vAlign w:val="bottom"/>
            <w:hideMark/>
          </w:tcPr>
          <w:p w14:paraId="374521B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29.0</w:t>
            </w:r>
          </w:p>
        </w:tc>
        <w:tc>
          <w:tcPr>
            <w:tcW w:w="910" w:type="dxa"/>
            <w:tcBorders>
              <w:top w:val="nil"/>
              <w:left w:val="nil"/>
              <w:bottom w:val="nil"/>
              <w:right w:val="nil"/>
            </w:tcBorders>
            <w:shd w:val="clear" w:color="auto" w:fill="auto"/>
            <w:noWrap/>
            <w:vAlign w:val="bottom"/>
            <w:hideMark/>
          </w:tcPr>
          <w:p w14:paraId="722BAC9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314.4</w:t>
            </w:r>
          </w:p>
        </w:tc>
        <w:tc>
          <w:tcPr>
            <w:tcW w:w="910" w:type="dxa"/>
            <w:tcBorders>
              <w:top w:val="nil"/>
              <w:left w:val="nil"/>
              <w:bottom w:val="nil"/>
              <w:right w:val="nil"/>
            </w:tcBorders>
            <w:shd w:val="clear" w:color="000000" w:fill="E7E6E6"/>
            <w:noWrap/>
            <w:vAlign w:val="bottom"/>
            <w:hideMark/>
          </w:tcPr>
          <w:p w14:paraId="10891CC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157.7</w:t>
            </w:r>
          </w:p>
        </w:tc>
        <w:tc>
          <w:tcPr>
            <w:tcW w:w="910" w:type="dxa"/>
            <w:tcBorders>
              <w:top w:val="nil"/>
              <w:left w:val="nil"/>
              <w:bottom w:val="nil"/>
              <w:right w:val="nil"/>
            </w:tcBorders>
            <w:shd w:val="clear" w:color="000000" w:fill="E7E6E6"/>
            <w:noWrap/>
            <w:vAlign w:val="bottom"/>
            <w:hideMark/>
          </w:tcPr>
          <w:p w14:paraId="77211AB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157.7</w:t>
            </w:r>
          </w:p>
        </w:tc>
      </w:tr>
      <w:tr w:rsidR="00134C08" w:rsidRPr="00134C08" w14:paraId="628B3549" w14:textId="77777777" w:rsidTr="00855621">
        <w:trPr>
          <w:trHeight w:val="210"/>
        </w:trPr>
        <w:tc>
          <w:tcPr>
            <w:tcW w:w="450" w:type="dxa"/>
            <w:tcBorders>
              <w:top w:val="nil"/>
              <w:left w:val="nil"/>
              <w:bottom w:val="nil"/>
              <w:right w:val="nil"/>
            </w:tcBorders>
            <w:shd w:val="clear" w:color="auto" w:fill="auto"/>
            <w:noWrap/>
            <w:hideMark/>
          </w:tcPr>
          <w:p w14:paraId="5000AE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40</w:t>
            </w:r>
          </w:p>
        </w:tc>
        <w:tc>
          <w:tcPr>
            <w:tcW w:w="5130" w:type="dxa"/>
            <w:tcBorders>
              <w:top w:val="nil"/>
              <w:left w:val="nil"/>
              <w:bottom w:val="nil"/>
              <w:right w:val="nil"/>
            </w:tcBorders>
            <w:shd w:val="clear" w:color="auto" w:fill="auto"/>
            <w:noWrap/>
            <w:vAlign w:val="bottom"/>
            <w:hideMark/>
          </w:tcPr>
          <w:p w14:paraId="4524C369"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wind energy generators</w:t>
            </w:r>
          </w:p>
        </w:tc>
        <w:tc>
          <w:tcPr>
            <w:tcW w:w="910" w:type="dxa"/>
            <w:tcBorders>
              <w:top w:val="nil"/>
              <w:left w:val="nil"/>
              <w:bottom w:val="nil"/>
              <w:right w:val="nil"/>
            </w:tcBorders>
            <w:shd w:val="clear" w:color="auto" w:fill="auto"/>
            <w:noWrap/>
            <w:vAlign w:val="bottom"/>
            <w:hideMark/>
          </w:tcPr>
          <w:p w14:paraId="2E697F6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049F16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FBEEBD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A6A4E6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B4EA13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0035606" w14:textId="77777777" w:rsidTr="00855621">
        <w:trPr>
          <w:trHeight w:val="210"/>
        </w:trPr>
        <w:tc>
          <w:tcPr>
            <w:tcW w:w="450" w:type="dxa"/>
            <w:tcBorders>
              <w:top w:val="nil"/>
              <w:left w:val="nil"/>
              <w:bottom w:val="nil"/>
              <w:right w:val="nil"/>
            </w:tcBorders>
            <w:shd w:val="clear" w:color="auto" w:fill="auto"/>
            <w:noWrap/>
            <w:hideMark/>
          </w:tcPr>
          <w:p w14:paraId="118812D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41</w:t>
            </w:r>
          </w:p>
        </w:tc>
        <w:tc>
          <w:tcPr>
            <w:tcW w:w="5130" w:type="dxa"/>
            <w:tcBorders>
              <w:top w:val="nil"/>
              <w:left w:val="nil"/>
              <w:bottom w:val="nil"/>
              <w:right w:val="nil"/>
            </w:tcBorders>
            <w:shd w:val="clear" w:color="auto" w:fill="auto"/>
            <w:noWrap/>
            <w:vAlign w:val="bottom"/>
            <w:hideMark/>
          </w:tcPr>
          <w:p w14:paraId="2C480D2A"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used batteries</w:t>
            </w:r>
          </w:p>
        </w:tc>
        <w:tc>
          <w:tcPr>
            <w:tcW w:w="910" w:type="dxa"/>
            <w:tcBorders>
              <w:top w:val="nil"/>
              <w:left w:val="nil"/>
              <w:bottom w:val="nil"/>
              <w:right w:val="nil"/>
            </w:tcBorders>
            <w:shd w:val="clear" w:color="auto" w:fill="auto"/>
            <w:noWrap/>
            <w:vAlign w:val="bottom"/>
            <w:hideMark/>
          </w:tcPr>
          <w:p w14:paraId="632DC12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D58A8A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D4BB9B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D202BE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640D39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0908C5FB" w14:textId="77777777" w:rsidTr="00855621">
        <w:trPr>
          <w:trHeight w:val="210"/>
        </w:trPr>
        <w:tc>
          <w:tcPr>
            <w:tcW w:w="450" w:type="dxa"/>
            <w:tcBorders>
              <w:top w:val="nil"/>
              <w:left w:val="nil"/>
              <w:bottom w:val="nil"/>
              <w:right w:val="nil"/>
            </w:tcBorders>
            <w:shd w:val="clear" w:color="auto" w:fill="auto"/>
            <w:noWrap/>
            <w:hideMark/>
          </w:tcPr>
          <w:p w14:paraId="4B0807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42</w:t>
            </w:r>
          </w:p>
        </w:tc>
        <w:tc>
          <w:tcPr>
            <w:tcW w:w="5130" w:type="dxa"/>
            <w:tcBorders>
              <w:top w:val="nil"/>
              <w:left w:val="nil"/>
              <w:bottom w:val="nil"/>
              <w:right w:val="nil"/>
            </w:tcBorders>
            <w:shd w:val="clear" w:color="auto" w:fill="auto"/>
            <w:noWrap/>
            <w:vAlign w:val="bottom"/>
            <w:hideMark/>
          </w:tcPr>
          <w:p w14:paraId="0E0787CA"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electric generators</w:t>
            </w:r>
          </w:p>
        </w:tc>
        <w:tc>
          <w:tcPr>
            <w:tcW w:w="910" w:type="dxa"/>
            <w:tcBorders>
              <w:top w:val="nil"/>
              <w:left w:val="nil"/>
              <w:bottom w:val="nil"/>
              <w:right w:val="nil"/>
            </w:tcBorders>
            <w:shd w:val="clear" w:color="auto" w:fill="auto"/>
            <w:noWrap/>
            <w:vAlign w:val="bottom"/>
            <w:hideMark/>
          </w:tcPr>
          <w:p w14:paraId="51F1065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68CBC5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021A70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610859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2E1BC7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6264830B" w14:textId="77777777" w:rsidTr="00855621">
        <w:trPr>
          <w:trHeight w:val="210"/>
        </w:trPr>
        <w:tc>
          <w:tcPr>
            <w:tcW w:w="450" w:type="dxa"/>
            <w:tcBorders>
              <w:top w:val="nil"/>
              <w:left w:val="nil"/>
              <w:bottom w:val="nil"/>
              <w:right w:val="nil"/>
            </w:tcBorders>
            <w:shd w:val="clear" w:color="auto" w:fill="auto"/>
            <w:noWrap/>
            <w:hideMark/>
          </w:tcPr>
          <w:p w14:paraId="309FD4F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43</w:t>
            </w:r>
          </w:p>
        </w:tc>
        <w:tc>
          <w:tcPr>
            <w:tcW w:w="5130" w:type="dxa"/>
            <w:tcBorders>
              <w:top w:val="nil"/>
              <w:left w:val="nil"/>
              <w:bottom w:val="nil"/>
              <w:right w:val="nil"/>
            </w:tcBorders>
            <w:shd w:val="clear" w:color="auto" w:fill="auto"/>
            <w:noWrap/>
            <w:vAlign w:val="bottom"/>
            <w:hideMark/>
          </w:tcPr>
          <w:p w14:paraId="7EBB17E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 xml:space="preserve">Exemption for goods and services intended to secure natural gas supplies </w:t>
            </w:r>
          </w:p>
        </w:tc>
        <w:tc>
          <w:tcPr>
            <w:tcW w:w="910" w:type="dxa"/>
            <w:tcBorders>
              <w:top w:val="nil"/>
              <w:left w:val="nil"/>
              <w:bottom w:val="nil"/>
              <w:right w:val="nil"/>
            </w:tcBorders>
            <w:shd w:val="clear" w:color="auto" w:fill="auto"/>
            <w:noWrap/>
            <w:vAlign w:val="bottom"/>
            <w:hideMark/>
          </w:tcPr>
          <w:p w14:paraId="6A91980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E82B9A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8185B5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973CF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AE9476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040ADB13" w14:textId="77777777" w:rsidTr="00855621">
        <w:trPr>
          <w:trHeight w:val="210"/>
        </w:trPr>
        <w:tc>
          <w:tcPr>
            <w:tcW w:w="450" w:type="dxa"/>
            <w:tcBorders>
              <w:top w:val="nil"/>
              <w:left w:val="nil"/>
              <w:bottom w:val="nil"/>
              <w:right w:val="nil"/>
            </w:tcBorders>
            <w:shd w:val="clear" w:color="auto" w:fill="auto"/>
            <w:noWrap/>
            <w:hideMark/>
          </w:tcPr>
          <w:p w14:paraId="450434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44</w:t>
            </w:r>
          </w:p>
        </w:tc>
        <w:tc>
          <w:tcPr>
            <w:tcW w:w="5130" w:type="dxa"/>
            <w:tcBorders>
              <w:top w:val="nil"/>
              <w:left w:val="nil"/>
              <w:bottom w:val="nil"/>
              <w:right w:val="nil"/>
            </w:tcBorders>
            <w:shd w:val="clear" w:color="auto" w:fill="auto"/>
            <w:noWrap/>
            <w:vAlign w:val="bottom"/>
            <w:hideMark/>
          </w:tcPr>
          <w:p w14:paraId="4D596E7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goods intended for the State Agency for Intellectual Property</w:t>
            </w:r>
          </w:p>
        </w:tc>
        <w:tc>
          <w:tcPr>
            <w:tcW w:w="910" w:type="dxa"/>
            <w:tcBorders>
              <w:top w:val="nil"/>
              <w:left w:val="nil"/>
              <w:bottom w:val="nil"/>
              <w:right w:val="nil"/>
            </w:tcBorders>
            <w:shd w:val="clear" w:color="auto" w:fill="auto"/>
            <w:noWrap/>
            <w:vAlign w:val="bottom"/>
            <w:hideMark/>
          </w:tcPr>
          <w:p w14:paraId="7AEF71D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EEE4DA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72684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BC6FA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B71B3C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1E268F0D" w14:textId="77777777" w:rsidTr="00855621">
        <w:trPr>
          <w:trHeight w:val="210"/>
        </w:trPr>
        <w:tc>
          <w:tcPr>
            <w:tcW w:w="450" w:type="dxa"/>
            <w:tcBorders>
              <w:top w:val="nil"/>
              <w:left w:val="nil"/>
              <w:bottom w:val="nil"/>
              <w:right w:val="nil"/>
            </w:tcBorders>
            <w:shd w:val="clear" w:color="auto" w:fill="auto"/>
            <w:noWrap/>
            <w:hideMark/>
          </w:tcPr>
          <w:p w14:paraId="2F830C1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45</w:t>
            </w:r>
          </w:p>
        </w:tc>
        <w:tc>
          <w:tcPr>
            <w:tcW w:w="5130" w:type="dxa"/>
            <w:tcBorders>
              <w:top w:val="nil"/>
              <w:left w:val="nil"/>
              <w:bottom w:val="nil"/>
              <w:right w:val="nil"/>
            </w:tcBorders>
            <w:shd w:val="clear" w:color="auto" w:fill="auto"/>
            <w:noWrap/>
            <w:vAlign w:val="bottom"/>
            <w:hideMark/>
          </w:tcPr>
          <w:p w14:paraId="5173C44B"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tourist information materials</w:t>
            </w:r>
          </w:p>
        </w:tc>
        <w:tc>
          <w:tcPr>
            <w:tcW w:w="910" w:type="dxa"/>
            <w:tcBorders>
              <w:top w:val="nil"/>
              <w:left w:val="nil"/>
              <w:bottom w:val="nil"/>
              <w:right w:val="nil"/>
            </w:tcBorders>
            <w:shd w:val="clear" w:color="auto" w:fill="auto"/>
            <w:noWrap/>
            <w:vAlign w:val="bottom"/>
            <w:hideMark/>
          </w:tcPr>
          <w:p w14:paraId="613E475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D43A3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6D6109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2D4838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6BB653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03BB01BE" w14:textId="77777777" w:rsidTr="00855621">
        <w:trPr>
          <w:trHeight w:val="210"/>
        </w:trPr>
        <w:tc>
          <w:tcPr>
            <w:tcW w:w="450" w:type="dxa"/>
            <w:tcBorders>
              <w:top w:val="nil"/>
              <w:left w:val="nil"/>
              <w:bottom w:val="nil"/>
              <w:right w:val="nil"/>
            </w:tcBorders>
            <w:shd w:val="clear" w:color="auto" w:fill="auto"/>
            <w:noWrap/>
            <w:hideMark/>
          </w:tcPr>
          <w:p w14:paraId="484AB5A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46</w:t>
            </w:r>
          </w:p>
        </w:tc>
        <w:tc>
          <w:tcPr>
            <w:tcW w:w="5130" w:type="dxa"/>
            <w:tcBorders>
              <w:top w:val="nil"/>
              <w:left w:val="nil"/>
              <w:bottom w:val="nil"/>
              <w:right w:val="nil"/>
            </w:tcBorders>
            <w:shd w:val="clear" w:color="auto" w:fill="auto"/>
            <w:noWrap/>
            <w:vAlign w:val="bottom"/>
            <w:hideMark/>
          </w:tcPr>
          <w:p w14:paraId="75285A0D"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packing and similar materials</w:t>
            </w:r>
          </w:p>
        </w:tc>
        <w:tc>
          <w:tcPr>
            <w:tcW w:w="910" w:type="dxa"/>
            <w:tcBorders>
              <w:top w:val="nil"/>
              <w:left w:val="nil"/>
              <w:bottom w:val="nil"/>
              <w:right w:val="nil"/>
            </w:tcBorders>
            <w:shd w:val="clear" w:color="auto" w:fill="auto"/>
            <w:noWrap/>
            <w:vAlign w:val="bottom"/>
            <w:hideMark/>
          </w:tcPr>
          <w:p w14:paraId="2813AB5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5A21E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781766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CA8F7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92DF9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59A99821" w14:textId="77777777" w:rsidTr="00855621">
        <w:trPr>
          <w:trHeight w:val="210"/>
        </w:trPr>
        <w:tc>
          <w:tcPr>
            <w:tcW w:w="450" w:type="dxa"/>
            <w:tcBorders>
              <w:top w:val="nil"/>
              <w:left w:val="nil"/>
              <w:bottom w:val="nil"/>
              <w:right w:val="nil"/>
            </w:tcBorders>
            <w:shd w:val="clear" w:color="auto" w:fill="auto"/>
            <w:noWrap/>
            <w:hideMark/>
          </w:tcPr>
          <w:p w14:paraId="383E839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47</w:t>
            </w:r>
          </w:p>
        </w:tc>
        <w:tc>
          <w:tcPr>
            <w:tcW w:w="5130" w:type="dxa"/>
            <w:tcBorders>
              <w:top w:val="nil"/>
              <w:left w:val="nil"/>
              <w:bottom w:val="nil"/>
              <w:right w:val="nil"/>
            </w:tcBorders>
            <w:shd w:val="clear" w:color="auto" w:fill="auto"/>
            <w:noWrap/>
            <w:vAlign w:val="bottom"/>
            <w:hideMark/>
          </w:tcPr>
          <w:p w14:paraId="514AAF63"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leasing companies and lease goods</w:t>
            </w:r>
          </w:p>
        </w:tc>
        <w:tc>
          <w:tcPr>
            <w:tcW w:w="910" w:type="dxa"/>
            <w:tcBorders>
              <w:top w:val="nil"/>
              <w:left w:val="nil"/>
              <w:bottom w:val="nil"/>
              <w:right w:val="nil"/>
            </w:tcBorders>
            <w:shd w:val="clear" w:color="auto" w:fill="auto"/>
            <w:noWrap/>
            <w:vAlign w:val="bottom"/>
            <w:hideMark/>
          </w:tcPr>
          <w:p w14:paraId="3937550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37.6</w:t>
            </w:r>
          </w:p>
        </w:tc>
        <w:tc>
          <w:tcPr>
            <w:tcW w:w="910" w:type="dxa"/>
            <w:tcBorders>
              <w:top w:val="nil"/>
              <w:left w:val="nil"/>
              <w:bottom w:val="nil"/>
              <w:right w:val="nil"/>
            </w:tcBorders>
            <w:shd w:val="clear" w:color="auto" w:fill="auto"/>
            <w:noWrap/>
            <w:vAlign w:val="bottom"/>
            <w:hideMark/>
          </w:tcPr>
          <w:p w14:paraId="1AC52B1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16,711.4</w:t>
            </w:r>
          </w:p>
        </w:tc>
        <w:tc>
          <w:tcPr>
            <w:tcW w:w="910" w:type="dxa"/>
            <w:tcBorders>
              <w:top w:val="nil"/>
              <w:left w:val="nil"/>
              <w:bottom w:val="nil"/>
              <w:right w:val="nil"/>
            </w:tcBorders>
            <w:shd w:val="clear" w:color="auto" w:fill="auto"/>
            <w:noWrap/>
            <w:vAlign w:val="bottom"/>
            <w:hideMark/>
          </w:tcPr>
          <w:p w14:paraId="19129A0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9AC9AE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DBF298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6B30347F" w14:textId="77777777" w:rsidTr="00855621">
        <w:trPr>
          <w:trHeight w:val="210"/>
        </w:trPr>
        <w:tc>
          <w:tcPr>
            <w:tcW w:w="450" w:type="dxa"/>
            <w:tcBorders>
              <w:top w:val="nil"/>
              <w:left w:val="nil"/>
              <w:bottom w:val="nil"/>
              <w:right w:val="nil"/>
            </w:tcBorders>
            <w:shd w:val="clear" w:color="auto" w:fill="auto"/>
            <w:noWrap/>
            <w:hideMark/>
          </w:tcPr>
          <w:p w14:paraId="5A3E13B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w:t>
            </w:r>
          </w:p>
        </w:tc>
        <w:tc>
          <w:tcPr>
            <w:tcW w:w="5130" w:type="dxa"/>
            <w:tcBorders>
              <w:top w:val="nil"/>
              <w:left w:val="nil"/>
              <w:bottom w:val="nil"/>
              <w:right w:val="nil"/>
            </w:tcBorders>
            <w:shd w:val="clear" w:color="auto" w:fill="auto"/>
            <w:noWrap/>
            <w:vAlign w:val="bottom"/>
            <w:hideMark/>
          </w:tcPr>
          <w:p w14:paraId="1A871246"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the transfer of foreign businesses to Moldova</w:t>
            </w:r>
          </w:p>
        </w:tc>
        <w:tc>
          <w:tcPr>
            <w:tcW w:w="910" w:type="dxa"/>
            <w:tcBorders>
              <w:top w:val="nil"/>
              <w:left w:val="nil"/>
              <w:bottom w:val="nil"/>
              <w:right w:val="nil"/>
            </w:tcBorders>
            <w:shd w:val="clear" w:color="auto" w:fill="auto"/>
            <w:noWrap/>
            <w:vAlign w:val="bottom"/>
            <w:hideMark/>
          </w:tcPr>
          <w:p w14:paraId="4AD4C32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F4F59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0232150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65C986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3950C8B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5EEB7BE4" w14:textId="77777777" w:rsidTr="00855621">
        <w:trPr>
          <w:trHeight w:val="210"/>
        </w:trPr>
        <w:tc>
          <w:tcPr>
            <w:tcW w:w="450" w:type="dxa"/>
            <w:tcBorders>
              <w:top w:val="nil"/>
              <w:left w:val="nil"/>
              <w:bottom w:val="nil"/>
              <w:right w:val="nil"/>
            </w:tcBorders>
            <w:shd w:val="clear" w:color="auto" w:fill="auto"/>
            <w:noWrap/>
            <w:hideMark/>
          </w:tcPr>
          <w:p w14:paraId="335AD2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49</w:t>
            </w:r>
          </w:p>
        </w:tc>
        <w:tc>
          <w:tcPr>
            <w:tcW w:w="5130" w:type="dxa"/>
            <w:tcBorders>
              <w:top w:val="nil"/>
              <w:left w:val="nil"/>
              <w:bottom w:val="nil"/>
              <w:right w:val="nil"/>
            </w:tcBorders>
            <w:shd w:val="clear" w:color="auto" w:fill="auto"/>
            <w:noWrap/>
            <w:vAlign w:val="bottom"/>
            <w:hideMark/>
          </w:tcPr>
          <w:p w14:paraId="3E3E6490"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for the manufacture of goods intended for exports</w:t>
            </w:r>
          </w:p>
        </w:tc>
        <w:tc>
          <w:tcPr>
            <w:tcW w:w="910" w:type="dxa"/>
            <w:tcBorders>
              <w:top w:val="nil"/>
              <w:left w:val="nil"/>
              <w:bottom w:val="nil"/>
              <w:right w:val="nil"/>
            </w:tcBorders>
            <w:shd w:val="clear" w:color="auto" w:fill="auto"/>
            <w:noWrap/>
            <w:vAlign w:val="bottom"/>
            <w:hideMark/>
          </w:tcPr>
          <w:p w14:paraId="7AA4BC1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1CD04E5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7E5947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215FDC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60B6C68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692C61F0" w14:textId="77777777" w:rsidTr="00855621">
        <w:trPr>
          <w:trHeight w:val="210"/>
        </w:trPr>
        <w:tc>
          <w:tcPr>
            <w:tcW w:w="450" w:type="dxa"/>
            <w:tcBorders>
              <w:top w:val="nil"/>
              <w:left w:val="nil"/>
              <w:bottom w:val="nil"/>
              <w:right w:val="nil"/>
            </w:tcBorders>
            <w:shd w:val="clear" w:color="auto" w:fill="auto"/>
            <w:noWrap/>
            <w:hideMark/>
          </w:tcPr>
          <w:p w14:paraId="0AFCB8E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50</w:t>
            </w:r>
          </w:p>
        </w:tc>
        <w:tc>
          <w:tcPr>
            <w:tcW w:w="5130" w:type="dxa"/>
            <w:tcBorders>
              <w:top w:val="nil"/>
              <w:left w:val="nil"/>
              <w:bottom w:val="nil"/>
              <w:right w:val="nil"/>
            </w:tcBorders>
            <w:shd w:val="clear" w:color="auto" w:fill="auto"/>
            <w:noWrap/>
            <w:vAlign w:val="bottom"/>
            <w:hideMark/>
          </w:tcPr>
          <w:p w14:paraId="1C4EAFBE"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Exemptions for the free economic zones, the Free International Port "Giurgiuleşti" and the Free International Airport "Mărculeşti"</w:t>
            </w:r>
          </w:p>
        </w:tc>
        <w:tc>
          <w:tcPr>
            <w:tcW w:w="910" w:type="dxa"/>
            <w:tcBorders>
              <w:top w:val="nil"/>
              <w:left w:val="nil"/>
              <w:bottom w:val="nil"/>
              <w:right w:val="nil"/>
            </w:tcBorders>
            <w:shd w:val="clear" w:color="auto" w:fill="auto"/>
            <w:noWrap/>
            <w:vAlign w:val="bottom"/>
            <w:hideMark/>
          </w:tcPr>
          <w:p w14:paraId="11B8D17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12,095.6</w:t>
            </w:r>
          </w:p>
        </w:tc>
        <w:tc>
          <w:tcPr>
            <w:tcW w:w="910" w:type="dxa"/>
            <w:tcBorders>
              <w:top w:val="nil"/>
              <w:left w:val="nil"/>
              <w:bottom w:val="nil"/>
              <w:right w:val="nil"/>
            </w:tcBorders>
            <w:shd w:val="clear" w:color="auto" w:fill="auto"/>
            <w:noWrap/>
            <w:vAlign w:val="bottom"/>
            <w:hideMark/>
          </w:tcPr>
          <w:p w14:paraId="7A494421"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16,367.8</w:t>
            </w:r>
          </w:p>
        </w:tc>
        <w:tc>
          <w:tcPr>
            <w:tcW w:w="910" w:type="dxa"/>
            <w:tcBorders>
              <w:top w:val="nil"/>
              <w:left w:val="nil"/>
              <w:bottom w:val="nil"/>
              <w:right w:val="nil"/>
            </w:tcBorders>
            <w:shd w:val="clear" w:color="auto" w:fill="auto"/>
            <w:noWrap/>
            <w:vAlign w:val="bottom"/>
            <w:hideMark/>
          </w:tcPr>
          <w:p w14:paraId="67C7AE2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30,014.5</w:t>
            </w:r>
          </w:p>
        </w:tc>
        <w:tc>
          <w:tcPr>
            <w:tcW w:w="910" w:type="dxa"/>
            <w:tcBorders>
              <w:top w:val="nil"/>
              <w:left w:val="nil"/>
              <w:bottom w:val="nil"/>
              <w:right w:val="nil"/>
            </w:tcBorders>
            <w:shd w:val="clear" w:color="auto" w:fill="auto"/>
            <w:noWrap/>
            <w:vAlign w:val="bottom"/>
            <w:hideMark/>
          </w:tcPr>
          <w:p w14:paraId="727029D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26,167.4</w:t>
            </w:r>
          </w:p>
        </w:tc>
        <w:tc>
          <w:tcPr>
            <w:tcW w:w="910" w:type="dxa"/>
            <w:tcBorders>
              <w:top w:val="nil"/>
              <w:left w:val="nil"/>
              <w:bottom w:val="nil"/>
              <w:right w:val="nil"/>
            </w:tcBorders>
            <w:shd w:val="clear" w:color="000000" w:fill="E7E6E6"/>
            <w:noWrap/>
            <w:vAlign w:val="bottom"/>
            <w:hideMark/>
          </w:tcPr>
          <w:p w14:paraId="5401EEA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27,672.8</w:t>
            </w:r>
          </w:p>
        </w:tc>
      </w:tr>
      <w:tr w:rsidR="00134C08" w:rsidRPr="00134C08" w14:paraId="61D8C3D9" w14:textId="77777777" w:rsidTr="00855621">
        <w:trPr>
          <w:trHeight w:val="210"/>
        </w:trPr>
        <w:tc>
          <w:tcPr>
            <w:tcW w:w="450" w:type="dxa"/>
            <w:tcBorders>
              <w:top w:val="nil"/>
              <w:left w:val="nil"/>
              <w:bottom w:val="nil"/>
              <w:right w:val="nil"/>
            </w:tcBorders>
            <w:shd w:val="clear" w:color="auto" w:fill="auto"/>
            <w:noWrap/>
            <w:hideMark/>
          </w:tcPr>
          <w:p w14:paraId="66B6310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51</w:t>
            </w:r>
          </w:p>
        </w:tc>
        <w:tc>
          <w:tcPr>
            <w:tcW w:w="5130" w:type="dxa"/>
            <w:tcBorders>
              <w:top w:val="nil"/>
              <w:left w:val="nil"/>
              <w:bottom w:val="nil"/>
              <w:right w:val="nil"/>
            </w:tcBorders>
            <w:shd w:val="clear" w:color="auto" w:fill="auto"/>
            <w:noWrap/>
            <w:vAlign w:val="bottom"/>
            <w:hideMark/>
          </w:tcPr>
          <w:p w14:paraId="768357D1"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Exemption from import duties at certain border crossings with Ukraine</w:t>
            </w:r>
          </w:p>
        </w:tc>
        <w:tc>
          <w:tcPr>
            <w:tcW w:w="910" w:type="dxa"/>
            <w:tcBorders>
              <w:top w:val="nil"/>
              <w:left w:val="nil"/>
              <w:bottom w:val="nil"/>
              <w:right w:val="nil"/>
            </w:tcBorders>
            <w:shd w:val="clear" w:color="auto" w:fill="auto"/>
            <w:noWrap/>
            <w:vAlign w:val="bottom"/>
            <w:hideMark/>
          </w:tcPr>
          <w:p w14:paraId="27CCE65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809.5</w:t>
            </w:r>
          </w:p>
        </w:tc>
        <w:tc>
          <w:tcPr>
            <w:tcW w:w="910" w:type="dxa"/>
            <w:tcBorders>
              <w:top w:val="nil"/>
              <w:left w:val="nil"/>
              <w:bottom w:val="nil"/>
              <w:right w:val="nil"/>
            </w:tcBorders>
            <w:shd w:val="clear" w:color="auto" w:fill="auto"/>
            <w:noWrap/>
            <w:vAlign w:val="bottom"/>
            <w:hideMark/>
          </w:tcPr>
          <w:p w14:paraId="7AAC486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2,294.5</w:t>
            </w:r>
          </w:p>
        </w:tc>
        <w:tc>
          <w:tcPr>
            <w:tcW w:w="910" w:type="dxa"/>
            <w:tcBorders>
              <w:top w:val="nil"/>
              <w:left w:val="nil"/>
              <w:bottom w:val="nil"/>
              <w:right w:val="nil"/>
            </w:tcBorders>
            <w:shd w:val="clear" w:color="auto" w:fill="auto"/>
            <w:noWrap/>
            <w:vAlign w:val="bottom"/>
            <w:hideMark/>
          </w:tcPr>
          <w:p w14:paraId="3E6374B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1,947.7</w:t>
            </w:r>
          </w:p>
        </w:tc>
        <w:tc>
          <w:tcPr>
            <w:tcW w:w="910" w:type="dxa"/>
            <w:tcBorders>
              <w:top w:val="nil"/>
              <w:left w:val="nil"/>
              <w:bottom w:val="nil"/>
              <w:right w:val="nil"/>
            </w:tcBorders>
            <w:shd w:val="clear" w:color="auto" w:fill="auto"/>
            <w:noWrap/>
            <w:vAlign w:val="bottom"/>
            <w:hideMark/>
          </w:tcPr>
          <w:p w14:paraId="088222F2"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3835EC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3E8C6B9A" w14:textId="77777777" w:rsidTr="009960D0">
        <w:trPr>
          <w:trHeight w:val="210"/>
        </w:trPr>
        <w:tc>
          <w:tcPr>
            <w:tcW w:w="450" w:type="dxa"/>
            <w:tcBorders>
              <w:top w:val="nil"/>
              <w:left w:val="nil"/>
              <w:bottom w:val="nil"/>
              <w:right w:val="nil"/>
            </w:tcBorders>
            <w:shd w:val="clear" w:color="auto" w:fill="auto"/>
            <w:noWrap/>
            <w:vAlign w:val="bottom"/>
            <w:hideMark/>
          </w:tcPr>
          <w:p w14:paraId="53DE52D1"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single" w:sz="4" w:space="0" w:color="auto"/>
              <w:left w:val="nil"/>
              <w:bottom w:val="nil"/>
              <w:right w:val="nil"/>
            </w:tcBorders>
            <w:shd w:val="clear" w:color="auto" w:fill="auto"/>
            <w:noWrap/>
            <w:vAlign w:val="bottom"/>
            <w:hideMark/>
          </w:tcPr>
          <w:p w14:paraId="131C06D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Import Duties</w:t>
            </w:r>
          </w:p>
        </w:tc>
        <w:tc>
          <w:tcPr>
            <w:tcW w:w="910" w:type="dxa"/>
            <w:tcBorders>
              <w:top w:val="single" w:sz="4" w:space="0" w:color="auto"/>
              <w:left w:val="nil"/>
              <w:bottom w:val="nil"/>
              <w:right w:val="nil"/>
            </w:tcBorders>
            <w:shd w:val="clear" w:color="auto" w:fill="auto"/>
            <w:noWrap/>
            <w:vAlign w:val="bottom"/>
            <w:hideMark/>
          </w:tcPr>
          <w:p w14:paraId="353F946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135,909.1</w:t>
            </w:r>
          </w:p>
        </w:tc>
        <w:tc>
          <w:tcPr>
            <w:tcW w:w="910" w:type="dxa"/>
            <w:tcBorders>
              <w:top w:val="single" w:sz="4" w:space="0" w:color="auto"/>
              <w:left w:val="nil"/>
              <w:bottom w:val="nil"/>
              <w:right w:val="nil"/>
            </w:tcBorders>
            <w:shd w:val="clear" w:color="auto" w:fill="auto"/>
            <w:noWrap/>
            <w:vAlign w:val="bottom"/>
            <w:hideMark/>
          </w:tcPr>
          <w:p w14:paraId="632C86D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162,457.2</w:t>
            </w:r>
          </w:p>
        </w:tc>
        <w:tc>
          <w:tcPr>
            <w:tcW w:w="910" w:type="dxa"/>
            <w:tcBorders>
              <w:top w:val="single" w:sz="4" w:space="0" w:color="auto"/>
              <w:left w:val="nil"/>
              <w:bottom w:val="nil"/>
              <w:right w:val="nil"/>
            </w:tcBorders>
            <w:shd w:val="clear" w:color="auto" w:fill="auto"/>
            <w:noWrap/>
            <w:vAlign w:val="bottom"/>
            <w:hideMark/>
          </w:tcPr>
          <w:p w14:paraId="3E3D96A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149,314.8</w:t>
            </w:r>
          </w:p>
        </w:tc>
        <w:tc>
          <w:tcPr>
            <w:tcW w:w="910" w:type="dxa"/>
            <w:tcBorders>
              <w:top w:val="single" w:sz="4" w:space="0" w:color="auto"/>
              <w:left w:val="nil"/>
              <w:bottom w:val="nil"/>
              <w:right w:val="nil"/>
            </w:tcBorders>
            <w:shd w:val="clear" w:color="auto" w:fill="auto"/>
            <w:noWrap/>
            <w:vAlign w:val="bottom"/>
            <w:hideMark/>
          </w:tcPr>
          <w:p w14:paraId="5BC99FD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234,906.1</w:t>
            </w:r>
          </w:p>
        </w:tc>
        <w:tc>
          <w:tcPr>
            <w:tcW w:w="910" w:type="dxa"/>
            <w:tcBorders>
              <w:top w:val="single" w:sz="4" w:space="0" w:color="auto"/>
              <w:left w:val="nil"/>
              <w:bottom w:val="nil"/>
              <w:right w:val="nil"/>
            </w:tcBorders>
            <w:shd w:val="clear" w:color="auto" w:fill="auto"/>
            <w:noWrap/>
            <w:vAlign w:val="bottom"/>
            <w:hideMark/>
          </w:tcPr>
          <w:p w14:paraId="6106022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213,590.5</w:t>
            </w:r>
          </w:p>
        </w:tc>
      </w:tr>
      <w:tr w:rsidR="00134C08" w:rsidRPr="00134C08" w14:paraId="3907A183" w14:textId="77777777" w:rsidTr="009960D0">
        <w:trPr>
          <w:trHeight w:val="220"/>
        </w:trPr>
        <w:tc>
          <w:tcPr>
            <w:tcW w:w="450" w:type="dxa"/>
            <w:tcBorders>
              <w:top w:val="nil"/>
              <w:left w:val="nil"/>
              <w:bottom w:val="nil"/>
              <w:right w:val="nil"/>
            </w:tcBorders>
            <w:shd w:val="clear" w:color="auto" w:fill="auto"/>
            <w:noWrap/>
            <w:vAlign w:val="bottom"/>
            <w:hideMark/>
          </w:tcPr>
          <w:p w14:paraId="2C08D4F4"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nil"/>
              <w:left w:val="nil"/>
              <w:bottom w:val="double" w:sz="6" w:space="0" w:color="auto"/>
              <w:right w:val="nil"/>
            </w:tcBorders>
            <w:shd w:val="clear" w:color="auto" w:fill="auto"/>
            <w:noWrap/>
            <w:vAlign w:val="bottom"/>
            <w:hideMark/>
          </w:tcPr>
          <w:p w14:paraId="69DE5E9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Import Duties as % of GDP</w:t>
            </w:r>
          </w:p>
        </w:tc>
        <w:tc>
          <w:tcPr>
            <w:tcW w:w="910" w:type="dxa"/>
            <w:tcBorders>
              <w:top w:val="nil"/>
              <w:left w:val="nil"/>
              <w:bottom w:val="double" w:sz="6" w:space="0" w:color="auto"/>
              <w:right w:val="nil"/>
            </w:tcBorders>
            <w:shd w:val="clear" w:color="auto" w:fill="auto"/>
            <w:noWrap/>
            <w:vAlign w:val="center"/>
            <w:hideMark/>
          </w:tcPr>
          <w:p w14:paraId="12DFD1C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0.07%</w:t>
            </w:r>
          </w:p>
        </w:tc>
        <w:tc>
          <w:tcPr>
            <w:tcW w:w="910" w:type="dxa"/>
            <w:tcBorders>
              <w:top w:val="nil"/>
              <w:left w:val="nil"/>
              <w:bottom w:val="double" w:sz="6" w:space="0" w:color="auto"/>
              <w:right w:val="nil"/>
            </w:tcBorders>
            <w:shd w:val="clear" w:color="auto" w:fill="auto"/>
            <w:noWrap/>
            <w:vAlign w:val="center"/>
            <w:hideMark/>
          </w:tcPr>
          <w:p w14:paraId="2F7F69A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0.08%</w:t>
            </w:r>
          </w:p>
        </w:tc>
        <w:tc>
          <w:tcPr>
            <w:tcW w:w="910" w:type="dxa"/>
            <w:tcBorders>
              <w:top w:val="nil"/>
              <w:left w:val="nil"/>
              <w:bottom w:val="double" w:sz="6" w:space="0" w:color="auto"/>
              <w:right w:val="nil"/>
            </w:tcBorders>
            <w:shd w:val="clear" w:color="auto" w:fill="auto"/>
            <w:noWrap/>
            <w:vAlign w:val="center"/>
            <w:hideMark/>
          </w:tcPr>
          <w:p w14:paraId="4604110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0.07%</w:t>
            </w:r>
          </w:p>
        </w:tc>
        <w:tc>
          <w:tcPr>
            <w:tcW w:w="910" w:type="dxa"/>
            <w:tcBorders>
              <w:top w:val="nil"/>
              <w:left w:val="nil"/>
              <w:bottom w:val="double" w:sz="6" w:space="0" w:color="auto"/>
              <w:right w:val="nil"/>
            </w:tcBorders>
            <w:shd w:val="clear" w:color="auto" w:fill="auto"/>
            <w:noWrap/>
            <w:vAlign w:val="center"/>
            <w:hideMark/>
          </w:tcPr>
          <w:p w14:paraId="250DA3E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0.10%</w:t>
            </w:r>
          </w:p>
        </w:tc>
        <w:tc>
          <w:tcPr>
            <w:tcW w:w="910" w:type="dxa"/>
            <w:tcBorders>
              <w:top w:val="nil"/>
              <w:left w:val="nil"/>
              <w:bottom w:val="double" w:sz="6" w:space="0" w:color="auto"/>
              <w:right w:val="nil"/>
            </w:tcBorders>
            <w:shd w:val="clear" w:color="auto" w:fill="auto"/>
            <w:noWrap/>
            <w:vAlign w:val="center"/>
            <w:hideMark/>
          </w:tcPr>
          <w:p w14:paraId="175528B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0.08%</w:t>
            </w:r>
          </w:p>
        </w:tc>
      </w:tr>
      <w:tr w:rsidR="00134C08" w:rsidRPr="00134C08" w14:paraId="7B4286DA" w14:textId="77777777" w:rsidTr="009960D0">
        <w:trPr>
          <w:trHeight w:val="220"/>
        </w:trPr>
        <w:tc>
          <w:tcPr>
            <w:tcW w:w="450" w:type="dxa"/>
            <w:tcBorders>
              <w:top w:val="nil"/>
              <w:left w:val="nil"/>
              <w:bottom w:val="nil"/>
              <w:right w:val="nil"/>
            </w:tcBorders>
            <w:shd w:val="clear" w:color="auto" w:fill="auto"/>
            <w:noWrap/>
            <w:vAlign w:val="bottom"/>
            <w:hideMark/>
          </w:tcPr>
          <w:p w14:paraId="74CBFEC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bottom"/>
            <w:hideMark/>
          </w:tcPr>
          <w:p w14:paraId="50FABAA4"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Real Estate Tax</w:t>
            </w:r>
          </w:p>
        </w:tc>
        <w:tc>
          <w:tcPr>
            <w:tcW w:w="4550" w:type="dxa"/>
            <w:gridSpan w:val="5"/>
            <w:tcBorders>
              <w:top w:val="nil"/>
              <w:left w:val="nil"/>
              <w:bottom w:val="nil"/>
              <w:right w:val="nil"/>
            </w:tcBorders>
            <w:shd w:val="clear" w:color="000000" w:fill="A5A5A5"/>
            <w:noWrap/>
            <w:vAlign w:val="bottom"/>
            <w:hideMark/>
          </w:tcPr>
          <w:p w14:paraId="3DD6FA06"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Thousand MDL</w:t>
            </w:r>
          </w:p>
        </w:tc>
      </w:tr>
      <w:tr w:rsidR="00134C08" w:rsidRPr="00134C08" w14:paraId="4D29220D" w14:textId="77777777" w:rsidTr="00855621">
        <w:trPr>
          <w:trHeight w:val="210"/>
        </w:trPr>
        <w:tc>
          <w:tcPr>
            <w:tcW w:w="450" w:type="dxa"/>
            <w:tcBorders>
              <w:top w:val="nil"/>
              <w:left w:val="nil"/>
              <w:bottom w:val="nil"/>
              <w:right w:val="nil"/>
            </w:tcBorders>
            <w:shd w:val="clear" w:color="auto" w:fill="auto"/>
            <w:noWrap/>
            <w:hideMark/>
          </w:tcPr>
          <w:p w14:paraId="423C4EC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bottom"/>
            <w:hideMark/>
          </w:tcPr>
          <w:p w14:paraId="1EA6422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of all immovable property owned and administered by public authorities or agencies of state</w:t>
            </w:r>
          </w:p>
        </w:tc>
        <w:tc>
          <w:tcPr>
            <w:tcW w:w="910" w:type="dxa"/>
            <w:tcBorders>
              <w:top w:val="nil"/>
              <w:left w:val="nil"/>
              <w:bottom w:val="nil"/>
              <w:right w:val="nil"/>
            </w:tcBorders>
            <w:shd w:val="clear" w:color="auto" w:fill="auto"/>
            <w:noWrap/>
            <w:vAlign w:val="bottom"/>
            <w:hideMark/>
          </w:tcPr>
          <w:p w14:paraId="6B452F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208,433.4</w:t>
            </w:r>
          </w:p>
        </w:tc>
        <w:tc>
          <w:tcPr>
            <w:tcW w:w="910" w:type="dxa"/>
            <w:tcBorders>
              <w:top w:val="nil"/>
              <w:left w:val="nil"/>
              <w:bottom w:val="nil"/>
              <w:right w:val="nil"/>
            </w:tcBorders>
            <w:shd w:val="clear" w:color="auto" w:fill="auto"/>
            <w:noWrap/>
            <w:vAlign w:val="bottom"/>
            <w:hideMark/>
          </w:tcPr>
          <w:p w14:paraId="583697B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187,482.3</w:t>
            </w:r>
          </w:p>
        </w:tc>
        <w:tc>
          <w:tcPr>
            <w:tcW w:w="910" w:type="dxa"/>
            <w:tcBorders>
              <w:top w:val="nil"/>
              <w:left w:val="nil"/>
              <w:bottom w:val="nil"/>
              <w:right w:val="nil"/>
            </w:tcBorders>
            <w:shd w:val="clear" w:color="auto" w:fill="auto"/>
            <w:noWrap/>
            <w:vAlign w:val="bottom"/>
            <w:hideMark/>
          </w:tcPr>
          <w:p w14:paraId="41662ED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158,237.0</w:t>
            </w:r>
          </w:p>
        </w:tc>
        <w:tc>
          <w:tcPr>
            <w:tcW w:w="910" w:type="dxa"/>
            <w:tcBorders>
              <w:top w:val="nil"/>
              <w:left w:val="nil"/>
              <w:bottom w:val="nil"/>
              <w:right w:val="nil"/>
            </w:tcBorders>
            <w:shd w:val="clear" w:color="auto" w:fill="auto"/>
            <w:noWrap/>
            <w:vAlign w:val="bottom"/>
            <w:hideMark/>
          </w:tcPr>
          <w:p w14:paraId="08203AF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188,255.3</w:t>
            </w:r>
          </w:p>
        </w:tc>
        <w:tc>
          <w:tcPr>
            <w:tcW w:w="910" w:type="dxa"/>
            <w:tcBorders>
              <w:top w:val="nil"/>
              <w:left w:val="nil"/>
              <w:bottom w:val="nil"/>
              <w:right w:val="nil"/>
            </w:tcBorders>
            <w:shd w:val="clear" w:color="auto" w:fill="auto"/>
            <w:noWrap/>
            <w:vAlign w:val="bottom"/>
            <w:hideMark/>
          </w:tcPr>
          <w:p w14:paraId="5782BA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5AA8AE5" w14:textId="77777777" w:rsidTr="00855621">
        <w:trPr>
          <w:trHeight w:val="210"/>
        </w:trPr>
        <w:tc>
          <w:tcPr>
            <w:tcW w:w="450" w:type="dxa"/>
            <w:tcBorders>
              <w:top w:val="nil"/>
              <w:left w:val="nil"/>
              <w:bottom w:val="nil"/>
              <w:right w:val="nil"/>
            </w:tcBorders>
            <w:shd w:val="clear" w:color="auto" w:fill="auto"/>
            <w:noWrap/>
            <w:hideMark/>
          </w:tcPr>
          <w:p w14:paraId="3E0C1A9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bottom"/>
            <w:hideMark/>
          </w:tcPr>
          <w:p w14:paraId="716448A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public benefit organization caring for the blind, deaf and disabled</w:t>
            </w:r>
          </w:p>
        </w:tc>
        <w:tc>
          <w:tcPr>
            <w:tcW w:w="910" w:type="dxa"/>
            <w:tcBorders>
              <w:top w:val="nil"/>
              <w:left w:val="nil"/>
              <w:bottom w:val="nil"/>
              <w:right w:val="nil"/>
            </w:tcBorders>
            <w:shd w:val="clear" w:color="auto" w:fill="auto"/>
            <w:noWrap/>
            <w:vAlign w:val="bottom"/>
            <w:hideMark/>
          </w:tcPr>
          <w:p w14:paraId="2F44F56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76.7</w:t>
            </w:r>
          </w:p>
        </w:tc>
        <w:tc>
          <w:tcPr>
            <w:tcW w:w="910" w:type="dxa"/>
            <w:tcBorders>
              <w:top w:val="nil"/>
              <w:left w:val="nil"/>
              <w:bottom w:val="nil"/>
              <w:right w:val="nil"/>
            </w:tcBorders>
            <w:shd w:val="clear" w:color="auto" w:fill="auto"/>
            <w:noWrap/>
            <w:vAlign w:val="bottom"/>
            <w:hideMark/>
          </w:tcPr>
          <w:p w14:paraId="03885C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200.6</w:t>
            </w:r>
          </w:p>
        </w:tc>
        <w:tc>
          <w:tcPr>
            <w:tcW w:w="910" w:type="dxa"/>
            <w:tcBorders>
              <w:top w:val="nil"/>
              <w:left w:val="nil"/>
              <w:bottom w:val="nil"/>
              <w:right w:val="nil"/>
            </w:tcBorders>
            <w:shd w:val="clear" w:color="auto" w:fill="auto"/>
            <w:noWrap/>
            <w:vAlign w:val="bottom"/>
            <w:hideMark/>
          </w:tcPr>
          <w:p w14:paraId="213FFF1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227.6</w:t>
            </w:r>
          </w:p>
        </w:tc>
        <w:tc>
          <w:tcPr>
            <w:tcW w:w="910" w:type="dxa"/>
            <w:tcBorders>
              <w:top w:val="nil"/>
              <w:left w:val="nil"/>
              <w:bottom w:val="nil"/>
              <w:right w:val="nil"/>
            </w:tcBorders>
            <w:shd w:val="clear" w:color="auto" w:fill="auto"/>
            <w:noWrap/>
            <w:vAlign w:val="bottom"/>
            <w:hideMark/>
          </w:tcPr>
          <w:p w14:paraId="2F2A01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236.9</w:t>
            </w:r>
          </w:p>
        </w:tc>
        <w:tc>
          <w:tcPr>
            <w:tcW w:w="910" w:type="dxa"/>
            <w:tcBorders>
              <w:top w:val="nil"/>
              <w:left w:val="nil"/>
              <w:bottom w:val="nil"/>
              <w:right w:val="nil"/>
            </w:tcBorders>
            <w:shd w:val="clear" w:color="auto" w:fill="auto"/>
            <w:noWrap/>
            <w:vAlign w:val="bottom"/>
            <w:hideMark/>
          </w:tcPr>
          <w:p w14:paraId="797C03C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1C5FABE" w14:textId="77777777" w:rsidTr="00855621">
        <w:trPr>
          <w:trHeight w:val="210"/>
        </w:trPr>
        <w:tc>
          <w:tcPr>
            <w:tcW w:w="450" w:type="dxa"/>
            <w:tcBorders>
              <w:top w:val="nil"/>
              <w:left w:val="nil"/>
              <w:bottom w:val="nil"/>
              <w:right w:val="nil"/>
            </w:tcBorders>
            <w:shd w:val="clear" w:color="auto" w:fill="auto"/>
            <w:noWrap/>
            <w:hideMark/>
          </w:tcPr>
          <w:p w14:paraId="1A9F285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bottom"/>
            <w:hideMark/>
          </w:tcPr>
          <w:p w14:paraId="66DA7CF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all real estate used by operators of prisons and detention centers</w:t>
            </w:r>
          </w:p>
        </w:tc>
        <w:tc>
          <w:tcPr>
            <w:tcW w:w="910" w:type="dxa"/>
            <w:tcBorders>
              <w:top w:val="nil"/>
              <w:left w:val="nil"/>
              <w:bottom w:val="nil"/>
              <w:right w:val="nil"/>
            </w:tcBorders>
            <w:shd w:val="clear" w:color="auto" w:fill="auto"/>
            <w:noWrap/>
            <w:vAlign w:val="bottom"/>
            <w:hideMark/>
          </w:tcPr>
          <w:p w14:paraId="66F841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77.8</w:t>
            </w:r>
          </w:p>
        </w:tc>
        <w:tc>
          <w:tcPr>
            <w:tcW w:w="910" w:type="dxa"/>
            <w:tcBorders>
              <w:top w:val="nil"/>
              <w:left w:val="nil"/>
              <w:bottom w:val="nil"/>
              <w:right w:val="nil"/>
            </w:tcBorders>
            <w:shd w:val="clear" w:color="auto" w:fill="auto"/>
            <w:noWrap/>
            <w:vAlign w:val="bottom"/>
            <w:hideMark/>
          </w:tcPr>
          <w:p w14:paraId="5CFE796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30.0</w:t>
            </w:r>
          </w:p>
        </w:tc>
        <w:tc>
          <w:tcPr>
            <w:tcW w:w="910" w:type="dxa"/>
            <w:tcBorders>
              <w:top w:val="nil"/>
              <w:left w:val="nil"/>
              <w:bottom w:val="nil"/>
              <w:right w:val="nil"/>
            </w:tcBorders>
            <w:shd w:val="clear" w:color="auto" w:fill="auto"/>
            <w:noWrap/>
            <w:vAlign w:val="bottom"/>
            <w:hideMark/>
          </w:tcPr>
          <w:p w14:paraId="29842F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30.0</w:t>
            </w:r>
          </w:p>
        </w:tc>
        <w:tc>
          <w:tcPr>
            <w:tcW w:w="910" w:type="dxa"/>
            <w:tcBorders>
              <w:top w:val="nil"/>
              <w:left w:val="nil"/>
              <w:bottom w:val="nil"/>
              <w:right w:val="nil"/>
            </w:tcBorders>
            <w:shd w:val="clear" w:color="auto" w:fill="auto"/>
            <w:noWrap/>
            <w:vAlign w:val="bottom"/>
            <w:hideMark/>
          </w:tcPr>
          <w:p w14:paraId="4F1C154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9.7</w:t>
            </w:r>
          </w:p>
        </w:tc>
        <w:tc>
          <w:tcPr>
            <w:tcW w:w="910" w:type="dxa"/>
            <w:tcBorders>
              <w:top w:val="nil"/>
              <w:left w:val="nil"/>
              <w:bottom w:val="nil"/>
              <w:right w:val="nil"/>
            </w:tcBorders>
            <w:shd w:val="clear" w:color="auto" w:fill="auto"/>
            <w:noWrap/>
            <w:vAlign w:val="bottom"/>
            <w:hideMark/>
          </w:tcPr>
          <w:p w14:paraId="0368425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5790B70" w14:textId="77777777" w:rsidTr="00855621">
        <w:trPr>
          <w:trHeight w:val="210"/>
        </w:trPr>
        <w:tc>
          <w:tcPr>
            <w:tcW w:w="450" w:type="dxa"/>
            <w:tcBorders>
              <w:top w:val="nil"/>
              <w:left w:val="nil"/>
              <w:bottom w:val="nil"/>
              <w:right w:val="nil"/>
            </w:tcBorders>
            <w:shd w:val="clear" w:color="auto" w:fill="auto"/>
            <w:noWrap/>
            <w:hideMark/>
          </w:tcPr>
          <w:p w14:paraId="33311D8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bottom"/>
            <w:hideMark/>
          </w:tcPr>
          <w:p w14:paraId="7E4650A1"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all medical facilities, and rehab centers providing prostheses and orthopedic services</w:t>
            </w:r>
          </w:p>
        </w:tc>
        <w:tc>
          <w:tcPr>
            <w:tcW w:w="910" w:type="dxa"/>
            <w:tcBorders>
              <w:top w:val="nil"/>
              <w:left w:val="nil"/>
              <w:bottom w:val="nil"/>
              <w:right w:val="nil"/>
            </w:tcBorders>
            <w:shd w:val="clear" w:color="auto" w:fill="auto"/>
            <w:noWrap/>
            <w:vAlign w:val="bottom"/>
            <w:hideMark/>
          </w:tcPr>
          <w:p w14:paraId="6A901E1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204.4</w:t>
            </w:r>
          </w:p>
        </w:tc>
        <w:tc>
          <w:tcPr>
            <w:tcW w:w="910" w:type="dxa"/>
            <w:tcBorders>
              <w:top w:val="nil"/>
              <w:left w:val="nil"/>
              <w:bottom w:val="nil"/>
              <w:right w:val="nil"/>
            </w:tcBorders>
            <w:shd w:val="clear" w:color="auto" w:fill="auto"/>
            <w:noWrap/>
            <w:vAlign w:val="bottom"/>
            <w:hideMark/>
          </w:tcPr>
          <w:p w14:paraId="35DFE81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238.6</w:t>
            </w:r>
          </w:p>
        </w:tc>
        <w:tc>
          <w:tcPr>
            <w:tcW w:w="910" w:type="dxa"/>
            <w:tcBorders>
              <w:top w:val="nil"/>
              <w:left w:val="nil"/>
              <w:bottom w:val="nil"/>
              <w:right w:val="nil"/>
            </w:tcBorders>
            <w:shd w:val="clear" w:color="auto" w:fill="auto"/>
            <w:noWrap/>
            <w:vAlign w:val="bottom"/>
            <w:hideMark/>
          </w:tcPr>
          <w:p w14:paraId="69D8BFD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419.3</w:t>
            </w:r>
          </w:p>
        </w:tc>
        <w:tc>
          <w:tcPr>
            <w:tcW w:w="910" w:type="dxa"/>
            <w:tcBorders>
              <w:top w:val="nil"/>
              <w:left w:val="nil"/>
              <w:bottom w:val="nil"/>
              <w:right w:val="nil"/>
            </w:tcBorders>
            <w:shd w:val="clear" w:color="auto" w:fill="auto"/>
            <w:noWrap/>
            <w:vAlign w:val="bottom"/>
            <w:hideMark/>
          </w:tcPr>
          <w:p w14:paraId="3B442EA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243.0</w:t>
            </w:r>
          </w:p>
        </w:tc>
        <w:tc>
          <w:tcPr>
            <w:tcW w:w="910" w:type="dxa"/>
            <w:tcBorders>
              <w:top w:val="nil"/>
              <w:left w:val="nil"/>
              <w:bottom w:val="nil"/>
              <w:right w:val="nil"/>
            </w:tcBorders>
            <w:shd w:val="clear" w:color="auto" w:fill="auto"/>
            <w:noWrap/>
            <w:vAlign w:val="bottom"/>
            <w:hideMark/>
          </w:tcPr>
          <w:p w14:paraId="41BEF2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244D855" w14:textId="77777777" w:rsidTr="00855621">
        <w:trPr>
          <w:trHeight w:val="210"/>
        </w:trPr>
        <w:tc>
          <w:tcPr>
            <w:tcW w:w="450" w:type="dxa"/>
            <w:tcBorders>
              <w:top w:val="nil"/>
              <w:left w:val="nil"/>
              <w:bottom w:val="nil"/>
              <w:right w:val="nil"/>
            </w:tcBorders>
            <w:shd w:val="clear" w:color="auto" w:fill="auto"/>
            <w:noWrap/>
            <w:hideMark/>
          </w:tcPr>
          <w:p w14:paraId="1FB8B62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bottom"/>
            <w:hideMark/>
          </w:tcPr>
          <w:p w14:paraId="0C30062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civil protection organizations and their immovable property</w:t>
            </w:r>
          </w:p>
        </w:tc>
        <w:tc>
          <w:tcPr>
            <w:tcW w:w="910" w:type="dxa"/>
            <w:tcBorders>
              <w:top w:val="nil"/>
              <w:left w:val="nil"/>
              <w:bottom w:val="nil"/>
              <w:right w:val="nil"/>
            </w:tcBorders>
            <w:shd w:val="clear" w:color="auto" w:fill="auto"/>
            <w:noWrap/>
            <w:vAlign w:val="bottom"/>
            <w:hideMark/>
          </w:tcPr>
          <w:p w14:paraId="2968CAC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32.5</w:t>
            </w:r>
          </w:p>
        </w:tc>
        <w:tc>
          <w:tcPr>
            <w:tcW w:w="910" w:type="dxa"/>
            <w:tcBorders>
              <w:top w:val="nil"/>
              <w:left w:val="nil"/>
              <w:bottom w:val="nil"/>
              <w:right w:val="nil"/>
            </w:tcBorders>
            <w:shd w:val="clear" w:color="auto" w:fill="auto"/>
            <w:noWrap/>
            <w:vAlign w:val="bottom"/>
            <w:hideMark/>
          </w:tcPr>
          <w:p w14:paraId="343903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801.5</w:t>
            </w:r>
          </w:p>
        </w:tc>
        <w:tc>
          <w:tcPr>
            <w:tcW w:w="910" w:type="dxa"/>
            <w:tcBorders>
              <w:top w:val="nil"/>
              <w:left w:val="nil"/>
              <w:bottom w:val="nil"/>
              <w:right w:val="nil"/>
            </w:tcBorders>
            <w:shd w:val="clear" w:color="auto" w:fill="auto"/>
            <w:noWrap/>
            <w:vAlign w:val="bottom"/>
            <w:hideMark/>
          </w:tcPr>
          <w:p w14:paraId="0A34D96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275.9</w:t>
            </w:r>
          </w:p>
        </w:tc>
        <w:tc>
          <w:tcPr>
            <w:tcW w:w="910" w:type="dxa"/>
            <w:tcBorders>
              <w:top w:val="nil"/>
              <w:left w:val="nil"/>
              <w:bottom w:val="nil"/>
              <w:right w:val="nil"/>
            </w:tcBorders>
            <w:shd w:val="clear" w:color="auto" w:fill="auto"/>
            <w:noWrap/>
            <w:vAlign w:val="bottom"/>
            <w:hideMark/>
          </w:tcPr>
          <w:p w14:paraId="288482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983.5</w:t>
            </w:r>
          </w:p>
        </w:tc>
        <w:tc>
          <w:tcPr>
            <w:tcW w:w="910" w:type="dxa"/>
            <w:tcBorders>
              <w:top w:val="nil"/>
              <w:left w:val="nil"/>
              <w:bottom w:val="nil"/>
              <w:right w:val="nil"/>
            </w:tcBorders>
            <w:shd w:val="clear" w:color="auto" w:fill="auto"/>
            <w:noWrap/>
            <w:vAlign w:val="bottom"/>
            <w:hideMark/>
          </w:tcPr>
          <w:p w14:paraId="7E85E8E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FF196EF" w14:textId="77777777" w:rsidTr="00855621">
        <w:trPr>
          <w:trHeight w:val="210"/>
        </w:trPr>
        <w:tc>
          <w:tcPr>
            <w:tcW w:w="450" w:type="dxa"/>
            <w:tcBorders>
              <w:top w:val="nil"/>
              <w:left w:val="nil"/>
              <w:bottom w:val="nil"/>
              <w:right w:val="nil"/>
            </w:tcBorders>
            <w:shd w:val="clear" w:color="auto" w:fill="auto"/>
            <w:noWrap/>
            <w:hideMark/>
          </w:tcPr>
          <w:p w14:paraId="562C1CC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w:t>
            </w:r>
          </w:p>
        </w:tc>
        <w:tc>
          <w:tcPr>
            <w:tcW w:w="5130" w:type="dxa"/>
            <w:tcBorders>
              <w:top w:val="nil"/>
              <w:left w:val="nil"/>
              <w:bottom w:val="nil"/>
              <w:right w:val="nil"/>
            </w:tcBorders>
            <w:shd w:val="clear" w:color="auto" w:fill="auto"/>
            <w:noWrap/>
            <w:vAlign w:val="bottom"/>
            <w:hideMark/>
          </w:tcPr>
          <w:p w14:paraId="7559E24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religious organization with real estate</w:t>
            </w:r>
          </w:p>
        </w:tc>
        <w:tc>
          <w:tcPr>
            <w:tcW w:w="910" w:type="dxa"/>
            <w:tcBorders>
              <w:top w:val="nil"/>
              <w:left w:val="nil"/>
              <w:bottom w:val="nil"/>
              <w:right w:val="nil"/>
            </w:tcBorders>
            <w:shd w:val="clear" w:color="auto" w:fill="auto"/>
            <w:noWrap/>
            <w:vAlign w:val="bottom"/>
            <w:hideMark/>
          </w:tcPr>
          <w:p w14:paraId="144A96A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663.7</w:t>
            </w:r>
          </w:p>
        </w:tc>
        <w:tc>
          <w:tcPr>
            <w:tcW w:w="910" w:type="dxa"/>
            <w:tcBorders>
              <w:top w:val="nil"/>
              <w:left w:val="nil"/>
              <w:bottom w:val="nil"/>
              <w:right w:val="nil"/>
            </w:tcBorders>
            <w:shd w:val="clear" w:color="auto" w:fill="auto"/>
            <w:noWrap/>
            <w:vAlign w:val="bottom"/>
            <w:hideMark/>
          </w:tcPr>
          <w:p w14:paraId="0C82955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1,111.5</w:t>
            </w:r>
          </w:p>
        </w:tc>
        <w:tc>
          <w:tcPr>
            <w:tcW w:w="910" w:type="dxa"/>
            <w:tcBorders>
              <w:top w:val="nil"/>
              <w:left w:val="nil"/>
              <w:bottom w:val="nil"/>
              <w:right w:val="nil"/>
            </w:tcBorders>
            <w:shd w:val="clear" w:color="auto" w:fill="auto"/>
            <w:noWrap/>
            <w:vAlign w:val="bottom"/>
            <w:hideMark/>
          </w:tcPr>
          <w:p w14:paraId="08A8943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645.8</w:t>
            </w:r>
          </w:p>
        </w:tc>
        <w:tc>
          <w:tcPr>
            <w:tcW w:w="910" w:type="dxa"/>
            <w:tcBorders>
              <w:top w:val="nil"/>
              <w:left w:val="nil"/>
              <w:bottom w:val="nil"/>
              <w:right w:val="nil"/>
            </w:tcBorders>
            <w:shd w:val="clear" w:color="auto" w:fill="auto"/>
            <w:noWrap/>
            <w:vAlign w:val="bottom"/>
            <w:hideMark/>
          </w:tcPr>
          <w:p w14:paraId="464B82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10,800.9</w:t>
            </w:r>
          </w:p>
        </w:tc>
        <w:tc>
          <w:tcPr>
            <w:tcW w:w="910" w:type="dxa"/>
            <w:tcBorders>
              <w:top w:val="nil"/>
              <w:left w:val="nil"/>
              <w:bottom w:val="nil"/>
              <w:right w:val="nil"/>
            </w:tcBorders>
            <w:shd w:val="clear" w:color="auto" w:fill="auto"/>
            <w:noWrap/>
            <w:vAlign w:val="bottom"/>
            <w:hideMark/>
          </w:tcPr>
          <w:p w14:paraId="59E9F89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DB68C07" w14:textId="77777777" w:rsidTr="00855621">
        <w:trPr>
          <w:trHeight w:val="210"/>
        </w:trPr>
        <w:tc>
          <w:tcPr>
            <w:tcW w:w="450" w:type="dxa"/>
            <w:tcBorders>
              <w:top w:val="nil"/>
              <w:left w:val="nil"/>
              <w:bottom w:val="nil"/>
              <w:right w:val="nil"/>
            </w:tcBorders>
            <w:shd w:val="clear" w:color="auto" w:fill="auto"/>
            <w:noWrap/>
            <w:hideMark/>
          </w:tcPr>
          <w:p w14:paraId="72383AD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w:t>
            </w:r>
          </w:p>
        </w:tc>
        <w:tc>
          <w:tcPr>
            <w:tcW w:w="5130" w:type="dxa"/>
            <w:tcBorders>
              <w:top w:val="nil"/>
              <w:left w:val="nil"/>
              <w:bottom w:val="nil"/>
              <w:right w:val="nil"/>
            </w:tcBorders>
            <w:shd w:val="clear" w:color="auto" w:fill="auto"/>
            <w:noWrap/>
            <w:vAlign w:val="bottom"/>
            <w:hideMark/>
          </w:tcPr>
          <w:p w14:paraId="7237542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property owned by diplomatic mission, consular offices and international organizations</w:t>
            </w:r>
          </w:p>
        </w:tc>
        <w:tc>
          <w:tcPr>
            <w:tcW w:w="910" w:type="dxa"/>
            <w:tcBorders>
              <w:top w:val="nil"/>
              <w:left w:val="nil"/>
              <w:bottom w:val="nil"/>
              <w:right w:val="nil"/>
            </w:tcBorders>
            <w:shd w:val="clear" w:color="auto" w:fill="auto"/>
            <w:noWrap/>
            <w:vAlign w:val="bottom"/>
            <w:hideMark/>
          </w:tcPr>
          <w:p w14:paraId="4FA43F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13,841.8</w:t>
            </w:r>
          </w:p>
        </w:tc>
        <w:tc>
          <w:tcPr>
            <w:tcW w:w="910" w:type="dxa"/>
            <w:tcBorders>
              <w:top w:val="nil"/>
              <w:left w:val="nil"/>
              <w:bottom w:val="nil"/>
              <w:right w:val="nil"/>
            </w:tcBorders>
            <w:shd w:val="clear" w:color="auto" w:fill="auto"/>
            <w:noWrap/>
            <w:vAlign w:val="bottom"/>
            <w:hideMark/>
          </w:tcPr>
          <w:p w14:paraId="6B28ABE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1258405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5EA85DA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7C1CF3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4AF69775" w14:textId="77777777" w:rsidTr="00855621">
        <w:trPr>
          <w:trHeight w:val="210"/>
        </w:trPr>
        <w:tc>
          <w:tcPr>
            <w:tcW w:w="450" w:type="dxa"/>
            <w:tcBorders>
              <w:top w:val="nil"/>
              <w:left w:val="nil"/>
              <w:bottom w:val="nil"/>
              <w:right w:val="nil"/>
            </w:tcBorders>
            <w:shd w:val="clear" w:color="auto" w:fill="auto"/>
            <w:noWrap/>
            <w:hideMark/>
          </w:tcPr>
          <w:p w14:paraId="5F26E5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w:t>
            </w:r>
          </w:p>
        </w:tc>
        <w:tc>
          <w:tcPr>
            <w:tcW w:w="5130" w:type="dxa"/>
            <w:tcBorders>
              <w:top w:val="nil"/>
              <w:left w:val="nil"/>
              <w:bottom w:val="nil"/>
              <w:right w:val="nil"/>
            </w:tcBorders>
            <w:shd w:val="clear" w:color="auto" w:fill="auto"/>
            <w:noWrap/>
            <w:vAlign w:val="bottom"/>
            <w:hideMark/>
          </w:tcPr>
          <w:p w14:paraId="7242FE9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real estate owned by retired persons, people with disabilities, participants in the Chernobyl clean-up, and war veterans</w:t>
            </w:r>
          </w:p>
        </w:tc>
        <w:tc>
          <w:tcPr>
            <w:tcW w:w="910" w:type="dxa"/>
            <w:tcBorders>
              <w:top w:val="nil"/>
              <w:left w:val="nil"/>
              <w:bottom w:val="nil"/>
              <w:right w:val="nil"/>
            </w:tcBorders>
            <w:shd w:val="clear" w:color="auto" w:fill="auto"/>
            <w:noWrap/>
            <w:vAlign w:val="bottom"/>
            <w:hideMark/>
          </w:tcPr>
          <w:p w14:paraId="0F2CCE4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44F340B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43,440.3</w:t>
            </w:r>
          </w:p>
        </w:tc>
        <w:tc>
          <w:tcPr>
            <w:tcW w:w="910" w:type="dxa"/>
            <w:tcBorders>
              <w:top w:val="nil"/>
              <w:left w:val="nil"/>
              <w:bottom w:val="nil"/>
              <w:right w:val="nil"/>
            </w:tcBorders>
            <w:shd w:val="clear" w:color="auto" w:fill="auto"/>
            <w:noWrap/>
            <w:vAlign w:val="bottom"/>
            <w:hideMark/>
          </w:tcPr>
          <w:p w14:paraId="4306265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30,428.1</w:t>
            </w:r>
          </w:p>
        </w:tc>
        <w:tc>
          <w:tcPr>
            <w:tcW w:w="910" w:type="dxa"/>
            <w:tcBorders>
              <w:top w:val="nil"/>
              <w:left w:val="nil"/>
              <w:bottom w:val="nil"/>
              <w:right w:val="nil"/>
            </w:tcBorders>
            <w:shd w:val="clear" w:color="auto" w:fill="auto"/>
            <w:noWrap/>
            <w:vAlign w:val="bottom"/>
            <w:hideMark/>
          </w:tcPr>
          <w:p w14:paraId="5DF98F2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67,429.7</w:t>
            </w:r>
          </w:p>
        </w:tc>
        <w:tc>
          <w:tcPr>
            <w:tcW w:w="910" w:type="dxa"/>
            <w:tcBorders>
              <w:top w:val="nil"/>
              <w:left w:val="nil"/>
              <w:bottom w:val="nil"/>
              <w:right w:val="nil"/>
            </w:tcBorders>
            <w:shd w:val="clear" w:color="auto" w:fill="auto"/>
            <w:noWrap/>
            <w:vAlign w:val="bottom"/>
            <w:hideMark/>
          </w:tcPr>
          <w:p w14:paraId="49F4AF5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BB54EB0" w14:textId="77777777" w:rsidTr="00855621">
        <w:trPr>
          <w:trHeight w:val="210"/>
        </w:trPr>
        <w:tc>
          <w:tcPr>
            <w:tcW w:w="450" w:type="dxa"/>
            <w:tcBorders>
              <w:top w:val="nil"/>
              <w:left w:val="nil"/>
              <w:bottom w:val="nil"/>
              <w:right w:val="nil"/>
            </w:tcBorders>
            <w:shd w:val="clear" w:color="auto" w:fill="auto"/>
            <w:noWrap/>
            <w:hideMark/>
          </w:tcPr>
          <w:p w14:paraId="711D45F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w:t>
            </w:r>
          </w:p>
        </w:tc>
        <w:tc>
          <w:tcPr>
            <w:tcW w:w="5130" w:type="dxa"/>
            <w:tcBorders>
              <w:top w:val="nil"/>
              <w:left w:val="nil"/>
              <w:bottom w:val="nil"/>
              <w:right w:val="nil"/>
            </w:tcBorders>
            <w:shd w:val="clear" w:color="auto" w:fill="auto"/>
            <w:noWrap/>
            <w:vAlign w:val="bottom"/>
            <w:hideMark/>
          </w:tcPr>
          <w:p w14:paraId="0B11BBC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immovable property owned by war veterans, including their family members, who fought for the Moldovan territorial integrity and independence</w:t>
            </w:r>
          </w:p>
        </w:tc>
        <w:tc>
          <w:tcPr>
            <w:tcW w:w="910" w:type="dxa"/>
            <w:tcBorders>
              <w:top w:val="nil"/>
              <w:left w:val="nil"/>
              <w:bottom w:val="nil"/>
              <w:right w:val="nil"/>
            </w:tcBorders>
            <w:shd w:val="clear" w:color="auto" w:fill="auto"/>
            <w:noWrap/>
            <w:vAlign w:val="bottom"/>
            <w:hideMark/>
          </w:tcPr>
          <w:p w14:paraId="425D407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0E7F158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3,499.7</w:t>
            </w:r>
          </w:p>
        </w:tc>
        <w:tc>
          <w:tcPr>
            <w:tcW w:w="910" w:type="dxa"/>
            <w:tcBorders>
              <w:top w:val="nil"/>
              <w:left w:val="nil"/>
              <w:bottom w:val="nil"/>
              <w:right w:val="nil"/>
            </w:tcBorders>
            <w:shd w:val="clear" w:color="auto" w:fill="auto"/>
            <w:noWrap/>
            <w:vAlign w:val="bottom"/>
            <w:hideMark/>
          </w:tcPr>
          <w:p w14:paraId="3C68F4D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2,259.7</w:t>
            </w:r>
          </w:p>
        </w:tc>
        <w:tc>
          <w:tcPr>
            <w:tcW w:w="910" w:type="dxa"/>
            <w:tcBorders>
              <w:top w:val="nil"/>
              <w:left w:val="nil"/>
              <w:bottom w:val="nil"/>
              <w:right w:val="nil"/>
            </w:tcBorders>
            <w:shd w:val="clear" w:color="auto" w:fill="auto"/>
            <w:noWrap/>
            <w:vAlign w:val="bottom"/>
            <w:hideMark/>
          </w:tcPr>
          <w:p w14:paraId="2186BDE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3,029.7</w:t>
            </w:r>
          </w:p>
        </w:tc>
        <w:tc>
          <w:tcPr>
            <w:tcW w:w="910" w:type="dxa"/>
            <w:tcBorders>
              <w:top w:val="nil"/>
              <w:left w:val="nil"/>
              <w:bottom w:val="nil"/>
              <w:right w:val="nil"/>
            </w:tcBorders>
            <w:shd w:val="clear" w:color="auto" w:fill="auto"/>
            <w:noWrap/>
            <w:vAlign w:val="bottom"/>
            <w:hideMark/>
          </w:tcPr>
          <w:p w14:paraId="4930AEF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09641E4" w14:textId="77777777" w:rsidTr="00855621">
        <w:trPr>
          <w:trHeight w:val="210"/>
        </w:trPr>
        <w:tc>
          <w:tcPr>
            <w:tcW w:w="450" w:type="dxa"/>
            <w:tcBorders>
              <w:top w:val="nil"/>
              <w:left w:val="nil"/>
              <w:bottom w:val="nil"/>
              <w:right w:val="nil"/>
            </w:tcBorders>
            <w:shd w:val="clear" w:color="auto" w:fill="auto"/>
            <w:noWrap/>
            <w:hideMark/>
          </w:tcPr>
          <w:p w14:paraId="259893A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5130" w:type="dxa"/>
            <w:tcBorders>
              <w:top w:val="nil"/>
              <w:left w:val="nil"/>
              <w:bottom w:val="nil"/>
              <w:right w:val="nil"/>
            </w:tcBorders>
            <w:shd w:val="clear" w:color="auto" w:fill="auto"/>
            <w:noWrap/>
            <w:vAlign w:val="bottom"/>
            <w:hideMark/>
          </w:tcPr>
          <w:p w14:paraId="6966105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immovable property owned by family members of war veterans who fought in Afghanistan combat operations</w:t>
            </w:r>
          </w:p>
        </w:tc>
        <w:tc>
          <w:tcPr>
            <w:tcW w:w="910" w:type="dxa"/>
            <w:tcBorders>
              <w:top w:val="nil"/>
              <w:left w:val="nil"/>
              <w:bottom w:val="nil"/>
              <w:right w:val="nil"/>
            </w:tcBorders>
            <w:shd w:val="clear" w:color="auto" w:fill="auto"/>
            <w:noWrap/>
            <w:vAlign w:val="bottom"/>
            <w:hideMark/>
          </w:tcPr>
          <w:p w14:paraId="0B8CBD4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52,588.8</w:t>
            </w:r>
          </w:p>
        </w:tc>
        <w:tc>
          <w:tcPr>
            <w:tcW w:w="910" w:type="dxa"/>
            <w:tcBorders>
              <w:top w:val="nil"/>
              <w:left w:val="nil"/>
              <w:bottom w:val="nil"/>
              <w:right w:val="nil"/>
            </w:tcBorders>
            <w:shd w:val="clear" w:color="auto" w:fill="auto"/>
            <w:noWrap/>
            <w:vAlign w:val="bottom"/>
            <w:hideMark/>
          </w:tcPr>
          <w:p w14:paraId="314736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263.9</w:t>
            </w:r>
          </w:p>
        </w:tc>
        <w:tc>
          <w:tcPr>
            <w:tcW w:w="910" w:type="dxa"/>
            <w:tcBorders>
              <w:top w:val="nil"/>
              <w:left w:val="nil"/>
              <w:bottom w:val="nil"/>
              <w:right w:val="nil"/>
            </w:tcBorders>
            <w:shd w:val="clear" w:color="auto" w:fill="auto"/>
            <w:noWrap/>
            <w:vAlign w:val="bottom"/>
            <w:hideMark/>
          </w:tcPr>
          <w:p w14:paraId="1412D0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183.4</w:t>
            </w:r>
          </w:p>
        </w:tc>
        <w:tc>
          <w:tcPr>
            <w:tcW w:w="910" w:type="dxa"/>
            <w:tcBorders>
              <w:top w:val="nil"/>
              <w:left w:val="nil"/>
              <w:bottom w:val="nil"/>
              <w:right w:val="nil"/>
            </w:tcBorders>
            <w:shd w:val="clear" w:color="auto" w:fill="auto"/>
            <w:noWrap/>
            <w:vAlign w:val="bottom"/>
            <w:hideMark/>
          </w:tcPr>
          <w:p w14:paraId="30D7A2B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270.1</w:t>
            </w:r>
          </w:p>
        </w:tc>
        <w:tc>
          <w:tcPr>
            <w:tcW w:w="910" w:type="dxa"/>
            <w:tcBorders>
              <w:top w:val="nil"/>
              <w:left w:val="nil"/>
              <w:bottom w:val="nil"/>
              <w:right w:val="nil"/>
            </w:tcBorders>
            <w:shd w:val="clear" w:color="auto" w:fill="auto"/>
            <w:noWrap/>
            <w:vAlign w:val="bottom"/>
            <w:hideMark/>
          </w:tcPr>
          <w:p w14:paraId="5B8B0D9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4AA5E102" w14:textId="77777777" w:rsidTr="00855621">
        <w:trPr>
          <w:trHeight w:val="210"/>
        </w:trPr>
        <w:tc>
          <w:tcPr>
            <w:tcW w:w="450" w:type="dxa"/>
            <w:tcBorders>
              <w:top w:val="nil"/>
              <w:left w:val="nil"/>
              <w:bottom w:val="nil"/>
              <w:right w:val="nil"/>
            </w:tcBorders>
            <w:shd w:val="clear" w:color="auto" w:fill="auto"/>
            <w:noWrap/>
            <w:hideMark/>
          </w:tcPr>
          <w:p w14:paraId="1F6A72F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w:t>
            </w:r>
          </w:p>
        </w:tc>
        <w:tc>
          <w:tcPr>
            <w:tcW w:w="5130" w:type="dxa"/>
            <w:tcBorders>
              <w:top w:val="nil"/>
              <w:left w:val="nil"/>
              <w:bottom w:val="nil"/>
              <w:right w:val="nil"/>
            </w:tcBorders>
            <w:shd w:val="clear" w:color="auto" w:fill="auto"/>
            <w:noWrap/>
            <w:vAlign w:val="bottom"/>
            <w:hideMark/>
          </w:tcPr>
          <w:p w14:paraId="51CA1F5D"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families with children with disabilities younger than 18 years and members of families who are permanently caring and provide for persons with disabilities shall be exempted from RE</w:t>
            </w:r>
          </w:p>
        </w:tc>
        <w:tc>
          <w:tcPr>
            <w:tcW w:w="910" w:type="dxa"/>
            <w:tcBorders>
              <w:top w:val="nil"/>
              <w:left w:val="nil"/>
              <w:bottom w:val="nil"/>
              <w:right w:val="nil"/>
            </w:tcBorders>
            <w:shd w:val="clear" w:color="auto" w:fill="auto"/>
            <w:noWrap/>
            <w:vAlign w:val="bottom"/>
            <w:hideMark/>
          </w:tcPr>
          <w:p w14:paraId="522214C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008309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144.1</w:t>
            </w:r>
          </w:p>
        </w:tc>
        <w:tc>
          <w:tcPr>
            <w:tcW w:w="910" w:type="dxa"/>
            <w:tcBorders>
              <w:top w:val="nil"/>
              <w:left w:val="nil"/>
              <w:bottom w:val="nil"/>
              <w:right w:val="nil"/>
            </w:tcBorders>
            <w:shd w:val="clear" w:color="auto" w:fill="auto"/>
            <w:noWrap/>
            <w:vAlign w:val="bottom"/>
            <w:hideMark/>
          </w:tcPr>
          <w:p w14:paraId="3E1907B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181.0</w:t>
            </w:r>
          </w:p>
        </w:tc>
        <w:tc>
          <w:tcPr>
            <w:tcW w:w="910" w:type="dxa"/>
            <w:tcBorders>
              <w:top w:val="nil"/>
              <w:left w:val="nil"/>
              <w:bottom w:val="nil"/>
              <w:right w:val="nil"/>
            </w:tcBorders>
            <w:shd w:val="clear" w:color="auto" w:fill="auto"/>
            <w:noWrap/>
            <w:vAlign w:val="bottom"/>
            <w:hideMark/>
          </w:tcPr>
          <w:p w14:paraId="614943C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211.1</w:t>
            </w:r>
          </w:p>
        </w:tc>
        <w:tc>
          <w:tcPr>
            <w:tcW w:w="910" w:type="dxa"/>
            <w:tcBorders>
              <w:top w:val="nil"/>
              <w:left w:val="nil"/>
              <w:bottom w:val="nil"/>
              <w:right w:val="nil"/>
            </w:tcBorders>
            <w:shd w:val="clear" w:color="auto" w:fill="auto"/>
            <w:noWrap/>
            <w:vAlign w:val="bottom"/>
            <w:hideMark/>
          </w:tcPr>
          <w:p w14:paraId="52BA283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C10BBCE" w14:textId="77777777" w:rsidTr="00855621">
        <w:trPr>
          <w:trHeight w:val="210"/>
        </w:trPr>
        <w:tc>
          <w:tcPr>
            <w:tcW w:w="450" w:type="dxa"/>
            <w:tcBorders>
              <w:top w:val="nil"/>
              <w:left w:val="nil"/>
              <w:bottom w:val="nil"/>
              <w:right w:val="nil"/>
            </w:tcBorders>
            <w:shd w:val="clear" w:color="auto" w:fill="auto"/>
            <w:noWrap/>
            <w:hideMark/>
          </w:tcPr>
          <w:p w14:paraId="58B5DC7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w:t>
            </w:r>
          </w:p>
        </w:tc>
        <w:tc>
          <w:tcPr>
            <w:tcW w:w="5130" w:type="dxa"/>
            <w:tcBorders>
              <w:top w:val="nil"/>
              <w:left w:val="nil"/>
              <w:bottom w:val="nil"/>
              <w:right w:val="nil"/>
            </w:tcBorders>
            <w:shd w:val="clear" w:color="auto" w:fill="auto"/>
            <w:noWrap/>
            <w:vAlign w:val="bottom"/>
            <w:hideMark/>
          </w:tcPr>
          <w:p w14:paraId="53D6EFA2"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families of persons who died from diseases acquired as a result of working on the clean-up of the consequences of the Chernobyl NPS accident and their dependents</w:t>
            </w:r>
          </w:p>
        </w:tc>
        <w:tc>
          <w:tcPr>
            <w:tcW w:w="910" w:type="dxa"/>
            <w:tcBorders>
              <w:top w:val="nil"/>
              <w:left w:val="nil"/>
              <w:bottom w:val="nil"/>
              <w:right w:val="nil"/>
            </w:tcBorders>
            <w:shd w:val="clear" w:color="auto" w:fill="auto"/>
            <w:noWrap/>
            <w:vAlign w:val="bottom"/>
            <w:hideMark/>
          </w:tcPr>
          <w:p w14:paraId="77B3FB1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4EB5322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60.6</w:t>
            </w:r>
          </w:p>
        </w:tc>
        <w:tc>
          <w:tcPr>
            <w:tcW w:w="910" w:type="dxa"/>
            <w:tcBorders>
              <w:top w:val="nil"/>
              <w:left w:val="nil"/>
              <w:bottom w:val="nil"/>
              <w:right w:val="nil"/>
            </w:tcBorders>
            <w:shd w:val="clear" w:color="auto" w:fill="auto"/>
            <w:noWrap/>
            <w:vAlign w:val="bottom"/>
            <w:hideMark/>
          </w:tcPr>
          <w:p w14:paraId="1852831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34.1</w:t>
            </w:r>
          </w:p>
        </w:tc>
        <w:tc>
          <w:tcPr>
            <w:tcW w:w="910" w:type="dxa"/>
            <w:tcBorders>
              <w:top w:val="nil"/>
              <w:left w:val="nil"/>
              <w:bottom w:val="nil"/>
              <w:right w:val="nil"/>
            </w:tcBorders>
            <w:shd w:val="clear" w:color="auto" w:fill="auto"/>
            <w:noWrap/>
            <w:vAlign w:val="bottom"/>
            <w:hideMark/>
          </w:tcPr>
          <w:p w14:paraId="307C2A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52.8</w:t>
            </w:r>
          </w:p>
        </w:tc>
        <w:tc>
          <w:tcPr>
            <w:tcW w:w="910" w:type="dxa"/>
            <w:tcBorders>
              <w:top w:val="nil"/>
              <w:left w:val="nil"/>
              <w:bottom w:val="nil"/>
              <w:right w:val="nil"/>
            </w:tcBorders>
            <w:shd w:val="clear" w:color="auto" w:fill="auto"/>
            <w:noWrap/>
            <w:vAlign w:val="bottom"/>
            <w:hideMark/>
          </w:tcPr>
          <w:p w14:paraId="26642CA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B6C3F4E" w14:textId="77777777" w:rsidTr="00855621">
        <w:trPr>
          <w:trHeight w:val="210"/>
        </w:trPr>
        <w:tc>
          <w:tcPr>
            <w:tcW w:w="450" w:type="dxa"/>
            <w:tcBorders>
              <w:top w:val="nil"/>
              <w:left w:val="nil"/>
              <w:bottom w:val="nil"/>
              <w:right w:val="nil"/>
            </w:tcBorders>
            <w:shd w:val="clear" w:color="auto" w:fill="auto"/>
            <w:noWrap/>
            <w:hideMark/>
          </w:tcPr>
          <w:p w14:paraId="5901CB3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w:t>
            </w:r>
          </w:p>
        </w:tc>
        <w:tc>
          <w:tcPr>
            <w:tcW w:w="5130" w:type="dxa"/>
            <w:tcBorders>
              <w:top w:val="nil"/>
              <w:left w:val="nil"/>
              <w:bottom w:val="nil"/>
              <w:right w:val="nil"/>
            </w:tcBorders>
            <w:shd w:val="clear" w:color="auto" w:fill="auto"/>
            <w:noWrap/>
            <w:vAlign w:val="bottom"/>
            <w:hideMark/>
          </w:tcPr>
          <w:p w14:paraId="34DCEC4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property owned by public medical and sanitary institutions financed from the mandatory health insurance funds</w:t>
            </w:r>
          </w:p>
        </w:tc>
        <w:tc>
          <w:tcPr>
            <w:tcW w:w="910" w:type="dxa"/>
            <w:tcBorders>
              <w:top w:val="nil"/>
              <w:left w:val="nil"/>
              <w:bottom w:val="nil"/>
              <w:right w:val="nil"/>
            </w:tcBorders>
            <w:shd w:val="clear" w:color="auto" w:fill="auto"/>
            <w:noWrap/>
            <w:vAlign w:val="bottom"/>
            <w:hideMark/>
          </w:tcPr>
          <w:p w14:paraId="1A61DCC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3,413.9</w:t>
            </w:r>
          </w:p>
        </w:tc>
        <w:tc>
          <w:tcPr>
            <w:tcW w:w="910" w:type="dxa"/>
            <w:tcBorders>
              <w:top w:val="nil"/>
              <w:left w:val="nil"/>
              <w:bottom w:val="nil"/>
              <w:right w:val="nil"/>
            </w:tcBorders>
            <w:shd w:val="clear" w:color="auto" w:fill="auto"/>
            <w:noWrap/>
            <w:vAlign w:val="bottom"/>
            <w:hideMark/>
          </w:tcPr>
          <w:p w14:paraId="375E93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7,746.7</w:t>
            </w:r>
          </w:p>
        </w:tc>
        <w:tc>
          <w:tcPr>
            <w:tcW w:w="910" w:type="dxa"/>
            <w:tcBorders>
              <w:top w:val="nil"/>
              <w:left w:val="nil"/>
              <w:bottom w:val="nil"/>
              <w:right w:val="nil"/>
            </w:tcBorders>
            <w:shd w:val="clear" w:color="auto" w:fill="auto"/>
            <w:noWrap/>
            <w:vAlign w:val="bottom"/>
            <w:hideMark/>
          </w:tcPr>
          <w:p w14:paraId="425FE30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20,134.7</w:t>
            </w:r>
          </w:p>
        </w:tc>
        <w:tc>
          <w:tcPr>
            <w:tcW w:w="910" w:type="dxa"/>
            <w:tcBorders>
              <w:top w:val="nil"/>
              <w:left w:val="nil"/>
              <w:bottom w:val="nil"/>
              <w:right w:val="nil"/>
            </w:tcBorders>
            <w:shd w:val="clear" w:color="auto" w:fill="auto"/>
            <w:noWrap/>
            <w:vAlign w:val="bottom"/>
            <w:hideMark/>
          </w:tcPr>
          <w:p w14:paraId="7395F52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24,891.8</w:t>
            </w:r>
          </w:p>
        </w:tc>
        <w:tc>
          <w:tcPr>
            <w:tcW w:w="910" w:type="dxa"/>
            <w:tcBorders>
              <w:top w:val="nil"/>
              <w:left w:val="nil"/>
              <w:bottom w:val="nil"/>
              <w:right w:val="nil"/>
            </w:tcBorders>
            <w:shd w:val="clear" w:color="auto" w:fill="auto"/>
            <w:noWrap/>
            <w:vAlign w:val="bottom"/>
            <w:hideMark/>
          </w:tcPr>
          <w:p w14:paraId="5AEC04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FC5B145" w14:textId="77777777" w:rsidTr="00855621">
        <w:trPr>
          <w:trHeight w:val="210"/>
        </w:trPr>
        <w:tc>
          <w:tcPr>
            <w:tcW w:w="450" w:type="dxa"/>
            <w:tcBorders>
              <w:top w:val="nil"/>
              <w:left w:val="nil"/>
              <w:bottom w:val="nil"/>
              <w:right w:val="nil"/>
            </w:tcBorders>
            <w:shd w:val="clear" w:color="auto" w:fill="auto"/>
            <w:noWrap/>
            <w:hideMark/>
          </w:tcPr>
          <w:p w14:paraId="72C5595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w:t>
            </w:r>
          </w:p>
        </w:tc>
        <w:tc>
          <w:tcPr>
            <w:tcW w:w="5130" w:type="dxa"/>
            <w:tcBorders>
              <w:top w:val="nil"/>
              <w:left w:val="nil"/>
              <w:bottom w:val="nil"/>
              <w:right w:val="nil"/>
            </w:tcBorders>
            <w:shd w:val="clear" w:color="auto" w:fill="auto"/>
            <w:noWrap/>
            <w:vAlign w:val="bottom"/>
            <w:hideMark/>
          </w:tcPr>
          <w:p w14:paraId="18006B4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the National Health Insurance Company and its territorial agencies</w:t>
            </w:r>
          </w:p>
        </w:tc>
        <w:tc>
          <w:tcPr>
            <w:tcW w:w="910" w:type="dxa"/>
            <w:tcBorders>
              <w:top w:val="nil"/>
              <w:left w:val="nil"/>
              <w:bottom w:val="nil"/>
              <w:right w:val="nil"/>
            </w:tcBorders>
            <w:shd w:val="clear" w:color="auto" w:fill="auto"/>
            <w:noWrap/>
            <w:vAlign w:val="bottom"/>
            <w:hideMark/>
          </w:tcPr>
          <w:p w14:paraId="6320E14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16.8</w:t>
            </w:r>
          </w:p>
        </w:tc>
        <w:tc>
          <w:tcPr>
            <w:tcW w:w="910" w:type="dxa"/>
            <w:tcBorders>
              <w:top w:val="nil"/>
              <w:left w:val="nil"/>
              <w:bottom w:val="nil"/>
              <w:right w:val="nil"/>
            </w:tcBorders>
            <w:shd w:val="clear" w:color="auto" w:fill="auto"/>
            <w:noWrap/>
            <w:vAlign w:val="bottom"/>
            <w:hideMark/>
          </w:tcPr>
          <w:p w14:paraId="7F6E5F9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15,975.2</w:t>
            </w:r>
          </w:p>
        </w:tc>
        <w:tc>
          <w:tcPr>
            <w:tcW w:w="910" w:type="dxa"/>
            <w:tcBorders>
              <w:top w:val="nil"/>
              <w:left w:val="nil"/>
              <w:bottom w:val="nil"/>
              <w:right w:val="nil"/>
            </w:tcBorders>
            <w:shd w:val="clear" w:color="auto" w:fill="auto"/>
            <w:noWrap/>
            <w:vAlign w:val="bottom"/>
            <w:hideMark/>
          </w:tcPr>
          <w:p w14:paraId="485704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1,912.8</w:t>
            </w:r>
          </w:p>
        </w:tc>
        <w:tc>
          <w:tcPr>
            <w:tcW w:w="910" w:type="dxa"/>
            <w:tcBorders>
              <w:top w:val="nil"/>
              <w:left w:val="nil"/>
              <w:bottom w:val="nil"/>
              <w:right w:val="nil"/>
            </w:tcBorders>
            <w:shd w:val="clear" w:color="auto" w:fill="auto"/>
            <w:noWrap/>
            <w:vAlign w:val="bottom"/>
            <w:hideMark/>
          </w:tcPr>
          <w:p w14:paraId="4D5621B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7C590F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4128A723" w14:textId="77777777" w:rsidTr="00855621">
        <w:trPr>
          <w:trHeight w:val="210"/>
        </w:trPr>
        <w:tc>
          <w:tcPr>
            <w:tcW w:w="450" w:type="dxa"/>
            <w:tcBorders>
              <w:top w:val="nil"/>
              <w:left w:val="nil"/>
              <w:bottom w:val="nil"/>
              <w:right w:val="nil"/>
            </w:tcBorders>
            <w:shd w:val="clear" w:color="auto" w:fill="auto"/>
            <w:noWrap/>
            <w:hideMark/>
          </w:tcPr>
          <w:p w14:paraId="5E2E95B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w:t>
            </w:r>
          </w:p>
        </w:tc>
        <w:tc>
          <w:tcPr>
            <w:tcW w:w="5130" w:type="dxa"/>
            <w:tcBorders>
              <w:top w:val="nil"/>
              <w:left w:val="nil"/>
              <w:bottom w:val="nil"/>
              <w:right w:val="nil"/>
            </w:tcBorders>
            <w:shd w:val="clear" w:color="auto" w:fill="auto"/>
            <w:noWrap/>
            <w:vAlign w:val="bottom"/>
            <w:hideMark/>
          </w:tcPr>
          <w:p w14:paraId="3C3315E7"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the National Bank of Moldova</w:t>
            </w:r>
          </w:p>
        </w:tc>
        <w:tc>
          <w:tcPr>
            <w:tcW w:w="910" w:type="dxa"/>
            <w:tcBorders>
              <w:top w:val="nil"/>
              <w:left w:val="nil"/>
              <w:bottom w:val="nil"/>
              <w:right w:val="nil"/>
            </w:tcBorders>
            <w:shd w:val="clear" w:color="auto" w:fill="auto"/>
            <w:noWrap/>
            <w:vAlign w:val="bottom"/>
            <w:hideMark/>
          </w:tcPr>
          <w:p w14:paraId="0EDC192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25,720.7</w:t>
            </w:r>
          </w:p>
        </w:tc>
        <w:tc>
          <w:tcPr>
            <w:tcW w:w="910" w:type="dxa"/>
            <w:tcBorders>
              <w:top w:val="nil"/>
              <w:left w:val="nil"/>
              <w:bottom w:val="nil"/>
              <w:right w:val="nil"/>
            </w:tcBorders>
            <w:shd w:val="clear" w:color="auto" w:fill="auto"/>
            <w:noWrap/>
            <w:vAlign w:val="bottom"/>
            <w:hideMark/>
          </w:tcPr>
          <w:p w14:paraId="2CBCFB8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44.7</w:t>
            </w:r>
          </w:p>
        </w:tc>
        <w:tc>
          <w:tcPr>
            <w:tcW w:w="910" w:type="dxa"/>
            <w:tcBorders>
              <w:top w:val="nil"/>
              <w:left w:val="nil"/>
              <w:bottom w:val="nil"/>
              <w:right w:val="nil"/>
            </w:tcBorders>
            <w:shd w:val="clear" w:color="auto" w:fill="auto"/>
            <w:noWrap/>
            <w:vAlign w:val="bottom"/>
            <w:hideMark/>
          </w:tcPr>
          <w:p w14:paraId="690948A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116.2</w:t>
            </w:r>
          </w:p>
        </w:tc>
        <w:tc>
          <w:tcPr>
            <w:tcW w:w="910" w:type="dxa"/>
            <w:tcBorders>
              <w:top w:val="nil"/>
              <w:left w:val="nil"/>
              <w:bottom w:val="nil"/>
              <w:right w:val="nil"/>
            </w:tcBorders>
            <w:shd w:val="clear" w:color="auto" w:fill="auto"/>
            <w:noWrap/>
            <w:vAlign w:val="bottom"/>
            <w:hideMark/>
          </w:tcPr>
          <w:p w14:paraId="2434D86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116.2</w:t>
            </w:r>
          </w:p>
        </w:tc>
        <w:tc>
          <w:tcPr>
            <w:tcW w:w="910" w:type="dxa"/>
            <w:tcBorders>
              <w:top w:val="nil"/>
              <w:left w:val="nil"/>
              <w:bottom w:val="nil"/>
              <w:right w:val="nil"/>
            </w:tcBorders>
            <w:shd w:val="clear" w:color="auto" w:fill="auto"/>
            <w:noWrap/>
            <w:vAlign w:val="bottom"/>
            <w:hideMark/>
          </w:tcPr>
          <w:p w14:paraId="1A5EC7E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9E1F837" w14:textId="77777777" w:rsidTr="00855621">
        <w:trPr>
          <w:trHeight w:val="210"/>
        </w:trPr>
        <w:tc>
          <w:tcPr>
            <w:tcW w:w="450" w:type="dxa"/>
            <w:tcBorders>
              <w:top w:val="nil"/>
              <w:left w:val="nil"/>
              <w:bottom w:val="nil"/>
              <w:right w:val="nil"/>
            </w:tcBorders>
            <w:shd w:val="clear" w:color="auto" w:fill="auto"/>
            <w:noWrap/>
            <w:hideMark/>
          </w:tcPr>
          <w:p w14:paraId="4FA0D3F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w:t>
            </w:r>
          </w:p>
        </w:tc>
        <w:tc>
          <w:tcPr>
            <w:tcW w:w="5130" w:type="dxa"/>
            <w:tcBorders>
              <w:top w:val="nil"/>
              <w:left w:val="nil"/>
              <w:bottom w:val="nil"/>
              <w:right w:val="nil"/>
            </w:tcBorders>
            <w:shd w:val="clear" w:color="auto" w:fill="auto"/>
            <w:noWrap/>
            <w:vAlign w:val="bottom"/>
            <w:hideMark/>
          </w:tcPr>
          <w:p w14:paraId="67F073E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owners or holders of property requisitioned in the public interest during the requisition period</w:t>
            </w:r>
          </w:p>
        </w:tc>
        <w:tc>
          <w:tcPr>
            <w:tcW w:w="910" w:type="dxa"/>
            <w:tcBorders>
              <w:top w:val="nil"/>
              <w:left w:val="nil"/>
              <w:bottom w:val="nil"/>
              <w:right w:val="nil"/>
            </w:tcBorders>
            <w:shd w:val="clear" w:color="auto" w:fill="auto"/>
            <w:noWrap/>
            <w:vAlign w:val="bottom"/>
            <w:hideMark/>
          </w:tcPr>
          <w:p w14:paraId="0E9C836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256A99C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99.3</w:t>
            </w:r>
          </w:p>
        </w:tc>
        <w:tc>
          <w:tcPr>
            <w:tcW w:w="910" w:type="dxa"/>
            <w:tcBorders>
              <w:top w:val="nil"/>
              <w:left w:val="nil"/>
              <w:bottom w:val="nil"/>
              <w:right w:val="nil"/>
            </w:tcBorders>
            <w:shd w:val="clear" w:color="auto" w:fill="auto"/>
            <w:noWrap/>
            <w:vAlign w:val="bottom"/>
            <w:hideMark/>
          </w:tcPr>
          <w:p w14:paraId="059A557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66.3</w:t>
            </w:r>
          </w:p>
        </w:tc>
        <w:tc>
          <w:tcPr>
            <w:tcW w:w="910" w:type="dxa"/>
            <w:tcBorders>
              <w:top w:val="nil"/>
              <w:left w:val="nil"/>
              <w:bottom w:val="nil"/>
              <w:right w:val="nil"/>
            </w:tcBorders>
            <w:shd w:val="clear" w:color="auto" w:fill="auto"/>
            <w:noWrap/>
            <w:vAlign w:val="bottom"/>
            <w:hideMark/>
          </w:tcPr>
          <w:p w14:paraId="0CCC83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33.3</w:t>
            </w:r>
          </w:p>
        </w:tc>
        <w:tc>
          <w:tcPr>
            <w:tcW w:w="910" w:type="dxa"/>
            <w:tcBorders>
              <w:top w:val="nil"/>
              <w:left w:val="nil"/>
              <w:bottom w:val="nil"/>
              <w:right w:val="nil"/>
            </w:tcBorders>
            <w:shd w:val="clear" w:color="auto" w:fill="auto"/>
            <w:noWrap/>
            <w:vAlign w:val="bottom"/>
            <w:hideMark/>
          </w:tcPr>
          <w:p w14:paraId="1CEFE2F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41BA783F" w14:textId="77777777" w:rsidTr="00855621">
        <w:trPr>
          <w:trHeight w:val="210"/>
        </w:trPr>
        <w:tc>
          <w:tcPr>
            <w:tcW w:w="450" w:type="dxa"/>
            <w:tcBorders>
              <w:top w:val="nil"/>
              <w:left w:val="nil"/>
              <w:bottom w:val="nil"/>
              <w:right w:val="nil"/>
            </w:tcBorders>
            <w:shd w:val="clear" w:color="auto" w:fill="auto"/>
            <w:noWrap/>
            <w:hideMark/>
          </w:tcPr>
          <w:p w14:paraId="2CFC267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w:t>
            </w:r>
          </w:p>
        </w:tc>
        <w:tc>
          <w:tcPr>
            <w:tcW w:w="5130" w:type="dxa"/>
            <w:tcBorders>
              <w:top w:val="nil"/>
              <w:left w:val="nil"/>
              <w:bottom w:val="nil"/>
              <w:right w:val="nil"/>
            </w:tcBorders>
            <w:shd w:val="clear" w:color="auto" w:fill="auto"/>
            <w:noWrap/>
            <w:vAlign w:val="bottom"/>
            <w:hideMark/>
          </w:tcPr>
          <w:p w14:paraId="605C0D2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non-commercial organizations that meet the requirements of Art.52 within which social welfare institutions operate.</w:t>
            </w:r>
          </w:p>
        </w:tc>
        <w:tc>
          <w:tcPr>
            <w:tcW w:w="910" w:type="dxa"/>
            <w:tcBorders>
              <w:top w:val="nil"/>
              <w:left w:val="nil"/>
              <w:bottom w:val="nil"/>
              <w:right w:val="nil"/>
            </w:tcBorders>
            <w:shd w:val="clear" w:color="auto" w:fill="auto"/>
            <w:noWrap/>
            <w:vAlign w:val="bottom"/>
            <w:hideMark/>
          </w:tcPr>
          <w:p w14:paraId="46706E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3,802.2</w:t>
            </w:r>
          </w:p>
        </w:tc>
        <w:tc>
          <w:tcPr>
            <w:tcW w:w="910" w:type="dxa"/>
            <w:tcBorders>
              <w:top w:val="nil"/>
              <w:left w:val="nil"/>
              <w:bottom w:val="nil"/>
              <w:right w:val="nil"/>
            </w:tcBorders>
            <w:shd w:val="clear" w:color="auto" w:fill="auto"/>
            <w:noWrap/>
            <w:vAlign w:val="bottom"/>
            <w:hideMark/>
          </w:tcPr>
          <w:p w14:paraId="6249115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318.5</w:t>
            </w:r>
          </w:p>
        </w:tc>
        <w:tc>
          <w:tcPr>
            <w:tcW w:w="910" w:type="dxa"/>
            <w:tcBorders>
              <w:top w:val="nil"/>
              <w:left w:val="nil"/>
              <w:bottom w:val="nil"/>
              <w:right w:val="nil"/>
            </w:tcBorders>
            <w:shd w:val="clear" w:color="auto" w:fill="auto"/>
            <w:noWrap/>
            <w:vAlign w:val="bottom"/>
            <w:hideMark/>
          </w:tcPr>
          <w:p w14:paraId="282BAE0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268.8</w:t>
            </w:r>
          </w:p>
        </w:tc>
        <w:tc>
          <w:tcPr>
            <w:tcW w:w="910" w:type="dxa"/>
            <w:tcBorders>
              <w:top w:val="nil"/>
              <w:left w:val="nil"/>
              <w:bottom w:val="nil"/>
              <w:right w:val="nil"/>
            </w:tcBorders>
            <w:shd w:val="clear" w:color="auto" w:fill="auto"/>
            <w:noWrap/>
            <w:vAlign w:val="bottom"/>
            <w:hideMark/>
          </w:tcPr>
          <w:p w14:paraId="2EBFC71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535.8</w:t>
            </w:r>
          </w:p>
        </w:tc>
        <w:tc>
          <w:tcPr>
            <w:tcW w:w="910" w:type="dxa"/>
            <w:tcBorders>
              <w:top w:val="nil"/>
              <w:left w:val="nil"/>
              <w:bottom w:val="nil"/>
              <w:right w:val="nil"/>
            </w:tcBorders>
            <w:shd w:val="clear" w:color="auto" w:fill="auto"/>
            <w:noWrap/>
            <w:vAlign w:val="bottom"/>
            <w:hideMark/>
          </w:tcPr>
          <w:p w14:paraId="0E46807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A4E4C0C" w14:textId="77777777" w:rsidTr="00855621">
        <w:trPr>
          <w:trHeight w:val="210"/>
        </w:trPr>
        <w:tc>
          <w:tcPr>
            <w:tcW w:w="450" w:type="dxa"/>
            <w:tcBorders>
              <w:top w:val="nil"/>
              <w:left w:val="nil"/>
              <w:bottom w:val="nil"/>
              <w:right w:val="nil"/>
            </w:tcBorders>
            <w:shd w:val="clear" w:color="auto" w:fill="auto"/>
            <w:noWrap/>
            <w:hideMark/>
          </w:tcPr>
          <w:p w14:paraId="29A3D2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w:t>
            </w:r>
          </w:p>
        </w:tc>
        <w:tc>
          <w:tcPr>
            <w:tcW w:w="5130" w:type="dxa"/>
            <w:tcBorders>
              <w:top w:val="nil"/>
              <w:left w:val="nil"/>
              <w:bottom w:val="nil"/>
              <w:right w:val="nil"/>
            </w:tcBorders>
            <w:shd w:val="clear" w:color="auto" w:fill="auto"/>
            <w:noWrap/>
            <w:vAlign w:val="bottom"/>
            <w:hideMark/>
          </w:tcPr>
          <w:p w14:paraId="0CD986C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real estate consisting of lands and land plots used for national nature reserves, dendrological parks and botanical gardens</w:t>
            </w:r>
          </w:p>
        </w:tc>
        <w:tc>
          <w:tcPr>
            <w:tcW w:w="910" w:type="dxa"/>
            <w:tcBorders>
              <w:top w:val="nil"/>
              <w:left w:val="nil"/>
              <w:bottom w:val="nil"/>
              <w:right w:val="nil"/>
            </w:tcBorders>
            <w:shd w:val="clear" w:color="auto" w:fill="auto"/>
            <w:noWrap/>
            <w:vAlign w:val="bottom"/>
            <w:hideMark/>
          </w:tcPr>
          <w:p w14:paraId="1014C83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1,131.4</w:t>
            </w:r>
          </w:p>
        </w:tc>
        <w:tc>
          <w:tcPr>
            <w:tcW w:w="910" w:type="dxa"/>
            <w:tcBorders>
              <w:top w:val="nil"/>
              <w:left w:val="nil"/>
              <w:bottom w:val="nil"/>
              <w:right w:val="nil"/>
            </w:tcBorders>
            <w:shd w:val="clear" w:color="auto" w:fill="auto"/>
            <w:noWrap/>
            <w:vAlign w:val="bottom"/>
            <w:hideMark/>
          </w:tcPr>
          <w:p w14:paraId="08513E0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1,600.4</w:t>
            </w:r>
          </w:p>
        </w:tc>
        <w:tc>
          <w:tcPr>
            <w:tcW w:w="910" w:type="dxa"/>
            <w:tcBorders>
              <w:top w:val="nil"/>
              <w:left w:val="nil"/>
              <w:bottom w:val="nil"/>
              <w:right w:val="nil"/>
            </w:tcBorders>
            <w:shd w:val="clear" w:color="auto" w:fill="auto"/>
            <w:noWrap/>
            <w:vAlign w:val="bottom"/>
            <w:hideMark/>
          </w:tcPr>
          <w:p w14:paraId="2FC60C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1,593.8</w:t>
            </w:r>
          </w:p>
        </w:tc>
        <w:tc>
          <w:tcPr>
            <w:tcW w:w="910" w:type="dxa"/>
            <w:tcBorders>
              <w:top w:val="nil"/>
              <w:left w:val="nil"/>
              <w:bottom w:val="nil"/>
              <w:right w:val="nil"/>
            </w:tcBorders>
            <w:shd w:val="clear" w:color="auto" w:fill="auto"/>
            <w:noWrap/>
            <w:vAlign w:val="bottom"/>
            <w:hideMark/>
          </w:tcPr>
          <w:p w14:paraId="5BEBC82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1,285.0</w:t>
            </w:r>
          </w:p>
        </w:tc>
        <w:tc>
          <w:tcPr>
            <w:tcW w:w="910" w:type="dxa"/>
            <w:tcBorders>
              <w:top w:val="nil"/>
              <w:left w:val="nil"/>
              <w:bottom w:val="nil"/>
              <w:right w:val="nil"/>
            </w:tcBorders>
            <w:shd w:val="clear" w:color="auto" w:fill="auto"/>
            <w:noWrap/>
            <w:vAlign w:val="bottom"/>
            <w:hideMark/>
          </w:tcPr>
          <w:p w14:paraId="7F696B8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4C5596FE" w14:textId="77777777" w:rsidTr="00855621">
        <w:trPr>
          <w:trHeight w:val="210"/>
        </w:trPr>
        <w:tc>
          <w:tcPr>
            <w:tcW w:w="450" w:type="dxa"/>
            <w:tcBorders>
              <w:top w:val="nil"/>
              <w:left w:val="nil"/>
              <w:bottom w:val="nil"/>
              <w:right w:val="nil"/>
            </w:tcBorders>
            <w:shd w:val="clear" w:color="auto" w:fill="auto"/>
            <w:noWrap/>
            <w:hideMark/>
          </w:tcPr>
          <w:p w14:paraId="78C818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w:t>
            </w:r>
          </w:p>
        </w:tc>
        <w:tc>
          <w:tcPr>
            <w:tcW w:w="5130" w:type="dxa"/>
            <w:tcBorders>
              <w:top w:val="nil"/>
              <w:left w:val="nil"/>
              <w:bottom w:val="nil"/>
              <w:right w:val="nil"/>
            </w:tcBorders>
            <w:shd w:val="clear" w:color="auto" w:fill="auto"/>
            <w:noWrap/>
            <w:vAlign w:val="bottom"/>
            <w:hideMark/>
          </w:tcPr>
          <w:p w14:paraId="2F62381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included in the Forest Fund </w:t>
            </w:r>
          </w:p>
        </w:tc>
        <w:tc>
          <w:tcPr>
            <w:tcW w:w="910" w:type="dxa"/>
            <w:tcBorders>
              <w:top w:val="nil"/>
              <w:left w:val="nil"/>
              <w:bottom w:val="nil"/>
              <w:right w:val="nil"/>
            </w:tcBorders>
            <w:shd w:val="clear" w:color="auto" w:fill="auto"/>
            <w:noWrap/>
            <w:vAlign w:val="bottom"/>
            <w:hideMark/>
          </w:tcPr>
          <w:p w14:paraId="660F32D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15,559.3</w:t>
            </w:r>
          </w:p>
        </w:tc>
        <w:tc>
          <w:tcPr>
            <w:tcW w:w="910" w:type="dxa"/>
            <w:tcBorders>
              <w:top w:val="nil"/>
              <w:left w:val="nil"/>
              <w:bottom w:val="nil"/>
              <w:right w:val="nil"/>
            </w:tcBorders>
            <w:shd w:val="clear" w:color="auto" w:fill="auto"/>
            <w:noWrap/>
            <w:vAlign w:val="bottom"/>
            <w:hideMark/>
          </w:tcPr>
          <w:p w14:paraId="701EED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20,730.5</w:t>
            </w:r>
          </w:p>
        </w:tc>
        <w:tc>
          <w:tcPr>
            <w:tcW w:w="910" w:type="dxa"/>
            <w:tcBorders>
              <w:top w:val="nil"/>
              <w:left w:val="nil"/>
              <w:bottom w:val="nil"/>
              <w:right w:val="nil"/>
            </w:tcBorders>
            <w:shd w:val="clear" w:color="auto" w:fill="auto"/>
            <w:noWrap/>
            <w:vAlign w:val="bottom"/>
            <w:hideMark/>
          </w:tcPr>
          <w:p w14:paraId="6D8DF1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18,935.7</w:t>
            </w:r>
          </w:p>
        </w:tc>
        <w:tc>
          <w:tcPr>
            <w:tcW w:w="910" w:type="dxa"/>
            <w:tcBorders>
              <w:top w:val="nil"/>
              <w:left w:val="nil"/>
              <w:bottom w:val="nil"/>
              <w:right w:val="nil"/>
            </w:tcBorders>
            <w:shd w:val="clear" w:color="auto" w:fill="auto"/>
            <w:noWrap/>
            <w:vAlign w:val="bottom"/>
            <w:hideMark/>
          </w:tcPr>
          <w:p w14:paraId="798802B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19,519.4</w:t>
            </w:r>
          </w:p>
        </w:tc>
        <w:tc>
          <w:tcPr>
            <w:tcW w:w="910" w:type="dxa"/>
            <w:tcBorders>
              <w:top w:val="nil"/>
              <w:left w:val="nil"/>
              <w:bottom w:val="nil"/>
              <w:right w:val="nil"/>
            </w:tcBorders>
            <w:shd w:val="clear" w:color="auto" w:fill="auto"/>
            <w:noWrap/>
            <w:vAlign w:val="bottom"/>
            <w:hideMark/>
          </w:tcPr>
          <w:p w14:paraId="71DD280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2B81368" w14:textId="77777777" w:rsidTr="00360FE5">
        <w:trPr>
          <w:trHeight w:val="210"/>
        </w:trPr>
        <w:tc>
          <w:tcPr>
            <w:tcW w:w="450" w:type="dxa"/>
            <w:tcBorders>
              <w:top w:val="nil"/>
              <w:left w:val="nil"/>
              <w:bottom w:val="nil"/>
              <w:right w:val="nil"/>
            </w:tcBorders>
            <w:shd w:val="clear" w:color="auto" w:fill="auto"/>
            <w:noWrap/>
            <w:hideMark/>
          </w:tcPr>
          <w:p w14:paraId="0A8E714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w:t>
            </w:r>
          </w:p>
        </w:tc>
        <w:tc>
          <w:tcPr>
            <w:tcW w:w="5130" w:type="dxa"/>
            <w:tcBorders>
              <w:top w:val="nil"/>
              <w:left w:val="nil"/>
              <w:bottom w:val="nil"/>
              <w:right w:val="nil"/>
            </w:tcBorders>
            <w:shd w:val="clear" w:color="auto" w:fill="auto"/>
            <w:noWrap/>
            <w:vAlign w:val="bottom"/>
            <w:hideMark/>
          </w:tcPr>
          <w:p w14:paraId="159BA26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owners and beneficiaries of lands and land plots, whose lands are included in the Water Fund</w:t>
            </w:r>
          </w:p>
        </w:tc>
        <w:tc>
          <w:tcPr>
            <w:tcW w:w="910" w:type="dxa"/>
            <w:tcBorders>
              <w:top w:val="nil"/>
              <w:left w:val="nil"/>
              <w:bottom w:val="nil"/>
              <w:right w:val="nil"/>
            </w:tcBorders>
            <w:shd w:val="clear" w:color="auto" w:fill="auto"/>
            <w:noWrap/>
            <w:vAlign w:val="bottom"/>
            <w:hideMark/>
          </w:tcPr>
          <w:p w14:paraId="0EB32B4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1,958.6</w:t>
            </w:r>
          </w:p>
        </w:tc>
        <w:tc>
          <w:tcPr>
            <w:tcW w:w="910" w:type="dxa"/>
            <w:tcBorders>
              <w:top w:val="nil"/>
              <w:left w:val="nil"/>
              <w:bottom w:val="nil"/>
              <w:right w:val="nil"/>
            </w:tcBorders>
            <w:shd w:val="clear" w:color="auto" w:fill="auto"/>
            <w:noWrap/>
            <w:vAlign w:val="bottom"/>
            <w:hideMark/>
          </w:tcPr>
          <w:p w14:paraId="0A9124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2,020.0</w:t>
            </w:r>
          </w:p>
        </w:tc>
        <w:tc>
          <w:tcPr>
            <w:tcW w:w="910" w:type="dxa"/>
            <w:tcBorders>
              <w:top w:val="nil"/>
              <w:left w:val="nil"/>
              <w:bottom w:val="nil"/>
              <w:right w:val="nil"/>
            </w:tcBorders>
            <w:shd w:val="clear" w:color="auto" w:fill="auto"/>
            <w:noWrap/>
            <w:vAlign w:val="bottom"/>
            <w:hideMark/>
          </w:tcPr>
          <w:p w14:paraId="7D419C6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1,374.0</w:t>
            </w:r>
          </w:p>
        </w:tc>
        <w:tc>
          <w:tcPr>
            <w:tcW w:w="910" w:type="dxa"/>
            <w:tcBorders>
              <w:top w:val="nil"/>
              <w:left w:val="nil"/>
              <w:bottom w:val="nil"/>
              <w:right w:val="nil"/>
            </w:tcBorders>
            <w:shd w:val="clear" w:color="auto" w:fill="auto"/>
            <w:noWrap/>
            <w:vAlign w:val="bottom"/>
            <w:hideMark/>
          </w:tcPr>
          <w:p w14:paraId="5919867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2,068.7</w:t>
            </w:r>
          </w:p>
        </w:tc>
        <w:tc>
          <w:tcPr>
            <w:tcW w:w="910" w:type="dxa"/>
            <w:tcBorders>
              <w:top w:val="nil"/>
              <w:left w:val="nil"/>
              <w:bottom w:val="nil"/>
              <w:right w:val="nil"/>
            </w:tcBorders>
            <w:shd w:val="clear" w:color="auto" w:fill="auto"/>
            <w:noWrap/>
            <w:vAlign w:val="bottom"/>
            <w:hideMark/>
          </w:tcPr>
          <w:p w14:paraId="434755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6402831" w14:textId="77777777" w:rsidTr="00360FE5">
        <w:trPr>
          <w:trHeight w:val="210"/>
        </w:trPr>
        <w:tc>
          <w:tcPr>
            <w:tcW w:w="450" w:type="dxa"/>
            <w:tcBorders>
              <w:top w:val="nil"/>
              <w:left w:val="nil"/>
              <w:bottom w:val="nil"/>
              <w:right w:val="nil"/>
            </w:tcBorders>
            <w:shd w:val="clear" w:color="auto" w:fill="auto"/>
            <w:noWrap/>
            <w:hideMark/>
          </w:tcPr>
          <w:p w14:paraId="0ACD3A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w:t>
            </w:r>
          </w:p>
        </w:tc>
        <w:tc>
          <w:tcPr>
            <w:tcW w:w="5130" w:type="dxa"/>
            <w:tcBorders>
              <w:top w:val="nil"/>
              <w:left w:val="nil"/>
              <w:bottom w:val="nil"/>
              <w:right w:val="nil"/>
            </w:tcBorders>
            <w:shd w:val="clear" w:color="auto" w:fill="auto"/>
            <w:noWrap/>
            <w:vAlign w:val="bottom"/>
            <w:hideMark/>
          </w:tcPr>
          <w:p w14:paraId="7E36D4D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used for scientific and instructional purposes </w:t>
            </w:r>
          </w:p>
        </w:tc>
        <w:tc>
          <w:tcPr>
            <w:tcW w:w="910" w:type="dxa"/>
            <w:tcBorders>
              <w:top w:val="nil"/>
              <w:left w:val="nil"/>
              <w:bottom w:val="nil"/>
              <w:right w:val="nil"/>
            </w:tcBorders>
            <w:shd w:val="clear" w:color="auto" w:fill="auto"/>
            <w:noWrap/>
            <w:vAlign w:val="bottom"/>
            <w:hideMark/>
          </w:tcPr>
          <w:p w14:paraId="188FF07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846.5</w:t>
            </w:r>
          </w:p>
        </w:tc>
        <w:tc>
          <w:tcPr>
            <w:tcW w:w="910" w:type="dxa"/>
            <w:tcBorders>
              <w:top w:val="nil"/>
              <w:left w:val="nil"/>
              <w:bottom w:val="nil"/>
              <w:right w:val="nil"/>
            </w:tcBorders>
            <w:shd w:val="clear" w:color="auto" w:fill="auto"/>
            <w:noWrap/>
            <w:vAlign w:val="bottom"/>
            <w:hideMark/>
          </w:tcPr>
          <w:p w14:paraId="6509775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1,213.9</w:t>
            </w:r>
          </w:p>
        </w:tc>
        <w:tc>
          <w:tcPr>
            <w:tcW w:w="910" w:type="dxa"/>
            <w:tcBorders>
              <w:top w:val="nil"/>
              <w:left w:val="nil"/>
              <w:bottom w:val="nil"/>
              <w:right w:val="nil"/>
            </w:tcBorders>
            <w:shd w:val="clear" w:color="auto" w:fill="auto"/>
            <w:noWrap/>
            <w:vAlign w:val="bottom"/>
            <w:hideMark/>
          </w:tcPr>
          <w:p w14:paraId="373380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1,185.3</w:t>
            </w:r>
          </w:p>
        </w:tc>
        <w:tc>
          <w:tcPr>
            <w:tcW w:w="910" w:type="dxa"/>
            <w:tcBorders>
              <w:top w:val="nil"/>
              <w:left w:val="nil"/>
              <w:bottom w:val="nil"/>
              <w:right w:val="nil"/>
            </w:tcBorders>
            <w:shd w:val="clear" w:color="auto" w:fill="auto"/>
            <w:noWrap/>
            <w:vAlign w:val="bottom"/>
            <w:hideMark/>
          </w:tcPr>
          <w:p w14:paraId="4DD27DD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593.8</w:t>
            </w:r>
          </w:p>
        </w:tc>
        <w:tc>
          <w:tcPr>
            <w:tcW w:w="910" w:type="dxa"/>
            <w:tcBorders>
              <w:top w:val="nil"/>
              <w:left w:val="nil"/>
              <w:bottom w:val="nil"/>
              <w:right w:val="nil"/>
            </w:tcBorders>
            <w:shd w:val="clear" w:color="auto" w:fill="auto"/>
            <w:noWrap/>
            <w:vAlign w:val="bottom"/>
            <w:hideMark/>
          </w:tcPr>
          <w:p w14:paraId="1F3242F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04C65B6" w14:textId="77777777" w:rsidTr="00360FE5">
        <w:trPr>
          <w:trHeight w:val="210"/>
        </w:trPr>
        <w:tc>
          <w:tcPr>
            <w:tcW w:w="450" w:type="dxa"/>
            <w:tcBorders>
              <w:top w:val="nil"/>
              <w:left w:val="nil"/>
              <w:bottom w:val="nil"/>
              <w:right w:val="nil"/>
            </w:tcBorders>
            <w:shd w:val="clear" w:color="auto" w:fill="auto"/>
            <w:noWrap/>
            <w:hideMark/>
          </w:tcPr>
          <w:p w14:paraId="4652C2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w:t>
            </w:r>
          </w:p>
        </w:tc>
        <w:tc>
          <w:tcPr>
            <w:tcW w:w="5130" w:type="dxa"/>
            <w:tcBorders>
              <w:top w:val="nil"/>
              <w:left w:val="nil"/>
              <w:bottom w:val="nil"/>
              <w:right w:val="nil"/>
            </w:tcBorders>
            <w:shd w:val="clear" w:color="auto" w:fill="auto"/>
            <w:noWrap/>
            <w:vAlign w:val="bottom"/>
            <w:hideMark/>
          </w:tcPr>
          <w:p w14:paraId="6FFEAAD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occupied by multi-annual plantations </w:t>
            </w:r>
          </w:p>
        </w:tc>
        <w:tc>
          <w:tcPr>
            <w:tcW w:w="910" w:type="dxa"/>
            <w:tcBorders>
              <w:top w:val="nil"/>
              <w:left w:val="nil"/>
              <w:bottom w:val="nil"/>
              <w:right w:val="nil"/>
            </w:tcBorders>
            <w:shd w:val="clear" w:color="auto" w:fill="auto"/>
            <w:noWrap/>
            <w:vAlign w:val="bottom"/>
            <w:hideMark/>
          </w:tcPr>
          <w:p w14:paraId="17ED9BA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722.3</w:t>
            </w:r>
          </w:p>
        </w:tc>
        <w:tc>
          <w:tcPr>
            <w:tcW w:w="910" w:type="dxa"/>
            <w:tcBorders>
              <w:top w:val="nil"/>
              <w:left w:val="nil"/>
              <w:bottom w:val="nil"/>
              <w:right w:val="nil"/>
            </w:tcBorders>
            <w:shd w:val="clear" w:color="auto" w:fill="auto"/>
            <w:noWrap/>
            <w:vAlign w:val="bottom"/>
            <w:hideMark/>
          </w:tcPr>
          <w:p w14:paraId="117843F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713.1</w:t>
            </w:r>
          </w:p>
        </w:tc>
        <w:tc>
          <w:tcPr>
            <w:tcW w:w="910" w:type="dxa"/>
            <w:tcBorders>
              <w:top w:val="nil"/>
              <w:left w:val="nil"/>
              <w:bottom w:val="nil"/>
              <w:right w:val="nil"/>
            </w:tcBorders>
            <w:shd w:val="clear" w:color="auto" w:fill="auto"/>
            <w:noWrap/>
            <w:vAlign w:val="bottom"/>
            <w:hideMark/>
          </w:tcPr>
          <w:p w14:paraId="4DD2F68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1,091.7</w:t>
            </w:r>
          </w:p>
        </w:tc>
        <w:tc>
          <w:tcPr>
            <w:tcW w:w="910" w:type="dxa"/>
            <w:tcBorders>
              <w:top w:val="nil"/>
              <w:left w:val="nil"/>
              <w:bottom w:val="nil"/>
              <w:right w:val="nil"/>
            </w:tcBorders>
            <w:shd w:val="clear" w:color="auto" w:fill="auto"/>
            <w:noWrap/>
            <w:vAlign w:val="bottom"/>
            <w:hideMark/>
          </w:tcPr>
          <w:p w14:paraId="31475BB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966.3</w:t>
            </w:r>
          </w:p>
        </w:tc>
        <w:tc>
          <w:tcPr>
            <w:tcW w:w="910" w:type="dxa"/>
            <w:tcBorders>
              <w:top w:val="nil"/>
              <w:left w:val="nil"/>
              <w:bottom w:val="nil"/>
              <w:right w:val="nil"/>
            </w:tcBorders>
            <w:shd w:val="clear" w:color="auto" w:fill="auto"/>
            <w:noWrap/>
            <w:vAlign w:val="bottom"/>
            <w:hideMark/>
          </w:tcPr>
          <w:p w14:paraId="1995BBA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F3D7AA7" w14:textId="77777777" w:rsidTr="00360FE5">
        <w:trPr>
          <w:trHeight w:val="210"/>
        </w:trPr>
        <w:tc>
          <w:tcPr>
            <w:tcW w:w="450" w:type="dxa"/>
            <w:tcBorders>
              <w:top w:val="nil"/>
              <w:left w:val="nil"/>
              <w:bottom w:val="nil"/>
              <w:right w:val="nil"/>
            </w:tcBorders>
            <w:shd w:val="clear" w:color="auto" w:fill="auto"/>
            <w:noWrap/>
            <w:hideMark/>
          </w:tcPr>
          <w:p w14:paraId="2DE6B68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w:t>
            </w:r>
          </w:p>
        </w:tc>
        <w:tc>
          <w:tcPr>
            <w:tcW w:w="5130" w:type="dxa"/>
            <w:tcBorders>
              <w:top w:val="nil"/>
              <w:left w:val="nil"/>
              <w:bottom w:val="nil"/>
              <w:right w:val="nil"/>
            </w:tcBorders>
            <w:shd w:val="clear" w:color="auto" w:fill="auto"/>
            <w:noWrap/>
            <w:vAlign w:val="bottom"/>
            <w:hideMark/>
          </w:tcPr>
          <w:p w14:paraId="06F4665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used by culture, art, cinema, education, health care, sports and leisure institutions </w:t>
            </w:r>
          </w:p>
        </w:tc>
        <w:tc>
          <w:tcPr>
            <w:tcW w:w="910" w:type="dxa"/>
            <w:tcBorders>
              <w:top w:val="nil"/>
              <w:left w:val="nil"/>
              <w:bottom w:val="nil"/>
              <w:right w:val="nil"/>
            </w:tcBorders>
            <w:shd w:val="clear" w:color="auto" w:fill="auto"/>
            <w:noWrap/>
            <w:vAlign w:val="bottom"/>
            <w:hideMark/>
          </w:tcPr>
          <w:p w14:paraId="69067AD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2,507.1</w:t>
            </w:r>
          </w:p>
        </w:tc>
        <w:tc>
          <w:tcPr>
            <w:tcW w:w="910" w:type="dxa"/>
            <w:tcBorders>
              <w:top w:val="nil"/>
              <w:left w:val="nil"/>
              <w:bottom w:val="nil"/>
              <w:right w:val="nil"/>
            </w:tcBorders>
            <w:shd w:val="clear" w:color="auto" w:fill="auto"/>
            <w:noWrap/>
            <w:vAlign w:val="bottom"/>
            <w:hideMark/>
          </w:tcPr>
          <w:p w14:paraId="38A320C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2,731.9</w:t>
            </w:r>
          </w:p>
        </w:tc>
        <w:tc>
          <w:tcPr>
            <w:tcW w:w="910" w:type="dxa"/>
            <w:tcBorders>
              <w:top w:val="nil"/>
              <w:left w:val="nil"/>
              <w:bottom w:val="nil"/>
              <w:right w:val="nil"/>
            </w:tcBorders>
            <w:shd w:val="clear" w:color="auto" w:fill="auto"/>
            <w:noWrap/>
            <w:vAlign w:val="bottom"/>
            <w:hideMark/>
          </w:tcPr>
          <w:p w14:paraId="652E80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28,663.7</w:t>
            </w:r>
          </w:p>
        </w:tc>
        <w:tc>
          <w:tcPr>
            <w:tcW w:w="910" w:type="dxa"/>
            <w:tcBorders>
              <w:top w:val="nil"/>
              <w:left w:val="nil"/>
              <w:bottom w:val="nil"/>
              <w:right w:val="nil"/>
            </w:tcBorders>
            <w:shd w:val="clear" w:color="auto" w:fill="auto"/>
            <w:noWrap/>
            <w:vAlign w:val="bottom"/>
            <w:hideMark/>
          </w:tcPr>
          <w:p w14:paraId="440311D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31,150.0</w:t>
            </w:r>
          </w:p>
        </w:tc>
        <w:tc>
          <w:tcPr>
            <w:tcW w:w="910" w:type="dxa"/>
            <w:tcBorders>
              <w:top w:val="nil"/>
              <w:left w:val="nil"/>
              <w:bottom w:val="nil"/>
              <w:right w:val="nil"/>
            </w:tcBorders>
            <w:shd w:val="clear" w:color="auto" w:fill="auto"/>
            <w:noWrap/>
            <w:vAlign w:val="bottom"/>
            <w:hideMark/>
          </w:tcPr>
          <w:p w14:paraId="44D089A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36826C4" w14:textId="77777777" w:rsidTr="00360FE5">
        <w:trPr>
          <w:trHeight w:val="210"/>
        </w:trPr>
        <w:tc>
          <w:tcPr>
            <w:tcW w:w="450" w:type="dxa"/>
            <w:tcBorders>
              <w:top w:val="nil"/>
              <w:left w:val="nil"/>
              <w:bottom w:val="nil"/>
              <w:right w:val="nil"/>
            </w:tcBorders>
            <w:shd w:val="clear" w:color="auto" w:fill="auto"/>
            <w:noWrap/>
            <w:hideMark/>
          </w:tcPr>
          <w:p w14:paraId="449707D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w:t>
            </w:r>
          </w:p>
        </w:tc>
        <w:tc>
          <w:tcPr>
            <w:tcW w:w="5130" w:type="dxa"/>
            <w:tcBorders>
              <w:top w:val="nil"/>
              <w:left w:val="nil"/>
              <w:bottom w:val="nil"/>
              <w:right w:val="nil"/>
            </w:tcBorders>
            <w:shd w:val="clear" w:color="auto" w:fill="auto"/>
            <w:noWrap/>
            <w:vAlign w:val="bottom"/>
            <w:hideMark/>
          </w:tcPr>
          <w:p w14:paraId="7115E07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used by permanently occupied and used by linear infrastructure </w:t>
            </w:r>
          </w:p>
        </w:tc>
        <w:tc>
          <w:tcPr>
            <w:tcW w:w="910" w:type="dxa"/>
            <w:tcBorders>
              <w:top w:val="nil"/>
              <w:left w:val="nil"/>
              <w:bottom w:val="nil"/>
              <w:right w:val="nil"/>
            </w:tcBorders>
            <w:shd w:val="clear" w:color="auto" w:fill="auto"/>
            <w:noWrap/>
            <w:vAlign w:val="bottom"/>
            <w:hideMark/>
          </w:tcPr>
          <w:p w14:paraId="6F51D32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9,223.8</w:t>
            </w:r>
          </w:p>
        </w:tc>
        <w:tc>
          <w:tcPr>
            <w:tcW w:w="910" w:type="dxa"/>
            <w:tcBorders>
              <w:top w:val="nil"/>
              <w:left w:val="nil"/>
              <w:bottom w:val="nil"/>
              <w:right w:val="nil"/>
            </w:tcBorders>
            <w:shd w:val="clear" w:color="auto" w:fill="auto"/>
            <w:noWrap/>
            <w:vAlign w:val="bottom"/>
            <w:hideMark/>
          </w:tcPr>
          <w:p w14:paraId="311E84C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4,866.2</w:t>
            </w:r>
          </w:p>
        </w:tc>
        <w:tc>
          <w:tcPr>
            <w:tcW w:w="910" w:type="dxa"/>
            <w:tcBorders>
              <w:top w:val="nil"/>
              <w:left w:val="nil"/>
              <w:bottom w:val="nil"/>
              <w:right w:val="nil"/>
            </w:tcBorders>
            <w:shd w:val="clear" w:color="auto" w:fill="auto"/>
            <w:noWrap/>
            <w:vAlign w:val="bottom"/>
            <w:hideMark/>
          </w:tcPr>
          <w:p w14:paraId="7AD827F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7,271.7</w:t>
            </w:r>
          </w:p>
        </w:tc>
        <w:tc>
          <w:tcPr>
            <w:tcW w:w="910" w:type="dxa"/>
            <w:tcBorders>
              <w:top w:val="nil"/>
              <w:left w:val="nil"/>
              <w:bottom w:val="nil"/>
              <w:right w:val="nil"/>
            </w:tcBorders>
            <w:shd w:val="clear" w:color="auto" w:fill="auto"/>
            <w:noWrap/>
            <w:vAlign w:val="bottom"/>
            <w:hideMark/>
          </w:tcPr>
          <w:p w14:paraId="5181597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7,472.9</w:t>
            </w:r>
          </w:p>
        </w:tc>
        <w:tc>
          <w:tcPr>
            <w:tcW w:w="910" w:type="dxa"/>
            <w:tcBorders>
              <w:top w:val="nil"/>
              <w:left w:val="nil"/>
              <w:bottom w:val="nil"/>
              <w:right w:val="nil"/>
            </w:tcBorders>
            <w:shd w:val="clear" w:color="auto" w:fill="auto"/>
            <w:noWrap/>
            <w:vAlign w:val="bottom"/>
            <w:hideMark/>
          </w:tcPr>
          <w:p w14:paraId="6A51E91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19C37652" w14:textId="77777777" w:rsidTr="00360FE5">
        <w:trPr>
          <w:trHeight w:val="210"/>
        </w:trPr>
        <w:tc>
          <w:tcPr>
            <w:tcW w:w="450" w:type="dxa"/>
            <w:tcBorders>
              <w:top w:val="nil"/>
              <w:left w:val="nil"/>
              <w:bottom w:val="nil"/>
              <w:right w:val="nil"/>
            </w:tcBorders>
            <w:shd w:val="clear" w:color="auto" w:fill="auto"/>
            <w:noWrap/>
            <w:hideMark/>
          </w:tcPr>
          <w:p w14:paraId="2DA4205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lastRenderedPageBreak/>
              <w:t>25</w:t>
            </w:r>
          </w:p>
        </w:tc>
        <w:tc>
          <w:tcPr>
            <w:tcW w:w="5130" w:type="dxa"/>
            <w:tcBorders>
              <w:top w:val="nil"/>
              <w:left w:val="nil"/>
              <w:bottom w:val="nil"/>
              <w:right w:val="nil"/>
            </w:tcBorders>
            <w:shd w:val="clear" w:color="auto" w:fill="auto"/>
            <w:noWrap/>
            <w:vAlign w:val="bottom"/>
            <w:hideMark/>
          </w:tcPr>
          <w:p w14:paraId="0C7A96F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assigned to state borderlines </w:t>
            </w:r>
          </w:p>
        </w:tc>
        <w:tc>
          <w:tcPr>
            <w:tcW w:w="910" w:type="dxa"/>
            <w:tcBorders>
              <w:top w:val="nil"/>
              <w:left w:val="nil"/>
              <w:bottom w:val="nil"/>
              <w:right w:val="nil"/>
            </w:tcBorders>
            <w:shd w:val="clear" w:color="auto" w:fill="auto"/>
            <w:noWrap/>
            <w:vAlign w:val="bottom"/>
            <w:hideMark/>
          </w:tcPr>
          <w:p w14:paraId="55FE028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54.6</w:t>
            </w:r>
          </w:p>
        </w:tc>
        <w:tc>
          <w:tcPr>
            <w:tcW w:w="910" w:type="dxa"/>
            <w:tcBorders>
              <w:top w:val="nil"/>
              <w:left w:val="nil"/>
              <w:bottom w:val="nil"/>
              <w:right w:val="nil"/>
            </w:tcBorders>
            <w:shd w:val="clear" w:color="auto" w:fill="auto"/>
            <w:noWrap/>
            <w:vAlign w:val="bottom"/>
            <w:hideMark/>
          </w:tcPr>
          <w:p w14:paraId="0CB4DB5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36.8</w:t>
            </w:r>
          </w:p>
        </w:tc>
        <w:tc>
          <w:tcPr>
            <w:tcW w:w="910" w:type="dxa"/>
            <w:tcBorders>
              <w:top w:val="nil"/>
              <w:left w:val="nil"/>
              <w:bottom w:val="nil"/>
              <w:right w:val="nil"/>
            </w:tcBorders>
            <w:shd w:val="clear" w:color="auto" w:fill="auto"/>
            <w:noWrap/>
            <w:vAlign w:val="bottom"/>
            <w:hideMark/>
          </w:tcPr>
          <w:p w14:paraId="114FD66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124.9</w:t>
            </w:r>
          </w:p>
        </w:tc>
        <w:tc>
          <w:tcPr>
            <w:tcW w:w="910" w:type="dxa"/>
            <w:tcBorders>
              <w:top w:val="nil"/>
              <w:left w:val="nil"/>
              <w:bottom w:val="nil"/>
              <w:right w:val="nil"/>
            </w:tcBorders>
            <w:shd w:val="clear" w:color="auto" w:fill="auto"/>
            <w:noWrap/>
            <w:vAlign w:val="bottom"/>
            <w:hideMark/>
          </w:tcPr>
          <w:p w14:paraId="3EE0E49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115.3</w:t>
            </w:r>
          </w:p>
        </w:tc>
        <w:tc>
          <w:tcPr>
            <w:tcW w:w="910" w:type="dxa"/>
            <w:tcBorders>
              <w:top w:val="nil"/>
              <w:left w:val="nil"/>
              <w:bottom w:val="nil"/>
              <w:right w:val="nil"/>
            </w:tcBorders>
            <w:shd w:val="clear" w:color="auto" w:fill="auto"/>
            <w:noWrap/>
            <w:vAlign w:val="bottom"/>
            <w:hideMark/>
          </w:tcPr>
          <w:p w14:paraId="54AD5C8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824F110" w14:textId="77777777" w:rsidTr="00360FE5">
        <w:trPr>
          <w:trHeight w:val="210"/>
        </w:trPr>
        <w:tc>
          <w:tcPr>
            <w:tcW w:w="450" w:type="dxa"/>
            <w:tcBorders>
              <w:top w:val="nil"/>
              <w:left w:val="nil"/>
              <w:bottom w:val="nil"/>
              <w:right w:val="nil"/>
            </w:tcBorders>
            <w:shd w:val="clear" w:color="auto" w:fill="auto"/>
            <w:noWrap/>
            <w:hideMark/>
          </w:tcPr>
          <w:p w14:paraId="7A9EE20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26</w:t>
            </w:r>
          </w:p>
        </w:tc>
        <w:tc>
          <w:tcPr>
            <w:tcW w:w="5130" w:type="dxa"/>
            <w:tcBorders>
              <w:top w:val="nil"/>
              <w:left w:val="nil"/>
              <w:bottom w:val="nil"/>
              <w:right w:val="nil"/>
            </w:tcBorders>
            <w:shd w:val="clear" w:color="auto" w:fill="auto"/>
            <w:noWrap/>
            <w:vAlign w:val="bottom"/>
            <w:hideMark/>
          </w:tcPr>
          <w:p w14:paraId="3C5145B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used for public use or benefit </w:t>
            </w:r>
          </w:p>
        </w:tc>
        <w:tc>
          <w:tcPr>
            <w:tcW w:w="910" w:type="dxa"/>
            <w:tcBorders>
              <w:top w:val="nil"/>
              <w:left w:val="nil"/>
              <w:bottom w:val="nil"/>
              <w:right w:val="nil"/>
            </w:tcBorders>
            <w:shd w:val="clear" w:color="auto" w:fill="auto"/>
            <w:noWrap/>
            <w:vAlign w:val="bottom"/>
            <w:hideMark/>
          </w:tcPr>
          <w:p w14:paraId="14ED236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12,071.6</w:t>
            </w:r>
          </w:p>
        </w:tc>
        <w:tc>
          <w:tcPr>
            <w:tcW w:w="910" w:type="dxa"/>
            <w:tcBorders>
              <w:top w:val="nil"/>
              <w:left w:val="nil"/>
              <w:bottom w:val="nil"/>
              <w:right w:val="nil"/>
            </w:tcBorders>
            <w:shd w:val="clear" w:color="auto" w:fill="auto"/>
            <w:noWrap/>
            <w:vAlign w:val="bottom"/>
            <w:hideMark/>
          </w:tcPr>
          <w:p w14:paraId="6874D62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8,961.7</w:t>
            </w:r>
          </w:p>
        </w:tc>
        <w:tc>
          <w:tcPr>
            <w:tcW w:w="910" w:type="dxa"/>
            <w:tcBorders>
              <w:top w:val="nil"/>
              <w:left w:val="nil"/>
              <w:bottom w:val="nil"/>
              <w:right w:val="nil"/>
            </w:tcBorders>
            <w:shd w:val="clear" w:color="auto" w:fill="auto"/>
            <w:noWrap/>
            <w:vAlign w:val="bottom"/>
            <w:hideMark/>
          </w:tcPr>
          <w:p w14:paraId="654964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6,995.4</w:t>
            </w:r>
          </w:p>
        </w:tc>
        <w:tc>
          <w:tcPr>
            <w:tcW w:w="910" w:type="dxa"/>
            <w:tcBorders>
              <w:top w:val="nil"/>
              <w:left w:val="nil"/>
              <w:bottom w:val="nil"/>
              <w:right w:val="nil"/>
            </w:tcBorders>
            <w:shd w:val="clear" w:color="auto" w:fill="auto"/>
            <w:noWrap/>
            <w:vAlign w:val="bottom"/>
            <w:hideMark/>
          </w:tcPr>
          <w:p w14:paraId="4B9E688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6,494.9</w:t>
            </w:r>
          </w:p>
        </w:tc>
        <w:tc>
          <w:tcPr>
            <w:tcW w:w="910" w:type="dxa"/>
            <w:tcBorders>
              <w:top w:val="nil"/>
              <w:left w:val="nil"/>
              <w:bottom w:val="nil"/>
              <w:right w:val="nil"/>
            </w:tcBorders>
            <w:shd w:val="clear" w:color="auto" w:fill="auto"/>
            <w:noWrap/>
            <w:vAlign w:val="bottom"/>
            <w:hideMark/>
          </w:tcPr>
          <w:p w14:paraId="171D3F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F8989EF" w14:textId="77777777" w:rsidTr="00360FE5">
        <w:trPr>
          <w:trHeight w:val="210"/>
        </w:trPr>
        <w:tc>
          <w:tcPr>
            <w:tcW w:w="450" w:type="dxa"/>
            <w:tcBorders>
              <w:top w:val="nil"/>
              <w:left w:val="nil"/>
              <w:bottom w:val="nil"/>
              <w:right w:val="nil"/>
            </w:tcBorders>
            <w:shd w:val="clear" w:color="auto" w:fill="auto"/>
            <w:noWrap/>
            <w:hideMark/>
          </w:tcPr>
          <w:p w14:paraId="1C40D3F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27</w:t>
            </w:r>
          </w:p>
        </w:tc>
        <w:tc>
          <w:tcPr>
            <w:tcW w:w="5130" w:type="dxa"/>
            <w:tcBorders>
              <w:top w:val="nil"/>
              <w:left w:val="nil"/>
              <w:bottom w:val="nil"/>
              <w:right w:val="nil"/>
            </w:tcBorders>
            <w:shd w:val="clear" w:color="auto" w:fill="auto"/>
            <w:noWrap/>
            <w:vAlign w:val="bottom"/>
            <w:hideMark/>
          </w:tcPr>
          <w:p w14:paraId="7E11A7AA"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lands are assigned for agricultural purposes </w:t>
            </w:r>
          </w:p>
        </w:tc>
        <w:tc>
          <w:tcPr>
            <w:tcW w:w="910" w:type="dxa"/>
            <w:tcBorders>
              <w:top w:val="nil"/>
              <w:left w:val="nil"/>
              <w:bottom w:val="nil"/>
              <w:right w:val="nil"/>
            </w:tcBorders>
            <w:shd w:val="clear" w:color="auto" w:fill="auto"/>
            <w:noWrap/>
            <w:vAlign w:val="bottom"/>
            <w:hideMark/>
          </w:tcPr>
          <w:p w14:paraId="065A104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190.7</w:t>
            </w:r>
          </w:p>
        </w:tc>
        <w:tc>
          <w:tcPr>
            <w:tcW w:w="910" w:type="dxa"/>
            <w:tcBorders>
              <w:top w:val="nil"/>
              <w:left w:val="nil"/>
              <w:bottom w:val="nil"/>
              <w:right w:val="nil"/>
            </w:tcBorders>
            <w:shd w:val="clear" w:color="auto" w:fill="auto"/>
            <w:noWrap/>
            <w:vAlign w:val="bottom"/>
            <w:hideMark/>
          </w:tcPr>
          <w:p w14:paraId="482F66C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234.9</w:t>
            </w:r>
          </w:p>
        </w:tc>
        <w:tc>
          <w:tcPr>
            <w:tcW w:w="910" w:type="dxa"/>
            <w:tcBorders>
              <w:top w:val="nil"/>
              <w:left w:val="nil"/>
              <w:bottom w:val="nil"/>
              <w:right w:val="nil"/>
            </w:tcBorders>
            <w:shd w:val="clear" w:color="auto" w:fill="auto"/>
            <w:noWrap/>
            <w:vAlign w:val="bottom"/>
            <w:hideMark/>
          </w:tcPr>
          <w:p w14:paraId="5D87E61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310.5</w:t>
            </w:r>
          </w:p>
        </w:tc>
        <w:tc>
          <w:tcPr>
            <w:tcW w:w="910" w:type="dxa"/>
            <w:tcBorders>
              <w:top w:val="nil"/>
              <w:left w:val="nil"/>
              <w:bottom w:val="nil"/>
              <w:right w:val="nil"/>
            </w:tcBorders>
            <w:shd w:val="clear" w:color="auto" w:fill="auto"/>
            <w:noWrap/>
            <w:vAlign w:val="bottom"/>
            <w:hideMark/>
          </w:tcPr>
          <w:p w14:paraId="4192165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310.2</w:t>
            </w:r>
          </w:p>
        </w:tc>
        <w:tc>
          <w:tcPr>
            <w:tcW w:w="910" w:type="dxa"/>
            <w:tcBorders>
              <w:top w:val="nil"/>
              <w:left w:val="nil"/>
              <w:bottom w:val="nil"/>
              <w:right w:val="nil"/>
            </w:tcBorders>
            <w:shd w:val="clear" w:color="auto" w:fill="auto"/>
            <w:noWrap/>
            <w:vAlign w:val="bottom"/>
            <w:hideMark/>
          </w:tcPr>
          <w:p w14:paraId="1C6F93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286E99A" w14:textId="77777777" w:rsidTr="00360FE5">
        <w:trPr>
          <w:trHeight w:val="210"/>
        </w:trPr>
        <w:tc>
          <w:tcPr>
            <w:tcW w:w="450" w:type="dxa"/>
            <w:tcBorders>
              <w:top w:val="nil"/>
              <w:left w:val="nil"/>
              <w:bottom w:val="nil"/>
              <w:right w:val="nil"/>
            </w:tcBorders>
            <w:shd w:val="clear" w:color="auto" w:fill="auto"/>
            <w:noWrap/>
            <w:hideMark/>
          </w:tcPr>
          <w:p w14:paraId="5A7D9C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28</w:t>
            </w:r>
          </w:p>
        </w:tc>
        <w:tc>
          <w:tcPr>
            <w:tcW w:w="5130" w:type="dxa"/>
            <w:tcBorders>
              <w:top w:val="nil"/>
              <w:left w:val="nil"/>
              <w:bottom w:val="nil"/>
              <w:right w:val="nil"/>
            </w:tcBorders>
            <w:shd w:val="clear" w:color="auto" w:fill="auto"/>
            <w:noWrap/>
            <w:vAlign w:val="bottom"/>
            <w:hideMark/>
          </w:tcPr>
          <w:p w14:paraId="1FEB711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 for owners and beneficiaries of lands and land plots, whose land and plots of land were subjected to chemical, radioactive and other pollution </w:t>
            </w:r>
          </w:p>
        </w:tc>
        <w:tc>
          <w:tcPr>
            <w:tcW w:w="910" w:type="dxa"/>
            <w:tcBorders>
              <w:top w:val="nil"/>
              <w:left w:val="nil"/>
              <w:bottom w:val="nil"/>
              <w:right w:val="nil"/>
            </w:tcBorders>
            <w:shd w:val="clear" w:color="auto" w:fill="auto"/>
            <w:noWrap/>
            <w:vAlign w:val="bottom"/>
            <w:hideMark/>
          </w:tcPr>
          <w:p w14:paraId="265F3F9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2F17B7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4.6</w:t>
            </w:r>
          </w:p>
        </w:tc>
        <w:tc>
          <w:tcPr>
            <w:tcW w:w="910" w:type="dxa"/>
            <w:tcBorders>
              <w:top w:val="nil"/>
              <w:left w:val="nil"/>
              <w:bottom w:val="nil"/>
              <w:right w:val="nil"/>
            </w:tcBorders>
            <w:shd w:val="clear" w:color="auto" w:fill="auto"/>
            <w:noWrap/>
            <w:vAlign w:val="bottom"/>
            <w:hideMark/>
          </w:tcPr>
          <w:p w14:paraId="3BDA6CE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4.5</w:t>
            </w:r>
          </w:p>
        </w:tc>
        <w:tc>
          <w:tcPr>
            <w:tcW w:w="910" w:type="dxa"/>
            <w:tcBorders>
              <w:top w:val="nil"/>
              <w:left w:val="nil"/>
              <w:bottom w:val="nil"/>
              <w:right w:val="nil"/>
            </w:tcBorders>
            <w:shd w:val="clear" w:color="auto" w:fill="auto"/>
            <w:noWrap/>
            <w:vAlign w:val="bottom"/>
            <w:hideMark/>
          </w:tcPr>
          <w:p w14:paraId="459169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910" w:type="dxa"/>
            <w:tcBorders>
              <w:top w:val="nil"/>
              <w:left w:val="nil"/>
              <w:bottom w:val="nil"/>
              <w:right w:val="nil"/>
            </w:tcBorders>
            <w:shd w:val="clear" w:color="auto" w:fill="auto"/>
            <w:noWrap/>
            <w:vAlign w:val="bottom"/>
            <w:hideMark/>
          </w:tcPr>
          <w:p w14:paraId="7679322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5433B32" w14:textId="77777777" w:rsidTr="00360FE5">
        <w:trPr>
          <w:trHeight w:val="210"/>
        </w:trPr>
        <w:tc>
          <w:tcPr>
            <w:tcW w:w="450" w:type="dxa"/>
            <w:tcBorders>
              <w:top w:val="nil"/>
              <w:left w:val="nil"/>
              <w:bottom w:val="nil"/>
              <w:right w:val="nil"/>
            </w:tcBorders>
            <w:shd w:val="clear" w:color="auto" w:fill="auto"/>
            <w:noWrap/>
            <w:hideMark/>
          </w:tcPr>
          <w:p w14:paraId="2CBC792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29</w:t>
            </w:r>
          </w:p>
        </w:tc>
        <w:tc>
          <w:tcPr>
            <w:tcW w:w="5130" w:type="dxa"/>
            <w:tcBorders>
              <w:top w:val="nil"/>
              <w:left w:val="nil"/>
              <w:bottom w:val="nil"/>
              <w:right w:val="nil"/>
            </w:tcBorders>
            <w:shd w:val="clear" w:color="auto" w:fill="auto"/>
            <w:noWrap/>
            <w:vAlign w:val="bottom"/>
            <w:hideMark/>
          </w:tcPr>
          <w:p w14:paraId="5580E6E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 for Free Economic Zones</w:t>
            </w:r>
          </w:p>
        </w:tc>
        <w:tc>
          <w:tcPr>
            <w:tcW w:w="910" w:type="dxa"/>
            <w:tcBorders>
              <w:top w:val="nil"/>
              <w:left w:val="nil"/>
              <w:bottom w:val="nil"/>
              <w:right w:val="nil"/>
            </w:tcBorders>
            <w:shd w:val="clear" w:color="auto" w:fill="auto"/>
            <w:noWrap/>
            <w:vAlign w:val="bottom"/>
            <w:hideMark/>
          </w:tcPr>
          <w:p w14:paraId="4D27BB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0840FC2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40174B9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58BC13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4234F9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20E0332C" w14:textId="77777777" w:rsidTr="00360FE5">
        <w:trPr>
          <w:trHeight w:val="210"/>
        </w:trPr>
        <w:tc>
          <w:tcPr>
            <w:tcW w:w="450" w:type="dxa"/>
            <w:tcBorders>
              <w:top w:val="nil"/>
              <w:left w:val="nil"/>
              <w:bottom w:val="nil"/>
              <w:right w:val="nil"/>
            </w:tcBorders>
            <w:shd w:val="clear" w:color="auto" w:fill="auto"/>
            <w:noWrap/>
            <w:hideMark/>
          </w:tcPr>
          <w:p w14:paraId="7F42ADF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30</w:t>
            </w:r>
          </w:p>
        </w:tc>
        <w:tc>
          <w:tcPr>
            <w:tcW w:w="5130" w:type="dxa"/>
            <w:tcBorders>
              <w:top w:val="nil"/>
              <w:left w:val="nil"/>
              <w:bottom w:val="nil"/>
              <w:right w:val="nil"/>
            </w:tcBorders>
            <w:shd w:val="clear" w:color="auto" w:fill="auto"/>
            <w:noWrap/>
            <w:vAlign w:val="bottom"/>
            <w:hideMark/>
          </w:tcPr>
          <w:p w14:paraId="3C192E3B"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Exemptions granted by representative authorities of local public administrations in case of natural disaster or fire</w:t>
            </w:r>
          </w:p>
        </w:tc>
        <w:tc>
          <w:tcPr>
            <w:tcW w:w="910" w:type="dxa"/>
            <w:tcBorders>
              <w:top w:val="nil"/>
              <w:left w:val="nil"/>
              <w:bottom w:val="nil"/>
              <w:right w:val="nil"/>
            </w:tcBorders>
            <w:shd w:val="clear" w:color="auto" w:fill="auto"/>
            <w:noWrap/>
            <w:vAlign w:val="bottom"/>
            <w:hideMark/>
          </w:tcPr>
          <w:p w14:paraId="2D0F62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84.5</w:t>
            </w:r>
          </w:p>
        </w:tc>
        <w:tc>
          <w:tcPr>
            <w:tcW w:w="910" w:type="dxa"/>
            <w:tcBorders>
              <w:top w:val="nil"/>
              <w:left w:val="nil"/>
              <w:bottom w:val="nil"/>
              <w:right w:val="nil"/>
            </w:tcBorders>
            <w:shd w:val="clear" w:color="auto" w:fill="auto"/>
            <w:noWrap/>
            <w:vAlign w:val="bottom"/>
            <w:hideMark/>
          </w:tcPr>
          <w:p w14:paraId="423642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105.7</w:t>
            </w:r>
          </w:p>
        </w:tc>
        <w:tc>
          <w:tcPr>
            <w:tcW w:w="910" w:type="dxa"/>
            <w:tcBorders>
              <w:top w:val="nil"/>
              <w:left w:val="nil"/>
              <w:bottom w:val="nil"/>
              <w:right w:val="nil"/>
            </w:tcBorders>
            <w:shd w:val="clear" w:color="auto" w:fill="auto"/>
            <w:noWrap/>
            <w:vAlign w:val="bottom"/>
            <w:hideMark/>
          </w:tcPr>
          <w:p w14:paraId="36B1304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160.3</w:t>
            </w:r>
          </w:p>
        </w:tc>
        <w:tc>
          <w:tcPr>
            <w:tcW w:w="910" w:type="dxa"/>
            <w:tcBorders>
              <w:top w:val="nil"/>
              <w:left w:val="nil"/>
              <w:bottom w:val="nil"/>
              <w:right w:val="nil"/>
            </w:tcBorders>
            <w:shd w:val="clear" w:color="auto" w:fill="auto"/>
            <w:noWrap/>
            <w:vAlign w:val="bottom"/>
            <w:hideMark/>
          </w:tcPr>
          <w:p w14:paraId="4695A22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89.1</w:t>
            </w:r>
          </w:p>
        </w:tc>
        <w:tc>
          <w:tcPr>
            <w:tcW w:w="910" w:type="dxa"/>
            <w:tcBorders>
              <w:top w:val="nil"/>
              <w:left w:val="nil"/>
              <w:bottom w:val="nil"/>
              <w:right w:val="nil"/>
            </w:tcBorders>
            <w:shd w:val="clear" w:color="auto" w:fill="auto"/>
            <w:noWrap/>
            <w:vAlign w:val="bottom"/>
            <w:hideMark/>
          </w:tcPr>
          <w:p w14:paraId="757B93C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6A0C84AF" w14:textId="77777777" w:rsidTr="00360FE5">
        <w:trPr>
          <w:trHeight w:val="210"/>
        </w:trPr>
        <w:tc>
          <w:tcPr>
            <w:tcW w:w="450" w:type="dxa"/>
            <w:tcBorders>
              <w:top w:val="nil"/>
              <w:left w:val="nil"/>
              <w:bottom w:val="nil"/>
              <w:right w:val="nil"/>
            </w:tcBorders>
            <w:shd w:val="clear" w:color="auto" w:fill="auto"/>
            <w:noWrap/>
            <w:hideMark/>
          </w:tcPr>
          <w:p w14:paraId="5417F3B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31</w:t>
            </w:r>
          </w:p>
        </w:tc>
        <w:tc>
          <w:tcPr>
            <w:tcW w:w="5130" w:type="dxa"/>
            <w:tcBorders>
              <w:top w:val="nil"/>
              <w:left w:val="nil"/>
              <w:bottom w:val="nil"/>
              <w:right w:val="nil"/>
            </w:tcBorders>
            <w:shd w:val="clear" w:color="auto" w:fill="auto"/>
            <w:noWrap/>
            <w:vAlign w:val="bottom"/>
            <w:hideMark/>
          </w:tcPr>
          <w:p w14:paraId="35EE111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Exemptions granted by representative authorities of local public administrations to mitigate the negative impact on the environment stemming from their economic activities</w:t>
            </w:r>
          </w:p>
        </w:tc>
        <w:tc>
          <w:tcPr>
            <w:tcW w:w="910" w:type="dxa"/>
            <w:tcBorders>
              <w:top w:val="nil"/>
              <w:left w:val="nil"/>
              <w:bottom w:val="nil"/>
              <w:right w:val="nil"/>
            </w:tcBorders>
            <w:shd w:val="clear" w:color="auto" w:fill="auto"/>
            <w:noWrap/>
            <w:vAlign w:val="bottom"/>
            <w:hideMark/>
          </w:tcPr>
          <w:p w14:paraId="091390F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0.9</w:t>
            </w:r>
          </w:p>
        </w:tc>
        <w:tc>
          <w:tcPr>
            <w:tcW w:w="910" w:type="dxa"/>
            <w:tcBorders>
              <w:top w:val="nil"/>
              <w:left w:val="nil"/>
              <w:bottom w:val="nil"/>
              <w:right w:val="nil"/>
            </w:tcBorders>
            <w:shd w:val="clear" w:color="auto" w:fill="auto"/>
            <w:noWrap/>
            <w:vAlign w:val="bottom"/>
            <w:hideMark/>
          </w:tcPr>
          <w:p w14:paraId="4EADA1E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14.5</w:t>
            </w:r>
          </w:p>
        </w:tc>
        <w:tc>
          <w:tcPr>
            <w:tcW w:w="910" w:type="dxa"/>
            <w:tcBorders>
              <w:top w:val="nil"/>
              <w:left w:val="nil"/>
              <w:bottom w:val="nil"/>
              <w:right w:val="nil"/>
            </w:tcBorders>
            <w:shd w:val="clear" w:color="auto" w:fill="auto"/>
            <w:noWrap/>
            <w:vAlign w:val="bottom"/>
            <w:hideMark/>
          </w:tcPr>
          <w:p w14:paraId="762A22D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0.2</w:t>
            </w:r>
          </w:p>
        </w:tc>
        <w:tc>
          <w:tcPr>
            <w:tcW w:w="910" w:type="dxa"/>
            <w:tcBorders>
              <w:top w:val="nil"/>
              <w:left w:val="nil"/>
              <w:bottom w:val="nil"/>
              <w:right w:val="nil"/>
            </w:tcBorders>
            <w:shd w:val="clear" w:color="auto" w:fill="auto"/>
            <w:noWrap/>
            <w:vAlign w:val="bottom"/>
            <w:hideMark/>
          </w:tcPr>
          <w:p w14:paraId="49887EB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173.6</w:t>
            </w:r>
          </w:p>
        </w:tc>
        <w:tc>
          <w:tcPr>
            <w:tcW w:w="910" w:type="dxa"/>
            <w:tcBorders>
              <w:top w:val="nil"/>
              <w:left w:val="nil"/>
              <w:bottom w:val="nil"/>
              <w:right w:val="nil"/>
            </w:tcBorders>
            <w:shd w:val="clear" w:color="auto" w:fill="auto"/>
            <w:noWrap/>
            <w:vAlign w:val="bottom"/>
            <w:hideMark/>
          </w:tcPr>
          <w:p w14:paraId="1471BA8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290D190" w14:textId="77777777" w:rsidTr="00360FE5">
        <w:trPr>
          <w:trHeight w:val="210"/>
        </w:trPr>
        <w:tc>
          <w:tcPr>
            <w:tcW w:w="450" w:type="dxa"/>
            <w:tcBorders>
              <w:top w:val="nil"/>
              <w:left w:val="nil"/>
              <w:bottom w:val="nil"/>
              <w:right w:val="nil"/>
            </w:tcBorders>
            <w:shd w:val="clear" w:color="auto" w:fill="auto"/>
            <w:noWrap/>
            <w:hideMark/>
          </w:tcPr>
          <w:p w14:paraId="7D4B12A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32</w:t>
            </w:r>
          </w:p>
        </w:tc>
        <w:tc>
          <w:tcPr>
            <w:tcW w:w="5130" w:type="dxa"/>
            <w:tcBorders>
              <w:top w:val="nil"/>
              <w:left w:val="nil"/>
              <w:bottom w:val="nil"/>
              <w:right w:val="nil"/>
            </w:tcBorders>
            <w:shd w:val="clear" w:color="auto" w:fill="auto"/>
            <w:noWrap/>
            <w:vAlign w:val="bottom"/>
            <w:hideMark/>
          </w:tcPr>
          <w:p w14:paraId="44176BC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Exemptions granted by representative authorities of local public administrations in case of long illness or death of the property owner </w:t>
            </w:r>
          </w:p>
        </w:tc>
        <w:tc>
          <w:tcPr>
            <w:tcW w:w="910" w:type="dxa"/>
            <w:tcBorders>
              <w:top w:val="nil"/>
              <w:left w:val="nil"/>
              <w:bottom w:val="nil"/>
              <w:right w:val="nil"/>
            </w:tcBorders>
            <w:shd w:val="clear" w:color="auto" w:fill="auto"/>
            <w:noWrap/>
            <w:vAlign w:val="bottom"/>
            <w:hideMark/>
          </w:tcPr>
          <w:p w14:paraId="518EACB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201.8</w:t>
            </w:r>
          </w:p>
        </w:tc>
        <w:tc>
          <w:tcPr>
            <w:tcW w:w="910" w:type="dxa"/>
            <w:tcBorders>
              <w:top w:val="nil"/>
              <w:left w:val="nil"/>
              <w:bottom w:val="nil"/>
              <w:right w:val="nil"/>
            </w:tcBorders>
            <w:shd w:val="clear" w:color="auto" w:fill="auto"/>
            <w:noWrap/>
            <w:vAlign w:val="bottom"/>
            <w:hideMark/>
          </w:tcPr>
          <w:p w14:paraId="69842F1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205.1</w:t>
            </w:r>
          </w:p>
        </w:tc>
        <w:tc>
          <w:tcPr>
            <w:tcW w:w="910" w:type="dxa"/>
            <w:tcBorders>
              <w:top w:val="nil"/>
              <w:left w:val="nil"/>
              <w:bottom w:val="nil"/>
              <w:right w:val="nil"/>
            </w:tcBorders>
            <w:shd w:val="clear" w:color="auto" w:fill="auto"/>
            <w:noWrap/>
            <w:vAlign w:val="bottom"/>
            <w:hideMark/>
          </w:tcPr>
          <w:p w14:paraId="0F0F339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69.6</w:t>
            </w:r>
          </w:p>
        </w:tc>
        <w:tc>
          <w:tcPr>
            <w:tcW w:w="910" w:type="dxa"/>
            <w:tcBorders>
              <w:top w:val="nil"/>
              <w:left w:val="nil"/>
              <w:bottom w:val="nil"/>
              <w:right w:val="nil"/>
            </w:tcBorders>
            <w:shd w:val="clear" w:color="auto" w:fill="auto"/>
            <w:noWrap/>
            <w:vAlign w:val="bottom"/>
            <w:hideMark/>
          </w:tcPr>
          <w:p w14:paraId="553ADE1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68.6</w:t>
            </w:r>
          </w:p>
        </w:tc>
        <w:tc>
          <w:tcPr>
            <w:tcW w:w="910" w:type="dxa"/>
            <w:tcBorders>
              <w:top w:val="nil"/>
              <w:left w:val="nil"/>
              <w:bottom w:val="nil"/>
              <w:right w:val="nil"/>
            </w:tcBorders>
            <w:shd w:val="clear" w:color="auto" w:fill="auto"/>
            <w:noWrap/>
            <w:vAlign w:val="bottom"/>
            <w:hideMark/>
          </w:tcPr>
          <w:p w14:paraId="4E6778C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52F18D15" w14:textId="77777777" w:rsidTr="00360FE5">
        <w:trPr>
          <w:trHeight w:val="210"/>
        </w:trPr>
        <w:tc>
          <w:tcPr>
            <w:tcW w:w="450" w:type="dxa"/>
            <w:tcBorders>
              <w:top w:val="nil"/>
              <w:left w:val="nil"/>
              <w:bottom w:val="nil"/>
              <w:right w:val="nil"/>
            </w:tcBorders>
            <w:shd w:val="clear" w:color="auto" w:fill="auto"/>
            <w:noWrap/>
            <w:hideMark/>
          </w:tcPr>
          <w:p w14:paraId="38C483C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33</w:t>
            </w:r>
          </w:p>
        </w:tc>
        <w:tc>
          <w:tcPr>
            <w:tcW w:w="5130" w:type="dxa"/>
            <w:tcBorders>
              <w:top w:val="nil"/>
              <w:left w:val="nil"/>
              <w:bottom w:val="nil"/>
              <w:right w:val="nil"/>
            </w:tcBorders>
            <w:shd w:val="clear" w:color="auto" w:fill="auto"/>
            <w:noWrap/>
            <w:vAlign w:val="bottom"/>
            <w:hideMark/>
          </w:tcPr>
          <w:p w14:paraId="65FFB2D1"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Exemptions or postponement of RET granted by representative authorities of local public administrations to individuals owning residential houses or other accommodations on lease from the Public Housing Fund</w:t>
            </w:r>
          </w:p>
        </w:tc>
        <w:tc>
          <w:tcPr>
            <w:tcW w:w="910" w:type="dxa"/>
            <w:tcBorders>
              <w:top w:val="nil"/>
              <w:left w:val="nil"/>
              <w:bottom w:val="nil"/>
              <w:right w:val="nil"/>
            </w:tcBorders>
            <w:shd w:val="clear" w:color="auto" w:fill="auto"/>
            <w:noWrap/>
            <w:vAlign w:val="bottom"/>
            <w:hideMark/>
          </w:tcPr>
          <w:p w14:paraId="1D7BFA1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3836B32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50.3</w:t>
            </w:r>
          </w:p>
        </w:tc>
        <w:tc>
          <w:tcPr>
            <w:tcW w:w="910" w:type="dxa"/>
            <w:tcBorders>
              <w:top w:val="nil"/>
              <w:left w:val="nil"/>
              <w:bottom w:val="nil"/>
              <w:right w:val="nil"/>
            </w:tcBorders>
            <w:shd w:val="clear" w:color="auto" w:fill="auto"/>
            <w:noWrap/>
            <w:vAlign w:val="bottom"/>
            <w:hideMark/>
          </w:tcPr>
          <w:p w14:paraId="2583B4B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w:t>
            </w:r>
          </w:p>
        </w:tc>
        <w:tc>
          <w:tcPr>
            <w:tcW w:w="910" w:type="dxa"/>
            <w:tcBorders>
              <w:top w:val="nil"/>
              <w:left w:val="nil"/>
              <w:bottom w:val="nil"/>
              <w:right w:val="nil"/>
            </w:tcBorders>
            <w:shd w:val="clear" w:color="auto" w:fill="auto"/>
            <w:noWrap/>
            <w:vAlign w:val="bottom"/>
            <w:hideMark/>
          </w:tcPr>
          <w:p w14:paraId="48B97A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1.0</w:t>
            </w:r>
          </w:p>
        </w:tc>
        <w:tc>
          <w:tcPr>
            <w:tcW w:w="910" w:type="dxa"/>
            <w:tcBorders>
              <w:top w:val="nil"/>
              <w:left w:val="nil"/>
              <w:bottom w:val="nil"/>
              <w:right w:val="nil"/>
            </w:tcBorders>
            <w:shd w:val="clear" w:color="auto" w:fill="auto"/>
            <w:noWrap/>
            <w:vAlign w:val="bottom"/>
            <w:hideMark/>
          </w:tcPr>
          <w:p w14:paraId="0EA7B5A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8BE3B8E" w14:textId="77777777" w:rsidTr="00360FE5">
        <w:trPr>
          <w:trHeight w:val="210"/>
        </w:trPr>
        <w:tc>
          <w:tcPr>
            <w:tcW w:w="450" w:type="dxa"/>
            <w:tcBorders>
              <w:top w:val="nil"/>
              <w:left w:val="nil"/>
              <w:bottom w:val="nil"/>
              <w:right w:val="nil"/>
            </w:tcBorders>
            <w:shd w:val="clear" w:color="auto" w:fill="auto"/>
            <w:noWrap/>
            <w:hideMark/>
          </w:tcPr>
          <w:p w14:paraId="17BE334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34</w:t>
            </w:r>
          </w:p>
        </w:tc>
        <w:tc>
          <w:tcPr>
            <w:tcW w:w="5130" w:type="dxa"/>
            <w:tcBorders>
              <w:top w:val="nil"/>
              <w:left w:val="nil"/>
              <w:bottom w:val="nil"/>
              <w:right w:val="nil"/>
            </w:tcBorders>
            <w:shd w:val="clear" w:color="auto" w:fill="auto"/>
            <w:noWrap/>
            <w:vAlign w:val="bottom"/>
            <w:hideMark/>
          </w:tcPr>
          <w:p w14:paraId="76C2CE30"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xml:space="preserve">Early payment discount of 15 percent applicable to properties appraised by the new property tax assessment method that commenced in 2004 </w:t>
            </w:r>
          </w:p>
        </w:tc>
        <w:tc>
          <w:tcPr>
            <w:tcW w:w="910" w:type="dxa"/>
            <w:tcBorders>
              <w:top w:val="nil"/>
              <w:left w:val="nil"/>
              <w:bottom w:val="nil"/>
              <w:right w:val="nil"/>
            </w:tcBorders>
            <w:shd w:val="clear" w:color="auto" w:fill="auto"/>
            <w:noWrap/>
            <w:vAlign w:val="bottom"/>
            <w:hideMark/>
          </w:tcPr>
          <w:p w14:paraId="2A6CF0A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55,232.7</w:t>
            </w:r>
          </w:p>
        </w:tc>
        <w:tc>
          <w:tcPr>
            <w:tcW w:w="910" w:type="dxa"/>
            <w:tcBorders>
              <w:top w:val="nil"/>
              <w:left w:val="nil"/>
              <w:bottom w:val="nil"/>
              <w:right w:val="nil"/>
            </w:tcBorders>
            <w:shd w:val="clear" w:color="auto" w:fill="auto"/>
            <w:noWrap/>
            <w:vAlign w:val="bottom"/>
            <w:hideMark/>
          </w:tcPr>
          <w:p w14:paraId="305877F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35,729.8</w:t>
            </w:r>
          </w:p>
        </w:tc>
        <w:tc>
          <w:tcPr>
            <w:tcW w:w="910" w:type="dxa"/>
            <w:tcBorders>
              <w:top w:val="nil"/>
              <w:left w:val="nil"/>
              <w:bottom w:val="nil"/>
              <w:right w:val="nil"/>
            </w:tcBorders>
            <w:shd w:val="clear" w:color="auto" w:fill="auto"/>
            <w:noWrap/>
            <w:vAlign w:val="bottom"/>
            <w:hideMark/>
          </w:tcPr>
          <w:p w14:paraId="4CFEA43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38,799.9</w:t>
            </w:r>
          </w:p>
        </w:tc>
        <w:tc>
          <w:tcPr>
            <w:tcW w:w="910" w:type="dxa"/>
            <w:tcBorders>
              <w:top w:val="nil"/>
              <w:left w:val="nil"/>
              <w:bottom w:val="nil"/>
              <w:right w:val="nil"/>
            </w:tcBorders>
            <w:shd w:val="clear" w:color="auto" w:fill="auto"/>
            <w:noWrap/>
            <w:vAlign w:val="bottom"/>
            <w:hideMark/>
          </w:tcPr>
          <w:p w14:paraId="5FEE538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5508414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4B748B62" w14:textId="77777777" w:rsidTr="00360FE5">
        <w:trPr>
          <w:trHeight w:val="210"/>
        </w:trPr>
        <w:tc>
          <w:tcPr>
            <w:tcW w:w="450" w:type="dxa"/>
            <w:tcBorders>
              <w:top w:val="nil"/>
              <w:left w:val="nil"/>
              <w:bottom w:val="nil"/>
              <w:right w:val="nil"/>
            </w:tcBorders>
            <w:shd w:val="clear" w:color="auto" w:fill="auto"/>
            <w:noWrap/>
            <w:hideMark/>
          </w:tcPr>
          <w:p w14:paraId="74FF97D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35</w:t>
            </w:r>
          </w:p>
        </w:tc>
        <w:tc>
          <w:tcPr>
            <w:tcW w:w="5130" w:type="dxa"/>
            <w:tcBorders>
              <w:top w:val="nil"/>
              <w:left w:val="nil"/>
              <w:bottom w:val="nil"/>
              <w:right w:val="nil"/>
            </w:tcBorders>
            <w:shd w:val="clear" w:color="auto" w:fill="auto"/>
            <w:noWrap/>
            <w:vAlign w:val="bottom"/>
            <w:hideMark/>
          </w:tcPr>
          <w:p w14:paraId="0C710A78"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Early payment discount of 15 percent applicable to properties assessed according to the old property tax system that applies to non-cadaster registered and non-market value appraised properties</w:t>
            </w:r>
          </w:p>
        </w:tc>
        <w:tc>
          <w:tcPr>
            <w:tcW w:w="910" w:type="dxa"/>
            <w:tcBorders>
              <w:top w:val="nil"/>
              <w:left w:val="nil"/>
              <w:bottom w:val="nil"/>
              <w:right w:val="nil"/>
            </w:tcBorders>
            <w:shd w:val="clear" w:color="auto" w:fill="auto"/>
            <w:noWrap/>
            <w:vAlign w:val="bottom"/>
            <w:hideMark/>
          </w:tcPr>
          <w:p w14:paraId="67AB5EB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22,899.9</w:t>
            </w:r>
          </w:p>
        </w:tc>
        <w:tc>
          <w:tcPr>
            <w:tcW w:w="910" w:type="dxa"/>
            <w:tcBorders>
              <w:top w:val="nil"/>
              <w:left w:val="nil"/>
              <w:bottom w:val="nil"/>
              <w:right w:val="nil"/>
            </w:tcBorders>
            <w:shd w:val="clear" w:color="auto" w:fill="auto"/>
            <w:noWrap/>
            <w:vAlign w:val="bottom"/>
            <w:hideMark/>
          </w:tcPr>
          <w:p w14:paraId="345D19A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88,640.1</w:t>
            </w:r>
          </w:p>
        </w:tc>
        <w:tc>
          <w:tcPr>
            <w:tcW w:w="910" w:type="dxa"/>
            <w:tcBorders>
              <w:top w:val="nil"/>
              <w:left w:val="nil"/>
              <w:bottom w:val="nil"/>
              <w:right w:val="nil"/>
            </w:tcBorders>
            <w:shd w:val="clear" w:color="auto" w:fill="auto"/>
            <w:noWrap/>
            <w:vAlign w:val="bottom"/>
            <w:hideMark/>
          </w:tcPr>
          <w:p w14:paraId="72AEC61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9,373.5</w:t>
            </w:r>
          </w:p>
        </w:tc>
        <w:tc>
          <w:tcPr>
            <w:tcW w:w="910" w:type="dxa"/>
            <w:tcBorders>
              <w:top w:val="nil"/>
              <w:left w:val="nil"/>
              <w:bottom w:val="nil"/>
              <w:right w:val="nil"/>
            </w:tcBorders>
            <w:shd w:val="clear" w:color="auto" w:fill="auto"/>
            <w:noWrap/>
            <w:vAlign w:val="bottom"/>
            <w:hideMark/>
          </w:tcPr>
          <w:p w14:paraId="35F2E5D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c>
          <w:tcPr>
            <w:tcW w:w="910" w:type="dxa"/>
            <w:tcBorders>
              <w:top w:val="nil"/>
              <w:left w:val="nil"/>
              <w:bottom w:val="nil"/>
              <w:right w:val="nil"/>
            </w:tcBorders>
            <w:shd w:val="clear" w:color="auto" w:fill="auto"/>
            <w:noWrap/>
            <w:vAlign w:val="bottom"/>
            <w:hideMark/>
          </w:tcPr>
          <w:p w14:paraId="4268D9B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t>
            </w:r>
          </w:p>
        </w:tc>
      </w:tr>
      <w:tr w:rsidR="00134C08" w:rsidRPr="00134C08" w14:paraId="4E27C15D" w14:textId="77777777" w:rsidTr="00360FE5">
        <w:trPr>
          <w:trHeight w:val="210"/>
        </w:trPr>
        <w:tc>
          <w:tcPr>
            <w:tcW w:w="450" w:type="dxa"/>
            <w:tcBorders>
              <w:top w:val="nil"/>
              <w:left w:val="nil"/>
              <w:bottom w:val="nil"/>
              <w:right w:val="nil"/>
            </w:tcBorders>
            <w:shd w:val="clear" w:color="auto" w:fill="auto"/>
            <w:noWrap/>
            <w:hideMark/>
          </w:tcPr>
          <w:p w14:paraId="511402E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36</w:t>
            </w:r>
          </w:p>
        </w:tc>
        <w:tc>
          <w:tcPr>
            <w:tcW w:w="5130" w:type="dxa"/>
            <w:tcBorders>
              <w:top w:val="nil"/>
              <w:left w:val="nil"/>
              <w:bottom w:val="nil"/>
              <w:right w:val="nil"/>
            </w:tcBorders>
            <w:shd w:val="clear" w:color="auto" w:fill="auto"/>
            <w:noWrap/>
            <w:vAlign w:val="bottom"/>
            <w:hideMark/>
          </w:tcPr>
          <w:p w14:paraId="07BFF24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Special tax regime for residents of IT park</w:t>
            </w:r>
          </w:p>
        </w:tc>
        <w:tc>
          <w:tcPr>
            <w:tcW w:w="910" w:type="dxa"/>
            <w:tcBorders>
              <w:top w:val="nil"/>
              <w:left w:val="nil"/>
              <w:bottom w:val="nil"/>
              <w:right w:val="nil"/>
            </w:tcBorders>
            <w:shd w:val="clear" w:color="auto" w:fill="auto"/>
            <w:noWrap/>
            <w:vAlign w:val="bottom"/>
            <w:hideMark/>
          </w:tcPr>
          <w:p w14:paraId="69BEFEA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5F3D7EC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553668A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23596A8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c>
          <w:tcPr>
            <w:tcW w:w="910" w:type="dxa"/>
            <w:tcBorders>
              <w:top w:val="nil"/>
              <w:left w:val="nil"/>
              <w:bottom w:val="nil"/>
              <w:right w:val="nil"/>
            </w:tcBorders>
            <w:shd w:val="clear" w:color="auto" w:fill="auto"/>
            <w:noWrap/>
            <w:vAlign w:val="bottom"/>
            <w:hideMark/>
          </w:tcPr>
          <w:p w14:paraId="38591FD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DF2C70C" w14:textId="77777777" w:rsidTr="00360FE5">
        <w:trPr>
          <w:trHeight w:val="210"/>
        </w:trPr>
        <w:tc>
          <w:tcPr>
            <w:tcW w:w="450" w:type="dxa"/>
            <w:tcBorders>
              <w:top w:val="nil"/>
              <w:left w:val="nil"/>
              <w:bottom w:val="nil"/>
              <w:right w:val="nil"/>
            </w:tcBorders>
            <w:shd w:val="clear" w:color="auto" w:fill="auto"/>
            <w:noWrap/>
            <w:hideMark/>
          </w:tcPr>
          <w:p w14:paraId="6631FE7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single" w:sz="4" w:space="0" w:color="auto"/>
              <w:left w:val="nil"/>
              <w:bottom w:val="nil"/>
              <w:right w:val="nil"/>
            </w:tcBorders>
            <w:shd w:val="clear" w:color="auto" w:fill="auto"/>
            <w:noWrap/>
            <w:vAlign w:val="bottom"/>
            <w:hideMark/>
          </w:tcPr>
          <w:p w14:paraId="26FB70A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Real Estate Tax</w:t>
            </w:r>
          </w:p>
        </w:tc>
        <w:tc>
          <w:tcPr>
            <w:tcW w:w="910" w:type="dxa"/>
            <w:tcBorders>
              <w:top w:val="single" w:sz="4" w:space="0" w:color="auto"/>
              <w:left w:val="nil"/>
              <w:bottom w:val="nil"/>
              <w:right w:val="nil"/>
            </w:tcBorders>
            <w:shd w:val="clear" w:color="auto" w:fill="auto"/>
            <w:noWrap/>
            <w:vAlign w:val="bottom"/>
            <w:hideMark/>
          </w:tcPr>
          <w:p w14:paraId="171E49B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431,558.4</w:t>
            </w:r>
          </w:p>
        </w:tc>
        <w:tc>
          <w:tcPr>
            <w:tcW w:w="910" w:type="dxa"/>
            <w:tcBorders>
              <w:top w:val="single" w:sz="4" w:space="0" w:color="auto"/>
              <w:left w:val="nil"/>
              <w:bottom w:val="nil"/>
              <w:right w:val="nil"/>
            </w:tcBorders>
            <w:shd w:val="clear" w:color="auto" w:fill="auto"/>
            <w:noWrap/>
            <w:vAlign w:val="bottom"/>
            <w:hideMark/>
          </w:tcPr>
          <w:p w14:paraId="7FFF5D3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429,316.7</w:t>
            </w:r>
          </w:p>
        </w:tc>
        <w:tc>
          <w:tcPr>
            <w:tcW w:w="910" w:type="dxa"/>
            <w:tcBorders>
              <w:top w:val="single" w:sz="4" w:space="0" w:color="auto"/>
              <w:left w:val="nil"/>
              <w:bottom w:val="nil"/>
              <w:right w:val="nil"/>
            </w:tcBorders>
            <w:shd w:val="clear" w:color="auto" w:fill="auto"/>
            <w:noWrap/>
            <w:vAlign w:val="bottom"/>
            <w:hideMark/>
          </w:tcPr>
          <w:p w14:paraId="02A77EA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331,375.3</w:t>
            </w:r>
          </w:p>
        </w:tc>
        <w:tc>
          <w:tcPr>
            <w:tcW w:w="910" w:type="dxa"/>
            <w:tcBorders>
              <w:top w:val="single" w:sz="4" w:space="0" w:color="auto"/>
              <w:left w:val="nil"/>
              <w:bottom w:val="nil"/>
              <w:right w:val="nil"/>
            </w:tcBorders>
            <w:shd w:val="clear" w:color="auto" w:fill="auto"/>
            <w:noWrap/>
            <w:vAlign w:val="bottom"/>
            <w:hideMark/>
          </w:tcPr>
          <w:p w14:paraId="6EB3137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367,409.8</w:t>
            </w:r>
          </w:p>
        </w:tc>
        <w:tc>
          <w:tcPr>
            <w:tcW w:w="910" w:type="dxa"/>
            <w:tcBorders>
              <w:top w:val="single" w:sz="4" w:space="0" w:color="auto"/>
              <w:left w:val="nil"/>
              <w:bottom w:val="nil"/>
              <w:right w:val="nil"/>
            </w:tcBorders>
            <w:shd w:val="clear" w:color="auto" w:fill="auto"/>
            <w:noWrap/>
            <w:vAlign w:val="bottom"/>
            <w:hideMark/>
          </w:tcPr>
          <w:p w14:paraId="66FE1ED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188EFCD2" w14:textId="77777777" w:rsidTr="00855621">
        <w:trPr>
          <w:trHeight w:val="220"/>
        </w:trPr>
        <w:tc>
          <w:tcPr>
            <w:tcW w:w="450" w:type="dxa"/>
            <w:tcBorders>
              <w:top w:val="nil"/>
              <w:left w:val="nil"/>
              <w:bottom w:val="nil"/>
              <w:right w:val="nil"/>
            </w:tcBorders>
            <w:shd w:val="clear" w:color="auto" w:fill="auto"/>
            <w:noWrap/>
            <w:hideMark/>
          </w:tcPr>
          <w:p w14:paraId="25CAEB22"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nil"/>
              <w:left w:val="nil"/>
              <w:bottom w:val="double" w:sz="6" w:space="0" w:color="auto"/>
              <w:right w:val="nil"/>
            </w:tcBorders>
            <w:shd w:val="clear" w:color="auto" w:fill="auto"/>
            <w:noWrap/>
            <w:vAlign w:val="bottom"/>
            <w:hideMark/>
          </w:tcPr>
          <w:p w14:paraId="74AB2DA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Real Estate Tax as % of GDP</w:t>
            </w:r>
          </w:p>
        </w:tc>
        <w:tc>
          <w:tcPr>
            <w:tcW w:w="910" w:type="dxa"/>
            <w:tcBorders>
              <w:top w:val="nil"/>
              <w:left w:val="nil"/>
              <w:bottom w:val="double" w:sz="6" w:space="0" w:color="auto"/>
              <w:right w:val="nil"/>
            </w:tcBorders>
            <w:shd w:val="clear" w:color="auto" w:fill="auto"/>
            <w:noWrap/>
            <w:vAlign w:val="center"/>
            <w:hideMark/>
          </w:tcPr>
          <w:p w14:paraId="660413C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0.22%</w:t>
            </w:r>
          </w:p>
        </w:tc>
        <w:tc>
          <w:tcPr>
            <w:tcW w:w="910" w:type="dxa"/>
            <w:tcBorders>
              <w:top w:val="nil"/>
              <w:left w:val="nil"/>
              <w:bottom w:val="double" w:sz="6" w:space="0" w:color="auto"/>
              <w:right w:val="nil"/>
            </w:tcBorders>
            <w:shd w:val="clear" w:color="auto" w:fill="auto"/>
            <w:noWrap/>
            <w:vAlign w:val="center"/>
            <w:hideMark/>
          </w:tcPr>
          <w:p w14:paraId="4577692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0.20%</w:t>
            </w:r>
          </w:p>
        </w:tc>
        <w:tc>
          <w:tcPr>
            <w:tcW w:w="910" w:type="dxa"/>
            <w:tcBorders>
              <w:top w:val="nil"/>
              <w:left w:val="nil"/>
              <w:bottom w:val="double" w:sz="6" w:space="0" w:color="auto"/>
              <w:right w:val="nil"/>
            </w:tcBorders>
            <w:shd w:val="clear" w:color="auto" w:fill="auto"/>
            <w:noWrap/>
            <w:vAlign w:val="center"/>
            <w:hideMark/>
          </w:tcPr>
          <w:p w14:paraId="110A997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0.16%</w:t>
            </w:r>
          </w:p>
        </w:tc>
        <w:tc>
          <w:tcPr>
            <w:tcW w:w="910" w:type="dxa"/>
            <w:tcBorders>
              <w:top w:val="nil"/>
              <w:left w:val="nil"/>
              <w:bottom w:val="double" w:sz="6" w:space="0" w:color="auto"/>
              <w:right w:val="nil"/>
            </w:tcBorders>
            <w:shd w:val="clear" w:color="auto" w:fill="auto"/>
            <w:noWrap/>
            <w:vAlign w:val="center"/>
            <w:hideMark/>
          </w:tcPr>
          <w:p w14:paraId="5EAD89C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0.16%</w:t>
            </w:r>
          </w:p>
        </w:tc>
        <w:tc>
          <w:tcPr>
            <w:tcW w:w="910" w:type="dxa"/>
            <w:tcBorders>
              <w:top w:val="nil"/>
              <w:left w:val="nil"/>
              <w:bottom w:val="double" w:sz="6" w:space="0" w:color="auto"/>
              <w:right w:val="nil"/>
            </w:tcBorders>
            <w:shd w:val="clear" w:color="auto" w:fill="auto"/>
            <w:noWrap/>
            <w:vAlign w:val="center"/>
            <w:hideMark/>
          </w:tcPr>
          <w:p w14:paraId="428C39B7"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7BFE4E05" w14:textId="77777777" w:rsidTr="00855621">
        <w:trPr>
          <w:trHeight w:val="220"/>
        </w:trPr>
        <w:tc>
          <w:tcPr>
            <w:tcW w:w="450" w:type="dxa"/>
            <w:tcBorders>
              <w:top w:val="nil"/>
              <w:left w:val="nil"/>
              <w:bottom w:val="nil"/>
              <w:right w:val="nil"/>
            </w:tcBorders>
            <w:shd w:val="clear" w:color="auto" w:fill="auto"/>
            <w:noWrap/>
            <w:hideMark/>
          </w:tcPr>
          <w:p w14:paraId="4085C7E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000000" w:fill="A5A5A5"/>
            <w:noWrap/>
            <w:vAlign w:val="bottom"/>
            <w:hideMark/>
          </w:tcPr>
          <w:p w14:paraId="6751B011"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Natural Resource Fees</w:t>
            </w:r>
          </w:p>
        </w:tc>
        <w:tc>
          <w:tcPr>
            <w:tcW w:w="4550" w:type="dxa"/>
            <w:gridSpan w:val="5"/>
            <w:tcBorders>
              <w:top w:val="nil"/>
              <w:left w:val="nil"/>
              <w:bottom w:val="nil"/>
              <w:right w:val="nil"/>
            </w:tcBorders>
            <w:shd w:val="clear" w:color="000000" w:fill="A5A5A5"/>
            <w:noWrap/>
            <w:vAlign w:val="bottom"/>
            <w:hideMark/>
          </w:tcPr>
          <w:p w14:paraId="43DC7842" w14:textId="77777777" w:rsidR="00134C08" w:rsidRPr="00134C08" w:rsidRDefault="00134C08" w:rsidP="00E90BA7">
            <w:pPr>
              <w:spacing w:after="0" w:line="240" w:lineRule="auto"/>
              <w:jc w:val="both"/>
              <w:rPr>
                <w:rFonts w:ascii="Arial Narrow" w:eastAsia="Times New Roman" w:hAnsi="Arial Narrow" w:cs="Calibri"/>
                <w:b/>
                <w:bCs/>
                <w:sz w:val="16"/>
                <w:szCs w:val="16"/>
              </w:rPr>
            </w:pPr>
            <w:r w:rsidRPr="00134C08">
              <w:rPr>
                <w:rFonts w:ascii="Arial Narrow" w:eastAsia="Times New Roman" w:hAnsi="Arial Narrow" w:cs="Calibri"/>
                <w:b/>
                <w:bCs/>
                <w:sz w:val="16"/>
                <w:szCs w:val="16"/>
              </w:rPr>
              <w:t>Thousand MDL</w:t>
            </w:r>
          </w:p>
        </w:tc>
      </w:tr>
      <w:tr w:rsidR="00134C08" w:rsidRPr="00134C08" w14:paraId="367F1A12" w14:textId="77777777" w:rsidTr="00855621">
        <w:trPr>
          <w:trHeight w:val="210"/>
        </w:trPr>
        <w:tc>
          <w:tcPr>
            <w:tcW w:w="450" w:type="dxa"/>
            <w:tcBorders>
              <w:top w:val="nil"/>
              <w:left w:val="nil"/>
              <w:bottom w:val="nil"/>
              <w:right w:val="nil"/>
            </w:tcBorders>
            <w:shd w:val="clear" w:color="auto" w:fill="auto"/>
            <w:noWrap/>
            <w:hideMark/>
          </w:tcPr>
          <w:p w14:paraId="6604120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w:t>
            </w:r>
          </w:p>
        </w:tc>
        <w:tc>
          <w:tcPr>
            <w:tcW w:w="5130" w:type="dxa"/>
            <w:tcBorders>
              <w:top w:val="nil"/>
              <w:left w:val="nil"/>
              <w:bottom w:val="nil"/>
              <w:right w:val="nil"/>
            </w:tcBorders>
            <w:shd w:val="clear" w:color="auto" w:fill="auto"/>
            <w:noWrap/>
            <w:vAlign w:val="bottom"/>
            <w:hideMark/>
          </w:tcPr>
          <w:p w14:paraId="4535367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Fee exemption for extraction of underground water sources</w:t>
            </w:r>
          </w:p>
        </w:tc>
        <w:tc>
          <w:tcPr>
            <w:tcW w:w="910" w:type="dxa"/>
            <w:tcBorders>
              <w:top w:val="nil"/>
              <w:left w:val="nil"/>
              <w:bottom w:val="nil"/>
              <w:right w:val="nil"/>
            </w:tcBorders>
            <w:shd w:val="clear" w:color="auto" w:fill="auto"/>
            <w:noWrap/>
            <w:vAlign w:val="bottom"/>
            <w:hideMark/>
          </w:tcPr>
          <w:p w14:paraId="25785B5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1554CAB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0F255A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1BCBD855"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636FC6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128F8421" w14:textId="77777777" w:rsidTr="00855621">
        <w:trPr>
          <w:trHeight w:val="210"/>
        </w:trPr>
        <w:tc>
          <w:tcPr>
            <w:tcW w:w="450" w:type="dxa"/>
            <w:tcBorders>
              <w:top w:val="nil"/>
              <w:left w:val="nil"/>
              <w:bottom w:val="nil"/>
              <w:right w:val="nil"/>
            </w:tcBorders>
            <w:shd w:val="clear" w:color="auto" w:fill="auto"/>
            <w:noWrap/>
            <w:hideMark/>
          </w:tcPr>
          <w:p w14:paraId="4518062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w:t>
            </w:r>
          </w:p>
        </w:tc>
        <w:tc>
          <w:tcPr>
            <w:tcW w:w="5130" w:type="dxa"/>
            <w:tcBorders>
              <w:top w:val="nil"/>
              <w:left w:val="nil"/>
              <w:bottom w:val="nil"/>
              <w:right w:val="nil"/>
            </w:tcBorders>
            <w:shd w:val="clear" w:color="auto" w:fill="auto"/>
            <w:noWrap/>
            <w:vAlign w:val="bottom"/>
            <w:hideMark/>
          </w:tcPr>
          <w:p w14:paraId="45B19376"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Fee exemption for extraction of underground water sources</w:t>
            </w:r>
          </w:p>
        </w:tc>
        <w:tc>
          <w:tcPr>
            <w:tcW w:w="910" w:type="dxa"/>
            <w:tcBorders>
              <w:top w:val="nil"/>
              <w:left w:val="nil"/>
              <w:bottom w:val="nil"/>
              <w:right w:val="nil"/>
            </w:tcBorders>
            <w:shd w:val="clear" w:color="auto" w:fill="auto"/>
            <w:noWrap/>
            <w:vAlign w:val="bottom"/>
            <w:hideMark/>
          </w:tcPr>
          <w:p w14:paraId="4872E8A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B54909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63B814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3DADF26"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5EAF9FB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0220FA2" w14:textId="77777777" w:rsidTr="00855621">
        <w:trPr>
          <w:trHeight w:val="210"/>
        </w:trPr>
        <w:tc>
          <w:tcPr>
            <w:tcW w:w="450" w:type="dxa"/>
            <w:tcBorders>
              <w:top w:val="nil"/>
              <w:left w:val="nil"/>
              <w:bottom w:val="nil"/>
              <w:right w:val="nil"/>
            </w:tcBorders>
            <w:shd w:val="clear" w:color="auto" w:fill="auto"/>
            <w:noWrap/>
            <w:hideMark/>
          </w:tcPr>
          <w:p w14:paraId="26CCAC7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3</w:t>
            </w:r>
          </w:p>
        </w:tc>
        <w:tc>
          <w:tcPr>
            <w:tcW w:w="5130" w:type="dxa"/>
            <w:tcBorders>
              <w:top w:val="nil"/>
              <w:left w:val="nil"/>
              <w:bottom w:val="nil"/>
              <w:right w:val="nil"/>
            </w:tcBorders>
            <w:shd w:val="clear" w:color="auto" w:fill="auto"/>
            <w:noWrap/>
            <w:vAlign w:val="bottom"/>
            <w:hideMark/>
          </w:tcPr>
          <w:p w14:paraId="15025B0E"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Water fee exemption for water used in firefighting</w:t>
            </w:r>
          </w:p>
        </w:tc>
        <w:tc>
          <w:tcPr>
            <w:tcW w:w="910" w:type="dxa"/>
            <w:tcBorders>
              <w:top w:val="nil"/>
              <w:left w:val="nil"/>
              <w:bottom w:val="nil"/>
              <w:right w:val="nil"/>
            </w:tcBorders>
            <w:shd w:val="clear" w:color="auto" w:fill="auto"/>
            <w:noWrap/>
            <w:vAlign w:val="bottom"/>
            <w:hideMark/>
          </w:tcPr>
          <w:p w14:paraId="166BF68A"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8,005.7</w:t>
            </w:r>
          </w:p>
        </w:tc>
        <w:tc>
          <w:tcPr>
            <w:tcW w:w="910" w:type="dxa"/>
            <w:tcBorders>
              <w:top w:val="nil"/>
              <w:left w:val="nil"/>
              <w:bottom w:val="nil"/>
              <w:right w:val="nil"/>
            </w:tcBorders>
            <w:shd w:val="clear" w:color="auto" w:fill="auto"/>
            <w:noWrap/>
            <w:vAlign w:val="bottom"/>
            <w:hideMark/>
          </w:tcPr>
          <w:p w14:paraId="46DDC66D"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18,502.8</w:t>
            </w:r>
          </w:p>
        </w:tc>
        <w:tc>
          <w:tcPr>
            <w:tcW w:w="910" w:type="dxa"/>
            <w:tcBorders>
              <w:top w:val="nil"/>
              <w:left w:val="nil"/>
              <w:bottom w:val="nil"/>
              <w:right w:val="nil"/>
            </w:tcBorders>
            <w:shd w:val="clear" w:color="auto" w:fill="auto"/>
            <w:noWrap/>
            <w:vAlign w:val="bottom"/>
            <w:hideMark/>
          </w:tcPr>
          <w:p w14:paraId="45122993"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19,721.0</w:t>
            </w:r>
          </w:p>
        </w:tc>
        <w:tc>
          <w:tcPr>
            <w:tcW w:w="910" w:type="dxa"/>
            <w:tcBorders>
              <w:top w:val="nil"/>
              <w:left w:val="nil"/>
              <w:bottom w:val="nil"/>
              <w:right w:val="nil"/>
            </w:tcBorders>
            <w:shd w:val="clear" w:color="auto" w:fill="auto"/>
            <w:noWrap/>
            <w:vAlign w:val="bottom"/>
            <w:hideMark/>
          </w:tcPr>
          <w:p w14:paraId="64D1CE68"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19,456.8</w:t>
            </w:r>
          </w:p>
        </w:tc>
        <w:tc>
          <w:tcPr>
            <w:tcW w:w="910" w:type="dxa"/>
            <w:tcBorders>
              <w:top w:val="nil"/>
              <w:left w:val="nil"/>
              <w:bottom w:val="nil"/>
              <w:right w:val="nil"/>
            </w:tcBorders>
            <w:shd w:val="clear" w:color="auto" w:fill="auto"/>
            <w:noWrap/>
            <w:vAlign w:val="bottom"/>
            <w:hideMark/>
          </w:tcPr>
          <w:p w14:paraId="5FE85C1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089C1A18" w14:textId="77777777" w:rsidTr="00855621">
        <w:trPr>
          <w:trHeight w:val="210"/>
        </w:trPr>
        <w:tc>
          <w:tcPr>
            <w:tcW w:w="450" w:type="dxa"/>
            <w:tcBorders>
              <w:top w:val="nil"/>
              <w:left w:val="nil"/>
              <w:bottom w:val="nil"/>
              <w:right w:val="nil"/>
            </w:tcBorders>
            <w:shd w:val="clear" w:color="auto" w:fill="auto"/>
            <w:noWrap/>
            <w:hideMark/>
          </w:tcPr>
          <w:p w14:paraId="65BEB0E9"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4</w:t>
            </w:r>
          </w:p>
        </w:tc>
        <w:tc>
          <w:tcPr>
            <w:tcW w:w="5130" w:type="dxa"/>
            <w:tcBorders>
              <w:top w:val="nil"/>
              <w:left w:val="nil"/>
              <w:bottom w:val="nil"/>
              <w:right w:val="nil"/>
            </w:tcBorders>
            <w:shd w:val="clear" w:color="auto" w:fill="auto"/>
            <w:noWrap/>
            <w:vAlign w:val="bottom"/>
            <w:hideMark/>
          </w:tcPr>
          <w:p w14:paraId="5F95CC9C"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Water fee exemption for public benefit organizations caring for the blind, deaf, disables and public health care institutions.</w:t>
            </w:r>
          </w:p>
        </w:tc>
        <w:tc>
          <w:tcPr>
            <w:tcW w:w="910" w:type="dxa"/>
            <w:tcBorders>
              <w:top w:val="nil"/>
              <w:left w:val="nil"/>
              <w:bottom w:val="nil"/>
              <w:right w:val="nil"/>
            </w:tcBorders>
            <w:shd w:val="clear" w:color="auto" w:fill="auto"/>
            <w:noWrap/>
            <w:vAlign w:val="bottom"/>
            <w:hideMark/>
          </w:tcPr>
          <w:p w14:paraId="10D7611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1B3FF0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614B835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28F970C0"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046743AE"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220AD9D1" w14:textId="77777777" w:rsidTr="00855621">
        <w:trPr>
          <w:trHeight w:val="210"/>
        </w:trPr>
        <w:tc>
          <w:tcPr>
            <w:tcW w:w="450" w:type="dxa"/>
            <w:tcBorders>
              <w:top w:val="nil"/>
              <w:left w:val="nil"/>
              <w:bottom w:val="nil"/>
              <w:right w:val="nil"/>
            </w:tcBorders>
            <w:shd w:val="clear" w:color="auto" w:fill="auto"/>
            <w:noWrap/>
            <w:hideMark/>
          </w:tcPr>
          <w:p w14:paraId="67A1C0D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5</w:t>
            </w:r>
          </w:p>
        </w:tc>
        <w:tc>
          <w:tcPr>
            <w:tcW w:w="5130" w:type="dxa"/>
            <w:tcBorders>
              <w:top w:val="nil"/>
              <w:left w:val="nil"/>
              <w:bottom w:val="nil"/>
              <w:right w:val="nil"/>
            </w:tcBorders>
            <w:shd w:val="clear" w:color="auto" w:fill="auto"/>
            <w:noWrap/>
            <w:vAlign w:val="bottom"/>
            <w:hideMark/>
          </w:tcPr>
          <w:p w14:paraId="436EF14F"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Water fee exemption for jail services.</w:t>
            </w:r>
          </w:p>
        </w:tc>
        <w:tc>
          <w:tcPr>
            <w:tcW w:w="910" w:type="dxa"/>
            <w:tcBorders>
              <w:top w:val="nil"/>
              <w:left w:val="nil"/>
              <w:bottom w:val="nil"/>
              <w:right w:val="nil"/>
            </w:tcBorders>
            <w:shd w:val="clear" w:color="auto" w:fill="auto"/>
            <w:noWrap/>
            <w:vAlign w:val="bottom"/>
            <w:hideMark/>
          </w:tcPr>
          <w:p w14:paraId="122C464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791F9AC"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4624256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73BCE704"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c>
          <w:tcPr>
            <w:tcW w:w="910" w:type="dxa"/>
            <w:tcBorders>
              <w:top w:val="nil"/>
              <w:left w:val="nil"/>
              <w:bottom w:val="nil"/>
              <w:right w:val="nil"/>
            </w:tcBorders>
            <w:shd w:val="clear" w:color="auto" w:fill="auto"/>
            <w:noWrap/>
            <w:vAlign w:val="bottom"/>
            <w:hideMark/>
          </w:tcPr>
          <w:p w14:paraId="30F7808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76093CC2" w14:textId="77777777" w:rsidTr="009960D0">
        <w:trPr>
          <w:trHeight w:val="210"/>
        </w:trPr>
        <w:tc>
          <w:tcPr>
            <w:tcW w:w="450" w:type="dxa"/>
            <w:tcBorders>
              <w:top w:val="nil"/>
              <w:left w:val="nil"/>
              <w:bottom w:val="nil"/>
              <w:right w:val="nil"/>
            </w:tcBorders>
            <w:shd w:val="clear" w:color="auto" w:fill="auto"/>
            <w:noWrap/>
            <w:vAlign w:val="bottom"/>
            <w:hideMark/>
          </w:tcPr>
          <w:p w14:paraId="1552FCCC"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single" w:sz="4" w:space="0" w:color="auto"/>
              <w:left w:val="nil"/>
              <w:bottom w:val="nil"/>
              <w:right w:val="nil"/>
            </w:tcBorders>
            <w:shd w:val="clear" w:color="auto" w:fill="auto"/>
            <w:noWrap/>
            <w:vAlign w:val="bottom"/>
            <w:hideMark/>
          </w:tcPr>
          <w:p w14:paraId="2BB8D7B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Natural Resource Fees</w:t>
            </w:r>
          </w:p>
        </w:tc>
        <w:tc>
          <w:tcPr>
            <w:tcW w:w="910" w:type="dxa"/>
            <w:tcBorders>
              <w:top w:val="single" w:sz="4" w:space="0" w:color="auto"/>
              <w:left w:val="nil"/>
              <w:bottom w:val="nil"/>
              <w:right w:val="nil"/>
            </w:tcBorders>
            <w:shd w:val="clear" w:color="auto" w:fill="auto"/>
            <w:noWrap/>
            <w:vAlign w:val="bottom"/>
            <w:hideMark/>
          </w:tcPr>
          <w:p w14:paraId="6D38EE8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8,005.7</w:t>
            </w:r>
          </w:p>
        </w:tc>
        <w:tc>
          <w:tcPr>
            <w:tcW w:w="910" w:type="dxa"/>
            <w:tcBorders>
              <w:top w:val="single" w:sz="4" w:space="0" w:color="auto"/>
              <w:left w:val="nil"/>
              <w:bottom w:val="nil"/>
              <w:right w:val="nil"/>
            </w:tcBorders>
            <w:shd w:val="clear" w:color="auto" w:fill="auto"/>
            <w:noWrap/>
            <w:vAlign w:val="bottom"/>
            <w:hideMark/>
          </w:tcPr>
          <w:p w14:paraId="3C24C4AF"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18,502.8</w:t>
            </w:r>
          </w:p>
        </w:tc>
        <w:tc>
          <w:tcPr>
            <w:tcW w:w="910" w:type="dxa"/>
            <w:tcBorders>
              <w:top w:val="single" w:sz="4" w:space="0" w:color="auto"/>
              <w:left w:val="nil"/>
              <w:bottom w:val="nil"/>
              <w:right w:val="nil"/>
            </w:tcBorders>
            <w:shd w:val="clear" w:color="auto" w:fill="auto"/>
            <w:noWrap/>
            <w:vAlign w:val="bottom"/>
            <w:hideMark/>
          </w:tcPr>
          <w:p w14:paraId="699A343B"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19,721.0</w:t>
            </w:r>
          </w:p>
        </w:tc>
        <w:tc>
          <w:tcPr>
            <w:tcW w:w="910" w:type="dxa"/>
            <w:tcBorders>
              <w:top w:val="single" w:sz="4" w:space="0" w:color="auto"/>
              <w:left w:val="nil"/>
              <w:bottom w:val="nil"/>
              <w:right w:val="nil"/>
            </w:tcBorders>
            <w:shd w:val="clear" w:color="auto" w:fill="auto"/>
            <w:noWrap/>
            <w:vAlign w:val="bottom"/>
            <w:hideMark/>
          </w:tcPr>
          <w:p w14:paraId="5BD2A04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19,456.8</w:t>
            </w:r>
          </w:p>
        </w:tc>
        <w:tc>
          <w:tcPr>
            <w:tcW w:w="910" w:type="dxa"/>
            <w:tcBorders>
              <w:top w:val="single" w:sz="4" w:space="0" w:color="auto"/>
              <w:left w:val="nil"/>
              <w:bottom w:val="nil"/>
              <w:right w:val="nil"/>
            </w:tcBorders>
            <w:shd w:val="clear" w:color="auto" w:fill="auto"/>
            <w:noWrap/>
            <w:vAlign w:val="bottom"/>
            <w:hideMark/>
          </w:tcPr>
          <w:p w14:paraId="3A5BFD17"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n.a.</w:t>
            </w:r>
          </w:p>
        </w:tc>
      </w:tr>
      <w:tr w:rsidR="00134C08" w:rsidRPr="00134C08" w14:paraId="20168158" w14:textId="77777777" w:rsidTr="009960D0">
        <w:trPr>
          <w:trHeight w:val="220"/>
        </w:trPr>
        <w:tc>
          <w:tcPr>
            <w:tcW w:w="450" w:type="dxa"/>
            <w:tcBorders>
              <w:top w:val="nil"/>
              <w:left w:val="nil"/>
              <w:bottom w:val="nil"/>
              <w:right w:val="nil"/>
            </w:tcBorders>
            <w:shd w:val="clear" w:color="auto" w:fill="auto"/>
            <w:noWrap/>
            <w:vAlign w:val="bottom"/>
            <w:hideMark/>
          </w:tcPr>
          <w:p w14:paraId="5B6CE3C6" w14:textId="77777777" w:rsidR="00134C08" w:rsidRPr="00134C08" w:rsidRDefault="00134C08" w:rsidP="00E90BA7">
            <w:pPr>
              <w:spacing w:after="0" w:line="240" w:lineRule="auto"/>
              <w:jc w:val="both"/>
              <w:rPr>
                <w:rFonts w:ascii="Arial Narrow" w:eastAsia="Times New Roman" w:hAnsi="Arial Narrow" w:cs="Calibri"/>
                <w:sz w:val="16"/>
                <w:szCs w:val="16"/>
              </w:rPr>
            </w:pPr>
          </w:p>
        </w:tc>
        <w:tc>
          <w:tcPr>
            <w:tcW w:w="5130" w:type="dxa"/>
            <w:tcBorders>
              <w:top w:val="nil"/>
              <w:left w:val="nil"/>
              <w:bottom w:val="double" w:sz="6" w:space="0" w:color="auto"/>
              <w:right w:val="nil"/>
            </w:tcBorders>
            <w:shd w:val="clear" w:color="auto" w:fill="auto"/>
            <w:noWrap/>
            <w:vAlign w:val="bottom"/>
            <w:hideMark/>
          </w:tcPr>
          <w:p w14:paraId="7B6B0229" w14:textId="77777777" w:rsidR="00134C08" w:rsidRPr="00134C08" w:rsidRDefault="00134C08" w:rsidP="00E90BA7">
            <w:pPr>
              <w:spacing w:after="0" w:line="240" w:lineRule="auto"/>
              <w:jc w:val="both"/>
              <w:rPr>
                <w:rFonts w:ascii="Arial Narrow" w:eastAsia="Times New Roman" w:hAnsi="Arial Narrow" w:cs="Calibri"/>
                <w:sz w:val="16"/>
                <w:szCs w:val="16"/>
              </w:rPr>
            </w:pPr>
            <w:r w:rsidRPr="00134C08">
              <w:rPr>
                <w:rFonts w:ascii="Arial Narrow" w:eastAsia="Times New Roman" w:hAnsi="Arial Narrow" w:cs="Calibri"/>
                <w:sz w:val="16"/>
                <w:szCs w:val="16"/>
              </w:rPr>
              <w:t>Total Revenue Forgone from Natural Resource Fees as % of GDP</w:t>
            </w:r>
          </w:p>
        </w:tc>
        <w:tc>
          <w:tcPr>
            <w:tcW w:w="910" w:type="dxa"/>
            <w:tcBorders>
              <w:top w:val="nil"/>
              <w:left w:val="nil"/>
              <w:bottom w:val="double" w:sz="6" w:space="0" w:color="auto"/>
              <w:right w:val="nil"/>
            </w:tcBorders>
            <w:shd w:val="clear" w:color="auto" w:fill="auto"/>
            <w:noWrap/>
            <w:vAlign w:val="center"/>
            <w:hideMark/>
          </w:tcPr>
          <w:p w14:paraId="533ED9E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0.00%</w:t>
            </w:r>
          </w:p>
        </w:tc>
        <w:tc>
          <w:tcPr>
            <w:tcW w:w="910" w:type="dxa"/>
            <w:tcBorders>
              <w:top w:val="nil"/>
              <w:left w:val="nil"/>
              <w:bottom w:val="double" w:sz="6" w:space="0" w:color="auto"/>
              <w:right w:val="nil"/>
            </w:tcBorders>
            <w:shd w:val="clear" w:color="auto" w:fill="auto"/>
            <w:noWrap/>
            <w:vAlign w:val="center"/>
            <w:hideMark/>
          </w:tcPr>
          <w:p w14:paraId="2D3B3CD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c>
          <w:tcPr>
            <w:tcW w:w="910" w:type="dxa"/>
            <w:tcBorders>
              <w:top w:val="nil"/>
              <w:left w:val="nil"/>
              <w:bottom w:val="double" w:sz="6" w:space="0" w:color="auto"/>
              <w:right w:val="nil"/>
            </w:tcBorders>
            <w:shd w:val="clear" w:color="auto" w:fill="auto"/>
            <w:noWrap/>
            <w:vAlign w:val="center"/>
            <w:hideMark/>
          </w:tcPr>
          <w:p w14:paraId="549961C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c>
          <w:tcPr>
            <w:tcW w:w="910" w:type="dxa"/>
            <w:tcBorders>
              <w:top w:val="nil"/>
              <w:left w:val="nil"/>
              <w:bottom w:val="double" w:sz="6" w:space="0" w:color="auto"/>
              <w:right w:val="nil"/>
            </w:tcBorders>
            <w:shd w:val="clear" w:color="auto" w:fill="auto"/>
            <w:noWrap/>
            <w:vAlign w:val="center"/>
            <w:hideMark/>
          </w:tcPr>
          <w:p w14:paraId="1B4954E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0.01%</w:t>
            </w:r>
          </w:p>
        </w:tc>
        <w:tc>
          <w:tcPr>
            <w:tcW w:w="910" w:type="dxa"/>
            <w:tcBorders>
              <w:top w:val="nil"/>
              <w:left w:val="nil"/>
              <w:bottom w:val="double" w:sz="6" w:space="0" w:color="auto"/>
              <w:right w:val="nil"/>
            </w:tcBorders>
            <w:shd w:val="clear" w:color="auto" w:fill="auto"/>
            <w:noWrap/>
            <w:vAlign w:val="bottom"/>
            <w:hideMark/>
          </w:tcPr>
          <w:p w14:paraId="674A15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n.a.</w:t>
            </w:r>
          </w:p>
        </w:tc>
      </w:tr>
      <w:tr w:rsidR="00134C08" w:rsidRPr="00134C08" w14:paraId="32C076D1" w14:textId="77777777" w:rsidTr="009960D0">
        <w:trPr>
          <w:trHeight w:val="220"/>
        </w:trPr>
        <w:tc>
          <w:tcPr>
            <w:tcW w:w="450" w:type="dxa"/>
            <w:tcBorders>
              <w:top w:val="nil"/>
              <w:left w:val="nil"/>
              <w:bottom w:val="nil"/>
              <w:right w:val="nil"/>
            </w:tcBorders>
            <w:shd w:val="clear" w:color="auto" w:fill="auto"/>
            <w:noWrap/>
            <w:vAlign w:val="bottom"/>
            <w:hideMark/>
          </w:tcPr>
          <w:p w14:paraId="1A6CDCD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auto" w:fill="auto"/>
            <w:noWrap/>
            <w:vAlign w:val="bottom"/>
            <w:hideMark/>
          </w:tcPr>
          <w:p w14:paraId="5D611612"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709894F1"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2896CAAD"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3BEA22B1"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2041C3F5"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160757D0"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r>
      <w:tr w:rsidR="00134C08" w:rsidRPr="00134C08" w14:paraId="407389A8" w14:textId="77777777" w:rsidTr="009960D0">
        <w:trPr>
          <w:trHeight w:val="210"/>
        </w:trPr>
        <w:tc>
          <w:tcPr>
            <w:tcW w:w="450" w:type="dxa"/>
            <w:tcBorders>
              <w:top w:val="nil"/>
              <w:left w:val="nil"/>
              <w:bottom w:val="nil"/>
              <w:right w:val="nil"/>
            </w:tcBorders>
            <w:shd w:val="clear" w:color="auto" w:fill="auto"/>
            <w:noWrap/>
            <w:vAlign w:val="bottom"/>
            <w:hideMark/>
          </w:tcPr>
          <w:p w14:paraId="1C9B08DE" w14:textId="77777777" w:rsidR="00134C08" w:rsidRPr="00134C08" w:rsidRDefault="00134C08" w:rsidP="00E90BA7">
            <w:pPr>
              <w:spacing w:after="0" w:line="240" w:lineRule="auto"/>
              <w:jc w:val="both"/>
              <w:rPr>
                <w:rFonts w:ascii="Times New Roman" w:eastAsia="Times New Roman" w:hAnsi="Times New Roman" w:cs="Times New Roman"/>
                <w:sz w:val="20"/>
                <w:szCs w:val="20"/>
              </w:rPr>
            </w:pPr>
          </w:p>
        </w:tc>
        <w:tc>
          <w:tcPr>
            <w:tcW w:w="5130" w:type="dxa"/>
            <w:tcBorders>
              <w:top w:val="single" w:sz="4" w:space="0" w:color="auto"/>
              <w:left w:val="nil"/>
              <w:bottom w:val="nil"/>
              <w:right w:val="nil"/>
            </w:tcBorders>
            <w:shd w:val="clear" w:color="auto" w:fill="auto"/>
            <w:noWrap/>
            <w:vAlign w:val="center"/>
            <w:hideMark/>
          </w:tcPr>
          <w:p w14:paraId="02AFF76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Memorandum Item:</w:t>
            </w:r>
          </w:p>
        </w:tc>
        <w:tc>
          <w:tcPr>
            <w:tcW w:w="910" w:type="dxa"/>
            <w:tcBorders>
              <w:top w:val="single" w:sz="4" w:space="0" w:color="auto"/>
              <w:left w:val="nil"/>
              <w:bottom w:val="nil"/>
              <w:right w:val="nil"/>
            </w:tcBorders>
            <w:shd w:val="clear" w:color="auto" w:fill="auto"/>
            <w:noWrap/>
            <w:vAlign w:val="center"/>
            <w:hideMark/>
          </w:tcPr>
          <w:p w14:paraId="33B3F514"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w:t>
            </w:r>
          </w:p>
        </w:tc>
        <w:tc>
          <w:tcPr>
            <w:tcW w:w="910" w:type="dxa"/>
            <w:tcBorders>
              <w:top w:val="single" w:sz="4" w:space="0" w:color="auto"/>
              <w:left w:val="nil"/>
              <w:bottom w:val="nil"/>
              <w:right w:val="nil"/>
            </w:tcBorders>
            <w:shd w:val="clear" w:color="auto" w:fill="auto"/>
            <w:noWrap/>
            <w:vAlign w:val="center"/>
            <w:hideMark/>
          </w:tcPr>
          <w:p w14:paraId="19CDCA00"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w:t>
            </w:r>
          </w:p>
        </w:tc>
        <w:tc>
          <w:tcPr>
            <w:tcW w:w="910" w:type="dxa"/>
            <w:tcBorders>
              <w:top w:val="single" w:sz="4" w:space="0" w:color="auto"/>
              <w:left w:val="nil"/>
              <w:bottom w:val="nil"/>
              <w:right w:val="nil"/>
            </w:tcBorders>
            <w:shd w:val="clear" w:color="auto" w:fill="auto"/>
            <w:noWrap/>
            <w:vAlign w:val="center"/>
            <w:hideMark/>
          </w:tcPr>
          <w:p w14:paraId="06CB224B"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w:t>
            </w:r>
          </w:p>
        </w:tc>
        <w:tc>
          <w:tcPr>
            <w:tcW w:w="910" w:type="dxa"/>
            <w:tcBorders>
              <w:top w:val="single" w:sz="4" w:space="0" w:color="auto"/>
              <w:left w:val="nil"/>
              <w:bottom w:val="nil"/>
              <w:right w:val="nil"/>
            </w:tcBorders>
            <w:shd w:val="clear" w:color="auto" w:fill="auto"/>
            <w:noWrap/>
            <w:vAlign w:val="center"/>
            <w:hideMark/>
          </w:tcPr>
          <w:p w14:paraId="39EF44E1"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w:t>
            </w:r>
          </w:p>
        </w:tc>
        <w:tc>
          <w:tcPr>
            <w:tcW w:w="910" w:type="dxa"/>
            <w:tcBorders>
              <w:top w:val="single" w:sz="4" w:space="0" w:color="auto"/>
              <w:left w:val="nil"/>
              <w:bottom w:val="nil"/>
              <w:right w:val="nil"/>
            </w:tcBorders>
            <w:shd w:val="clear" w:color="auto" w:fill="auto"/>
            <w:noWrap/>
            <w:vAlign w:val="center"/>
            <w:hideMark/>
          </w:tcPr>
          <w:p w14:paraId="2B3236F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 </w:t>
            </w:r>
          </w:p>
        </w:tc>
      </w:tr>
      <w:tr w:rsidR="00134C08" w:rsidRPr="00134C08" w14:paraId="607C2754" w14:textId="77777777" w:rsidTr="009960D0">
        <w:trPr>
          <w:trHeight w:val="210"/>
        </w:trPr>
        <w:tc>
          <w:tcPr>
            <w:tcW w:w="450" w:type="dxa"/>
            <w:tcBorders>
              <w:top w:val="nil"/>
              <w:left w:val="nil"/>
              <w:bottom w:val="nil"/>
              <w:right w:val="nil"/>
            </w:tcBorders>
            <w:shd w:val="clear" w:color="auto" w:fill="auto"/>
            <w:noWrap/>
            <w:vAlign w:val="bottom"/>
            <w:hideMark/>
          </w:tcPr>
          <w:p w14:paraId="2B74C966"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nil"/>
              <w:right w:val="nil"/>
            </w:tcBorders>
            <w:shd w:val="clear" w:color="auto" w:fill="auto"/>
            <w:noWrap/>
            <w:vAlign w:val="center"/>
            <w:hideMark/>
          </w:tcPr>
          <w:p w14:paraId="3A5F1FF4" w14:textId="77777777" w:rsidR="00134C08" w:rsidRPr="00134C08" w:rsidRDefault="00134C08" w:rsidP="00E90BA7">
            <w:pPr>
              <w:spacing w:after="0" w:line="240" w:lineRule="auto"/>
              <w:ind w:firstLineChars="100" w:firstLine="160"/>
              <w:jc w:val="both"/>
              <w:rPr>
                <w:rFonts w:ascii="Arial Narrow" w:eastAsia="Times New Roman" w:hAnsi="Arial Narrow" w:cs="Calibri"/>
                <w:sz w:val="16"/>
                <w:szCs w:val="16"/>
              </w:rPr>
            </w:pPr>
            <w:r w:rsidRPr="00134C08">
              <w:rPr>
                <w:rFonts w:ascii="Arial Narrow" w:eastAsia="Times New Roman" w:hAnsi="Arial Narrow" w:cs="Calibri"/>
                <w:sz w:val="16"/>
                <w:szCs w:val="16"/>
              </w:rPr>
              <w:t>GDP (million MDL)</w:t>
            </w:r>
          </w:p>
        </w:tc>
        <w:tc>
          <w:tcPr>
            <w:tcW w:w="910" w:type="dxa"/>
            <w:tcBorders>
              <w:top w:val="nil"/>
              <w:left w:val="nil"/>
              <w:bottom w:val="nil"/>
              <w:right w:val="nil"/>
            </w:tcBorders>
            <w:shd w:val="clear" w:color="auto" w:fill="auto"/>
            <w:noWrap/>
            <w:vAlign w:val="center"/>
            <w:hideMark/>
          </w:tcPr>
          <w:p w14:paraId="6E599B92"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192,509</w:t>
            </w:r>
          </w:p>
        </w:tc>
        <w:tc>
          <w:tcPr>
            <w:tcW w:w="910" w:type="dxa"/>
            <w:tcBorders>
              <w:top w:val="nil"/>
              <w:left w:val="nil"/>
              <w:bottom w:val="nil"/>
              <w:right w:val="nil"/>
            </w:tcBorders>
            <w:shd w:val="clear" w:color="auto" w:fill="auto"/>
            <w:noWrap/>
            <w:vAlign w:val="center"/>
            <w:hideMark/>
          </w:tcPr>
          <w:p w14:paraId="7EB21843"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210,378</w:t>
            </w:r>
          </w:p>
        </w:tc>
        <w:tc>
          <w:tcPr>
            <w:tcW w:w="910" w:type="dxa"/>
            <w:tcBorders>
              <w:top w:val="nil"/>
              <w:left w:val="nil"/>
              <w:bottom w:val="nil"/>
              <w:right w:val="nil"/>
            </w:tcBorders>
            <w:shd w:val="clear" w:color="auto" w:fill="auto"/>
            <w:noWrap/>
            <w:vAlign w:val="center"/>
            <w:hideMark/>
          </w:tcPr>
          <w:p w14:paraId="1159B5A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205,432</w:t>
            </w:r>
          </w:p>
        </w:tc>
        <w:tc>
          <w:tcPr>
            <w:tcW w:w="910" w:type="dxa"/>
            <w:tcBorders>
              <w:top w:val="nil"/>
              <w:left w:val="nil"/>
              <w:bottom w:val="nil"/>
              <w:right w:val="nil"/>
            </w:tcBorders>
            <w:shd w:val="clear" w:color="auto" w:fill="auto"/>
            <w:noWrap/>
            <w:vAlign w:val="center"/>
            <w:hideMark/>
          </w:tcPr>
          <w:p w14:paraId="399AB67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232,500</w:t>
            </w:r>
          </w:p>
        </w:tc>
        <w:tc>
          <w:tcPr>
            <w:tcW w:w="910" w:type="dxa"/>
            <w:tcBorders>
              <w:top w:val="nil"/>
              <w:left w:val="nil"/>
              <w:bottom w:val="nil"/>
              <w:right w:val="nil"/>
            </w:tcBorders>
            <w:shd w:val="clear" w:color="auto" w:fill="auto"/>
            <w:noWrap/>
            <w:vAlign w:val="center"/>
            <w:hideMark/>
          </w:tcPr>
          <w:p w14:paraId="7F57A5AF"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255,600</w:t>
            </w:r>
          </w:p>
        </w:tc>
      </w:tr>
      <w:tr w:rsidR="00134C08" w:rsidRPr="00134C08" w14:paraId="42C6F5E0" w14:textId="77777777" w:rsidTr="009960D0">
        <w:trPr>
          <w:trHeight w:val="220"/>
        </w:trPr>
        <w:tc>
          <w:tcPr>
            <w:tcW w:w="450" w:type="dxa"/>
            <w:tcBorders>
              <w:top w:val="nil"/>
              <w:left w:val="nil"/>
              <w:bottom w:val="nil"/>
              <w:right w:val="nil"/>
            </w:tcBorders>
            <w:shd w:val="clear" w:color="auto" w:fill="auto"/>
            <w:noWrap/>
            <w:vAlign w:val="bottom"/>
            <w:hideMark/>
          </w:tcPr>
          <w:p w14:paraId="15FDABFE"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p>
        </w:tc>
        <w:tc>
          <w:tcPr>
            <w:tcW w:w="5130" w:type="dxa"/>
            <w:tcBorders>
              <w:top w:val="nil"/>
              <w:left w:val="nil"/>
              <w:bottom w:val="double" w:sz="6" w:space="0" w:color="auto"/>
              <w:right w:val="nil"/>
            </w:tcBorders>
            <w:shd w:val="clear" w:color="auto" w:fill="auto"/>
            <w:noWrap/>
            <w:vAlign w:val="center"/>
            <w:hideMark/>
          </w:tcPr>
          <w:p w14:paraId="3FBBE705" w14:textId="77777777" w:rsidR="00134C08" w:rsidRPr="00134C08" w:rsidRDefault="00134C08" w:rsidP="00E90BA7">
            <w:pPr>
              <w:spacing w:after="0" w:line="240" w:lineRule="auto"/>
              <w:ind w:firstLineChars="100" w:firstLine="160"/>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GDP Growth</w:t>
            </w:r>
          </w:p>
        </w:tc>
        <w:tc>
          <w:tcPr>
            <w:tcW w:w="910" w:type="dxa"/>
            <w:tcBorders>
              <w:top w:val="nil"/>
              <w:left w:val="nil"/>
              <w:bottom w:val="double" w:sz="6" w:space="0" w:color="auto"/>
              <w:right w:val="nil"/>
            </w:tcBorders>
            <w:shd w:val="clear" w:color="auto" w:fill="auto"/>
            <w:noWrap/>
            <w:vAlign w:val="center"/>
            <w:hideMark/>
          </w:tcPr>
          <w:p w14:paraId="269A8A0D"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9.3%</w:t>
            </w:r>
          </w:p>
        </w:tc>
        <w:tc>
          <w:tcPr>
            <w:tcW w:w="910" w:type="dxa"/>
            <w:tcBorders>
              <w:top w:val="nil"/>
              <w:left w:val="nil"/>
              <w:bottom w:val="double" w:sz="6" w:space="0" w:color="auto"/>
              <w:right w:val="nil"/>
            </w:tcBorders>
            <w:shd w:val="clear" w:color="auto" w:fill="auto"/>
            <w:noWrap/>
            <w:vAlign w:val="center"/>
            <w:hideMark/>
          </w:tcPr>
          <w:p w14:paraId="11AEE965"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-2.4%</w:t>
            </w:r>
          </w:p>
        </w:tc>
        <w:tc>
          <w:tcPr>
            <w:tcW w:w="910" w:type="dxa"/>
            <w:tcBorders>
              <w:top w:val="nil"/>
              <w:left w:val="nil"/>
              <w:bottom w:val="double" w:sz="6" w:space="0" w:color="auto"/>
              <w:right w:val="nil"/>
            </w:tcBorders>
            <w:shd w:val="clear" w:color="auto" w:fill="auto"/>
            <w:noWrap/>
            <w:vAlign w:val="center"/>
            <w:hideMark/>
          </w:tcPr>
          <w:p w14:paraId="7E3C84E8"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13.2%</w:t>
            </w:r>
          </w:p>
        </w:tc>
        <w:tc>
          <w:tcPr>
            <w:tcW w:w="910" w:type="dxa"/>
            <w:tcBorders>
              <w:top w:val="nil"/>
              <w:left w:val="nil"/>
              <w:bottom w:val="double" w:sz="6" w:space="0" w:color="auto"/>
              <w:right w:val="nil"/>
            </w:tcBorders>
            <w:shd w:val="clear" w:color="auto" w:fill="auto"/>
            <w:noWrap/>
            <w:vAlign w:val="center"/>
            <w:hideMark/>
          </w:tcPr>
          <w:p w14:paraId="72C3A17A"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9.9%</w:t>
            </w:r>
          </w:p>
        </w:tc>
        <w:tc>
          <w:tcPr>
            <w:tcW w:w="910" w:type="dxa"/>
            <w:tcBorders>
              <w:top w:val="nil"/>
              <w:left w:val="nil"/>
              <w:bottom w:val="double" w:sz="6" w:space="0" w:color="auto"/>
              <w:right w:val="nil"/>
            </w:tcBorders>
            <w:shd w:val="clear" w:color="auto" w:fill="auto"/>
            <w:noWrap/>
            <w:vAlign w:val="center"/>
            <w:hideMark/>
          </w:tcPr>
          <w:p w14:paraId="5616C66C" w14:textId="77777777" w:rsidR="00134C08" w:rsidRPr="00134C08" w:rsidRDefault="00134C08" w:rsidP="00E90BA7">
            <w:pPr>
              <w:spacing w:after="0" w:line="240" w:lineRule="auto"/>
              <w:jc w:val="both"/>
              <w:rPr>
                <w:rFonts w:ascii="Arial Narrow" w:eastAsia="Times New Roman" w:hAnsi="Arial Narrow" w:cs="Calibri"/>
                <w:color w:val="000000"/>
                <w:sz w:val="16"/>
                <w:szCs w:val="16"/>
              </w:rPr>
            </w:pPr>
            <w:r w:rsidRPr="00134C08">
              <w:rPr>
                <w:rFonts w:ascii="Arial Narrow" w:eastAsia="Times New Roman" w:hAnsi="Arial Narrow" w:cs="Calibri"/>
                <w:color w:val="000000"/>
                <w:sz w:val="16"/>
                <w:szCs w:val="16"/>
              </w:rPr>
              <w:t>9.9%</w:t>
            </w:r>
          </w:p>
        </w:tc>
      </w:tr>
    </w:tbl>
    <w:p w14:paraId="6386BC21" w14:textId="2E22854B" w:rsidR="008C76F5" w:rsidRPr="00CB1E53" w:rsidRDefault="008C76F5" w:rsidP="00E90BA7">
      <w:pPr>
        <w:spacing w:after="0" w:line="240" w:lineRule="auto"/>
        <w:jc w:val="both"/>
        <w:rPr>
          <w:rFonts w:ascii="Segoe UI" w:hAnsi="Segoe UI" w:cs="Segoe UI"/>
          <w:sz w:val="16"/>
          <w:szCs w:val="16"/>
        </w:rPr>
      </w:pPr>
      <w:r w:rsidRPr="00CB1E53">
        <w:rPr>
          <w:rFonts w:ascii="Segoe UI" w:hAnsi="Segoe UI" w:cs="Segoe UI"/>
          <w:sz w:val="16"/>
          <w:szCs w:val="16"/>
        </w:rPr>
        <w:t>Note</w:t>
      </w:r>
      <w:r w:rsidR="008F0AAD">
        <w:rPr>
          <w:rFonts w:ascii="Segoe UI" w:hAnsi="Segoe UI" w:cs="Segoe UI"/>
          <w:sz w:val="16"/>
          <w:szCs w:val="16"/>
        </w:rPr>
        <w:t>s</w:t>
      </w:r>
      <w:r w:rsidRPr="00CB1E53">
        <w:rPr>
          <w:rFonts w:ascii="Segoe UI" w:hAnsi="Segoe UI" w:cs="Segoe UI"/>
          <w:sz w:val="16"/>
          <w:szCs w:val="16"/>
        </w:rPr>
        <w:t xml:space="preserve">: </w:t>
      </w:r>
    </w:p>
    <w:p w14:paraId="77B3E22A" w14:textId="48B7A023" w:rsidR="008C76F5" w:rsidRPr="00CB1E53" w:rsidRDefault="008C76F5" w:rsidP="00E90BA7">
      <w:pPr>
        <w:spacing w:after="0" w:line="240" w:lineRule="auto"/>
        <w:jc w:val="both"/>
        <w:rPr>
          <w:rFonts w:ascii="Segoe UI" w:hAnsi="Segoe UI" w:cs="Segoe UI"/>
          <w:sz w:val="16"/>
          <w:szCs w:val="16"/>
        </w:rPr>
      </w:pPr>
      <w:r w:rsidRPr="00CB1E53">
        <w:rPr>
          <w:rFonts w:ascii="Segoe UI" w:hAnsi="Segoe UI" w:cs="Segoe UI"/>
          <w:sz w:val="16"/>
          <w:szCs w:val="16"/>
        </w:rPr>
        <w:t>(</w:t>
      </w:r>
      <w:r w:rsidR="00602193">
        <w:rPr>
          <w:rFonts w:ascii="Segoe UI" w:hAnsi="Segoe UI" w:cs="Segoe UI"/>
          <w:sz w:val="16"/>
          <w:szCs w:val="16"/>
        </w:rPr>
        <w:t>1</w:t>
      </w:r>
      <w:r w:rsidRPr="00CB1E53">
        <w:rPr>
          <w:rFonts w:ascii="Segoe UI" w:hAnsi="Segoe UI" w:cs="Segoe UI"/>
          <w:sz w:val="16"/>
          <w:szCs w:val="16"/>
        </w:rPr>
        <w:t>) Projections based on GDP growth are</w:t>
      </w:r>
      <w:r w:rsidR="00CC75A3" w:rsidRPr="00CB1E53">
        <w:rPr>
          <w:rFonts w:ascii="Segoe UI" w:hAnsi="Segoe UI" w:cs="Segoe UI"/>
          <w:sz w:val="16"/>
          <w:szCs w:val="16"/>
        </w:rPr>
        <w:t xml:space="preserve"> shaded.</w:t>
      </w:r>
    </w:p>
    <w:p w14:paraId="3E174BA2" w14:textId="65F8F156" w:rsidR="00C0458D" w:rsidRPr="00CB1E53" w:rsidRDefault="00C0458D" w:rsidP="00E90BA7">
      <w:pPr>
        <w:spacing w:after="0" w:line="240" w:lineRule="auto"/>
        <w:jc w:val="both"/>
        <w:rPr>
          <w:rFonts w:ascii="Segoe UI" w:hAnsi="Segoe UI" w:cs="Segoe UI"/>
          <w:sz w:val="16"/>
          <w:szCs w:val="16"/>
        </w:rPr>
      </w:pPr>
      <w:r>
        <w:rPr>
          <w:rFonts w:ascii="Segoe UI" w:hAnsi="Segoe UI" w:cs="Segoe UI"/>
          <w:sz w:val="16"/>
          <w:szCs w:val="16"/>
        </w:rPr>
        <w:t>(</w:t>
      </w:r>
      <w:r w:rsidR="00602193">
        <w:rPr>
          <w:rFonts w:ascii="Segoe UI" w:hAnsi="Segoe UI" w:cs="Segoe UI"/>
          <w:sz w:val="16"/>
          <w:szCs w:val="16"/>
        </w:rPr>
        <w:t>2</w:t>
      </w:r>
      <w:r>
        <w:rPr>
          <w:rFonts w:ascii="Segoe UI" w:hAnsi="Segoe UI" w:cs="Segoe UI"/>
          <w:sz w:val="16"/>
          <w:szCs w:val="16"/>
        </w:rPr>
        <w:t xml:space="preserve">) </w:t>
      </w:r>
      <w:r w:rsidR="00C151BF">
        <w:rPr>
          <w:rFonts w:ascii="Segoe UI" w:hAnsi="Segoe UI" w:cs="Segoe UI"/>
          <w:sz w:val="16"/>
          <w:szCs w:val="16"/>
        </w:rPr>
        <w:t>Not available (n.a.) and not applicable (</w:t>
      </w:r>
      <w:r w:rsidR="00C151BF" w:rsidRPr="00ED6EC1">
        <w:rPr>
          <w:rFonts w:ascii="Arial Narrow" w:eastAsia="Times New Roman" w:hAnsi="Arial Narrow" w:cs="Calibri"/>
          <w:color w:val="000000"/>
          <w:sz w:val="16"/>
          <w:szCs w:val="16"/>
        </w:rPr>
        <w:t>—</w:t>
      </w:r>
      <w:r w:rsidR="00C151BF">
        <w:rPr>
          <w:rFonts w:ascii="Arial Narrow" w:eastAsia="Times New Roman" w:hAnsi="Arial Narrow" w:cs="Calibri"/>
          <w:color w:val="000000"/>
          <w:sz w:val="16"/>
          <w:szCs w:val="16"/>
        </w:rPr>
        <w:t>)</w:t>
      </w:r>
      <w:r w:rsidR="00884684">
        <w:rPr>
          <w:rFonts w:ascii="Arial Narrow" w:eastAsia="Times New Roman" w:hAnsi="Arial Narrow" w:cs="Calibri"/>
          <w:color w:val="000000"/>
          <w:sz w:val="16"/>
          <w:szCs w:val="16"/>
        </w:rPr>
        <w:t>.</w:t>
      </w:r>
    </w:p>
    <w:p w14:paraId="57A94C8E" w14:textId="6A4590EA" w:rsidR="00F77F6D" w:rsidRPr="00CB1E53" w:rsidRDefault="008235BF" w:rsidP="00E90BA7">
      <w:pPr>
        <w:pStyle w:val="Heading2"/>
        <w:numPr>
          <w:ilvl w:val="0"/>
          <w:numId w:val="14"/>
        </w:numPr>
        <w:ind w:left="720"/>
        <w:jc w:val="both"/>
      </w:pPr>
      <w:bookmarkStart w:id="46" w:name="_Toc126555839"/>
      <w:r w:rsidRPr="00CB1E53">
        <w:t xml:space="preserve">The </w:t>
      </w:r>
      <w:r w:rsidR="007B27B9" w:rsidRPr="00CB1E53">
        <w:t>W</w:t>
      </w:r>
      <w:r w:rsidR="007F2858" w:rsidRPr="00CB1E53">
        <w:t>ay forward</w:t>
      </w:r>
      <w:bookmarkEnd w:id="46"/>
    </w:p>
    <w:p w14:paraId="7EA03280" w14:textId="5F90D71F" w:rsidR="008235BF" w:rsidRPr="00CB1E53" w:rsidRDefault="008235BF" w:rsidP="00E90BA7">
      <w:pPr>
        <w:spacing w:after="240" w:line="264" w:lineRule="auto"/>
        <w:jc w:val="both"/>
        <w:rPr>
          <w:rFonts w:ascii="Segoe UI" w:hAnsi="Segoe UI" w:cs="Segoe UI"/>
          <w:sz w:val="21"/>
          <w:szCs w:val="21"/>
        </w:rPr>
      </w:pPr>
      <w:r w:rsidRPr="00CB1E53">
        <w:rPr>
          <w:rFonts w:ascii="Segoe UI" w:hAnsi="Segoe UI" w:cs="Segoe UI"/>
          <w:sz w:val="21"/>
          <w:szCs w:val="21"/>
        </w:rPr>
        <w:t xml:space="preserve">As experience and capacity for assessing and reporting on TEs develops, </w:t>
      </w:r>
      <w:r w:rsidR="00657D26">
        <w:rPr>
          <w:rFonts w:ascii="Segoe UI" w:hAnsi="Segoe UI" w:cs="Segoe UI"/>
          <w:sz w:val="21"/>
          <w:szCs w:val="21"/>
        </w:rPr>
        <w:t>and t</w:t>
      </w:r>
      <w:r w:rsidRPr="00CB1E53">
        <w:rPr>
          <w:rFonts w:ascii="Segoe UI" w:hAnsi="Segoe UI" w:cs="Segoe UI"/>
          <w:sz w:val="21"/>
          <w:szCs w:val="21"/>
        </w:rPr>
        <w:t>ax return data permitting, future analysis will also seek to analyze the important distributional effects of tax expenditures.</w:t>
      </w:r>
      <w:r w:rsidR="00382077">
        <w:rPr>
          <w:rFonts w:ascii="Segoe UI" w:hAnsi="Segoe UI" w:cs="Segoe UI"/>
          <w:sz w:val="21"/>
          <w:szCs w:val="21"/>
        </w:rPr>
        <w:t xml:space="preserve"> </w:t>
      </w:r>
      <w:r w:rsidR="00382077" w:rsidRPr="00CB1E53">
        <w:rPr>
          <w:rFonts w:ascii="Segoe UI" w:hAnsi="Segoe UI" w:cs="Segoe UI"/>
          <w:sz w:val="21"/>
          <w:szCs w:val="21"/>
        </w:rPr>
        <w:t>Moving towards evaluation of TEs, it may be useful over the medium term to start capturing</w:t>
      </w:r>
      <w:r w:rsidR="00502439">
        <w:rPr>
          <w:rFonts w:ascii="Segoe UI" w:hAnsi="Segoe UI" w:cs="Segoe UI"/>
          <w:sz w:val="21"/>
          <w:szCs w:val="21"/>
        </w:rPr>
        <w:t>,</w:t>
      </w:r>
      <w:r w:rsidR="00382077" w:rsidRPr="00CB1E53">
        <w:rPr>
          <w:rFonts w:ascii="Segoe UI" w:hAnsi="Segoe UI" w:cs="Segoe UI"/>
          <w:sz w:val="21"/>
          <w:szCs w:val="21"/>
        </w:rPr>
        <w:t xml:space="preserve"> qualitatively and quantitatively</w:t>
      </w:r>
      <w:r w:rsidR="00502439">
        <w:rPr>
          <w:rFonts w:ascii="Segoe UI" w:hAnsi="Segoe UI" w:cs="Segoe UI"/>
          <w:sz w:val="21"/>
          <w:szCs w:val="21"/>
        </w:rPr>
        <w:t>,</w:t>
      </w:r>
      <w:r w:rsidR="00382077" w:rsidRPr="00CB1E53">
        <w:rPr>
          <w:rFonts w:ascii="Segoe UI" w:hAnsi="Segoe UI" w:cs="Segoe UI"/>
          <w:sz w:val="21"/>
          <w:szCs w:val="21"/>
        </w:rPr>
        <w:t xml:space="preserve"> TE administrative and compliance costs, especially where the STS is challenged with respect to resources and capacity in monitoring and administering the qualifying incentive criteria</w:t>
      </w:r>
      <w:r w:rsidR="00CE48C8">
        <w:rPr>
          <w:rFonts w:ascii="Segoe UI" w:hAnsi="Segoe UI" w:cs="Segoe UI"/>
          <w:sz w:val="21"/>
          <w:szCs w:val="21"/>
        </w:rPr>
        <w:t xml:space="preserve">. This analysis </w:t>
      </w:r>
      <w:r w:rsidR="00382077" w:rsidRPr="00CB1E53">
        <w:rPr>
          <w:rFonts w:ascii="Segoe UI" w:hAnsi="Segoe UI" w:cs="Segoe UI"/>
          <w:sz w:val="21"/>
          <w:szCs w:val="21"/>
        </w:rPr>
        <w:t>could assist in the design of future TEs in order to reduce the risk of tax leakage</w:t>
      </w:r>
      <w:r w:rsidR="00502439">
        <w:rPr>
          <w:rFonts w:ascii="Segoe UI" w:hAnsi="Segoe UI" w:cs="Segoe UI"/>
          <w:sz w:val="21"/>
          <w:szCs w:val="21"/>
        </w:rPr>
        <w:t>.</w:t>
      </w:r>
    </w:p>
    <w:p w14:paraId="14EAB87C" w14:textId="60B5578C" w:rsidR="00F77F6D" w:rsidRPr="00CB1E53" w:rsidRDefault="008235BF" w:rsidP="00E90BA7">
      <w:pPr>
        <w:spacing w:after="240" w:line="264" w:lineRule="auto"/>
        <w:jc w:val="both"/>
        <w:rPr>
          <w:rFonts w:ascii="Segoe UI" w:hAnsi="Segoe UI" w:cs="Segoe UI"/>
          <w:b/>
          <w:sz w:val="21"/>
          <w:szCs w:val="21"/>
        </w:rPr>
      </w:pPr>
      <w:r w:rsidRPr="00CB1E53">
        <w:rPr>
          <w:rFonts w:ascii="Segoe UI" w:hAnsi="Segoe UI" w:cs="Segoe UI"/>
          <w:sz w:val="21"/>
          <w:szCs w:val="21"/>
        </w:rPr>
        <w:t>One of the key objectives of TE reporting is to improve the transparency in fiscal management and provide relevant analysis to inform decision making and legislation. Another benefit of regularly estimating TEs is that it implicitly creates a catalog of potential measures that can be used to raise revenues when needed. For these reasons, the M</w:t>
      </w:r>
      <w:r w:rsidR="002C4643">
        <w:rPr>
          <w:rFonts w:ascii="Segoe UI" w:hAnsi="Segoe UI" w:cs="Segoe UI"/>
          <w:sz w:val="21"/>
          <w:szCs w:val="21"/>
        </w:rPr>
        <w:t xml:space="preserve">inistry </w:t>
      </w:r>
      <w:r w:rsidRPr="00CB1E53">
        <w:rPr>
          <w:rFonts w:ascii="Segoe UI" w:hAnsi="Segoe UI" w:cs="Segoe UI"/>
          <w:sz w:val="21"/>
          <w:szCs w:val="21"/>
        </w:rPr>
        <w:t>o</w:t>
      </w:r>
      <w:r w:rsidR="002C4643">
        <w:rPr>
          <w:rFonts w:ascii="Segoe UI" w:hAnsi="Segoe UI" w:cs="Segoe UI"/>
          <w:sz w:val="21"/>
          <w:szCs w:val="21"/>
        </w:rPr>
        <w:t xml:space="preserve">f Finance </w:t>
      </w:r>
      <w:r w:rsidRPr="00CB1E53">
        <w:rPr>
          <w:rFonts w:ascii="Segoe UI" w:hAnsi="Segoe UI" w:cs="Segoe UI"/>
          <w:sz w:val="21"/>
          <w:szCs w:val="21"/>
        </w:rPr>
        <w:t xml:space="preserve">will commit itself to </w:t>
      </w:r>
      <w:r w:rsidR="00966AD9">
        <w:rPr>
          <w:rFonts w:ascii="Segoe UI" w:hAnsi="Segoe UI" w:cs="Segoe UI"/>
          <w:sz w:val="21"/>
          <w:szCs w:val="21"/>
        </w:rPr>
        <w:lastRenderedPageBreak/>
        <w:t xml:space="preserve">institutionalization of </w:t>
      </w:r>
      <w:r w:rsidR="000266C2">
        <w:rPr>
          <w:rFonts w:ascii="Segoe UI" w:hAnsi="Segoe UI" w:cs="Segoe UI"/>
          <w:sz w:val="21"/>
          <w:szCs w:val="21"/>
        </w:rPr>
        <w:t>TEs analysis and reporting</w:t>
      </w:r>
      <w:r w:rsidR="00445767">
        <w:rPr>
          <w:rFonts w:ascii="Segoe UI" w:hAnsi="Segoe UI" w:cs="Segoe UI"/>
          <w:sz w:val="21"/>
          <w:szCs w:val="21"/>
        </w:rPr>
        <w:t xml:space="preserve"> and</w:t>
      </w:r>
      <w:r w:rsidR="00966AD9">
        <w:rPr>
          <w:rFonts w:ascii="Segoe UI" w:hAnsi="Segoe UI" w:cs="Segoe UI"/>
          <w:sz w:val="21"/>
          <w:szCs w:val="21"/>
        </w:rPr>
        <w:t xml:space="preserve"> </w:t>
      </w:r>
      <w:r w:rsidRPr="00CB1E53">
        <w:rPr>
          <w:rFonts w:ascii="Segoe UI" w:hAnsi="Segoe UI" w:cs="Segoe UI"/>
          <w:sz w:val="21"/>
          <w:szCs w:val="21"/>
        </w:rPr>
        <w:t xml:space="preserve">ensuring the integrity of the estimates. </w:t>
      </w:r>
      <w:r w:rsidR="00901DC3">
        <w:rPr>
          <w:rFonts w:ascii="Segoe UI" w:hAnsi="Segoe UI" w:cs="Segoe UI"/>
          <w:sz w:val="21"/>
          <w:szCs w:val="21"/>
        </w:rPr>
        <w:t>D</w:t>
      </w:r>
      <w:r w:rsidRPr="00CB1E53">
        <w:rPr>
          <w:rFonts w:ascii="Segoe UI" w:hAnsi="Segoe UI" w:cs="Segoe UI"/>
          <w:sz w:val="21"/>
          <w:szCs w:val="21"/>
        </w:rPr>
        <w:t>ata availability is key for th</w:t>
      </w:r>
      <w:r w:rsidR="00901DC3">
        <w:rPr>
          <w:rFonts w:ascii="Segoe UI" w:hAnsi="Segoe UI" w:cs="Segoe UI"/>
          <w:sz w:val="21"/>
          <w:szCs w:val="21"/>
        </w:rPr>
        <w:t>is</w:t>
      </w:r>
      <w:r w:rsidRPr="00CB1E53">
        <w:rPr>
          <w:rFonts w:ascii="Segoe UI" w:hAnsi="Segoe UI" w:cs="Segoe UI"/>
          <w:sz w:val="21"/>
          <w:szCs w:val="21"/>
        </w:rPr>
        <w:t xml:space="preserve"> exercise</w:t>
      </w:r>
      <w:r w:rsidR="00901DC3">
        <w:rPr>
          <w:rFonts w:ascii="Segoe UI" w:hAnsi="Segoe UI" w:cs="Segoe UI"/>
          <w:sz w:val="21"/>
          <w:szCs w:val="21"/>
        </w:rPr>
        <w:t xml:space="preserve">; </w:t>
      </w:r>
      <w:r w:rsidR="00403BFA">
        <w:rPr>
          <w:rFonts w:ascii="Segoe UI" w:hAnsi="Segoe UI" w:cs="Segoe UI"/>
          <w:sz w:val="21"/>
          <w:szCs w:val="21"/>
        </w:rPr>
        <w:t xml:space="preserve">thus, </w:t>
      </w:r>
      <w:r w:rsidRPr="00CB1E53">
        <w:rPr>
          <w:rFonts w:ascii="Segoe UI" w:hAnsi="Segoe UI" w:cs="Segoe UI"/>
          <w:sz w:val="21"/>
          <w:szCs w:val="21"/>
        </w:rPr>
        <w:t xml:space="preserve">data organization and provision from key agencies and ministries should be well documented and legally binding. The </w:t>
      </w:r>
      <w:r w:rsidR="00C9304E" w:rsidRPr="00CB1E53">
        <w:rPr>
          <w:rFonts w:ascii="Segoe UI" w:hAnsi="Segoe UI" w:cs="Segoe UI"/>
          <w:sz w:val="21"/>
          <w:szCs w:val="21"/>
        </w:rPr>
        <w:t>M</w:t>
      </w:r>
      <w:r w:rsidR="00C9304E">
        <w:rPr>
          <w:rFonts w:ascii="Segoe UI" w:hAnsi="Segoe UI" w:cs="Segoe UI"/>
          <w:sz w:val="21"/>
          <w:szCs w:val="21"/>
        </w:rPr>
        <w:t xml:space="preserve">inistry </w:t>
      </w:r>
      <w:r w:rsidR="00C9304E" w:rsidRPr="00CB1E53">
        <w:rPr>
          <w:rFonts w:ascii="Segoe UI" w:hAnsi="Segoe UI" w:cs="Segoe UI"/>
          <w:sz w:val="21"/>
          <w:szCs w:val="21"/>
        </w:rPr>
        <w:t>o</w:t>
      </w:r>
      <w:r w:rsidR="00C9304E">
        <w:rPr>
          <w:rFonts w:ascii="Segoe UI" w:hAnsi="Segoe UI" w:cs="Segoe UI"/>
          <w:sz w:val="21"/>
          <w:szCs w:val="21"/>
        </w:rPr>
        <w:t>f Finance</w:t>
      </w:r>
      <w:r w:rsidRPr="00CB1E53">
        <w:rPr>
          <w:rFonts w:ascii="Segoe UI" w:hAnsi="Segoe UI" w:cs="Segoe UI"/>
          <w:sz w:val="21"/>
          <w:szCs w:val="21"/>
        </w:rPr>
        <w:t xml:space="preserve"> should continue to have oversight over legislation that involves the introduction of TEs. </w:t>
      </w:r>
      <w:r w:rsidR="00F77F6D" w:rsidRPr="00CB1E53">
        <w:rPr>
          <w:rFonts w:ascii="Segoe UI" w:hAnsi="Segoe UI" w:cs="Segoe UI"/>
          <w:b/>
          <w:sz w:val="21"/>
          <w:szCs w:val="21"/>
        </w:rPr>
        <w:br w:type="page"/>
      </w:r>
    </w:p>
    <w:p w14:paraId="0BB418CF" w14:textId="1C3AFF9B" w:rsidR="00F77F6D" w:rsidRPr="00CB1E53" w:rsidRDefault="00F77F6D" w:rsidP="00E90BA7">
      <w:pPr>
        <w:pStyle w:val="Heading2"/>
        <w:jc w:val="both"/>
      </w:pPr>
      <w:bookmarkStart w:id="47" w:name="_Toc126555840"/>
      <w:r w:rsidRPr="00CB1E53">
        <w:lastRenderedPageBreak/>
        <w:t>References</w:t>
      </w:r>
      <w:bookmarkEnd w:id="47"/>
    </w:p>
    <w:p w14:paraId="3955BD96" w14:textId="7E2F877A" w:rsidR="006903AB" w:rsidRPr="006903AB" w:rsidRDefault="006903AB" w:rsidP="00E90BA7">
      <w:pPr>
        <w:autoSpaceDE w:val="0"/>
        <w:autoSpaceDN w:val="0"/>
        <w:adjustRightInd w:val="0"/>
        <w:spacing w:after="240"/>
        <w:ind w:left="540" w:hanging="540"/>
        <w:jc w:val="both"/>
        <w:rPr>
          <w:rFonts w:ascii="Segoe UI" w:hAnsi="Segoe UI" w:cs="Segoe UI"/>
          <w:color w:val="000000"/>
          <w:sz w:val="21"/>
          <w:szCs w:val="21"/>
        </w:rPr>
      </w:pPr>
      <w:r w:rsidRPr="00BF57F4">
        <w:rPr>
          <w:rFonts w:ascii="Segoe UI" w:hAnsi="Segoe UI" w:cs="Segoe UI"/>
          <w:sz w:val="21"/>
          <w:szCs w:val="21"/>
        </w:rPr>
        <w:t xml:space="preserve">Brixi, H.P., C.M.A. Valenduc, and Z.L. Swift, 2004. </w:t>
      </w:r>
      <w:r w:rsidRPr="00BF57F4">
        <w:rPr>
          <w:rFonts w:ascii="Segoe UI" w:hAnsi="Segoe UI" w:cs="Segoe UI"/>
          <w:i/>
          <w:sz w:val="21"/>
          <w:szCs w:val="21"/>
        </w:rPr>
        <w:t>Tax Expenditures—Shedding Light on Government Spending through the Tax System: Lessons from Developed and Transition Economies</w:t>
      </w:r>
      <w:r w:rsidRPr="00BF57F4">
        <w:rPr>
          <w:rFonts w:ascii="Segoe UI" w:hAnsi="Segoe UI" w:cs="Segoe UI"/>
          <w:sz w:val="21"/>
          <w:szCs w:val="21"/>
        </w:rPr>
        <w:t>, (Washington: World Bank).</w:t>
      </w:r>
    </w:p>
    <w:p w14:paraId="4C788BF1" w14:textId="7081A9A3" w:rsidR="00CB14E1" w:rsidRPr="00CB1E53" w:rsidRDefault="00CB14E1"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Coady, D., Parry, I., Sears, L. and Chang, B., (2015), </w:t>
      </w:r>
      <w:hyperlink r:id="rId10" w:history="1">
        <w:r w:rsidRPr="00CB1E53">
          <w:rPr>
            <w:rStyle w:val="Hyperlink"/>
            <w:rFonts w:ascii="Segoe UI" w:hAnsi="Segoe UI" w:cs="Segoe UI"/>
            <w:sz w:val="21"/>
            <w:szCs w:val="21"/>
          </w:rPr>
          <w:t>How Large Are Global Energy Subsidies?</w:t>
        </w:r>
      </w:hyperlink>
      <w:r w:rsidRPr="00CB1E53">
        <w:rPr>
          <w:rFonts w:ascii="Segoe UI" w:hAnsi="Segoe UI" w:cs="Segoe UI"/>
          <w:color w:val="000000"/>
          <w:sz w:val="21"/>
          <w:szCs w:val="21"/>
        </w:rPr>
        <w:t>, IMF Working Paper 15/105, International Monetary Fund, Washington, DC.</w:t>
      </w:r>
    </w:p>
    <w:p w14:paraId="0AAB59F1" w14:textId="24E3A689" w:rsidR="009706D0" w:rsidRPr="00CB1E53" w:rsidRDefault="005542DF"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Heady, C. and Mansour, M. (2019), </w:t>
      </w:r>
      <w:hyperlink r:id="rId11" w:history="1">
        <w:r w:rsidRPr="00CB1E53">
          <w:rPr>
            <w:rStyle w:val="Hyperlink"/>
            <w:rFonts w:ascii="Segoe UI" w:hAnsi="Segoe UI" w:cs="Segoe UI"/>
            <w:sz w:val="21"/>
            <w:szCs w:val="21"/>
          </w:rPr>
          <w:t>Tax Expenditure Reporting and Its Use in Fiscal Management. A Guide for Developing Economies</w:t>
        </w:r>
      </w:hyperlink>
      <w:r w:rsidR="004B0260" w:rsidRPr="00CB1E53">
        <w:rPr>
          <w:rFonts w:ascii="Segoe UI" w:hAnsi="Segoe UI" w:cs="Segoe UI"/>
          <w:color w:val="000000"/>
          <w:sz w:val="21"/>
          <w:szCs w:val="21"/>
        </w:rPr>
        <w:t>,</w:t>
      </w:r>
      <w:r w:rsidRPr="00CB1E53">
        <w:rPr>
          <w:rFonts w:ascii="Segoe UI" w:hAnsi="Segoe UI" w:cs="Segoe UI"/>
          <w:color w:val="000000"/>
          <w:sz w:val="21"/>
          <w:szCs w:val="21"/>
        </w:rPr>
        <w:t xml:space="preserve"> How To Note, International Monetary Fund, Washington, D.C.</w:t>
      </w:r>
    </w:p>
    <w:p w14:paraId="6F12CBC7" w14:textId="59C0D1E5" w:rsidR="00124800" w:rsidRPr="00CB1E53" w:rsidRDefault="00124800"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EC (2014), </w:t>
      </w:r>
      <w:hyperlink r:id="rId12" w:history="1">
        <w:r w:rsidRPr="00CB1E53">
          <w:rPr>
            <w:rStyle w:val="Hyperlink"/>
            <w:rFonts w:ascii="Segoe UI" w:hAnsi="Segoe UI" w:cs="Segoe UI"/>
            <w:sz w:val="21"/>
            <w:szCs w:val="21"/>
          </w:rPr>
          <w:t>Tax expenditures in direct taxation in EU Member States</w:t>
        </w:r>
      </w:hyperlink>
      <w:r w:rsidRPr="00CB1E53">
        <w:rPr>
          <w:rFonts w:ascii="Segoe UI" w:hAnsi="Segoe UI" w:cs="Segoe UI"/>
          <w:color w:val="000000"/>
          <w:sz w:val="21"/>
          <w:szCs w:val="21"/>
        </w:rPr>
        <w:t>, Occasional Papers 207, December 2014, European Commission, Belgium.</w:t>
      </w:r>
    </w:p>
    <w:p w14:paraId="62447E04" w14:textId="4C518973" w:rsidR="00BA7D32" w:rsidRPr="00CB1E53" w:rsidRDefault="00BA7D32"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IMF (2015), Options for Low Income Countries’ Effective and Efficient Use of Tax Incentives for Investment, a </w:t>
      </w:r>
      <w:hyperlink r:id="rId13" w:history="1">
        <w:r w:rsidRPr="00CB1E53">
          <w:rPr>
            <w:rStyle w:val="Hyperlink"/>
            <w:rFonts w:ascii="Segoe UI" w:hAnsi="Segoe UI" w:cs="Segoe UI"/>
            <w:sz w:val="21"/>
            <w:szCs w:val="21"/>
          </w:rPr>
          <w:t>Report</w:t>
        </w:r>
      </w:hyperlink>
      <w:r w:rsidRPr="00CB1E53">
        <w:rPr>
          <w:rFonts w:ascii="Segoe UI" w:hAnsi="Segoe UI" w:cs="Segoe UI"/>
          <w:color w:val="000000"/>
          <w:sz w:val="21"/>
          <w:szCs w:val="21"/>
        </w:rPr>
        <w:t xml:space="preserve"> by Staff and an accompanying </w:t>
      </w:r>
      <w:hyperlink r:id="rId14" w:history="1">
        <w:r w:rsidRPr="00CB1E53">
          <w:rPr>
            <w:rStyle w:val="Hyperlink"/>
            <w:rFonts w:ascii="Segoe UI" w:hAnsi="Segoe UI" w:cs="Segoe UI"/>
            <w:sz w:val="21"/>
            <w:szCs w:val="21"/>
          </w:rPr>
          <w:t>Background Document</w:t>
        </w:r>
      </w:hyperlink>
      <w:r w:rsidRPr="00CB1E53">
        <w:rPr>
          <w:rFonts w:ascii="Segoe UI" w:hAnsi="Segoe UI" w:cs="Segoe UI"/>
          <w:color w:val="000000"/>
          <w:sz w:val="21"/>
          <w:szCs w:val="21"/>
        </w:rPr>
        <w:t>, International Monetary Fund, Washington, D.C.</w:t>
      </w:r>
    </w:p>
    <w:p w14:paraId="136D39BD" w14:textId="6530A1B7" w:rsidR="00C95FA5" w:rsidRPr="00CB1E53" w:rsidRDefault="00C95FA5"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IMF (2022), Republic of Moldova, Staff Report </w:t>
      </w:r>
      <w:r w:rsidR="00712BD4" w:rsidRPr="00CB1E53">
        <w:rPr>
          <w:rFonts w:ascii="Segoe UI" w:hAnsi="Segoe UI" w:cs="Segoe UI"/>
          <w:color w:val="000000"/>
          <w:sz w:val="21"/>
          <w:szCs w:val="21"/>
        </w:rPr>
        <w:t>f</w:t>
      </w:r>
      <w:r w:rsidRPr="00CB1E53">
        <w:rPr>
          <w:rFonts w:ascii="Segoe UI" w:hAnsi="Segoe UI" w:cs="Segoe UI"/>
          <w:color w:val="000000"/>
          <w:sz w:val="21"/>
          <w:szCs w:val="21"/>
        </w:rPr>
        <w:t xml:space="preserve">or </w:t>
      </w:r>
      <w:r w:rsidR="00712BD4" w:rsidRPr="00CB1E53">
        <w:rPr>
          <w:rFonts w:ascii="Segoe UI" w:hAnsi="Segoe UI" w:cs="Segoe UI"/>
          <w:color w:val="000000"/>
          <w:sz w:val="21"/>
          <w:szCs w:val="21"/>
        </w:rPr>
        <w:t>t</w:t>
      </w:r>
      <w:r w:rsidRPr="00CB1E53">
        <w:rPr>
          <w:rFonts w:ascii="Segoe UI" w:hAnsi="Segoe UI" w:cs="Segoe UI"/>
          <w:color w:val="000000"/>
          <w:sz w:val="21"/>
          <w:szCs w:val="21"/>
        </w:rPr>
        <w:t xml:space="preserve">he 2021 Article IV Consultation </w:t>
      </w:r>
      <w:r w:rsidR="00712BD4" w:rsidRPr="00CB1E53">
        <w:rPr>
          <w:rFonts w:ascii="Segoe UI" w:hAnsi="Segoe UI" w:cs="Segoe UI"/>
          <w:color w:val="000000"/>
          <w:sz w:val="21"/>
          <w:szCs w:val="21"/>
        </w:rPr>
        <w:t>a</w:t>
      </w:r>
      <w:r w:rsidRPr="00CB1E53">
        <w:rPr>
          <w:rFonts w:ascii="Segoe UI" w:hAnsi="Segoe UI" w:cs="Segoe UI"/>
          <w:color w:val="000000"/>
          <w:sz w:val="21"/>
          <w:szCs w:val="21"/>
        </w:rPr>
        <w:t xml:space="preserve">nd Requests </w:t>
      </w:r>
      <w:r w:rsidR="00712BD4" w:rsidRPr="00CB1E53">
        <w:rPr>
          <w:rFonts w:ascii="Segoe UI" w:hAnsi="Segoe UI" w:cs="Segoe UI"/>
          <w:color w:val="000000"/>
          <w:sz w:val="21"/>
          <w:szCs w:val="21"/>
        </w:rPr>
        <w:t>f</w:t>
      </w:r>
      <w:r w:rsidRPr="00CB1E53">
        <w:rPr>
          <w:rFonts w:ascii="Segoe UI" w:hAnsi="Segoe UI" w:cs="Segoe UI"/>
          <w:color w:val="000000"/>
          <w:sz w:val="21"/>
          <w:szCs w:val="21"/>
        </w:rPr>
        <w:t xml:space="preserve">or </w:t>
      </w:r>
      <w:r w:rsidR="00712BD4" w:rsidRPr="00CB1E53">
        <w:rPr>
          <w:rFonts w:ascii="Segoe UI" w:hAnsi="Segoe UI" w:cs="Segoe UI"/>
          <w:color w:val="000000"/>
          <w:sz w:val="21"/>
          <w:szCs w:val="21"/>
        </w:rPr>
        <w:t>a</w:t>
      </w:r>
      <w:r w:rsidRPr="00CB1E53">
        <w:rPr>
          <w:rFonts w:ascii="Segoe UI" w:hAnsi="Segoe UI" w:cs="Segoe UI"/>
          <w:color w:val="000000"/>
          <w:sz w:val="21"/>
          <w:szCs w:val="21"/>
        </w:rPr>
        <w:t>n Arrangement Under the Extended Fund Facility and an Arrangement Under the Extended Credit Facility, IMF Country Report No. 22/1, January 2022, International Monetary Fund, Washington, D.C.</w:t>
      </w:r>
    </w:p>
    <w:p w14:paraId="1D9F6EB3" w14:textId="797EE03B" w:rsidR="005542DF" w:rsidRPr="00CB1E53" w:rsidRDefault="005542DF"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OECD (2010) </w:t>
      </w:r>
      <w:hyperlink r:id="rId15" w:history="1">
        <w:r w:rsidRPr="00CB1E53">
          <w:rPr>
            <w:rStyle w:val="Hyperlink"/>
            <w:rFonts w:ascii="Segoe UI" w:hAnsi="Segoe UI" w:cs="Segoe UI"/>
            <w:sz w:val="21"/>
            <w:szCs w:val="21"/>
          </w:rPr>
          <w:t>Tax Expenditures in OECD Countries</w:t>
        </w:r>
      </w:hyperlink>
      <w:r w:rsidRPr="00CB1E53">
        <w:rPr>
          <w:rFonts w:ascii="Segoe UI" w:hAnsi="Segoe UI" w:cs="Segoe UI"/>
          <w:color w:val="000000"/>
          <w:sz w:val="21"/>
          <w:szCs w:val="21"/>
        </w:rPr>
        <w:t>, OECD Publishing, Paris</w:t>
      </w:r>
      <w:r w:rsidR="00857B30" w:rsidRPr="00CB1E53">
        <w:rPr>
          <w:rFonts w:ascii="Segoe UI" w:hAnsi="Segoe UI" w:cs="Segoe UI"/>
          <w:color w:val="000000"/>
          <w:sz w:val="21"/>
          <w:szCs w:val="21"/>
        </w:rPr>
        <w:t>, France.</w:t>
      </w:r>
    </w:p>
    <w:p w14:paraId="31784458" w14:textId="0F1B11B5" w:rsidR="00BA7D32" w:rsidRPr="00CB1E53" w:rsidRDefault="00BA7D32" w:rsidP="00E90BA7">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Redonda, A. and Neubig, T., (2018), </w:t>
      </w:r>
      <w:hyperlink r:id="rId16" w:history="1">
        <w:r w:rsidRPr="00CB1E53">
          <w:rPr>
            <w:rStyle w:val="Hyperlink"/>
            <w:rFonts w:ascii="Segoe UI" w:hAnsi="Segoe UI" w:cs="Segoe UI"/>
            <w:sz w:val="21"/>
            <w:szCs w:val="21"/>
          </w:rPr>
          <w:t>Assessing Tax Expenditure Reporting in G20 and OECD Economies</w:t>
        </w:r>
      </w:hyperlink>
      <w:r w:rsidRPr="00CB1E53">
        <w:rPr>
          <w:rFonts w:ascii="Segoe UI" w:hAnsi="Segoe UI" w:cs="Segoe UI"/>
          <w:color w:val="000000"/>
          <w:sz w:val="21"/>
          <w:szCs w:val="21"/>
        </w:rPr>
        <w:t>, November 2018, Discussion Note 2018/3, Council on Economic Policies.</w:t>
      </w:r>
    </w:p>
    <w:p w14:paraId="172873AD" w14:textId="7917E6E3" w:rsidR="00F77F6D" w:rsidRPr="00CB1E53" w:rsidRDefault="00F77F6D" w:rsidP="00E90BA7">
      <w:pPr>
        <w:autoSpaceDE w:val="0"/>
        <w:autoSpaceDN w:val="0"/>
        <w:adjustRightInd w:val="0"/>
        <w:spacing w:after="240"/>
        <w:jc w:val="both"/>
        <w:rPr>
          <w:rFonts w:ascii="Segoe UI" w:hAnsi="Segoe UI" w:cs="Segoe UI"/>
          <w:b/>
          <w:sz w:val="20"/>
          <w:szCs w:val="20"/>
        </w:rPr>
      </w:pPr>
      <w:r w:rsidRPr="00CB1E53">
        <w:rPr>
          <w:rFonts w:ascii="Segoe UI" w:hAnsi="Segoe UI" w:cs="Segoe UI"/>
          <w:b/>
          <w:sz w:val="20"/>
          <w:szCs w:val="20"/>
        </w:rPr>
        <w:br w:type="page"/>
      </w:r>
    </w:p>
    <w:p w14:paraId="71B5FD1A" w14:textId="77853E55" w:rsidR="00F77F6D" w:rsidRPr="00CB1E53" w:rsidRDefault="00F77F6D" w:rsidP="00E90BA7">
      <w:pPr>
        <w:pStyle w:val="Heading2"/>
        <w:spacing w:before="20" w:after="20" w:line="240" w:lineRule="auto"/>
        <w:jc w:val="both"/>
        <w:rPr>
          <w:rFonts w:ascii="Segoe UI" w:hAnsi="Segoe UI" w:cs="Segoe UI"/>
          <w:sz w:val="18"/>
          <w:szCs w:val="18"/>
        </w:rPr>
      </w:pPr>
      <w:bookmarkStart w:id="48" w:name="_Toc126555841"/>
      <w:r w:rsidRPr="00CB1E53">
        <w:rPr>
          <w:rFonts w:ascii="Segoe UI" w:hAnsi="Segoe UI" w:cs="Segoe UI"/>
          <w:sz w:val="18"/>
          <w:szCs w:val="18"/>
        </w:rPr>
        <w:lastRenderedPageBreak/>
        <w:t xml:space="preserve">Appendix </w:t>
      </w:r>
      <w:r w:rsidR="007C2B84" w:rsidRPr="00CB1E53">
        <w:rPr>
          <w:rFonts w:ascii="Segoe UI" w:hAnsi="Segoe UI" w:cs="Segoe UI"/>
          <w:sz w:val="18"/>
          <w:szCs w:val="18"/>
        </w:rPr>
        <w:t>1</w:t>
      </w:r>
      <w:r w:rsidRPr="00CB1E53">
        <w:rPr>
          <w:rFonts w:ascii="Segoe UI" w:hAnsi="Segoe UI" w:cs="Segoe UI"/>
          <w:sz w:val="18"/>
          <w:szCs w:val="18"/>
        </w:rPr>
        <w:t>:</w:t>
      </w:r>
      <w:r w:rsidRPr="00CB1E53">
        <w:rPr>
          <w:rFonts w:ascii="Segoe UI" w:hAnsi="Segoe UI" w:cs="Segoe UI"/>
          <w:sz w:val="18"/>
          <w:szCs w:val="18"/>
        </w:rPr>
        <w:tab/>
        <w:t>PIT Tax Expenditures</w:t>
      </w:r>
      <w:r w:rsidR="00C341F0" w:rsidRPr="00CB1E53">
        <w:rPr>
          <w:rFonts w:ascii="Segoe UI" w:hAnsi="Segoe UI" w:cs="Segoe UI"/>
          <w:sz w:val="18"/>
          <w:szCs w:val="18"/>
        </w:rPr>
        <w:t xml:space="preserve"> Summary Sheets</w:t>
      </w:r>
      <w:bookmarkEnd w:id="48"/>
    </w:p>
    <w:p w14:paraId="683D9380" w14:textId="77777777" w:rsidR="000F64EB" w:rsidRDefault="000F64EB" w:rsidP="00E90BA7">
      <w:pPr>
        <w:spacing w:before="20" w:after="20" w:line="240" w:lineRule="auto"/>
        <w:jc w:val="both"/>
        <w:rPr>
          <w:rFonts w:ascii="Segoe UI" w:hAnsi="Segoe UI" w:cs="Segoe UI"/>
          <w:sz w:val="18"/>
          <w:szCs w:val="18"/>
        </w:rPr>
      </w:pPr>
      <w:bookmarkStart w:id="49" w:name="_Hlk96084039"/>
    </w:p>
    <w:p w14:paraId="4EFD69DA" w14:textId="3E6A6D89" w:rsidR="009B2CE9" w:rsidRPr="007669E1" w:rsidRDefault="00AA3E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Please n</w:t>
      </w:r>
      <w:r w:rsidR="00A92E80" w:rsidRPr="007669E1">
        <w:rPr>
          <w:rFonts w:ascii="Segoe UI" w:hAnsi="Segoe UI" w:cs="Segoe UI"/>
          <w:sz w:val="18"/>
          <w:szCs w:val="18"/>
        </w:rPr>
        <w:t>ote</w:t>
      </w:r>
      <w:r w:rsidRPr="007669E1">
        <w:rPr>
          <w:rFonts w:ascii="Segoe UI" w:hAnsi="Segoe UI" w:cs="Segoe UI"/>
          <w:sz w:val="18"/>
          <w:szCs w:val="18"/>
        </w:rPr>
        <w:t xml:space="preserve"> “</w:t>
      </w:r>
      <w:r w:rsidR="00620B0E" w:rsidRPr="007669E1">
        <w:rPr>
          <w:rFonts w:ascii="Segoe UI" w:hAnsi="Segoe UI" w:cs="Segoe UI"/>
          <w:sz w:val="18"/>
          <w:szCs w:val="18"/>
        </w:rPr>
        <w:t>n.a</w:t>
      </w:r>
      <w:r w:rsidR="00F33E02" w:rsidRPr="007669E1">
        <w:rPr>
          <w:rFonts w:ascii="Segoe UI" w:hAnsi="Segoe UI" w:cs="Segoe UI"/>
          <w:sz w:val="18"/>
          <w:szCs w:val="18"/>
        </w:rPr>
        <w:t>.</w:t>
      </w:r>
      <w:r w:rsidRPr="007669E1">
        <w:rPr>
          <w:rFonts w:ascii="Segoe UI" w:hAnsi="Segoe UI" w:cs="Segoe UI"/>
          <w:sz w:val="18"/>
          <w:szCs w:val="18"/>
        </w:rPr>
        <w:t>”</w:t>
      </w:r>
      <w:r w:rsidR="007A7B4B" w:rsidRPr="007669E1">
        <w:rPr>
          <w:rFonts w:ascii="Segoe UI" w:hAnsi="Segoe UI" w:cs="Segoe UI"/>
          <w:sz w:val="18"/>
          <w:szCs w:val="18"/>
        </w:rPr>
        <w:t xml:space="preserve"> </w:t>
      </w:r>
      <w:r w:rsidR="00901FA0" w:rsidRPr="007669E1">
        <w:rPr>
          <w:rFonts w:ascii="Segoe UI" w:hAnsi="Segoe UI" w:cs="Segoe UI"/>
          <w:sz w:val="18"/>
          <w:szCs w:val="18"/>
        </w:rPr>
        <w:t xml:space="preserve">indicates that </w:t>
      </w:r>
      <w:r w:rsidR="00AE41F5" w:rsidRPr="007669E1">
        <w:rPr>
          <w:rFonts w:ascii="Segoe UI" w:hAnsi="Segoe UI" w:cs="Segoe UI"/>
          <w:sz w:val="18"/>
          <w:szCs w:val="18"/>
        </w:rPr>
        <w:t xml:space="preserve">tax expenditure </w:t>
      </w:r>
      <w:r w:rsidR="00901FA0" w:rsidRPr="007669E1">
        <w:rPr>
          <w:rFonts w:ascii="Segoe UI" w:hAnsi="Segoe UI" w:cs="Segoe UI"/>
          <w:sz w:val="18"/>
          <w:szCs w:val="18"/>
        </w:rPr>
        <w:t xml:space="preserve">estimates </w:t>
      </w:r>
      <w:r w:rsidR="00AE41F5" w:rsidRPr="007669E1">
        <w:rPr>
          <w:rFonts w:ascii="Segoe UI" w:hAnsi="Segoe UI" w:cs="Segoe UI"/>
          <w:sz w:val="18"/>
          <w:szCs w:val="18"/>
        </w:rPr>
        <w:t>are not available</w:t>
      </w:r>
      <w:r w:rsidRPr="007669E1">
        <w:rPr>
          <w:rFonts w:ascii="Segoe UI" w:hAnsi="Segoe UI" w:cs="Segoe UI"/>
          <w:sz w:val="18"/>
          <w:szCs w:val="18"/>
        </w:rPr>
        <w:t>, while “</w:t>
      </w:r>
      <w:r w:rsidR="00AE41F5" w:rsidRPr="007669E1">
        <w:rPr>
          <w:rFonts w:ascii="Segoe UI" w:hAnsi="Segoe UI" w:cs="Segoe UI"/>
          <w:sz w:val="18"/>
          <w:szCs w:val="18"/>
        </w:rPr>
        <w:t>—</w:t>
      </w:r>
      <w:r w:rsidRPr="007669E1">
        <w:rPr>
          <w:rFonts w:ascii="Segoe UI" w:hAnsi="Segoe UI" w:cs="Segoe UI"/>
          <w:sz w:val="18"/>
          <w:szCs w:val="18"/>
        </w:rPr>
        <w:t>"</w:t>
      </w:r>
      <w:r w:rsidR="00AE41F5" w:rsidRPr="007669E1">
        <w:rPr>
          <w:rFonts w:ascii="Segoe UI" w:hAnsi="Segoe UI" w:cs="Segoe UI"/>
          <w:sz w:val="18"/>
          <w:szCs w:val="18"/>
        </w:rPr>
        <w:t xml:space="preserve"> </w:t>
      </w:r>
      <w:r w:rsidR="007A7B4B" w:rsidRPr="007669E1">
        <w:rPr>
          <w:rFonts w:ascii="Segoe UI" w:hAnsi="Segoe UI" w:cs="Segoe UI"/>
          <w:sz w:val="18"/>
          <w:szCs w:val="18"/>
        </w:rPr>
        <w:t>(dash)</w:t>
      </w:r>
      <w:r w:rsidR="00A92E80" w:rsidRPr="007669E1">
        <w:rPr>
          <w:rFonts w:ascii="Segoe UI" w:hAnsi="Segoe UI" w:cs="Segoe UI"/>
          <w:sz w:val="18"/>
          <w:szCs w:val="18"/>
        </w:rPr>
        <w:t xml:space="preserve"> </w:t>
      </w:r>
      <w:r w:rsidR="008A33BB" w:rsidRPr="007669E1">
        <w:rPr>
          <w:rFonts w:ascii="Segoe UI" w:hAnsi="Segoe UI" w:cs="Segoe UI"/>
          <w:sz w:val="18"/>
          <w:szCs w:val="18"/>
        </w:rPr>
        <w:t xml:space="preserve">denotes </w:t>
      </w:r>
      <w:r w:rsidR="009B2CE9" w:rsidRPr="007669E1">
        <w:rPr>
          <w:rFonts w:ascii="Segoe UI" w:hAnsi="Segoe UI" w:cs="Segoe UI"/>
          <w:sz w:val="18"/>
          <w:szCs w:val="18"/>
        </w:rPr>
        <w:t>not applicable.</w:t>
      </w:r>
    </w:p>
    <w:p w14:paraId="08FA59D6" w14:textId="77777777" w:rsidR="00926CA2" w:rsidRPr="007669E1" w:rsidRDefault="00926CA2"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7E0B082E" w14:textId="77777777" w:rsidTr="00280E00">
        <w:tc>
          <w:tcPr>
            <w:tcW w:w="9625" w:type="dxa"/>
            <w:gridSpan w:val="7"/>
            <w:shd w:val="clear" w:color="auto" w:fill="D9D9D9" w:themeFill="background1" w:themeFillShade="D9"/>
          </w:tcPr>
          <w:p w14:paraId="0AA1D8E9" w14:textId="10D1BD35"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 Tax exemption of received state pension</w:t>
            </w:r>
          </w:p>
        </w:tc>
      </w:tr>
      <w:tr w:rsidR="00404875" w:rsidRPr="007669E1" w14:paraId="3FC79C7E" w14:textId="77777777" w:rsidTr="00280E00">
        <w:tc>
          <w:tcPr>
            <w:tcW w:w="2425" w:type="dxa"/>
          </w:tcPr>
          <w:p w14:paraId="0845CCF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78D5DE8C" w14:textId="563671DF"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color w:val="000000"/>
                <w:sz w:val="18"/>
                <w:szCs w:val="18"/>
              </w:rPr>
              <w:t xml:space="preserve">Non-taxable sources of income are an annuity received as social security rights from the state social insurances budget and social assistance rights paid from the state budget, including the payments received on the international treaties bases to which the Republic of Moldova is a party; insurance amounts and compensations received under </w:t>
            </w:r>
            <w:r w:rsidRPr="007669E1">
              <w:rPr>
                <w:rFonts w:ascii="Segoe UI" w:hAnsi="Segoe UI" w:cs="Segoe UI"/>
                <w:sz w:val="18"/>
                <w:szCs w:val="18"/>
              </w:rPr>
              <w:t xml:space="preserve">insurance and co-insurance contracts. Contrary to state pensions, pensions received from non‐state pension funds (domestic and foreign) are taxable. Contributions made to state pension funds are deductible (TC, </w:t>
            </w:r>
            <w:r w:rsidR="00B26CC9" w:rsidRPr="007669E1">
              <w:rPr>
                <w:rFonts w:ascii="Segoe UI" w:hAnsi="Segoe UI" w:cs="Segoe UI"/>
                <w:sz w:val="18"/>
                <w:szCs w:val="18"/>
              </w:rPr>
              <w:t>Art</w:t>
            </w:r>
            <w:r w:rsidRPr="007669E1">
              <w:rPr>
                <w:rFonts w:ascii="Segoe UI" w:hAnsi="Segoe UI" w:cs="Segoe UI"/>
                <w:sz w:val="18"/>
                <w:szCs w:val="18"/>
              </w:rPr>
              <w:t xml:space="preserve">. 36) akin to contributions made to non-state pensions funds, both domestic and foreign (TC, </w:t>
            </w:r>
            <w:r w:rsidR="00B26CC9" w:rsidRPr="007669E1">
              <w:rPr>
                <w:rFonts w:ascii="Segoe UI" w:hAnsi="Segoe UI" w:cs="Segoe UI"/>
                <w:sz w:val="18"/>
                <w:szCs w:val="18"/>
              </w:rPr>
              <w:t>Art</w:t>
            </w:r>
            <w:r w:rsidRPr="007669E1">
              <w:rPr>
                <w:rFonts w:ascii="Segoe UI" w:hAnsi="Segoe UI" w:cs="Segoe UI"/>
                <w:sz w:val="18"/>
                <w:szCs w:val="18"/>
              </w:rPr>
              <w:t>. 66‐67).</w:t>
            </w:r>
          </w:p>
        </w:tc>
      </w:tr>
      <w:tr w:rsidR="00404875" w:rsidRPr="007669E1" w14:paraId="1E759854" w14:textId="77777777" w:rsidTr="00280E00">
        <w:tc>
          <w:tcPr>
            <w:tcW w:w="2425" w:type="dxa"/>
          </w:tcPr>
          <w:p w14:paraId="67CB5C8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7FA956D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404875" w:rsidRPr="007669E1" w14:paraId="319FE917" w14:textId="77777777" w:rsidTr="00280E00">
        <w:tc>
          <w:tcPr>
            <w:tcW w:w="2425" w:type="dxa"/>
          </w:tcPr>
          <w:p w14:paraId="20618BB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593A6E2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 payers receiving public pension payouts</w:t>
            </w:r>
          </w:p>
        </w:tc>
      </w:tr>
      <w:tr w:rsidR="00404875" w:rsidRPr="007669E1" w14:paraId="0FA9CEFE" w14:textId="77777777" w:rsidTr="00280E00">
        <w:tc>
          <w:tcPr>
            <w:tcW w:w="2425" w:type="dxa"/>
          </w:tcPr>
          <w:p w14:paraId="5EBDEFE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37A9FF0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personal income tax exemption</w:t>
            </w:r>
          </w:p>
        </w:tc>
      </w:tr>
      <w:tr w:rsidR="00404875" w:rsidRPr="007669E1" w14:paraId="638686E2" w14:textId="77777777" w:rsidTr="00280E00">
        <w:tc>
          <w:tcPr>
            <w:tcW w:w="2425" w:type="dxa"/>
          </w:tcPr>
          <w:p w14:paraId="0076AE2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6403093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i/>
                <w:sz w:val="18"/>
                <w:szCs w:val="18"/>
              </w:rPr>
              <w:t xml:space="preserve">State social security budget. </w:t>
            </w:r>
            <w:r w:rsidRPr="007669E1">
              <w:rPr>
                <w:rFonts w:ascii="Segoe UI" w:hAnsi="Segoe UI" w:cs="Segoe UI"/>
                <w:sz w:val="18"/>
                <w:szCs w:val="18"/>
              </w:rPr>
              <w:t>Pension received by a former employee from the state social security budget is tax exempt. Pension contributions made to the state social security budget are fully deductible. It is a structural tax exemption, benefiting the subgroup of recipients of state pensions.</w:t>
            </w:r>
          </w:p>
        </w:tc>
      </w:tr>
      <w:tr w:rsidR="00404875" w:rsidRPr="007669E1" w14:paraId="794DAB93" w14:textId="77777777" w:rsidTr="00280E00">
        <w:tc>
          <w:tcPr>
            <w:tcW w:w="2425" w:type="dxa"/>
          </w:tcPr>
          <w:p w14:paraId="3AF17EF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5DA0B50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(TC), Art 20(a)</w:t>
            </w:r>
          </w:p>
        </w:tc>
      </w:tr>
      <w:tr w:rsidR="00404875" w:rsidRPr="007669E1" w14:paraId="040E5428" w14:textId="77777777" w:rsidTr="00D75D26">
        <w:trPr>
          <w:trHeight w:val="182"/>
        </w:trPr>
        <w:tc>
          <w:tcPr>
            <w:tcW w:w="2425" w:type="dxa"/>
            <w:vMerge w:val="restart"/>
          </w:tcPr>
          <w:p w14:paraId="33BC2508" w14:textId="4AFE9FC8" w:rsidR="00DD4DEB" w:rsidRPr="007669E1" w:rsidRDefault="00DD4DEB"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25F35B9D" w14:textId="77777777" w:rsidR="00DD4DEB" w:rsidRPr="007669E1" w:rsidRDefault="00DD4DEB" w:rsidP="00E90BA7">
            <w:pPr>
              <w:spacing w:before="20" w:after="20" w:line="240" w:lineRule="auto"/>
              <w:jc w:val="both"/>
              <w:rPr>
                <w:rFonts w:ascii="Segoe UI" w:hAnsi="Segoe UI" w:cs="Segoe UI"/>
                <w:sz w:val="18"/>
                <w:szCs w:val="18"/>
              </w:rPr>
            </w:pPr>
          </w:p>
        </w:tc>
      </w:tr>
      <w:tr w:rsidR="00404875" w:rsidRPr="007669E1" w14:paraId="16A97E0C" w14:textId="77777777" w:rsidTr="00280E00">
        <w:trPr>
          <w:trHeight w:val="182"/>
        </w:trPr>
        <w:tc>
          <w:tcPr>
            <w:tcW w:w="2425" w:type="dxa"/>
            <w:vMerge/>
          </w:tcPr>
          <w:p w14:paraId="34BF25E6"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241DB83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2006</w:t>
            </w:r>
          </w:p>
        </w:tc>
        <w:tc>
          <w:tcPr>
            <w:tcW w:w="3738" w:type="dxa"/>
            <w:gridSpan w:val="3"/>
          </w:tcPr>
          <w:p w14:paraId="23307FF4" w14:textId="1F2B9565"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404875" w:rsidRPr="007669E1" w14:paraId="76FD8D4E" w14:textId="77777777" w:rsidTr="00280E00">
        <w:tc>
          <w:tcPr>
            <w:tcW w:w="2425" w:type="dxa"/>
          </w:tcPr>
          <w:p w14:paraId="7F5553F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07843BF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Public institutions paying out transfers</w:t>
            </w:r>
          </w:p>
        </w:tc>
      </w:tr>
      <w:tr w:rsidR="00404875" w:rsidRPr="007669E1" w14:paraId="22DC3976" w14:textId="77777777" w:rsidTr="00280E00">
        <w:tc>
          <w:tcPr>
            <w:tcW w:w="2425" w:type="dxa"/>
          </w:tcPr>
          <w:p w14:paraId="7822DEF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6CD0D73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404875" w:rsidRPr="007669E1" w14:paraId="41DC956D" w14:textId="77777777" w:rsidTr="00280E00">
        <w:tc>
          <w:tcPr>
            <w:tcW w:w="2425" w:type="dxa"/>
          </w:tcPr>
          <w:p w14:paraId="7595226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7556C97F" w14:textId="13F8EDF3"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Total number of beneficiaries – 672</w:t>
            </w:r>
            <w:r w:rsidR="00AA3A4F" w:rsidRPr="007669E1">
              <w:rPr>
                <w:rFonts w:ascii="Segoe UI" w:hAnsi="Segoe UI" w:cs="Segoe UI"/>
                <w:sz w:val="18"/>
                <w:szCs w:val="18"/>
              </w:rPr>
              <w:t>,</w:t>
            </w:r>
            <w:r w:rsidRPr="007669E1">
              <w:rPr>
                <w:rFonts w:ascii="Segoe UI" w:hAnsi="Segoe UI" w:cs="Segoe UI"/>
                <w:sz w:val="18"/>
                <w:szCs w:val="18"/>
              </w:rPr>
              <w:t>122 beneficiaries</w:t>
            </w:r>
          </w:p>
          <w:p w14:paraId="1D7D10F0" w14:textId="4FCD3A33"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Total number of beneficiaries that </w:t>
            </w:r>
            <w:r w:rsidR="009255E2" w:rsidRPr="007669E1">
              <w:rPr>
                <w:rFonts w:ascii="Segoe UI" w:hAnsi="Segoe UI" w:cs="Segoe UI"/>
                <w:sz w:val="18"/>
                <w:szCs w:val="18"/>
              </w:rPr>
              <w:t xml:space="preserve">are </w:t>
            </w:r>
            <w:r w:rsidRPr="007669E1">
              <w:rPr>
                <w:rFonts w:ascii="Segoe UI" w:hAnsi="Segoe UI" w:cs="Segoe UI"/>
                <w:sz w:val="18"/>
                <w:szCs w:val="18"/>
              </w:rPr>
              <w:t>still working – 174</w:t>
            </w:r>
            <w:r w:rsidR="00AA3A4F" w:rsidRPr="007669E1">
              <w:rPr>
                <w:rFonts w:ascii="Segoe UI" w:hAnsi="Segoe UI" w:cs="Segoe UI"/>
                <w:sz w:val="18"/>
                <w:szCs w:val="18"/>
              </w:rPr>
              <w:t>,</w:t>
            </w:r>
            <w:r w:rsidRPr="007669E1">
              <w:rPr>
                <w:rFonts w:ascii="Segoe UI" w:hAnsi="Segoe UI" w:cs="Segoe UI"/>
                <w:sz w:val="18"/>
                <w:szCs w:val="18"/>
              </w:rPr>
              <w:t>757 beneficiaries</w:t>
            </w:r>
          </w:p>
          <w:p w14:paraId="61FF8E25" w14:textId="6F070E60"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Beneficiaries that received pension less than </w:t>
            </w:r>
            <w:r w:rsidR="00AC458A" w:rsidRPr="007669E1">
              <w:rPr>
                <w:rFonts w:ascii="Segoe UI" w:hAnsi="Segoe UI" w:cs="Segoe UI"/>
                <w:sz w:val="18"/>
                <w:szCs w:val="18"/>
              </w:rPr>
              <w:t>MDL</w:t>
            </w:r>
            <w:r w:rsidR="00D51E9B" w:rsidRPr="007669E1">
              <w:rPr>
                <w:rFonts w:ascii="Segoe UI" w:hAnsi="Segoe UI" w:cs="Segoe UI"/>
                <w:sz w:val="18"/>
                <w:szCs w:val="18"/>
              </w:rPr>
              <w:t xml:space="preserve"> </w:t>
            </w:r>
            <w:r w:rsidRPr="007669E1">
              <w:rPr>
                <w:rFonts w:ascii="Segoe UI" w:hAnsi="Segoe UI" w:cs="Segoe UI"/>
                <w:sz w:val="18"/>
                <w:szCs w:val="18"/>
              </w:rPr>
              <w:t>2</w:t>
            </w:r>
            <w:r w:rsidR="00AA3A4F" w:rsidRPr="007669E1">
              <w:rPr>
                <w:rFonts w:ascii="Segoe UI" w:hAnsi="Segoe UI" w:cs="Segoe UI"/>
                <w:sz w:val="18"/>
                <w:szCs w:val="18"/>
              </w:rPr>
              <w:t>,</w:t>
            </w:r>
            <w:r w:rsidRPr="007669E1">
              <w:rPr>
                <w:rFonts w:ascii="Segoe UI" w:hAnsi="Segoe UI" w:cs="Segoe UI"/>
                <w:sz w:val="18"/>
                <w:szCs w:val="18"/>
              </w:rPr>
              <w:t>000 – 610</w:t>
            </w:r>
            <w:r w:rsidR="00AA3A4F" w:rsidRPr="007669E1">
              <w:rPr>
                <w:rFonts w:ascii="Segoe UI" w:hAnsi="Segoe UI" w:cs="Segoe UI"/>
                <w:sz w:val="18"/>
                <w:szCs w:val="18"/>
              </w:rPr>
              <w:t>,</w:t>
            </w:r>
            <w:r w:rsidRPr="007669E1">
              <w:rPr>
                <w:rFonts w:ascii="Segoe UI" w:hAnsi="Segoe UI" w:cs="Segoe UI"/>
                <w:sz w:val="18"/>
                <w:szCs w:val="18"/>
              </w:rPr>
              <w:t>191 beneficiaries</w:t>
            </w:r>
          </w:p>
          <w:p w14:paraId="23FCFBCF" w14:textId="596C5C63"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Beneficiaries that received pension less than </w:t>
            </w:r>
            <w:r w:rsidR="00D51E9B" w:rsidRPr="007669E1">
              <w:rPr>
                <w:rFonts w:ascii="Segoe UI" w:hAnsi="Segoe UI" w:cs="Segoe UI"/>
                <w:sz w:val="18"/>
                <w:szCs w:val="18"/>
              </w:rPr>
              <w:t>M</w:t>
            </w:r>
            <w:r w:rsidR="00AC458A" w:rsidRPr="007669E1">
              <w:rPr>
                <w:rFonts w:ascii="Segoe UI" w:hAnsi="Segoe UI" w:cs="Segoe UI"/>
                <w:sz w:val="18"/>
                <w:szCs w:val="18"/>
              </w:rPr>
              <w:t>DL</w:t>
            </w:r>
            <w:r w:rsidR="00D51E9B" w:rsidRPr="007669E1">
              <w:rPr>
                <w:rFonts w:ascii="Segoe UI" w:hAnsi="Segoe UI" w:cs="Segoe UI"/>
                <w:sz w:val="18"/>
                <w:szCs w:val="18"/>
              </w:rPr>
              <w:t xml:space="preserve"> </w:t>
            </w:r>
            <w:r w:rsidRPr="007669E1">
              <w:rPr>
                <w:rFonts w:ascii="Segoe UI" w:hAnsi="Segoe UI" w:cs="Segoe UI"/>
                <w:sz w:val="18"/>
                <w:szCs w:val="18"/>
              </w:rPr>
              <w:t>2</w:t>
            </w:r>
            <w:r w:rsidR="00AA3A4F" w:rsidRPr="007669E1">
              <w:rPr>
                <w:rFonts w:ascii="Segoe UI" w:hAnsi="Segoe UI" w:cs="Segoe UI"/>
                <w:sz w:val="18"/>
                <w:szCs w:val="18"/>
              </w:rPr>
              <w:t>,</w:t>
            </w:r>
            <w:r w:rsidRPr="007669E1">
              <w:rPr>
                <w:rFonts w:ascii="Segoe UI" w:hAnsi="Segoe UI" w:cs="Segoe UI"/>
                <w:sz w:val="18"/>
                <w:szCs w:val="18"/>
              </w:rPr>
              <w:t xml:space="preserve">000 but </w:t>
            </w:r>
            <w:r w:rsidR="009255E2" w:rsidRPr="007669E1">
              <w:rPr>
                <w:rFonts w:ascii="Segoe UI" w:hAnsi="Segoe UI" w:cs="Segoe UI"/>
                <w:sz w:val="18"/>
                <w:szCs w:val="18"/>
              </w:rPr>
              <w:t xml:space="preserve">are </w:t>
            </w:r>
            <w:r w:rsidRPr="007669E1">
              <w:rPr>
                <w:rFonts w:ascii="Segoe UI" w:hAnsi="Segoe UI" w:cs="Segoe UI"/>
                <w:sz w:val="18"/>
                <w:szCs w:val="18"/>
              </w:rPr>
              <w:t>still working – 158</w:t>
            </w:r>
            <w:r w:rsidR="00AA3A4F" w:rsidRPr="007669E1">
              <w:rPr>
                <w:rFonts w:ascii="Segoe UI" w:hAnsi="Segoe UI" w:cs="Segoe UI"/>
                <w:sz w:val="18"/>
                <w:szCs w:val="18"/>
              </w:rPr>
              <w:t>,</w:t>
            </w:r>
            <w:r w:rsidRPr="007669E1">
              <w:rPr>
                <w:rFonts w:ascii="Segoe UI" w:hAnsi="Segoe UI" w:cs="Segoe UI"/>
                <w:sz w:val="18"/>
                <w:szCs w:val="18"/>
              </w:rPr>
              <w:t>654 beneficiaries</w:t>
            </w:r>
          </w:p>
          <w:p w14:paraId="3B54E9EC" w14:textId="65E7159D"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Beneficiaries that received pension more than </w:t>
            </w:r>
            <w:r w:rsidR="00D51E9B" w:rsidRPr="007669E1">
              <w:rPr>
                <w:rFonts w:ascii="Segoe UI" w:hAnsi="Segoe UI" w:cs="Segoe UI"/>
                <w:sz w:val="18"/>
                <w:szCs w:val="18"/>
              </w:rPr>
              <w:t>M</w:t>
            </w:r>
            <w:r w:rsidR="00AC458A" w:rsidRPr="007669E1">
              <w:rPr>
                <w:rFonts w:ascii="Segoe UI" w:hAnsi="Segoe UI" w:cs="Segoe UI"/>
                <w:sz w:val="18"/>
                <w:szCs w:val="18"/>
              </w:rPr>
              <w:t>DL</w:t>
            </w:r>
            <w:r w:rsidR="00D51E9B" w:rsidRPr="007669E1">
              <w:rPr>
                <w:rFonts w:ascii="Segoe UI" w:hAnsi="Segoe UI" w:cs="Segoe UI"/>
                <w:sz w:val="18"/>
                <w:szCs w:val="18"/>
              </w:rPr>
              <w:t xml:space="preserve"> </w:t>
            </w:r>
            <w:r w:rsidRPr="007669E1">
              <w:rPr>
                <w:rFonts w:ascii="Segoe UI" w:hAnsi="Segoe UI" w:cs="Segoe UI"/>
                <w:sz w:val="18"/>
                <w:szCs w:val="18"/>
              </w:rPr>
              <w:t>2 000 – 61 931 beneficiaries</w:t>
            </w:r>
          </w:p>
          <w:p w14:paraId="439EE5A4" w14:textId="7B997CAD"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Beneficiaries that received pension more than </w:t>
            </w:r>
            <w:r w:rsidR="00D51E9B" w:rsidRPr="007669E1">
              <w:rPr>
                <w:rFonts w:ascii="Segoe UI" w:hAnsi="Segoe UI" w:cs="Segoe UI"/>
                <w:sz w:val="18"/>
                <w:szCs w:val="18"/>
              </w:rPr>
              <w:t>M</w:t>
            </w:r>
            <w:r w:rsidR="00AC458A" w:rsidRPr="007669E1">
              <w:rPr>
                <w:rFonts w:ascii="Segoe UI" w:hAnsi="Segoe UI" w:cs="Segoe UI"/>
                <w:sz w:val="18"/>
                <w:szCs w:val="18"/>
              </w:rPr>
              <w:t>DL</w:t>
            </w:r>
            <w:r w:rsidR="00D51E9B" w:rsidRPr="007669E1">
              <w:rPr>
                <w:rFonts w:ascii="Segoe UI" w:hAnsi="Segoe UI" w:cs="Segoe UI"/>
                <w:sz w:val="18"/>
                <w:szCs w:val="18"/>
              </w:rPr>
              <w:t xml:space="preserve"> </w:t>
            </w:r>
            <w:r w:rsidRPr="007669E1">
              <w:rPr>
                <w:rFonts w:ascii="Segoe UI" w:hAnsi="Segoe UI" w:cs="Segoe UI"/>
                <w:sz w:val="18"/>
                <w:szCs w:val="18"/>
              </w:rPr>
              <w:t xml:space="preserve">2 000 but </w:t>
            </w:r>
            <w:r w:rsidR="009255E2" w:rsidRPr="007669E1">
              <w:rPr>
                <w:rFonts w:ascii="Segoe UI" w:hAnsi="Segoe UI" w:cs="Segoe UI"/>
                <w:sz w:val="18"/>
                <w:szCs w:val="18"/>
              </w:rPr>
              <w:t xml:space="preserve">are </w:t>
            </w:r>
            <w:r w:rsidRPr="007669E1">
              <w:rPr>
                <w:rFonts w:ascii="Segoe UI" w:hAnsi="Segoe UI" w:cs="Segoe UI"/>
                <w:sz w:val="18"/>
                <w:szCs w:val="18"/>
              </w:rPr>
              <w:t>still working – 16 103 beneficiaries</w:t>
            </w:r>
          </w:p>
        </w:tc>
      </w:tr>
      <w:tr w:rsidR="00404875" w:rsidRPr="007669E1" w14:paraId="05AB535D" w14:textId="77777777" w:rsidTr="00280E00">
        <w:tc>
          <w:tcPr>
            <w:tcW w:w="2425" w:type="dxa"/>
          </w:tcPr>
          <w:p w14:paraId="465D501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04D54B03" w14:textId="0EB2469A" w:rsidR="00280E00" w:rsidRPr="007669E1" w:rsidRDefault="0F6DDAC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404875" w:rsidRPr="007669E1" w14:paraId="76F8FCDB" w14:textId="77777777" w:rsidTr="00280E00">
        <w:trPr>
          <w:trHeight w:val="91"/>
        </w:trPr>
        <w:tc>
          <w:tcPr>
            <w:tcW w:w="2425" w:type="dxa"/>
            <w:vMerge w:val="restart"/>
          </w:tcPr>
          <w:p w14:paraId="18A9BCC7" w14:textId="77777777" w:rsidR="00280E00" w:rsidRPr="007669E1" w:rsidRDefault="00280E00" w:rsidP="00E90BA7">
            <w:pPr>
              <w:spacing w:before="20" w:after="20" w:line="240" w:lineRule="auto"/>
              <w:jc w:val="both"/>
              <w:rPr>
                <w:rFonts w:ascii="Segoe UI" w:hAnsi="Segoe UI" w:cs="Segoe UI"/>
                <w:b/>
                <w:bCs/>
                <w:sz w:val="18"/>
                <w:szCs w:val="18"/>
              </w:rPr>
            </w:pPr>
          </w:p>
        </w:tc>
        <w:tc>
          <w:tcPr>
            <w:tcW w:w="1385" w:type="dxa"/>
          </w:tcPr>
          <w:p w14:paraId="42BBD54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3AF25E2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7F13226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1C1BF5F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77B85DF2" w14:textId="6835BD7A"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C943A7" w:rsidRPr="007669E1" w14:paraId="50C6B1C1" w14:textId="77777777" w:rsidTr="5FD6C00D">
        <w:trPr>
          <w:trHeight w:val="305"/>
        </w:trPr>
        <w:tc>
          <w:tcPr>
            <w:tcW w:w="2425" w:type="dxa"/>
            <w:vMerge/>
          </w:tcPr>
          <w:p w14:paraId="490945C9" w14:textId="77777777" w:rsidR="003A3FFD" w:rsidRPr="007669E1" w:rsidRDefault="003A3FFD" w:rsidP="00E90BA7">
            <w:pPr>
              <w:spacing w:before="20" w:after="20" w:line="240" w:lineRule="auto"/>
              <w:jc w:val="both"/>
              <w:rPr>
                <w:rFonts w:ascii="Segoe UI" w:hAnsi="Segoe UI" w:cs="Segoe UI"/>
                <w:sz w:val="18"/>
                <w:szCs w:val="18"/>
              </w:rPr>
            </w:pPr>
          </w:p>
        </w:tc>
        <w:tc>
          <w:tcPr>
            <w:tcW w:w="1385" w:type="dxa"/>
          </w:tcPr>
          <w:p w14:paraId="03C6FCFA" w14:textId="10585532" w:rsidR="003A3FFD" w:rsidRPr="007669E1" w:rsidRDefault="0095063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9C7B25" w:rsidRPr="007669E1">
              <w:rPr>
                <w:rFonts w:ascii="Segoe UI" w:hAnsi="Segoe UI" w:cs="Segoe UI"/>
                <w:sz w:val="18"/>
                <w:szCs w:val="18"/>
              </w:rPr>
              <w:t>.</w:t>
            </w:r>
          </w:p>
        </w:tc>
        <w:tc>
          <w:tcPr>
            <w:tcW w:w="1385" w:type="dxa"/>
          </w:tcPr>
          <w:p w14:paraId="21D26A06" w14:textId="42049B25" w:rsidR="003A3FFD" w:rsidRPr="007669E1" w:rsidRDefault="003A3FFD" w:rsidP="00E90BA7">
            <w:pPr>
              <w:spacing w:before="20" w:after="20" w:line="240" w:lineRule="auto"/>
              <w:jc w:val="both"/>
              <w:rPr>
                <w:rFonts w:ascii="Segoe UI" w:hAnsi="Segoe UI" w:cs="Segoe UI"/>
                <w:sz w:val="18"/>
                <w:szCs w:val="18"/>
              </w:rPr>
            </w:pPr>
            <w:r w:rsidRPr="007669E1">
              <w:rPr>
                <w:rFonts w:ascii="Segoe UI" w:hAnsi="Segoe UI" w:cs="Segoe UI"/>
                <w:color w:val="000000" w:themeColor="text1"/>
                <w:sz w:val="18"/>
                <w:szCs w:val="18"/>
              </w:rPr>
              <w:t>397</w:t>
            </w:r>
            <w:r w:rsidR="265047FB" w:rsidRPr="007669E1">
              <w:rPr>
                <w:rFonts w:ascii="Segoe UI" w:hAnsi="Segoe UI" w:cs="Segoe UI"/>
                <w:color w:val="000000" w:themeColor="text1"/>
                <w:sz w:val="18"/>
                <w:szCs w:val="18"/>
              </w:rPr>
              <w:t>,</w:t>
            </w:r>
            <w:r w:rsidR="77E5D5FA" w:rsidRPr="007669E1">
              <w:rPr>
                <w:rFonts w:ascii="Segoe UI" w:hAnsi="Segoe UI" w:cs="Segoe UI"/>
                <w:color w:val="000000" w:themeColor="text1"/>
                <w:sz w:val="18"/>
                <w:szCs w:val="18"/>
              </w:rPr>
              <w:t>3</w:t>
            </w:r>
            <w:r w:rsidR="48CAF277" w:rsidRPr="007669E1">
              <w:rPr>
                <w:rFonts w:ascii="Segoe UI" w:hAnsi="Segoe UI" w:cs="Segoe UI"/>
                <w:color w:val="000000" w:themeColor="text1"/>
                <w:sz w:val="18"/>
                <w:szCs w:val="18"/>
              </w:rPr>
              <w:t>00.0</w:t>
            </w:r>
          </w:p>
        </w:tc>
        <w:tc>
          <w:tcPr>
            <w:tcW w:w="1385" w:type="dxa"/>
            <w:gridSpan w:val="2"/>
            <w:shd w:val="clear" w:color="auto" w:fill="E6E6E6"/>
          </w:tcPr>
          <w:p w14:paraId="203A2BD8" w14:textId="70CA5A92" w:rsidR="003A3FFD" w:rsidRPr="007669E1" w:rsidRDefault="003A3FFD" w:rsidP="00E90BA7">
            <w:pPr>
              <w:spacing w:before="20" w:after="20" w:line="240" w:lineRule="auto"/>
              <w:jc w:val="both"/>
              <w:rPr>
                <w:rFonts w:ascii="Segoe UI" w:hAnsi="Segoe UI" w:cs="Segoe UI"/>
                <w:i/>
                <w:sz w:val="18"/>
                <w:szCs w:val="18"/>
              </w:rPr>
            </w:pPr>
            <w:r w:rsidRPr="007669E1">
              <w:rPr>
                <w:rFonts w:ascii="Segoe UI" w:hAnsi="Segoe UI" w:cs="Segoe UI"/>
                <w:i/>
                <w:color w:val="000000" w:themeColor="text1"/>
                <w:sz w:val="18"/>
                <w:szCs w:val="18"/>
              </w:rPr>
              <w:t>388</w:t>
            </w:r>
            <w:r w:rsidR="0F812561" w:rsidRPr="007669E1">
              <w:rPr>
                <w:rFonts w:ascii="Segoe UI" w:hAnsi="Segoe UI" w:cs="Segoe UI"/>
                <w:i/>
                <w:sz w:val="18"/>
                <w:szCs w:val="18"/>
              </w:rPr>
              <w:t>,</w:t>
            </w:r>
            <w:r w:rsidR="77E5D5FA" w:rsidRPr="007669E1">
              <w:rPr>
                <w:rFonts w:ascii="Segoe UI" w:hAnsi="Segoe UI" w:cs="Segoe UI"/>
                <w:i/>
                <w:sz w:val="18"/>
                <w:szCs w:val="18"/>
              </w:rPr>
              <w:t>0</w:t>
            </w:r>
            <w:r w:rsidR="0F812561" w:rsidRPr="007669E1">
              <w:rPr>
                <w:rFonts w:ascii="Segoe UI" w:hAnsi="Segoe UI" w:cs="Segoe UI"/>
                <w:i/>
                <w:sz w:val="18"/>
                <w:szCs w:val="18"/>
              </w:rPr>
              <w:t>00</w:t>
            </w:r>
            <w:r w:rsidRPr="007669E1">
              <w:rPr>
                <w:rFonts w:ascii="Segoe UI" w:hAnsi="Segoe UI" w:cs="Segoe UI"/>
                <w:i/>
                <w:sz w:val="18"/>
                <w:szCs w:val="18"/>
              </w:rPr>
              <w:t>.0</w:t>
            </w:r>
          </w:p>
        </w:tc>
        <w:tc>
          <w:tcPr>
            <w:tcW w:w="1385" w:type="dxa"/>
            <w:shd w:val="clear" w:color="auto" w:fill="E6E6E6"/>
          </w:tcPr>
          <w:p w14:paraId="72B0B1C4" w14:textId="5F336171" w:rsidR="003A3FFD" w:rsidRPr="007669E1" w:rsidRDefault="00143801"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4</w:t>
            </w:r>
            <w:r w:rsidR="0040251A" w:rsidRPr="007669E1">
              <w:rPr>
                <w:rFonts w:ascii="Segoe UI" w:hAnsi="Segoe UI" w:cs="Segoe UI"/>
                <w:i/>
                <w:sz w:val="18"/>
                <w:szCs w:val="18"/>
              </w:rPr>
              <w:t>39</w:t>
            </w:r>
            <w:r w:rsidR="5D1C7134" w:rsidRPr="007669E1">
              <w:rPr>
                <w:rFonts w:ascii="Segoe UI" w:hAnsi="Segoe UI" w:cs="Segoe UI"/>
                <w:i/>
                <w:sz w:val="18"/>
                <w:szCs w:val="18"/>
              </w:rPr>
              <w:t>,</w:t>
            </w:r>
            <w:r w:rsidR="6B5CF321" w:rsidRPr="007669E1">
              <w:rPr>
                <w:rFonts w:ascii="Segoe UI" w:hAnsi="Segoe UI" w:cs="Segoe UI"/>
                <w:i/>
                <w:sz w:val="18"/>
                <w:szCs w:val="18"/>
              </w:rPr>
              <w:t>1</w:t>
            </w:r>
            <w:r w:rsidR="43DA7335" w:rsidRPr="007669E1">
              <w:rPr>
                <w:rFonts w:ascii="Segoe UI" w:hAnsi="Segoe UI" w:cs="Segoe UI"/>
                <w:i/>
                <w:sz w:val="18"/>
                <w:szCs w:val="18"/>
              </w:rPr>
              <w:t>00.0</w:t>
            </w:r>
          </w:p>
        </w:tc>
        <w:tc>
          <w:tcPr>
            <w:tcW w:w="1660" w:type="dxa"/>
            <w:shd w:val="clear" w:color="auto" w:fill="E6E6E6"/>
          </w:tcPr>
          <w:p w14:paraId="7FA0A429" w14:textId="2B7C1076" w:rsidR="003A3FFD" w:rsidRPr="007669E1" w:rsidRDefault="00AD63BF"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482</w:t>
            </w:r>
            <w:r w:rsidR="013DE2E8" w:rsidRPr="007669E1">
              <w:rPr>
                <w:rFonts w:ascii="Segoe UI" w:hAnsi="Segoe UI" w:cs="Segoe UI"/>
                <w:i/>
                <w:sz w:val="18"/>
                <w:szCs w:val="18"/>
              </w:rPr>
              <w:t>,</w:t>
            </w:r>
            <w:r w:rsidR="27F7FCD2" w:rsidRPr="007669E1">
              <w:rPr>
                <w:rFonts w:ascii="Segoe UI" w:hAnsi="Segoe UI" w:cs="Segoe UI"/>
                <w:i/>
                <w:sz w:val="18"/>
                <w:szCs w:val="18"/>
              </w:rPr>
              <w:t>7</w:t>
            </w:r>
            <w:r w:rsidR="013DE2E8" w:rsidRPr="007669E1">
              <w:rPr>
                <w:rFonts w:ascii="Segoe UI" w:hAnsi="Segoe UI" w:cs="Segoe UI"/>
                <w:i/>
                <w:sz w:val="18"/>
                <w:szCs w:val="18"/>
              </w:rPr>
              <w:t>00.0</w:t>
            </w:r>
          </w:p>
        </w:tc>
      </w:tr>
    </w:tbl>
    <w:p w14:paraId="5838AD16" w14:textId="0FBBB95C" w:rsidR="00280E00" w:rsidRPr="007669E1" w:rsidRDefault="00275B7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Note: </w:t>
      </w:r>
      <w:r w:rsidR="00627388" w:rsidRPr="007669E1">
        <w:rPr>
          <w:rFonts w:ascii="Segoe UI" w:hAnsi="Segoe UI" w:cs="Segoe UI"/>
          <w:sz w:val="18"/>
          <w:szCs w:val="18"/>
        </w:rPr>
        <w:t>Estimate</w:t>
      </w:r>
      <w:r w:rsidR="00FE31D0" w:rsidRPr="007669E1">
        <w:rPr>
          <w:rFonts w:ascii="Segoe UI" w:hAnsi="Segoe UI" w:cs="Segoe UI"/>
          <w:sz w:val="18"/>
          <w:szCs w:val="18"/>
        </w:rPr>
        <w:t>s</w:t>
      </w:r>
      <w:r w:rsidR="00627388" w:rsidRPr="007669E1">
        <w:rPr>
          <w:rFonts w:ascii="Segoe UI" w:hAnsi="Segoe UI" w:cs="Segoe UI"/>
          <w:sz w:val="18"/>
          <w:szCs w:val="18"/>
        </w:rPr>
        <w:t xml:space="preserve"> for 201</w:t>
      </w:r>
      <w:r w:rsidR="009F5E26" w:rsidRPr="007669E1">
        <w:rPr>
          <w:rFonts w:ascii="Segoe UI" w:hAnsi="Segoe UI" w:cs="Segoe UI"/>
          <w:sz w:val="18"/>
          <w:szCs w:val="18"/>
        </w:rPr>
        <w:t xml:space="preserve">9 </w:t>
      </w:r>
      <w:r w:rsidR="00627388" w:rsidRPr="007669E1">
        <w:rPr>
          <w:rFonts w:ascii="Segoe UI" w:hAnsi="Segoe UI" w:cs="Segoe UI"/>
          <w:sz w:val="18"/>
          <w:szCs w:val="18"/>
        </w:rPr>
        <w:t>are</w:t>
      </w:r>
      <w:r w:rsidR="009F5E26" w:rsidRPr="007669E1">
        <w:rPr>
          <w:rFonts w:ascii="Segoe UI" w:hAnsi="Segoe UI" w:cs="Segoe UI"/>
          <w:sz w:val="18"/>
          <w:szCs w:val="18"/>
        </w:rPr>
        <w:t xml:space="preserve"> based on actual data, and </w:t>
      </w:r>
      <w:r w:rsidR="007A6F6F" w:rsidRPr="007669E1">
        <w:rPr>
          <w:rFonts w:ascii="Segoe UI" w:hAnsi="Segoe UI" w:cs="Segoe UI"/>
          <w:sz w:val="18"/>
          <w:szCs w:val="18"/>
        </w:rPr>
        <w:t xml:space="preserve">2020-2022 are </w:t>
      </w:r>
      <w:r w:rsidR="000938FC" w:rsidRPr="007669E1">
        <w:rPr>
          <w:rFonts w:ascii="Segoe UI" w:hAnsi="Segoe UI" w:cs="Segoe UI"/>
          <w:sz w:val="18"/>
          <w:szCs w:val="18"/>
        </w:rPr>
        <w:t>p</w:t>
      </w:r>
      <w:r w:rsidR="008C00FD" w:rsidRPr="007669E1">
        <w:rPr>
          <w:rFonts w:ascii="Segoe UI" w:hAnsi="Segoe UI" w:cs="Segoe UI"/>
          <w:sz w:val="18"/>
          <w:szCs w:val="18"/>
        </w:rPr>
        <w:t>rojections</w:t>
      </w:r>
      <w:r w:rsidR="00AA72B9" w:rsidRPr="007669E1">
        <w:rPr>
          <w:rFonts w:ascii="Segoe UI" w:hAnsi="Segoe UI" w:cs="Segoe UI"/>
          <w:sz w:val="18"/>
          <w:szCs w:val="18"/>
        </w:rPr>
        <w:t xml:space="preserve"> based on 2019</w:t>
      </w:r>
      <w:r w:rsidR="00FE31D0" w:rsidRPr="007669E1">
        <w:rPr>
          <w:rFonts w:ascii="Segoe UI" w:hAnsi="Segoe UI" w:cs="Segoe UI"/>
          <w:sz w:val="18"/>
          <w:szCs w:val="18"/>
        </w:rPr>
        <w:t xml:space="preserve"> data</w:t>
      </w:r>
      <w:r w:rsidR="00AA72B9" w:rsidRPr="007669E1">
        <w:rPr>
          <w:rFonts w:ascii="Segoe UI" w:hAnsi="Segoe UI" w:cs="Segoe UI"/>
          <w:sz w:val="18"/>
          <w:szCs w:val="18"/>
        </w:rPr>
        <w:t>.</w:t>
      </w:r>
    </w:p>
    <w:p w14:paraId="0FEFAB68" w14:textId="77777777" w:rsidR="00F97365" w:rsidRPr="007669E1" w:rsidRDefault="00F97365"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53192D17" w14:textId="77777777" w:rsidTr="000E3464">
        <w:tc>
          <w:tcPr>
            <w:tcW w:w="9625" w:type="dxa"/>
            <w:gridSpan w:val="7"/>
            <w:shd w:val="clear" w:color="auto" w:fill="D9D9D9" w:themeFill="background1" w:themeFillShade="D9"/>
          </w:tcPr>
          <w:p w14:paraId="3F62F9E2" w14:textId="29606248"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 Tax exemption of state security payments and state subsidies</w:t>
            </w:r>
          </w:p>
        </w:tc>
      </w:tr>
      <w:tr w:rsidR="00404875" w:rsidRPr="007669E1" w14:paraId="54D8A530" w14:textId="77777777" w:rsidTr="000E3464">
        <w:tc>
          <w:tcPr>
            <w:tcW w:w="2425" w:type="dxa"/>
          </w:tcPr>
          <w:p w14:paraId="07E3AAF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7E0304B6" w14:textId="6D82845E"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Exempting from income tax are transfer payments to compensate for incapacity to work, and for</w:t>
            </w:r>
            <w:r w:rsidR="00E81091" w:rsidRPr="007669E1">
              <w:rPr>
                <w:rFonts w:ascii="Segoe UI" w:hAnsi="Segoe UI" w:cs="Segoe UI"/>
                <w:sz w:val="18"/>
                <w:szCs w:val="18"/>
              </w:rPr>
              <w:t xml:space="preserve"> </w:t>
            </w:r>
            <w:r w:rsidRPr="007669E1">
              <w:rPr>
                <w:rFonts w:ascii="Segoe UI" w:hAnsi="Segoe UI" w:cs="Segoe UI"/>
                <w:sz w:val="18"/>
                <w:szCs w:val="18"/>
              </w:rPr>
              <w:t>being insufficiently insured and socially vulnerable. As a rule, annuities, except social security benefits, and state subsidies are regarded as taxable income for PIT purposes.</w:t>
            </w:r>
          </w:p>
        </w:tc>
      </w:tr>
      <w:tr w:rsidR="00404875" w:rsidRPr="007669E1" w14:paraId="05C4FFEB" w14:textId="77777777" w:rsidTr="000E3464">
        <w:tc>
          <w:tcPr>
            <w:tcW w:w="2425" w:type="dxa"/>
          </w:tcPr>
          <w:p w14:paraId="1646120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192D9BF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404875" w:rsidRPr="007669E1" w14:paraId="648471AD" w14:textId="77777777" w:rsidTr="000E3464">
        <w:tc>
          <w:tcPr>
            <w:tcW w:w="2425" w:type="dxa"/>
          </w:tcPr>
          <w:p w14:paraId="719A7BC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4E8BCEAC" w14:textId="018F3A90"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 payers receiving compensation for being work-incapacitated or being insufficiently insured, and being socially vulnerable</w:t>
            </w:r>
            <w:r w:rsidR="0052766A" w:rsidRPr="007669E1">
              <w:rPr>
                <w:rFonts w:ascii="Segoe UI" w:hAnsi="Segoe UI" w:cs="Segoe UI"/>
                <w:sz w:val="18"/>
                <w:szCs w:val="18"/>
              </w:rPr>
              <w:t>.</w:t>
            </w:r>
          </w:p>
        </w:tc>
      </w:tr>
      <w:tr w:rsidR="00404875" w:rsidRPr="007669E1" w14:paraId="6721F6A6" w14:textId="77777777" w:rsidTr="000E3464">
        <w:tc>
          <w:tcPr>
            <w:tcW w:w="2425" w:type="dxa"/>
          </w:tcPr>
          <w:p w14:paraId="4809E7D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3F1015D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income tax exemption</w:t>
            </w:r>
          </w:p>
        </w:tc>
      </w:tr>
      <w:tr w:rsidR="00404875" w:rsidRPr="007669E1" w14:paraId="6AFE7CC6" w14:textId="77777777" w:rsidTr="000E3464">
        <w:tc>
          <w:tcPr>
            <w:tcW w:w="2425" w:type="dxa"/>
          </w:tcPr>
          <w:p w14:paraId="1D00249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Reason why this Measure is not part of the Benchmark Tax System</w:t>
            </w:r>
          </w:p>
        </w:tc>
        <w:tc>
          <w:tcPr>
            <w:tcW w:w="7200" w:type="dxa"/>
            <w:gridSpan w:val="6"/>
          </w:tcPr>
          <w:p w14:paraId="29883FA6" w14:textId="77777777"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It is a structural exemption or tax expenditure, benefiting the subgroup of recipients of compensations for being unable to work or being insufficiently insured and therefore being socially vulnerable.</w:t>
            </w:r>
          </w:p>
        </w:tc>
      </w:tr>
      <w:tr w:rsidR="00404875" w:rsidRPr="007669E1" w14:paraId="08A89D79" w14:textId="77777777" w:rsidTr="000E3464">
        <w:tc>
          <w:tcPr>
            <w:tcW w:w="2425" w:type="dxa"/>
          </w:tcPr>
          <w:p w14:paraId="40059DF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328A8F4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20 b), c) and h)</w:t>
            </w:r>
          </w:p>
        </w:tc>
      </w:tr>
      <w:tr w:rsidR="00404875" w:rsidRPr="007669E1" w14:paraId="192A338D" w14:textId="77777777" w:rsidTr="000E3464">
        <w:trPr>
          <w:trHeight w:val="182"/>
        </w:trPr>
        <w:tc>
          <w:tcPr>
            <w:tcW w:w="2425" w:type="dxa"/>
            <w:vMerge w:val="restart"/>
          </w:tcPr>
          <w:p w14:paraId="47ADE14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3462" w:type="dxa"/>
            <w:gridSpan w:val="3"/>
          </w:tcPr>
          <w:p w14:paraId="74A85514" w14:textId="77777777" w:rsidR="00280E00" w:rsidRPr="007669E1" w:rsidRDefault="00280E00" w:rsidP="00E90BA7">
            <w:pPr>
              <w:spacing w:before="20" w:after="20" w:line="240" w:lineRule="auto"/>
              <w:jc w:val="both"/>
              <w:rPr>
                <w:rFonts w:ascii="Segoe UI" w:hAnsi="Segoe UI" w:cs="Segoe UI"/>
                <w:sz w:val="18"/>
                <w:szCs w:val="18"/>
              </w:rPr>
            </w:pPr>
          </w:p>
        </w:tc>
        <w:tc>
          <w:tcPr>
            <w:tcW w:w="3738" w:type="dxa"/>
            <w:gridSpan w:val="3"/>
          </w:tcPr>
          <w:p w14:paraId="78D4DCDE" w14:textId="77777777" w:rsidR="00280E00" w:rsidRPr="007669E1" w:rsidRDefault="00280E00" w:rsidP="00E90BA7">
            <w:pPr>
              <w:spacing w:before="20" w:after="20" w:line="240" w:lineRule="auto"/>
              <w:jc w:val="both"/>
              <w:rPr>
                <w:rFonts w:ascii="Segoe UI" w:hAnsi="Segoe UI" w:cs="Segoe UI"/>
                <w:sz w:val="18"/>
                <w:szCs w:val="18"/>
              </w:rPr>
            </w:pPr>
          </w:p>
        </w:tc>
      </w:tr>
      <w:tr w:rsidR="00404875" w:rsidRPr="007669E1" w14:paraId="57A7326F" w14:textId="77777777" w:rsidTr="000E3464">
        <w:trPr>
          <w:trHeight w:val="182"/>
        </w:trPr>
        <w:tc>
          <w:tcPr>
            <w:tcW w:w="2425" w:type="dxa"/>
            <w:vMerge/>
          </w:tcPr>
          <w:p w14:paraId="0308684A"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74959DF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b) – 2005</w:t>
            </w:r>
          </w:p>
          <w:p w14:paraId="2ADA310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                               c) – 1998</w:t>
            </w:r>
          </w:p>
          <w:p w14:paraId="0F98972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                               h) - 1998</w:t>
            </w:r>
          </w:p>
        </w:tc>
        <w:tc>
          <w:tcPr>
            <w:tcW w:w="3738" w:type="dxa"/>
            <w:gridSpan w:val="3"/>
          </w:tcPr>
          <w:p w14:paraId="6BEBFF1F" w14:textId="660F0D0B"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404875" w:rsidRPr="007669E1" w14:paraId="2FC5EC34" w14:textId="77777777" w:rsidTr="000E3464">
        <w:tc>
          <w:tcPr>
            <w:tcW w:w="2425" w:type="dxa"/>
          </w:tcPr>
          <w:p w14:paraId="4446B50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679A915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Public institutions paying out transfers</w:t>
            </w:r>
          </w:p>
        </w:tc>
      </w:tr>
      <w:tr w:rsidR="00404875" w:rsidRPr="007669E1" w14:paraId="0E6E615E" w14:textId="77777777" w:rsidTr="000E3464">
        <w:tc>
          <w:tcPr>
            <w:tcW w:w="2425" w:type="dxa"/>
          </w:tcPr>
          <w:p w14:paraId="5703529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3583700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Budgetary statements on social subsidies to socially vulnerable groups</w:t>
            </w:r>
          </w:p>
        </w:tc>
      </w:tr>
      <w:tr w:rsidR="00404875" w:rsidRPr="007669E1" w14:paraId="6DFE2747" w14:textId="77777777" w:rsidTr="000E3464">
        <w:tc>
          <w:tcPr>
            <w:tcW w:w="2425" w:type="dxa"/>
          </w:tcPr>
          <w:p w14:paraId="3B9A00E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1E2283A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 2019 total amount of beneficiaries is - 906 592 beneficiaries</w:t>
            </w:r>
          </w:p>
          <w:p w14:paraId="2D2070CF" w14:textId="53F765F1"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Average amount of compensation is </w:t>
            </w:r>
            <w:r w:rsidR="00D51E9B" w:rsidRPr="007669E1">
              <w:rPr>
                <w:rFonts w:ascii="Segoe UI" w:hAnsi="Segoe UI" w:cs="Segoe UI"/>
                <w:sz w:val="18"/>
                <w:szCs w:val="18"/>
              </w:rPr>
              <w:t>M</w:t>
            </w:r>
            <w:r w:rsidR="00420468" w:rsidRPr="007669E1">
              <w:rPr>
                <w:rFonts w:ascii="Segoe UI" w:hAnsi="Segoe UI" w:cs="Segoe UI"/>
                <w:sz w:val="18"/>
                <w:szCs w:val="18"/>
              </w:rPr>
              <w:t>DL</w:t>
            </w:r>
            <w:r w:rsidR="00D51E9B" w:rsidRPr="007669E1">
              <w:rPr>
                <w:rFonts w:ascii="Segoe UI" w:hAnsi="Segoe UI" w:cs="Segoe UI"/>
                <w:sz w:val="18"/>
                <w:szCs w:val="18"/>
              </w:rPr>
              <w:t xml:space="preserve"> </w:t>
            </w:r>
            <w:r w:rsidRPr="007669E1">
              <w:rPr>
                <w:rFonts w:ascii="Segoe UI" w:hAnsi="Segoe UI" w:cs="Segoe UI"/>
                <w:sz w:val="18"/>
                <w:szCs w:val="18"/>
              </w:rPr>
              <w:t xml:space="preserve">726, total amount of compensation </w:t>
            </w:r>
            <w:r w:rsidR="0072252A" w:rsidRPr="007669E1">
              <w:rPr>
                <w:rFonts w:ascii="Segoe UI" w:hAnsi="Segoe UI" w:cs="Segoe UI"/>
                <w:sz w:val="18"/>
                <w:szCs w:val="18"/>
              </w:rPr>
              <w:t>M</w:t>
            </w:r>
            <w:r w:rsidR="00C37D29" w:rsidRPr="007669E1">
              <w:rPr>
                <w:rFonts w:ascii="Segoe UI" w:hAnsi="Segoe UI" w:cs="Segoe UI"/>
                <w:sz w:val="18"/>
                <w:szCs w:val="18"/>
              </w:rPr>
              <w:t>DL</w:t>
            </w:r>
            <w:r w:rsidR="0072252A" w:rsidRPr="007669E1">
              <w:rPr>
                <w:rFonts w:ascii="Segoe UI" w:hAnsi="Segoe UI" w:cs="Segoe UI"/>
                <w:sz w:val="18"/>
                <w:szCs w:val="18"/>
              </w:rPr>
              <w:t> </w:t>
            </w:r>
            <w:r w:rsidRPr="007669E1">
              <w:rPr>
                <w:rFonts w:ascii="Segoe UI" w:hAnsi="Segoe UI" w:cs="Segoe UI"/>
                <w:sz w:val="18"/>
                <w:szCs w:val="18"/>
              </w:rPr>
              <w:t>7</w:t>
            </w:r>
            <w:r w:rsidR="0072252A" w:rsidRPr="007669E1">
              <w:rPr>
                <w:rFonts w:ascii="Segoe UI" w:hAnsi="Segoe UI" w:cs="Segoe UI"/>
                <w:sz w:val="18"/>
                <w:szCs w:val="18"/>
              </w:rPr>
              <w:t> </w:t>
            </w:r>
            <w:r w:rsidRPr="007669E1">
              <w:rPr>
                <w:rFonts w:ascii="Segoe UI" w:hAnsi="Segoe UI" w:cs="Segoe UI"/>
                <w:sz w:val="18"/>
                <w:szCs w:val="18"/>
              </w:rPr>
              <w:t>904.8M</w:t>
            </w:r>
          </w:p>
          <w:p w14:paraId="50948D50" w14:textId="22CFD530"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Thus, considering that the amounts are small and do not exceed the size of the personal allowance</w:t>
            </w:r>
            <w:r w:rsidR="0052766A" w:rsidRPr="007669E1">
              <w:rPr>
                <w:rFonts w:ascii="Segoe UI" w:hAnsi="Segoe UI" w:cs="Segoe UI"/>
                <w:sz w:val="18"/>
                <w:szCs w:val="18"/>
              </w:rPr>
              <w:t>,</w:t>
            </w:r>
            <w:r w:rsidRPr="007669E1">
              <w:rPr>
                <w:rFonts w:ascii="Segoe UI" w:hAnsi="Segoe UI" w:cs="Segoe UI"/>
                <w:sz w:val="18"/>
                <w:szCs w:val="18"/>
              </w:rPr>
              <w:t xml:space="preserve"> which is a benchmark, respectively it is not an impact on the budget</w:t>
            </w:r>
          </w:p>
        </w:tc>
      </w:tr>
      <w:tr w:rsidR="00404875" w:rsidRPr="007669E1" w14:paraId="6CFC821D" w14:textId="77777777" w:rsidTr="000E3464">
        <w:tc>
          <w:tcPr>
            <w:tcW w:w="2425" w:type="dxa"/>
          </w:tcPr>
          <w:p w14:paraId="4A35BA3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0A36A249" w14:textId="13FFFE65" w:rsidR="00280E00" w:rsidRPr="007669E1" w:rsidRDefault="70BED7D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404875" w:rsidRPr="007669E1" w14:paraId="74CC9DFF" w14:textId="77777777" w:rsidTr="000E3464">
        <w:trPr>
          <w:trHeight w:val="91"/>
        </w:trPr>
        <w:tc>
          <w:tcPr>
            <w:tcW w:w="2425" w:type="dxa"/>
            <w:vMerge w:val="restart"/>
          </w:tcPr>
          <w:p w14:paraId="2E188A32" w14:textId="77777777" w:rsidR="00280E00" w:rsidRPr="007669E1" w:rsidRDefault="00280E00" w:rsidP="00E90BA7">
            <w:pPr>
              <w:spacing w:before="20" w:after="20" w:line="240" w:lineRule="auto"/>
              <w:jc w:val="both"/>
              <w:rPr>
                <w:rFonts w:ascii="Segoe UI" w:hAnsi="Segoe UI" w:cs="Segoe UI"/>
                <w:b/>
                <w:bCs/>
                <w:sz w:val="18"/>
                <w:szCs w:val="18"/>
              </w:rPr>
            </w:pPr>
          </w:p>
        </w:tc>
        <w:tc>
          <w:tcPr>
            <w:tcW w:w="1385" w:type="dxa"/>
          </w:tcPr>
          <w:p w14:paraId="7E7A7D2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3C20049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335D741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233A8E2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186BA604" w14:textId="1BCE9485"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A2051E" w:rsidRPr="007669E1" w14:paraId="7C0FA9D4" w14:textId="77777777" w:rsidTr="7011C1FD">
        <w:trPr>
          <w:trHeight w:val="91"/>
        </w:trPr>
        <w:tc>
          <w:tcPr>
            <w:tcW w:w="2425" w:type="dxa"/>
            <w:vMerge/>
          </w:tcPr>
          <w:p w14:paraId="68D648D4" w14:textId="77777777" w:rsidR="00E15475" w:rsidRPr="007669E1" w:rsidRDefault="00E15475" w:rsidP="00E90BA7">
            <w:pPr>
              <w:spacing w:before="20" w:after="20" w:line="240" w:lineRule="auto"/>
              <w:jc w:val="both"/>
              <w:rPr>
                <w:rFonts w:ascii="Segoe UI" w:hAnsi="Segoe UI" w:cs="Segoe UI"/>
                <w:sz w:val="18"/>
                <w:szCs w:val="18"/>
              </w:rPr>
            </w:pPr>
          </w:p>
        </w:tc>
        <w:tc>
          <w:tcPr>
            <w:tcW w:w="1385" w:type="dxa"/>
          </w:tcPr>
          <w:p w14:paraId="7FB4DD54" w14:textId="5AB5E818" w:rsidR="00E15475" w:rsidRPr="007669E1" w:rsidRDefault="000A7DB8" w:rsidP="00E90BA7">
            <w:pPr>
              <w:spacing w:before="20" w:after="20" w:line="240" w:lineRule="auto"/>
              <w:jc w:val="both"/>
              <w:rPr>
                <w:rFonts w:ascii="Segoe UI" w:hAnsi="Segoe UI" w:cs="Segoe UI"/>
                <w:sz w:val="18"/>
                <w:szCs w:val="18"/>
              </w:rPr>
            </w:pPr>
            <w:r w:rsidRPr="007669E1">
              <w:rPr>
                <w:rFonts w:ascii="Segoe UI" w:hAnsi="Segoe UI" w:cs="Segoe UI"/>
                <w:color w:val="000000" w:themeColor="text1"/>
                <w:sz w:val="18"/>
                <w:szCs w:val="18"/>
              </w:rPr>
              <w:t>652</w:t>
            </w:r>
            <w:r w:rsidR="3CB01A9A" w:rsidRPr="007669E1">
              <w:rPr>
                <w:rFonts w:ascii="Segoe UI" w:hAnsi="Segoe UI" w:cs="Segoe UI"/>
                <w:color w:val="000000" w:themeColor="text1"/>
                <w:sz w:val="18"/>
                <w:szCs w:val="18"/>
              </w:rPr>
              <w:t>,</w:t>
            </w:r>
            <w:r w:rsidR="12B113E2" w:rsidRPr="007669E1">
              <w:rPr>
                <w:rFonts w:ascii="Segoe UI" w:hAnsi="Segoe UI" w:cs="Segoe UI"/>
                <w:sz w:val="18"/>
                <w:szCs w:val="18"/>
              </w:rPr>
              <w:t>3</w:t>
            </w:r>
            <w:r w:rsidR="3CB01A9A" w:rsidRPr="007669E1">
              <w:rPr>
                <w:rFonts w:ascii="Segoe UI" w:hAnsi="Segoe UI" w:cs="Segoe UI"/>
                <w:sz w:val="18"/>
                <w:szCs w:val="18"/>
              </w:rPr>
              <w:t>00.0</w:t>
            </w:r>
          </w:p>
        </w:tc>
        <w:tc>
          <w:tcPr>
            <w:tcW w:w="1385" w:type="dxa"/>
          </w:tcPr>
          <w:p w14:paraId="589BEA6E" w14:textId="1FC361F5" w:rsidR="00E15475" w:rsidRPr="007669E1" w:rsidRDefault="000A7DB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705</w:t>
            </w:r>
            <w:r w:rsidR="5319303B" w:rsidRPr="007669E1">
              <w:rPr>
                <w:rFonts w:ascii="Segoe UI" w:hAnsi="Segoe UI" w:cs="Segoe UI"/>
                <w:sz w:val="18"/>
                <w:szCs w:val="18"/>
              </w:rPr>
              <w:t>,</w:t>
            </w:r>
            <w:r w:rsidR="12B113E2" w:rsidRPr="007669E1">
              <w:rPr>
                <w:rFonts w:ascii="Segoe UI" w:hAnsi="Segoe UI" w:cs="Segoe UI"/>
                <w:sz w:val="18"/>
                <w:szCs w:val="18"/>
              </w:rPr>
              <w:t>3</w:t>
            </w:r>
            <w:r w:rsidR="5319303B" w:rsidRPr="007669E1">
              <w:rPr>
                <w:rFonts w:ascii="Segoe UI" w:hAnsi="Segoe UI" w:cs="Segoe UI"/>
                <w:sz w:val="18"/>
                <w:szCs w:val="18"/>
              </w:rPr>
              <w:t>00.0</w:t>
            </w:r>
          </w:p>
        </w:tc>
        <w:tc>
          <w:tcPr>
            <w:tcW w:w="1385" w:type="dxa"/>
            <w:gridSpan w:val="2"/>
            <w:shd w:val="clear" w:color="auto" w:fill="E6E6E6"/>
          </w:tcPr>
          <w:p w14:paraId="707D752B" w14:textId="568114BD" w:rsidR="00116877" w:rsidRPr="007669E1" w:rsidRDefault="001168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688</w:t>
            </w:r>
            <w:r w:rsidR="0D4A6127" w:rsidRPr="007669E1">
              <w:rPr>
                <w:rFonts w:ascii="Segoe UI" w:hAnsi="Segoe UI" w:cs="Segoe UI"/>
                <w:i/>
                <w:sz w:val="18"/>
                <w:szCs w:val="18"/>
              </w:rPr>
              <w:t>,</w:t>
            </w:r>
            <w:r w:rsidR="7B10CE76" w:rsidRPr="007669E1">
              <w:rPr>
                <w:rFonts w:ascii="Segoe UI" w:hAnsi="Segoe UI" w:cs="Segoe UI"/>
                <w:i/>
                <w:sz w:val="18"/>
                <w:szCs w:val="18"/>
              </w:rPr>
              <w:t>7</w:t>
            </w:r>
            <w:r w:rsidR="0D4A6127" w:rsidRPr="007669E1">
              <w:rPr>
                <w:rFonts w:ascii="Segoe UI" w:hAnsi="Segoe UI" w:cs="Segoe UI"/>
                <w:i/>
                <w:sz w:val="18"/>
                <w:szCs w:val="18"/>
              </w:rPr>
              <w:t>00.0</w:t>
            </w:r>
          </w:p>
        </w:tc>
        <w:tc>
          <w:tcPr>
            <w:tcW w:w="1385" w:type="dxa"/>
            <w:shd w:val="clear" w:color="auto" w:fill="E6E6E6"/>
          </w:tcPr>
          <w:p w14:paraId="1804F274" w14:textId="19AC5D1C" w:rsidR="00E15475" w:rsidRPr="007669E1" w:rsidRDefault="00436B6A"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779</w:t>
            </w:r>
            <w:r w:rsidR="33F8FCB3" w:rsidRPr="007669E1">
              <w:rPr>
                <w:rFonts w:ascii="Segoe UI" w:hAnsi="Segoe UI" w:cs="Segoe UI"/>
                <w:i/>
                <w:sz w:val="18"/>
                <w:szCs w:val="18"/>
              </w:rPr>
              <w:t>,</w:t>
            </w:r>
            <w:r w:rsidRPr="007669E1">
              <w:rPr>
                <w:rFonts w:ascii="Segoe UI" w:hAnsi="Segoe UI" w:cs="Segoe UI"/>
                <w:i/>
                <w:sz w:val="18"/>
                <w:szCs w:val="18"/>
              </w:rPr>
              <w:t>5</w:t>
            </w:r>
            <w:r w:rsidR="7543F132" w:rsidRPr="007669E1">
              <w:rPr>
                <w:rFonts w:ascii="Segoe UI" w:hAnsi="Segoe UI" w:cs="Segoe UI"/>
                <w:i/>
                <w:sz w:val="18"/>
                <w:szCs w:val="18"/>
              </w:rPr>
              <w:t>00.0</w:t>
            </w:r>
          </w:p>
        </w:tc>
        <w:tc>
          <w:tcPr>
            <w:tcW w:w="1660" w:type="dxa"/>
            <w:shd w:val="clear" w:color="auto" w:fill="E6E6E6"/>
          </w:tcPr>
          <w:p w14:paraId="10D5FB20" w14:textId="5B7B6906" w:rsidR="00E15475" w:rsidRPr="007669E1" w:rsidRDefault="00D6173B" w:rsidP="00E90BA7">
            <w:pPr>
              <w:spacing w:before="20" w:after="20" w:line="240" w:lineRule="auto"/>
              <w:jc w:val="both"/>
              <w:rPr>
                <w:rFonts w:ascii="Segoe UI" w:hAnsi="Segoe UI" w:cs="Segoe UI"/>
                <w:i/>
                <w:sz w:val="18"/>
                <w:szCs w:val="18"/>
              </w:rPr>
            </w:pPr>
            <w:r w:rsidRPr="007669E1">
              <w:rPr>
                <w:rFonts w:ascii="Segoe UI" w:hAnsi="Segoe UI" w:cs="Segoe UI"/>
                <w:i/>
                <w:color w:val="000000" w:themeColor="text1"/>
                <w:sz w:val="18"/>
                <w:szCs w:val="18"/>
              </w:rPr>
              <w:t>856</w:t>
            </w:r>
            <w:r w:rsidR="69B551AC" w:rsidRPr="007669E1">
              <w:rPr>
                <w:rFonts w:ascii="Segoe UI" w:hAnsi="Segoe UI" w:cs="Segoe UI"/>
                <w:i/>
                <w:sz w:val="18"/>
                <w:szCs w:val="18"/>
              </w:rPr>
              <w:t>,</w:t>
            </w:r>
            <w:r w:rsidRPr="007669E1">
              <w:rPr>
                <w:rFonts w:ascii="Segoe UI" w:hAnsi="Segoe UI" w:cs="Segoe UI"/>
                <w:i/>
                <w:sz w:val="18"/>
                <w:szCs w:val="18"/>
              </w:rPr>
              <w:t>9</w:t>
            </w:r>
            <w:r w:rsidR="2904C4D2" w:rsidRPr="007669E1">
              <w:rPr>
                <w:rFonts w:ascii="Segoe UI" w:hAnsi="Segoe UI" w:cs="Segoe UI"/>
                <w:i/>
                <w:sz w:val="18"/>
                <w:szCs w:val="18"/>
              </w:rPr>
              <w:t>00.0</w:t>
            </w:r>
          </w:p>
        </w:tc>
      </w:tr>
    </w:tbl>
    <w:p w14:paraId="27CCA5B9" w14:textId="6BE96BD9" w:rsidR="007E7FA6" w:rsidRPr="007669E1" w:rsidRDefault="007E7FA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Note: 2018</w:t>
      </w:r>
      <w:r w:rsidR="00D8474A" w:rsidRPr="007669E1">
        <w:rPr>
          <w:rFonts w:ascii="Segoe UI" w:hAnsi="Segoe UI" w:cs="Segoe UI"/>
          <w:sz w:val="18"/>
          <w:szCs w:val="18"/>
        </w:rPr>
        <w:t xml:space="preserve"> and</w:t>
      </w:r>
      <w:r w:rsidRPr="007669E1">
        <w:rPr>
          <w:rFonts w:ascii="Segoe UI" w:hAnsi="Segoe UI" w:cs="Segoe UI"/>
          <w:sz w:val="18"/>
          <w:szCs w:val="18"/>
        </w:rPr>
        <w:t xml:space="preserve"> 2019 </w:t>
      </w:r>
      <w:r w:rsidR="00D8474A" w:rsidRPr="007669E1">
        <w:rPr>
          <w:rFonts w:ascii="Segoe UI" w:hAnsi="Segoe UI" w:cs="Segoe UI"/>
          <w:sz w:val="18"/>
          <w:szCs w:val="18"/>
        </w:rPr>
        <w:t>are</w:t>
      </w:r>
      <w:r w:rsidRPr="007669E1">
        <w:rPr>
          <w:rFonts w:ascii="Segoe UI" w:hAnsi="Segoe UI" w:cs="Segoe UI"/>
          <w:sz w:val="18"/>
          <w:szCs w:val="18"/>
        </w:rPr>
        <w:t xml:space="preserve"> based on actual data</w:t>
      </w:r>
      <w:r w:rsidR="00B52B10" w:rsidRPr="007669E1">
        <w:rPr>
          <w:rFonts w:ascii="Segoe UI" w:hAnsi="Segoe UI" w:cs="Segoe UI"/>
          <w:sz w:val="18"/>
          <w:szCs w:val="18"/>
        </w:rPr>
        <w:t>;</w:t>
      </w:r>
      <w:r w:rsidRPr="007669E1">
        <w:rPr>
          <w:rFonts w:ascii="Segoe UI" w:hAnsi="Segoe UI" w:cs="Segoe UI"/>
          <w:sz w:val="18"/>
          <w:szCs w:val="18"/>
        </w:rPr>
        <w:t xml:space="preserve"> 2020-2022 are </w:t>
      </w:r>
      <w:r w:rsidR="00F1115A" w:rsidRPr="007669E1">
        <w:rPr>
          <w:rFonts w:ascii="Segoe UI" w:hAnsi="Segoe UI" w:cs="Segoe UI"/>
          <w:sz w:val="18"/>
          <w:szCs w:val="18"/>
        </w:rPr>
        <w:t>projection</w:t>
      </w:r>
      <w:r w:rsidRPr="007669E1">
        <w:rPr>
          <w:rFonts w:ascii="Segoe UI" w:hAnsi="Segoe UI" w:cs="Segoe UI"/>
          <w:sz w:val="18"/>
          <w:szCs w:val="18"/>
        </w:rPr>
        <w:t>s based on 2019.</w:t>
      </w:r>
    </w:p>
    <w:p w14:paraId="42B5761A" w14:textId="431CFAEA"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36"/>
        <w:gridCol w:w="1287"/>
        <w:gridCol w:w="1467"/>
        <w:gridCol w:w="792"/>
        <w:gridCol w:w="691"/>
        <w:gridCol w:w="1467"/>
        <w:gridCol w:w="1585"/>
      </w:tblGrid>
      <w:tr w:rsidR="00A2051E" w:rsidRPr="007669E1" w14:paraId="32DB4233" w14:textId="77777777" w:rsidTr="00E81091">
        <w:tc>
          <w:tcPr>
            <w:tcW w:w="9625" w:type="dxa"/>
            <w:gridSpan w:val="7"/>
            <w:shd w:val="clear" w:color="auto" w:fill="D9D9D9" w:themeFill="background1" w:themeFillShade="D9"/>
          </w:tcPr>
          <w:p w14:paraId="13976A72" w14:textId="1D8E2EEE"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3. Non-taxable state subsidy to first-time homeowners under “First Home” state program</w:t>
            </w:r>
          </w:p>
        </w:tc>
      </w:tr>
      <w:tr w:rsidR="00404875" w:rsidRPr="007669E1" w14:paraId="124F7A89" w14:textId="77777777" w:rsidTr="00E81091">
        <w:tc>
          <w:tcPr>
            <w:tcW w:w="2336" w:type="dxa"/>
          </w:tcPr>
          <w:p w14:paraId="20876D8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89" w:type="dxa"/>
            <w:gridSpan w:val="6"/>
          </w:tcPr>
          <w:p w14:paraId="0680B29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First-time homeowners receive a state subsidy from the state budget as beneficiaries of the “First Home” state program, as established by the Government.</w:t>
            </w:r>
          </w:p>
        </w:tc>
      </w:tr>
      <w:tr w:rsidR="00404875" w:rsidRPr="007669E1" w14:paraId="23238699" w14:textId="77777777" w:rsidTr="00E81091">
        <w:tc>
          <w:tcPr>
            <w:tcW w:w="2336" w:type="dxa"/>
          </w:tcPr>
          <w:p w14:paraId="0E1C980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89" w:type="dxa"/>
            <w:gridSpan w:val="6"/>
          </w:tcPr>
          <w:p w14:paraId="7A0168E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404875" w:rsidRPr="007669E1" w14:paraId="0D2308C0" w14:textId="77777777" w:rsidTr="00E81091">
        <w:tc>
          <w:tcPr>
            <w:tcW w:w="2336" w:type="dxa"/>
          </w:tcPr>
          <w:p w14:paraId="24EF531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89" w:type="dxa"/>
            <w:gridSpan w:val="6"/>
          </w:tcPr>
          <w:p w14:paraId="0C53FD2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First-time homeowners</w:t>
            </w:r>
          </w:p>
        </w:tc>
      </w:tr>
      <w:tr w:rsidR="00404875" w:rsidRPr="007669E1" w14:paraId="1DBB46D7" w14:textId="77777777" w:rsidTr="00E81091">
        <w:tc>
          <w:tcPr>
            <w:tcW w:w="2336" w:type="dxa"/>
          </w:tcPr>
          <w:p w14:paraId="141369D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89" w:type="dxa"/>
            <w:gridSpan w:val="6"/>
          </w:tcPr>
          <w:p w14:paraId="47D050D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 of a state subsidy or grant</w:t>
            </w:r>
          </w:p>
        </w:tc>
      </w:tr>
      <w:tr w:rsidR="00404875" w:rsidRPr="007669E1" w14:paraId="040F9DF2" w14:textId="77777777" w:rsidTr="00E81091">
        <w:tc>
          <w:tcPr>
            <w:tcW w:w="2336" w:type="dxa"/>
          </w:tcPr>
          <w:p w14:paraId="3499790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89" w:type="dxa"/>
            <w:gridSpan w:val="6"/>
          </w:tcPr>
          <w:p w14:paraId="7EC5C47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subsidies or grants paid from the state budget constitute income in the hands of the grantee and under the comprehensive income concept should attract PIT at the flat rate of 12%, and if the combined income streams exceed the basic personal allowance of MDL 27,000 per year. The non-taxation constitutes therefore a tax expenditure.</w:t>
            </w:r>
          </w:p>
        </w:tc>
      </w:tr>
      <w:tr w:rsidR="00404875" w:rsidRPr="007669E1" w14:paraId="1B6F7E8B" w14:textId="77777777" w:rsidTr="00E81091">
        <w:tc>
          <w:tcPr>
            <w:tcW w:w="2336" w:type="dxa"/>
          </w:tcPr>
          <w:p w14:paraId="662AF8B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89" w:type="dxa"/>
            <w:gridSpan w:val="6"/>
          </w:tcPr>
          <w:p w14:paraId="19959B3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20(d</w:t>
            </w:r>
            <w:r w:rsidRPr="007669E1">
              <w:rPr>
                <w:rFonts w:ascii="Segoe UI" w:hAnsi="Segoe UI" w:cs="Segoe UI"/>
                <w:sz w:val="18"/>
                <w:szCs w:val="18"/>
                <w:vertAlign w:val="superscript"/>
              </w:rPr>
              <w:t>5</w:t>
            </w:r>
            <w:r w:rsidRPr="007669E1">
              <w:rPr>
                <w:rFonts w:ascii="Segoe UI" w:hAnsi="Segoe UI" w:cs="Segoe UI"/>
                <w:sz w:val="18"/>
                <w:szCs w:val="18"/>
              </w:rPr>
              <w:t>)</w:t>
            </w:r>
          </w:p>
        </w:tc>
      </w:tr>
      <w:tr w:rsidR="00E72E03" w:rsidRPr="007669E1" w14:paraId="56AE1920" w14:textId="77777777" w:rsidTr="00E81091">
        <w:trPr>
          <w:trHeight w:val="182"/>
        </w:trPr>
        <w:tc>
          <w:tcPr>
            <w:tcW w:w="2336" w:type="dxa"/>
            <w:vMerge w:val="restart"/>
          </w:tcPr>
          <w:p w14:paraId="1F5668E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89" w:type="dxa"/>
            <w:gridSpan w:val="6"/>
          </w:tcPr>
          <w:p w14:paraId="51020CB3" w14:textId="77777777" w:rsidR="00280E00" w:rsidRPr="007669E1" w:rsidRDefault="00280E00" w:rsidP="00E90BA7">
            <w:pPr>
              <w:spacing w:before="20" w:after="20" w:line="240" w:lineRule="auto"/>
              <w:jc w:val="both"/>
              <w:rPr>
                <w:rFonts w:ascii="Segoe UI" w:hAnsi="Segoe UI" w:cs="Segoe UI"/>
                <w:sz w:val="18"/>
                <w:szCs w:val="18"/>
              </w:rPr>
            </w:pPr>
          </w:p>
        </w:tc>
      </w:tr>
      <w:tr w:rsidR="00E72E03" w:rsidRPr="007669E1" w14:paraId="63172CC0" w14:textId="77777777" w:rsidTr="00E81091">
        <w:trPr>
          <w:trHeight w:val="182"/>
        </w:trPr>
        <w:tc>
          <w:tcPr>
            <w:tcW w:w="2336" w:type="dxa"/>
            <w:vMerge/>
          </w:tcPr>
          <w:p w14:paraId="7006C241" w14:textId="77777777" w:rsidR="00280E00" w:rsidRPr="007669E1" w:rsidRDefault="00280E00" w:rsidP="00E90BA7">
            <w:pPr>
              <w:spacing w:before="20" w:after="20" w:line="240" w:lineRule="auto"/>
              <w:jc w:val="both"/>
              <w:rPr>
                <w:rFonts w:ascii="Segoe UI" w:hAnsi="Segoe UI" w:cs="Segoe UI"/>
                <w:b/>
                <w:bCs/>
                <w:sz w:val="18"/>
                <w:szCs w:val="18"/>
              </w:rPr>
            </w:pPr>
          </w:p>
        </w:tc>
        <w:tc>
          <w:tcPr>
            <w:tcW w:w="3546" w:type="dxa"/>
            <w:gridSpan w:val="3"/>
          </w:tcPr>
          <w:p w14:paraId="4E572B7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2018</w:t>
            </w:r>
          </w:p>
        </w:tc>
        <w:tc>
          <w:tcPr>
            <w:tcW w:w="3743" w:type="dxa"/>
            <w:gridSpan w:val="3"/>
          </w:tcPr>
          <w:p w14:paraId="012AD417" w14:textId="6A745887"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404875" w:rsidRPr="007669E1" w14:paraId="573678E1" w14:textId="77777777" w:rsidTr="00E81091">
        <w:tc>
          <w:tcPr>
            <w:tcW w:w="2336" w:type="dxa"/>
          </w:tcPr>
          <w:p w14:paraId="0B1CBD0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89" w:type="dxa"/>
            <w:gridSpan w:val="6"/>
          </w:tcPr>
          <w:p w14:paraId="688BD34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Budget data on total grants paid to qualifying recipients</w:t>
            </w:r>
          </w:p>
        </w:tc>
      </w:tr>
      <w:tr w:rsidR="00404875" w:rsidRPr="007669E1" w14:paraId="59062B86" w14:textId="77777777" w:rsidTr="00E81091">
        <w:tc>
          <w:tcPr>
            <w:tcW w:w="2336" w:type="dxa"/>
          </w:tcPr>
          <w:p w14:paraId="5FC8414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89" w:type="dxa"/>
            <w:gridSpan w:val="6"/>
          </w:tcPr>
          <w:p w14:paraId="207C3B9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Estimating budget expenditures</w:t>
            </w:r>
          </w:p>
        </w:tc>
      </w:tr>
      <w:tr w:rsidR="00404875" w:rsidRPr="007669E1" w14:paraId="3D05B975" w14:textId="77777777" w:rsidTr="00E81091">
        <w:tc>
          <w:tcPr>
            <w:tcW w:w="2336" w:type="dxa"/>
          </w:tcPr>
          <w:p w14:paraId="5CC0AB9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89" w:type="dxa"/>
            <w:gridSpan w:val="6"/>
          </w:tcPr>
          <w:p w14:paraId="6682A520" w14:textId="77777777" w:rsidR="00280E00" w:rsidRPr="007669E1" w:rsidRDefault="00280E00" w:rsidP="00E90BA7">
            <w:pPr>
              <w:spacing w:before="20" w:after="20" w:line="240" w:lineRule="auto"/>
              <w:jc w:val="both"/>
              <w:rPr>
                <w:rFonts w:ascii="Segoe UI" w:hAnsi="Segoe UI" w:cs="Segoe UI"/>
                <w:sz w:val="18"/>
                <w:szCs w:val="18"/>
              </w:rPr>
            </w:pPr>
          </w:p>
        </w:tc>
      </w:tr>
      <w:tr w:rsidR="00404875" w:rsidRPr="007669E1" w14:paraId="0121729F" w14:textId="77777777" w:rsidTr="00E81091">
        <w:tc>
          <w:tcPr>
            <w:tcW w:w="2336" w:type="dxa"/>
          </w:tcPr>
          <w:p w14:paraId="1FA8888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89" w:type="dxa"/>
            <w:gridSpan w:val="6"/>
          </w:tcPr>
          <w:p w14:paraId="1F89B640" w14:textId="656A4851" w:rsidR="00280E00" w:rsidRPr="007669E1" w:rsidRDefault="57CE66F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7619A8" w:rsidRPr="007669E1" w14:paraId="1F76BAB6" w14:textId="77777777" w:rsidTr="00E81091">
        <w:trPr>
          <w:trHeight w:val="91"/>
        </w:trPr>
        <w:tc>
          <w:tcPr>
            <w:tcW w:w="2336" w:type="dxa"/>
            <w:vMerge w:val="restart"/>
          </w:tcPr>
          <w:p w14:paraId="7B36E82B" w14:textId="77777777" w:rsidR="00280E00" w:rsidRPr="007669E1" w:rsidRDefault="00280E00" w:rsidP="00E90BA7">
            <w:pPr>
              <w:spacing w:before="20" w:after="20" w:line="240" w:lineRule="auto"/>
              <w:jc w:val="both"/>
              <w:rPr>
                <w:rFonts w:ascii="Segoe UI" w:hAnsi="Segoe UI" w:cs="Segoe UI"/>
                <w:sz w:val="18"/>
                <w:szCs w:val="18"/>
              </w:rPr>
            </w:pPr>
          </w:p>
        </w:tc>
        <w:tc>
          <w:tcPr>
            <w:tcW w:w="1287" w:type="dxa"/>
          </w:tcPr>
          <w:p w14:paraId="0475B27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467" w:type="dxa"/>
          </w:tcPr>
          <w:p w14:paraId="324CFD9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483" w:type="dxa"/>
            <w:gridSpan w:val="2"/>
          </w:tcPr>
          <w:p w14:paraId="4EAA3D3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467" w:type="dxa"/>
          </w:tcPr>
          <w:p w14:paraId="73FB1DE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585" w:type="dxa"/>
          </w:tcPr>
          <w:p w14:paraId="03B7063B" w14:textId="1222B144"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A2051E" w:rsidRPr="007669E1" w14:paraId="4420DC19" w14:textId="77777777" w:rsidTr="7011C1FD">
        <w:trPr>
          <w:trHeight w:val="170"/>
        </w:trPr>
        <w:tc>
          <w:tcPr>
            <w:tcW w:w="2336" w:type="dxa"/>
            <w:vMerge/>
          </w:tcPr>
          <w:p w14:paraId="28E59137" w14:textId="77777777" w:rsidR="00280E00" w:rsidRPr="007669E1" w:rsidRDefault="00280E00" w:rsidP="00E90BA7">
            <w:pPr>
              <w:spacing w:before="20" w:after="20" w:line="240" w:lineRule="auto"/>
              <w:jc w:val="both"/>
              <w:rPr>
                <w:rFonts w:ascii="Segoe UI" w:hAnsi="Segoe UI" w:cs="Segoe UI"/>
                <w:sz w:val="18"/>
                <w:szCs w:val="18"/>
              </w:rPr>
            </w:pPr>
          </w:p>
        </w:tc>
        <w:tc>
          <w:tcPr>
            <w:tcW w:w="1287" w:type="dxa"/>
          </w:tcPr>
          <w:p w14:paraId="0A00AE32" w14:textId="483B2966" w:rsidR="00280E00" w:rsidRPr="007669E1" w:rsidRDefault="00924A3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467" w:type="dxa"/>
          </w:tcPr>
          <w:p w14:paraId="4F048677" w14:textId="6CE49B0E"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w:t>
            </w:r>
            <w:r w:rsidR="58217754" w:rsidRPr="007669E1">
              <w:rPr>
                <w:rFonts w:ascii="Segoe UI" w:hAnsi="Segoe UI" w:cs="Segoe UI"/>
                <w:sz w:val="18"/>
                <w:szCs w:val="18"/>
              </w:rPr>
              <w:t>,</w:t>
            </w:r>
            <w:r w:rsidRPr="007669E1">
              <w:rPr>
                <w:rFonts w:ascii="Segoe UI" w:hAnsi="Segoe UI" w:cs="Segoe UI"/>
                <w:sz w:val="18"/>
                <w:szCs w:val="18"/>
              </w:rPr>
              <w:t>01</w:t>
            </w:r>
            <w:r w:rsidR="4378AAF6" w:rsidRPr="007669E1">
              <w:rPr>
                <w:rFonts w:ascii="Segoe UI" w:hAnsi="Segoe UI" w:cs="Segoe UI"/>
                <w:sz w:val="18"/>
                <w:szCs w:val="18"/>
              </w:rPr>
              <w:t>0.0</w:t>
            </w:r>
          </w:p>
        </w:tc>
        <w:tc>
          <w:tcPr>
            <w:tcW w:w="1483" w:type="dxa"/>
            <w:gridSpan w:val="2"/>
          </w:tcPr>
          <w:p w14:paraId="673F21DA" w14:textId="0998880D"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w:t>
            </w:r>
            <w:r w:rsidR="0FA91ACC" w:rsidRPr="007669E1">
              <w:rPr>
                <w:rFonts w:ascii="Segoe UI" w:hAnsi="Segoe UI" w:cs="Segoe UI"/>
                <w:sz w:val="18"/>
                <w:szCs w:val="18"/>
              </w:rPr>
              <w:t>,</w:t>
            </w:r>
            <w:r w:rsidRPr="007669E1">
              <w:rPr>
                <w:rFonts w:ascii="Segoe UI" w:hAnsi="Segoe UI" w:cs="Segoe UI"/>
                <w:sz w:val="18"/>
                <w:szCs w:val="18"/>
              </w:rPr>
              <w:t>96</w:t>
            </w:r>
            <w:r w:rsidR="0FA91ACC" w:rsidRPr="007669E1">
              <w:rPr>
                <w:rFonts w:ascii="Segoe UI" w:hAnsi="Segoe UI" w:cs="Segoe UI"/>
                <w:sz w:val="18"/>
                <w:szCs w:val="18"/>
              </w:rPr>
              <w:t>0.0</w:t>
            </w:r>
          </w:p>
        </w:tc>
        <w:tc>
          <w:tcPr>
            <w:tcW w:w="1467" w:type="dxa"/>
          </w:tcPr>
          <w:p w14:paraId="6DE45B1D" w14:textId="2D7E0E83"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w:t>
            </w:r>
            <w:r w:rsidR="47D7F171" w:rsidRPr="007669E1">
              <w:rPr>
                <w:rFonts w:ascii="Segoe UI" w:hAnsi="Segoe UI" w:cs="Segoe UI"/>
                <w:sz w:val="18"/>
                <w:szCs w:val="18"/>
              </w:rPr>
              <w:t>,</w:t>
            </w:r>
            <w:r w:rsidRPr="007669E1">
              <w:rPr>
                <w:rFonts w:ascii="Segoe UI" w:hAnsi="Segoe UI" w:cs="Segoe UI"/>
                <w:sz w:val="18"/>
                <w:szCs w:val="18"/>
              </w:rPr>
              <w:t>2</w:t>
            </w:r>
            <w:r w:rsidR="54D176C8" w:rsidRPr="007669E1">
              <w:rPr>
                <w:rFonts w:ascii="Segoe UI" w:hAnsi="Segoe UI" w:cs="Segoe UI"/>
                <w:sz w:val="18"/>
                <w:szCs w:val="18"/>
              </w:rPr>
              <w:t>00.0</w:t>
            </w:r>
          </w:p>
        </w:tc>
        <w:tc>
          <w:tcPr>
            <w:tcW w:w="1585" w:type="dxa"/>
            <w:shd w:val="clear" w:color="auto" w:fill="E6E6E6"/>
          </w:tcPr>
          <w:p w14:paraId="6C884DE3" w14:textId="1BE42BE4" w:rsidR="004E1A26" w:rsidRPr="007669E1" w:rsidRDefault="004E1A26"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6</w:t>
            </w:r>
            <w:r w:rsidR="100096C8" w:rsidRPr="007669E1">
              <w:rPr>
                <w:rFonts w:ascii="Segoe UI" w:hAnsi="Segoe UI" w:cs="Segoe UI"/>
                <w:i/>
                <w:sz w:val="18"/>
                <w:szCs w:val="18"/>
              </w:rPr>
              <w:t>,</w:t>
            </w:r>
            <w:r w:rsidR="3E372807" w:rsidRPr="007669E1">
              <w:rPr>
                <w:rFonts w:ascii="Segoe UI" w:hAnsi="Segoe UI" w:cs="Segoe UI"/>
                <w:i/>
                <w:sz w:val="18"/>
                <w:szCs w:val="18"/>
              </w:rPr>
              <w:t>8</w:t>
            </w:r>
            <w:r w:rsidR="100096C8" w:rsidRPr="007669E1">
              <w:rPr>
                <w:rFonts w:ascii="Segoe UI" w:hAnsi="Segoe UI" w:cs="Segoe UI"/>
                <w:i/>
                <w:sz w:val="18"/>
                <w:szCs w:val="18"/>
              </w:rPr>
              <w:t>00.0</w:t>
            </w:r>
          </w:p>
        </w:tc>
      </w:tr>
    </w:tbl>
    <w:p w14:paraId="3BA894CE" w14:textId="20B0087F" w:rsidR="00280E00" w:rsidRPr="007669E1" w:rsidRDefault="002E0F3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Note:</w:t>
      </w:r>
      <w:r w:rsidR="009C52AA" w:rsidRPr="007669E1">
        <w:rPr>
          <w:rFonts w:ascii="Segoe UI" w:hAnsi="Segoe UI" w:cs="Segoe UI"/>
          <w:sz w:val="18"/>
          <w:szCs w:val="18"/>
        </w:rPr>
        <w:t xml:space="preserve"> Estimates f</w:t>
      </w:r>
      <w:r w:rsidR="00705515" w:rsidRPr="007669E1">
        <w:rPr>
          <w:rFonts w:ascii="Segoe UI" w:hAnsi="Segoe UI" w:cs="Segoe UI"/>
          <w:sz w:val="18"/>
          <w:szCs w:val="18"/>
        </w:rPr>
        <w:t>rom</w:t>
      </w:r>
      <w:r w:rsidR="009C52AA" w:rsidRPr="007669E1">
        <w:rPr>
          <w:rFonts w:ascii="Segoe UI" w:hAnsi="Segoe UI" w:cs="Segoe UI"/>
          <w:sz w:val="18"/>
          <w:szCs w:val="18"/>
        </w:rPr>
        <w:t xml:space="preserve"> 2019</w:t>
      </w:r>
      <w:r w:rsidR="00705515" w:rsidRPr="007669E1">
        <w:rPr>
          <w:rFonts w:ascii="Segoe UI" w:hAnsi="Segoe UI" w:cs="Segoe UI"/>
          <w:sz w:val="18"/>
          <w:szCs w:val="18"/>
        </w:rPr>
        <w:t xml:space="preserve"> to 2021</w:t>
      </w:r>
      <w:r w:rsidR="00444F41" w:rsidRPr="007669E1">
        <w:rPr>
          <w:rFonts w:ascii="Segoe UI" w:hAnsi="Segoe UI" w:cs="Segoe UI"/>
          <w:sz w:val="18"/>
          <w:szCs w:val="18"/>
        </w:rPr>
        <w:t xml:space="preserve"> are based on actual data</w:t>
      </w:r>
      <w:r w:rsidR="004146E1" w:rsidRPr="007669E1">
        <w:rPr>
          <w:rFonts w:ascii="Segoe UI" w:hAnsi="Segoe UI" w:cs="Segoe UI"/>
          <w:sz w:val="18"/>
          <w:szCs w:val="18"/>
        </w:rPr>
        <w:t xml:space="preserve">, 2022 </w:t>
      </w:r>
      <w:r w:rsidR="00BF3E66" w:rsidRPr="007669E1">
        <w:rPr>
          <w:rFonts w:ascii="Segoe UI" w:hAnsi="Segoe UI" w:cs="Segoe UI"/>
          <w:sz w:val="18"/>
          <w:szCs w:val="18"/>
        </w:rPr>
        <w:t>is projected based on 2021.</w:t>
      </w:r>
    </w:p>
    <w:p w14:paraId="3D33B5EF" w14:textId="55166C17" w:rsidR="0067688D" w:rsidRPr="007669E1" w:rsidRDefault="0067688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02069F33" w14:textId="77777777" w:rsidTr="00690197">
        <w:tc>
          <w:tcPr>
            <w:tcW w:w="9625" w:type="dxa"/>
            <w:gridSpan w:val="7"/>
            <w:shd w:val="clear" w:color="auto" w:fill="D9D9D9" w:themeFill="background1" w:themeFillShade="D9"/>
          </w:tcPr>
          <w:p w14:paraId="31AAD6FE" w14:textId="57E3C14F"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4. All fringe benefit payments by an employer such as meals etc. are tax exempt</w:t>
            </w:r>
          </w:p>
        </w:tc>
      </w:tr>
      <w:tr w:rsidR="00404875" w:rsidRPr="007669E1" w14:paraId="7712FB0A" w14:textId="77777777" w:rsidTr="00690197">
        <w:tc>
          <w:tcPr>
            <w:tcW w:w="2425" w:type="dxa"/>
          </w:tcPr>
          <w:p w14:paraId="5316219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1313BBA9" w14:textId="0B56BD53"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payments incurred by an employer to the benefit of his employees in accordance with Art</w:t>
            </w:r>
            <w:r w:rsidR="0052766A" w:rsidRPr="007669E1">
              <w:rPr>
                <w:rFonts w:ascii="Segoe UI" w:hAnsi="Segoe UI" w:cs="Segoe UI"/>
                <w:sz w:val="18"/>
                <w:szCs w:val="18"/>
              </w:rPr>
              <w:t>.</w:t>
            </w:r>
            <w:r w:rsidRPr="007669E1">
              <w:rPr>
                <w:rFonts w:ascii="Segoe UI" w:hAnsi="Segoe UI" w:cs="Segoe UI"/>
                <w:sz w:val="18"/>
                <w:szCs w:val="18"/>
              </w:rPr>
              <w:t xml:space="preserve"> 24 (19) to (20), constituting part of the salary package of an employee are tax exempt. These include benefits such as employee’s transport, food, professional studies, tech</w:t>
            </w:r>
            <w:r w:rsidR="0052766A" w:rsidRPr="007669E1">
              <w:rPr>
                <w:rFonts w:ascii="Segoe UI" w:hAnsi="Segoe UI" w:cs="Segoe UI"/>
                <w:sz w:val="18"/>
                <w:szCs w:val="18"/>
              </w:rPr>
              <w:t>nical</w:t>
            </w:r>
            <w:r w:rsidRPr="007669E1">
              <w:rPr>
                <w:rFonts w:ascii="Segoe UI" w:hAnsi="Segoe UI" w:cs="Segoe UI"/>
                <w:sz w:val="18"/>
                <w:szCs w:val="18"/>
              </w:rPr>
              <w:t xml:space="preserve"> training programs. </w:t>
            </w:r>
          </w:p>
        </w:tc>
      </w:tr>
      <w:tr w:rsidR="00404875" w:rsidRPr="007669E1" w14:paraId="7803BED0" w14:textId="77777777" w:rsidTr="00690197">
        <w:tc>
          <w:tcPr>
            <w:tcW w:w="2425" w:type="dxa"/>
          </w:tcPr>
          <w:p w14:paraId="2E3594C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5898C67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404875" w:rsidRPr="007669E1" w14:paraId="5888BCEB" w14:textId="77777777" w:rsidTr="00690197">
        <w:tc>
          <w:tcPr>
            <w:tcW w:w="2425" w:type="dxa"/>
          </w:tcPr>
          <w:p w14:paraId="42BC391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Beneficiaries</w:t>
            </w:r>
          </w:p>
        </w:tc>
        <w:tc>
          <w:tcPr>
            <w:tcW w:w="7200" w:type="dxa"/>
            <w:gridSpan w:val="6"/>
          </w:tcPr>
          <w:p w14:paraId="49E7B14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Employees benefiting from the above fringe benefits paid by employers</w:t>
            </w:r>
          </w:p>
        </w:tc>
      </w:tr>
      <w:tr w:rsidR="00404875" w:rsidRPr="007669E1" w14:paraId="2F206BA9" w14:textId="77777777" w:rsidTr="00690197">
        <w:tc>
          <w:tcPr>
            <w:tcW w:w="2425" w:type="dxa"/>
          </w:tcPr>
          <w:p w14:paraId="10C4723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5B5D8E1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404875" w:rsidRPr="007669E1" w14:paraId="582715CD" w14:textId="77777777" w:rsidTr="00690197">
        <w:tc>
          <w:tcPr>
            <w:tcW w:w="2425" w:type="dxa"/>
          </w:tcPr>
          <w:p w14:paraId="09CEF66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63D0B11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fringe benefits constitute income in the hands of the employee under the comprehensive income concept. They should attract PIT at the flat rate of 12% if the combined income streams exceed the basic personal allowance of MDL 27,000 per year. The non-taxation constitutes therefore a tax expenditure. Also, since employers can deduct these transfers to their employees as expenses the symmetry principle holds that it should be taxed in the hands of the receiving party.</w:t>
            </w:r>
          </w:p>
        </w:tc>
      </w:tr>
      <w:tr w:rsidR="00404875" w:rsidRPr="007669E1" w14:paraId="3F904AC7" w14:textId="77777777" w:rsidTr="00690197">
        <w:tc>
          <w:tcPr>
            <w:tcW w:w="2425" w:type="dxa"/>
          </w:tcPr>
          <w:p w14:paraId="6E7C2DC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2CF49F4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24(d</w:t>
            </w:r>
            <w:r w:rsidRPr="007669E1">
              <w:rPr>
                <w:rFonts w:ascii="Segoe UI" w:hAnsi="Segoe UI" w:cs="Segoe UI"/>
                <w:sz w:val="18"/>
                <w:szCs w:val="18"/>
                <w:vertAlign w:val="superscript"/>
              </w:rPr>
              <w:t>6</w:t>
            </w:r>
            <w:r w:rsidRPr="007669E1">
              <w:rPr>
                <w:rFonts w:ascii="Segoe UI" w:hAnsi="Segoe UI" w:cs="Segoe UI"/>
                <w:sz w:val="18"/>
                <w:szCs w:val="18"/>
              </w:rPr>
              <w:t>)</w:t>
            </w:r>
          </w:p>
        </w:tc>
      </w:tr>
      <w:tr w:rsidR="00E72E03" w:rsidRPr="007669E1" w14:paraId="1ED6DEFE" w14:textId="77777777" w:rsidTr="00690197">
        <w:trPr>
          <w:trHeight w:val="182"/>
        </w:trPr>
        <w:tc>
          <w:tcPr>
            <w:tcW w:w="2425" w:type="dxa"/>
            <w:vMerge w:val="restart"/>
          </w:tcPr>
          <w:p w14:paraId="1D918D2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73E121B4" w14:textId="77777777" w:rsidR="00280E00" w:rsidRPr="007669E1" w:rsidRDefault="00280E00" w:rsidP="00E90BA7">
            <w:pPr>
              <w:spacing w:before="20" w:after="20" w:line="240" w:lineRule="auto"/>
              <w:jc w:val="both"/>
              <w:rPr>
                <w:rFonts w:ascii="Segoe UI" w:hAnsi="Segoe UI" w:cs="Segoe UI"/>
                <w:sz w:val="18"/>
                <w:szCs w:val="18"/>
              </w:rPr>
            </w:pPr>
          </w:p>
        </w:tc>
      </w:tr>
      <w:tr w:rsidR="00E72E03" w:rsidRPr="007669E1" w14:paraId="0221C790" w14:textId="77777777" w:rsidTr="00690197">
        <w:trPr>
          <w:trHeight w:val="182"/>
        </w:trPr>
        <w:tc>
          <w:tcPr>
            <w:tcW w:w="2425" w:type="dxa"/>
            <w:vMerge/>
          </w:tcPr>
          <w:p w14:paraId="34357FA1"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036E16A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2018</w:t>
            </w:r>
          </w:p>
        </w:tc>
        <w:tc>
          <w:tcPr>
            <w:tcW w:w="3738" w:type="dxa"/>
            <w:gridSpan w:val="3"/>
          </w:tcPr>
          <w:p w14:paraId="31681CB3" w14:textId="0C7524B6"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404875" w:rsidRPr="007669E1" w14:paraId="7F61A019" w14:textId="77777777" w:rsidTr="00690197">
        <w:tc>
          <w:tcPr>
            <w:tcW w:w="2425" w:type="dxa"/>
          </w:tcPr>
          <w:p w14:paraId="64F18C31"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219C2C71" w14:textId="6CA3C2E4"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404875" w:rsidRPr="007669E1" w14:paraId="5979405D" w14:textId="77777777" w:rsidTr="00690197">
        <w:tc>
          <w:tcPr>
            <w:tcW w:w="2425" w:type="dxa"/>
          </w:tcPr>
          <w:p w14:paraId="5F47CFFF"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61035FA6" w14:textId="554A6D9C"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404875" w:rsidRPr="007669E1" w14:paraId="7CA0CE0A" w14:textId="77777777" w:rsidTr="00690197">
        <w:tc>
          <w:tcPr>
            <w:tcW w:w="2425" w:type="dxa"/>
          </w:tcPr>
          <w:p w14:paraId="1BA7208E"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7598A938" w14:textId="6EC0DD07"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404875" w:rsidRPr="007669E1" w14:paraId="4556A143" w14:textId="77777777" w:rsidTr="00690197">
        <w:tc>
          <w:tcPr>
            <w:tcW w:w="2425" w:type="dxa"/>
          </w:tcPr>
          <w:p w14:paraId="400D49D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58D6D92E" w14:textId="65559CFC" w:rsidR="00280E00" w:rsidRPr="007669E1" w:rsidRDefault="000B65D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E72E03" w:rsidRPr="007669E1" w14:paraId="454767E6" w14:textId="77777777" w:rsidTr="00690197">
        <w:trPr>
          <w:trHeight w:val="91"/>
        </w:trPr>
        <w:tc>
          <w:tcPr>
            <w:tcW w:w="2425" w:type="dxa"/>
            <w:vMerge w:val="restart"/>
          </w:tcPr>
          <w:p w14:paraId="2775623B"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5D46319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68E89A7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3E7A745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7ACDEE6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49405D48" w14:textId="432BEC1B"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7619A8" w:rsidRPr="007669E1" w14:paraId="79C4E08D" w14:textId="77777777" w:rsidTr="008917CF">
        <w:trPr>
          <w:trHeight w:val="91"/>
        </w:trPr>
        <w:tc>
          <w:tcPr>
            <w:tcW w:w="2425" w:type="dxa"/>
            <w:vMerge/>
          </w:tcPr>
          <w:p w14:paraId="5F69CD1A"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78EE4385" w14:textId="3BED8E41" w:rsidR="00280E00" w:rsidRPr="007669E1" w:rsidRDefault="0055075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tcPr>
          <w:p w14:paraId="67A146CA" w14:textId="2C0C645A" w:rsidR="00280E00" w:rsidRPr="007669E1" w:rsidRDefault="0055075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gridSpan w:val="2"/>
          </w:tcPr>
          <w:p w14:paraId="3125AECA" w14:textId="315EB9F7" w:rsidR="00280E00" w:rsidRPr="007669E1" w:rsidRDefault="0055075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tcPr>
          <w:p w14:paraId="0DAF5B72" w14:textId="183C682B" w:rsidR="00280E00" w:rsidRPr="007669E1" w:rsidRDefault="003470B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660" w:type="dxa"/>
            <w:shd w:val="clear" w:color="auto" w:fill="auto"/>
          </w:tcPr>
          <w:p w14:paraId="1B53D2A6" w14:textId="01316454" w:rsidR="00280E00" w:rsidRPr="007669E1" w:rsidRDefault="00E537E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r>
    </w:tbl>
    <w:p w14:paraId="19FF2309" w14:textId="77777777" w:rsidR="00277AE4" w:rsidRPr="007669E1" w:rsidRDefault="00277AE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6DC7CDDC" w14:textId="77777777" w:rsidTr="00690197">
        <w:tc>
          <w:tcPr>
            <w:tcW w:w="9625" w:type="dxa"/>
            <w:gridSpan w:val="7"/>
            <w:shd w:val="clear" w:color="auto" w:fill="D9D9D9" w:themeFill="background1" w:themeFillShade="D9"/>
          </w:tcPr>
          <w:p w14:paraId="2B8022E7" w14:textId="18194ACB"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5. Tax exemption of scholarships for pupils, students</w:t>
            </w:r>
            <w:r w:rsidR="0052766A" w:rsidRPr="007669E1">
              <w:rPr>
                <w:rFonts w:ascii="Segoe UI" w:hAnsi="Segoe UI" w:cs="Segoe UI"/>
                <w:b/>
                <w:bCs/>
                <w:sz w:val="18"/>
                <w:szCs w:val="18"/>
              </w:rPr>
              <w:t>,</w:t>
            </w:r>
            <w:r w:rsidRPr="007669E1">
              <w:rPr>
                <w:rFonts w:ascii="Segoe UI" w:hAnsi="Segoe UI" w:cs="Segoe UI"/>
                <w:b/>
                <w:bCs/>
                <w:sz w:val="18"/>
                <w:szCs w:val="18"/>
              </w:rPr>
              <w:t xml:space="preserve"> and postgraduate students</w:t>
            </w:r>
          </w:p>
        </w:tc>
      </w:tr>
      <w:tr w:rsidR="00EC0B39" w:rsidRPr="007669E1" w14:paraId="665F5996" w14:textId="77777777" w:rsidTr="00690197">
        <w:tc>
          <w:tcPr>
            <w:tcW w:w="2425" w:type="dxa"/>
          </w:tcPr>
          <w:p w14:paraId="253157E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7104F607" w14:textId="77777777"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color w:val="000000"/>
                <w:sz w:val="18"/>
                <w:szCs w:val="18"/>
              </w:rPr>
              <w:t xml:space="preserve">All scholarships for pupils, students and post-graduate students or post-graduate specialized education are tax exempt. This applies for state or private education institutions according to the education </w:t>
            </w:r>
            <w:r w:rsidRPr="007669E1">
              <w:rPr>
                <w:rFonts w:ascii="Segoe UI" w:hAnsi="Segoe UI" w:cs="Segoe UI"/>
                <w:sz w:val="18"/>
                <w:szCs w:val="18"/>
              </w:rPr>
              <w:t>legislation, as established by these education institutions, as well as scholarships granted by charitable organizations, except for the payments for teaching or research activity, single allowances granted to young specialists employed in the rural areas according to their assignment.</w:t>
            </w:r>
          </w:p>
        </w:tc>
      </w:tr>
      <w:tr w:rsidR="00EC0B39" w:rsidRPr="007669E1" w14:paraId="3A259ED4" w14:textId="77777777" w:rsidTr="00690197">
        <w:tc>
          <w:tcPr>
            <w:tcW w:w="2425" w:type="dxa"/>
          </w:tcPr>
          <w:p w14:paraId="72FCB0D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6318669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EC0B39" w:rsidRPr="007669E1" w14:paraId="58EFE7BF" w14:textId="77777777" w:rsidTr="00690197">
        <w:tc>
          <w:tcPr>
            <w:tcW w:w="2425" w:type="dxa"/>
          </w:tcPr>
          <w:p w14:paraId="504B064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693CB4C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Recipients of scholarships as defined above.</w:t>
            </w:r>
          </w:p>
        </w:tc>
      </w:tr>
      <w:tr w:rsidR="00EC0B39" w:rsidRPr="007669E1" w14:paraId="11D13EFA" w14:textId="77777777" w:rsidTr="00690197">
        <w:tc>
          <w:tcPr>
            <w:tcW w:w="2425" w:type="dxa"/>
          </w:tcPr>
          <w:p w14:paraId="069A5FB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6B575E8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EC0B39" w:rsidRPr="007669E1" w14:paraId="2BA01235" w14:textId="77777777" w:rsidTr="00690197">
        <w:tc>
          <w:tcPr>
            <w:tcW w:w="2425" w:type="dxa"/>
          </w:tcPr>
          <w:p w14:paraId="2369B4A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2943DDC8" w14:textId="5EE289E9"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transfer payments constitute income in the hands of the bursary beneficiaries under the comprehensive income concept. They should attract PIT at the flat rate of 12% if their combined income streams exceed the basic personal allowance of MDL 27,000 per year. The non-taxation constitutes a tax expenditure.</w:t>
            </w:r>
          </w:p>
        </w:tc>
      </w:tr>
      <w:tr w:rsidR="00EC0B39" w:rsidRPr="007669E1" w14:paraId="4A7F23F0" w14:textId="77777777" w:rsidTr="00690197">
        <w:tc>
          <w:tcPr>
            <w:tcW w:w="2425" w:type="dxa"/>
          </w:tcPr>
          <w:p w14:paraId="36E738D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5F7C9C2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20(e)</w:t>
            </w:r>
          </w:p>
        </w:tc>
      </w:tr>
      <w:tr w:rsidR="00002F93" w:rsidRPr="007669E1" w14:paraId="63BAD47E" w14:textId="77777777" w:rsidTr="00690197">
        <w:trPr>
          <w:trHeight w:val="182"/>
        </w:trPr>
        <w:tc>
          <w:tcPr>
            <w:tcW w:w="2425" w:type="dxa"/>
            <w:vMerge w:val="restart"/>
          </w:tcPr>
          <w:p w14:paraId="0A9288A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3290452E"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5AF1022A" w14:textId="77777777" w:rsidTr="00690197">
        <w:trPr>
          <w:trHeight w:val="182"/>
        </w:trPr>
        <w:tc>
          <w:tcPr>
            <w:tcW w:w="2425" w:type="dxa"/>
            <w:vMerge/>
          </w:tcPr>
          <w:p w14:paraId="1176DD5D"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1816E85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41DD1EBD" w14:textId="050E22A7"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63DA4BF8" w14:textId="77777777" w:rsidTr="00690197">
        <w:tc>
          <w:tcPr>
            <w:tcW w:w="2425" w:type="dxa"/>
          </w:tcPr>
          <w:p w14:paraId="6AECE65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1D4E6736" w14:textId="7AAED9B8" w:rsidR="00280E00" w:rsidRPr="007669E1" w:rsidRDefault="00E153C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w:t>
            </w:r>
            <w:r w:rsidR="00280E00" w:rsidRPr="007669E1">
              <w:rPr>
                <w:rFonts w:ascii="Segoe UI" w:hAnsi="Segoe UI" w:cs="Segoe UI"/>
                <w:sz w:val="18"/>
                <w:szCs w:val="18"/>
              </w:rPr>
              <w:t>tate budget data</w:t>
            </w:r>
          </w:p>
        </w:tc>
      </w:tr>
      <w:tr w:rsidR="00002F93" w:rsidRPr="007669E1" w14:paraId="3C868547" w14:textId="77777777" w:rsidTr="00690197">
        <w:tc>
          <w:tcPr>
            <w:tcW w:w="2425" w:type="dxa"/>
          </w:tcPr>
          <w:p w14:paraId="48A162A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725185C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Estimating budget expenditures</w:t>
            </w:r>
          </w:p>
        </w:tc>
      </w:tr>
      <w:tr w:rsidR="00002F93" w:rsidRPr="007669E1" w14:paraId="5638FDB1" w14:textId="77777777" w:rsidTr="00690197">
        <w:tc>
          <w:tcPr>
            <w:tcW w:w="2425" w:type="dxa"/>
          </w:tcPr>
          <w:p w14:paraId="0FB3C80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7F0DF9E7"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11CCA31C" w14:textId="77777777" w:rsidTr="00690197">
        <w:tc>
          <w:tcPr>
            <w:tcW w:w="2425" w:type="dxa"/>
          </w:tcPr>
          <w:p w14:paraId="636942F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583C065B" w14:textId="06F0121E" w:rsidR="00280E00" w:rsidRPr="007669E1" w:rsidRDefault="2D2D1B7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E72E03" w:rsidRPr="007669E1" w14:paraId="49B9C3A4" w14:textId="77777777" w:rsidTr="00C37C1D">
        <w:trPr>
          <w:trHeight w:val="91"/>
        </w:trPr>
        <w:tc>
          <w:tcPr>
            <w:tcW w:w="2425" w:type="dxa"/>
            <w:vMerge w:val="restart"/>
          </w:tcPr>
          <w:p w14:paraId="729A18AC"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shd w:val="clear" w:color="auto" w:fill="auto"/>
          </w:tcPr>
          <w:p w14:paraId="1CB184D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shd w:val="clear" w:color="auto" w:fill="auto"/>
          </w:tcPr>
          <w:p w14:paraId="6141AD1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shd w:val="clear" w:color="auto" w:fill="auto"/>
          </w:tcPr>
          <w:p w14:paraId="2F99BFF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shd w:val="clear" w:color="auto" w:fill="auto"/>
          </w:tcPr>
          <w:p w14:paraId="38664F8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shd w:val="clear" w:color="auto" w:fill="auto"/>
          </w:tcPr>
          <w:p w14:paraId="4806D8D8" w14:textId="2EFF85FF"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A2051E" w:rsidRPr="007669E1" w14:paraId="50DEF8BF" w14:textId="77777777" w:rsidTr="30EE227E">
        <w:trPr>
          <w:trHeight w:val="91"/>
        </w:trPr>
        <w:tc>
          <w:tcPr>
            <w:tcW w:w="2425" w:type="dxa"/>
            <w:vMerge/>
          </w:tcPr>
          <w:p w14:paraId="76933701" w14:textId="77777777" w:rsidR="00280E00" w:rsidRPr="007669E1" w:rsidRDefault="00280E00" w:rsidP="00E90BA7">
            <w:pPr>
              <w:spacing w:before="20" w:after="20" w:line="240" w:lineRule="auto"/>
              <w:jc w:val="both"/>
              <w:rPr>
                <w:rFonts w:ascii="Segoe UI" w:hAnsi="Segoe UI" w:cs="Segoe UI"/>
                <w:sz w:val="18"/>
                <w:szCs w:val="18"/>
                <w:highlight w:val="yellow"/>
              </w:rPr>
            </w:pPr>
          </w:p>
        </w:tc>
        <w:tc>
          <w:tcPr>
            <w:tcW w:w="1385" w:type="dxa"/>
            <w:shd w:val="clear" w:color="auto" w:fill="auto"/>
          </w:tcPr>
          <w:p w14:paraId="30913988" w14:textId="5D0864AF"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112</w:t>
            </w:r>
            <w:r w:rsidR="7D5A0814" w:rsidRPr="007669E1">
              <w:rPr>
                <w:rFonts w:ascii="Segoe UI" w:hAnsi="Segoe UI" w:cs="Segoe UI"/>
                <w:sz w:val="18"/>
                <w:szCs w:val="18"/>
              </w:rPr>
              <w:t>,</w:t>
            </w:r>
            <w:r w:rsidR="0AFE65BB" w:rsidRPr="007669E1">
              <w:rPr>
                <w:rFonts w:ascii="Segoe UI" w:hAnsi="Segoe UI" w:cs="Segoe UI"/>
                <w:sz w:val="18"/>
                <w:szCs w:val="18"/>
              </w:rPr>
              <w:t>1</w:t>
            </w:r>
            <w:r w:rsidR="39414677" w:rsidRPr="007669E1">
              <w:rPr>
                <w:rFonts w:ascii="Segoe UI" w:hAnsi="Segoe UI" w:cs="Segoe UI"/>
                <w:sz w:val="18"/>
                <w:szCs w:val="18"/>
              </w:rPr>
              <w:t>00.0</w:t>
            </w:r>
          </w:p>
        </w:tc>
        <w:tc>
          <w:tcPr>
            <w:tcW w:w="1385" w:type="dxa"/>
            <w:shd w:val="clear" w:color="auto" w:fill="auto"/>
          </w:tcPr>
          <w:p w14:paraId="45C609E5" w14:textId="6490A479"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247</w:t>
            </w:r>
            <w:r w:rsidR="4EDEEF1A" w:rsidRPr="007669E1">
              <w:rPr>
                <w:rFonts w:ascii="Segoe UI" w:hAnsi="Segoe UI" w:cs="Segoe UI"/>
                <w:sz w:val="18"/>
                <w:szCs w:val="18"/>
              </w:rPr>
              <w:t>,</w:t>
            </w:r>
            <w:r w:rsidR="0AFE65BB" w:rsidRPr="007669E1">
              <w:rPr>
                <w:rFonts w:ascii="Segoe UI" w:hAnsi="Segoe UI" w:cs="Segoe UI"/>
                <w:sz w:val="18"/>
                <w:szCs w:val="18"/>
              </w:rPr>
              <w:t>2</w:t>
            </w:r>
            <w:r w:rsidR="4EDEEF1A" w:rsidRPr="007669E1">
              <w:rPr>
                <w:rFonts w:ascii="Segoe UI" w:hAnsi="Segoe UI" w:cs="Segoe UI"/>
                <w:sz w:val="18"/>
                <w:szCs w:val="18"/>
              </w:rPr>
              <w:t>00.0</w:t>
            </w:r>
          </w:p>
        </w:tc>
        <w:tc>
          <w:tcPr>
            <w:tcW w:w="1385" w:type="dxa"/>
            <w:gridSpan w:val="2"/>
            <w:shd w:val="clear" w:color="auto" w:fill="auto"/>
          </w:tcPr>
          <w:p w14:paraId="2E81226B" w14:textId="0DD3B2A5"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252</w:t>
            </w:r>
            <w:r w:rsidR="6A484271" w:rsidRPr="007669E1">
              <w:rPr>
                <w:rFonts w:ascii="Segoe UI" w:hAnsi="Segoe UI" w:cs="Segoe UI"/>
                <w:sz w:val="18"/>
                <w:szCs w:val="18"/>
              </w:rPr>
              <w:t>,</w:t>
            </w:r>
            <w:r w:rsidR="0AFE65BB" w:rsidRPr="007669E1">
              <w:rPr>
                <w:rFonts w:ascii="Segoe UI" w:hAnsi="Segoe UI" w:cs="Segoe UI"/>
                <w:sz w:val="18"/>
                <w:szCs w:val="18"/>
              </w:rPr>
              <w:t>2</w:t>
            </w:r>
            <w:r w:rsidR="6A484271" w:rsidRPr="007669E1">
              <w:rPr>
                <w:rFonts w:ascii="Segoe UI" w:hAnsi="Segoe UI" w:cs="Segoe UI"/>
                <w:sz w:val="18"/>
                <w:szCs w:val="18"/>
              </w:rPr>
              <w:t>00.0</w:t>
            </w:r>
          </w:p>
        </w:tc>
        <w:tc>
          <w:tcPr>
            <w:tcW w:w="1385" w:type="dxa"/>
            <w:shd w:val="clear" w:color="auto" w:fill="E6E6E6"/>
          </w:tcPr>
          <w:p w14:paraId="2B1228DB" w14:textId="28F7883A" w:rsidR="00B15790" w:rsidRPr="007669E1" w:rsidRDefault="00B02BC1"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285</w:t>
            </w:r>
            <w:r w:rsidR="31B1C2E2" w:rsidRPr="007669E1">
              <w:rPr>
                <w:rFonts w:ascii="Segoe UI" w:hAnsi="Segoe UI" w:cs="Segoe UI"/>
                <w:i/>
                <w:sz w:val="18"/>
                <w:szCs w:val="18"/>
              </w:rPr>
              <w:t>,</w:t>
            </w:r>
            <w:r w:rsidR="7491EB38" w:rsidRPr="007669E1">
              <w:rPr>
                <w:rFonts w:ascii="Segoe UI" w:hAnsi="Segoe UI" w:cs="Segoe UI"/>
                <w:i/>
                <w:sz w:val="18"/>
                <w:szCs w:val="18"/>
              </w:rPr>
              <w:t>4</w:t>
            </w:r>
            <w:r w:rsidR="11E08607" w:rsidRPr="007669E1">
              <w:rPr>
                <w:rFonts w:ascii="Segoe UI" w:hAnsi="Segoe UI" w:cs="Segoe UI"/>
                <w:i/>
                <w:sz w:val="18"/>
                <w:szCs w:val="18"/>
              </w:rPr>
              <w:t>00.0</w:t>
            </w:r>
          </w:p>
        </w:tc>
        <w:tc>
          <w:tcPr>
            <w:tcW w:w="1660" w:type="dxa"/>
            <w:shd w:val="clear" w:color="auto" w:fill="E6E6E6"/>
          </w:tcPr>
          <w:p w14:paraId="72B6260F" w14:textId="6948492F" w:rsidR="00340BDF" w:rsidRPr="007669E1" w:rsidRDefault="00340BDF"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313</w:t>
            </w:r>
            <w:r w:rsidR="764FFD7B" w:rsidRPr="007669E1">
              <w:rPr>
                <w:rFonts w:ascii="Segoe UI" w:hAnsi="Segoe UI" w:cs="Segoe UI"/>
                <w:i/>
                <w:sz w:val="18"/>
                <w:szCs w:val="18"/>
              </w:rPr>
              <w:t>,</w:t>
            </w:r>
            <w:r w:rsidR="314FA158" w:rsidRPr="007669E1">
              <w:rPr>
                <w:rFonts w:ascii="Segoe UI" w:hAnsi="Segoe UI" w:cs="Segoe UI"/>
                <w:i/>
                <w:sz w:val="18"/>
                <w:szCs w:val="18"/>
              </w:rPr>
              <w:t>8</w:t>
            </w:r>
            <w:r w:rsidR="764FFD7B" w:rsidRPr="007669E1">
              <w:rPr>
                <w:rFonts w:ascii="Segoe UI" w:hAnsi="Segoe UI" w:cs="Segoe UI"/>
                <w:i/>
                <w:sz w:val="18"/>
                <w:szCs w:val="18"/>
              </w:rPr>
              <w:t>00.0</w:t>
            </w:r>
          </w:p>
        </w:tc>
      </w:tr>
    </w:tbl>
    <w:p w14:paraId="45E62880" w14:textId="1DA55585" w:rsidR="00280E00" w:rsidRPr="007669E1" w:rsidRDefault="00D62C2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Note:</w:t>
      </w:r>
      <w:r w:rsidR="00A83734" w:rsidRPr="007669E1">
        <w:rPr>
          <w:rFonts w:ascii="Segoe UI" w:hAnsi="Segoe UI" w:cs="Segoe UI"/>
          <w:sz w:val="18"/>
          <w:szCs w:val="18"/>
        </w:rPr>
        <w:t xml:space="preserve"> Estimates from 2018 to 2020</w:t>
      </w:r>
      <w:r w:rsidR="00881E8D" w:rsidRPr="007669E1">
        <w:rPr>
          <w:rFonts w:ascii="Segoe UI" w:hAnsi="Segoe UI" w:cs="Segoe UI"/>
          <w:sz w:val="18"/>
          <w:szCs w:val="18"/>
        </w:rPr>
        <w:t xml:space="preserve"> are based on actual data</w:t>
      </w:r>
      <w:r w:rsidR="00CB539D" w:rsidRPr="007669E1">
        <w:rPr>
          <w:rFonts w:ascii="Segoe UI" w:hAnsi="Segoe UI" w:cs="Segoe UI"/>
          <w:sz w:val="18"/>
          <w:szCs w:val="18"/>
        </w:rPr>
        <w:t xml:space="preserve">; </w:t>
      </w:r>
      <w:r w:rsidR="00342CFE" w:rsidRPr="007669E1">
        <w:rPr>
          <w:rFonts w:ascii="Segoe UI" w:hAnsi="Segoe UI" w:cs="Segoe UI"/>
          <w:sz w:val="18"/>
          <w:szCs w:val="18"/>
        </w:rPr>
        <w:t>2021 and 202</w:t>
      </w:r>
      <w:r w:rsidR="00454770" w:rsidRPr="007669E1">
        <w:rPr>
          <w:rFonts w:ascii="Segoe UI" w:hAnsi="Segoe UI" w:cs="Segoe UI"/>
          <w:sz w:val="18"/>
          <w:szCs w:val="18"/>
        </w:rPr>
        <w:t>2</w:t>
      </w:r>
      <w:r w:rsidR="00342CFE" w:rsidRPr="007669E1">
        <w:rPr>
          <w:rFonts w:ascii="Segoe UI" w:hAnsi="Segoe UI" w:cs="Segoe UI"/>
          <w:sz w:val="18"/>
          <w:szCs w:val="18"/>
        </w:rPr>
        <w:t xml:space="preserve"> are projections based on </w:t>
      </w:r>
      <w:r w:rsidR="00DC253D" w:rsidRPr="007669E1">
        <w:rPr>
          <w:rFonts w:ascii="Segoe UI" w:hAnsi="Segoe UI" w:cs="Segoe UI"/>
          <w:sz w:val="18"/>
          <w:szCs w:val="18"/>
        </w:rPr>
        <w:t>2020.</w:t>
      </w:r>
    </w:p>
    <w:p w14:paraId="6A7FDEB5" w14:textId="77777777" w:rsidR="00D62C2F" w:rsidRPr="007669E1" w:rsidRDefault="00D62C2F"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15DD5F90" w14:textId="77777777" w:rsidTr="00E81091">
        <w:tc>
          <w:tcPr>
            <w:tcW w:w="9625" w:type="dxa"/>
            <w:gridSpan w:val="7"/>
            <w:shd w:val="clear" w:color="auto" w:fill="D9D9D9" w:themeFill="background1" w:themeFillShade="D9"/>
          </w:tcPr>
          <w:p w14:paraId="54D8A276" w14:textId="1CA9EA5C" w:rsidR="00280E00" w:rsidRPr="007669E1" w:rsidRDefault="00280E00" w:rsidP="00E90BA7">
            <w:pPr>
              <w:keepNext/>
              <w:spacing w:before="20" w:after="20" w:line="240" w:lineRule="auto"/>
              <w:jc w:val="both"/>
              <w:rPr>
                <w:rFonts w:ascii="Segoe UI" w:hAnsi="Segoe UI" w:cs="Segoe UI"/>
                <w:b/>
                <w:bCs/>
                <w:sz w:val="18"/>
                <w:szCs w:val="18"/>
              </w:rPr>
            </w:pPr>
            <w:r w:rsidRPr="007669E1">
              <w:rPr>
                <w:rFonts w:ascii="Segoe UI" w:hAnsi="Segoe UI" w:cs="Segoe UI"/>
                <w:b/>
                <w:bCs/>
                <w:sz w:val="18"/>
                <w:szCs w:val="18"/>
              </w:rPr>
              <w:t>6. Tax exemption of received patrimony received as a donation or inheritance</w:t>
            </w:r>
          </w:p>
        </w:tc>
      </w:tr>
      <w:tr w:rsidR="00002F93" w:rsidRPr="007669E1" w14:paraId="0547689F" w14:textId="77777777" w:rsidTr="00E81091">
        <w:tc>
          <w:tcPr>
            <w:tcW w:w="2425" w:type="dxa"/>
          </w:tcPr>
          <w:p w14:paraId="68A7D0D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09044E95" w14:textId="77777777" w:rsidR="00280E00" w:rsidRPr="007669E1" w:rsidRDefault="00280E00" w:rsidP="00E90BA7">
            <w:pPr>
              <w:keepNext/>
              <w:spacing w:before="20" w:after="20" w:line="240" w:lineRule="auto"/>
              <w:jc w:val="both"/>
              <w:rPr>
                <w:rFonts w:ascii="Segoe UI" w:hAnsi="Segoe UI" w:cs="Segoe UI"/>
                <w:sz w:val="18"/>
                <w:szCs w:val="18"/>
              </w:rPr>
            </w:pPr>
            <w:r w:rsidRPr="007669E1">
              <w:rPr>
                <w:rFonts w:ascii="Segoe UI" w:hAnsi="Segoe UI" w:cs="Segoe UI"/>
                <w:sz w:val="18"/>
                <w:szCs w:val="18"/>
              </w:rPr>
              <w:t>Exempt from PIT are patrimony received by the natural persons citizens of the Republic of Moldova as a donation or inheritance, except for the donations made according to Article 90¹ para (3¹);</w:t>
            </w:r>
          </w:p>
        </w:tc>
      </w:tr>
      <w:tr w:rsidR="00002F93" w:rsidRPr="007669E1" w14:paraId="01463570" w14:textId="77777777" w:rsidTr="00E81091">
        <w:tc>
          <w:tcPr>
            <w:tcW w:w="2425" w:type="dxa"/>
          </w:tcPr>
          <w:p w14:paraId="1F8561F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Type of Tax Affected</w:t>
            </w:r>
          </w:p>
        </w:tc>
        <w:tc>
          <w:tcPr>
            <w:tcW w:w="7200" w:type="dxa"/>
            <w:gridSpan w:val="6"/>
          </w:tcPr>
          <w:p w14:paraId="5B0C488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7E4A7EB3" w14:textId="77777777" w:rsidTr="00E81091">
        <w:tc>
          <w:tcPr>
            <w:tcW w:w="2425" w:type="dxa"/>
          </w:tcPr>
          <w:p w14:paraId="7D7CC27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363DDCC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Recipient of patrimony</w:t>
            </w:r>
          </w:p>
        </w:tc>
      </w:tr>
      <w:tr w:rsidR="00002F93" w:rsidRPr="007669E1" w14:paraId="74E4CA69" w14:textId="77777777" w:rsidTr="00E81091">
        <w:tc>
          <w:tcPr>
            <w:tcW w:w="2425" w:type="dxa"/>
          </w:tcPr>
          <w:p w14:paraId="0AEB87C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08C47C6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Exemption</w:t>
            </w:r>
          </w:p>
        </w:tc>
      </w:tr>
      <w:tr w:rsidR="00002F93" w:rsidRPr="007669E1" w14:paraId="474BCE09" w14:textId="77777777" w:rsidTr="00E81091">
        <w:tc>
          <w:tcPr>
            <w:tcW w:w="2425" w:type="dxa"/>
          </w:tcPr>
          <w:p w14:paraId="0836264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2067C05F" w14:textId="6E349B9A"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these transfers/payments constitute income in the hands of the persons receiving the patrimony. They should attract PIT at the flat rate of 12% if their combined income streams exceed the basic personal allowance of MDL 27,000 per year. The non-taxation constitutes therefore a tax expenditure.</w:t>
            </w:r>
          </w:p>
        </w:tc>
      </w:tr>
      <w:tr w:rsidR="00002F93" w:rsidRPr="007669E1" w14:paraId="7035F4D9" w14:textId="77777777" w:rsidTr="00E81091">
        <w:tc>
          <w:tcPr>
            <w:tcW w:w="2425" w:type="dxa"/>
          </w:tcPr>
          <w:p w14:paraId="422BFAB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2C3E61A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20(i)</w:t>
            </w:r>
          </w:p>
        </w:tc>
      </w:tr>
      <w:tr w:rsidR="00002F93" w:rsidRPr="007669E1" w14:paraId="7726C5E3" w14:textId="77777777" w:rsidTr="00E81091">
        <w:trPr>
          <w:trHeight w:val="182"/>
        </w:trPr>
        <w:tc>
          <w:tcPr>
            <w:tcW w:w="2425" w:type="dxa"/>
            <w:vMerge w:val="restart"/>
          </w:tcPr>
          <w:p w14:paraId="60FF223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36D07BB6"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21A875F6" w14:textId="77777777" w:rsidTr="00E81091">
        <w:trPr>
          <w:trHeight w:val="182"/>
        </w:trPr>
        <w:tc>
          <w:tcPr>
            <w:tcW w:w="2425" w:type="dxa"/>
            <w:vMerge/>
          </w:tcPr>
          <w:p w14:paraId="25828E53"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1C9ADF8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7C7EA5B8" w14:textId="0A540D8E"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0DC0B39C" w14:textId="77777777" w:rsidTr="00E81091">
        <w:tc>
          <w:tcPr>
            <w:tcW w:w="2425" w:type="dxa"/>
          </w:tcPr>
          <w:p w14:paraId="56C22A6B"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71E232B8" w14:textId="0D018DD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E3D3D2D" w14:textId="77777777" w:rsidTr="00E81091">
        <w:tc>
          <w:tcPr>
            <w:tcW w:w="2425" w:type="dxa"/>
          </w:tcPr>
          <w:p w14:paraId="34B71767"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6F0998F1" w14:textId="523D010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06F157E8" w14:textId="77777777" w:rsidTr="00E81091">
        <w:tc>
          <w:tcPr>
            <w:tcW w:w="2425" w:type="dxa"/>
          </w:tcPr>
          <w:p w14:paraId="6E60C947"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12169225" w14:textId="7A018A70"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2B2AE8D2" w14:textId="77777777" w:rsidTr="00E81091">
        <w:tc>
          <w:tcPr>
            <w:tcW w:w="2425" w:type="dxa"/>
          </w:tcPr>
          <w:p w14:paraId="73C6172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11740685" w14:textId="1033181A" w:rsidR="00280E00" w:rsidRPr="007669E1" w:rsidRDefault="000B65D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71867A60" w14:textId="77777777" w:rsidTr="00E81091">
        <w:trPr>
          <w:trHeight w:val="91"/>
        </w:trPr>
        <w:tc>
          <w:tcPr>
            <w:tcW w:w="2425" w:type="dxa"/>
            <w:vMerge w:val="restart"/>
          </w:tcPr>
          <w:p w14:paraId="2832853A"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352DB9B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363B864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249B9DA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00FCB2B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795FF6A8" w14:textId="587D4FC0"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49A49CBB" w14:textId="77777777" w:rsidTr="00E81091">
        <w:trPr>
          <w:trHeight w:val="91"/>
        </w:trPr>
        <w:tc>
          <w:tcPr>
            <w:tcW w:w="2425" w:type="dxa"/>
            <w:vMerge/>
          </w:tcPr>
          <w:p w14:paraId="4F11971B" w14:textId="77777777" w:rsidR="00A9671F" w:rsidRPr="007669E1" w:rsidRDefault="00A9671F" w:rsidP="00E90BA7">
            <w:pPr>
              <w:spacing w:before="20" w:after="20" w:line="240" w:lineRule="auto"/>
              <w:jc w:val="both"/>
              <w:rPr>
                <w:rFonts w:ascii="Segoe UI" w:hAnsi="Segoe UI" w:cs="Segoe UI"/>
                <w:sz w:val="18"/>
                <w:szCs w:val="18"/>
              </w:rPr>
            </w:pPr>
          </w:p>
        </w:tc>
        <w:tc>
          <w:tcPr>
            <w:tcW w:w="1385" w:type="dxa"/>
          </w:tcPr>
          <w:p w14:paraId="70DEC5BD" w14:textId="3411ACB1" w:rsidR="00A9671F" w:rsidRPr="007669E1" w:rsidRDefault="00E537E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tcPr>
          <w:p w14:paraId="2D54E92F" w14:textId="0E96AFA1" w:rsidR="00A9671F" w:rsidRPr="007669E1" w:rsidRDefault="00E537E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gridSpan w:val="2"/>
          </w:tcPr>
          <w:p w14:paraId="2D827DED" w14:textId="34EAF1F2" w:rsidR="00A9671F" w:rsidRPr="007669E1" w:rsidRDefault="00E537E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tcPr>
          <w:p w14:paraId="0225BC60" w14:textId="12BF81CD" w:rsidR="00A9671F" w:rsidRPr="007669E1" w:rsidRDefault="00E537E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660" w:type="dxa"/>
          </w:tcPr>
          <w:p w14:paraId="7CB86917" w14:textId="46D3F40B" w:rsidR="00A9671F" w:rsidRPr="007669E1" w:rsidRDefault="00E537E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r>
    </w:tbl>
    <w:p w14:paraId="4B1D88C6"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5B391E5B" w14:textId="77777777" w:rsidTr="00AD18E3">
        <w:tc>
          <w:tcPr>
            <w:tcW w:w="9625" w:type="dxa"/>
            <w:gridSpan w:val="7"/>
            <w:shd w:val="clear" w:color="auto" w:fill="D9D9D9" w:themeFill="background1" w:themeFillShade="D9"/>
          </w:tcPr>
          <w:p w14:paraId="0BF1EDB6" w14:textId="3D909F6B"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 xml:space="preserve">7. Tax exemption of gratuitous transfers of property, including cash, from Government or competent authorities </w:t>
            </w:r>
          </w:p>
        </w:tc>
      </w:tr>
      <w:tr w:rsidR="00002F93" w:rsidRPr="007669E1" w14:paraId="2DE68868" w14:textId="77777777" w:rsidTr="00AD18E3">
        <w:tc>
          <w:tcPr>
            <w:tcW w:w="2425" w:type="dxa"/>
          </w:tcPr>
          <w:p w14:paraId="394E6E9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10F54F0E" w14:textId="5E4EB2C0"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of incomes from gratuitous transfer of property, including cash means, according to the decision of the Government or competent authorities of the local public administration</w:t>
            </w:r>
            <w:r w:rsidR="00804525" w:rsidRPr="007669E1">
              <w:rPr>
                <w:rFonts w:ascii="Segoe UI" w:hAnsi="Segoe UI" w:cs="Segoe UI"/>
                <w:sz w:val="18"/>
                <w:szCs w:val="18"/>
              </w:rPr>
              <w:t>.</w:t>
            </w:r>
          </w:p>
        </w:tc>
      </w:tr>
      <w:tr w:rsidR="00002F93" w:rsidRPr="007669E1" w14:paraId="38333157" w14:textId="77777777" w:rsidTr="00AD18E3">
        <w:tc>
          <w:tcPr>
            <w:tcW w:w="2425" w:type="dxa"/>
          </w:tcPr>
          <w:p w14:paraId="000BB9B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5CE0D40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66A57A3" w14:textId="77777777" w:rsidTr="00AD18E3">
        <w:tc>
          <w:tcPr>
            <w:tcW w:w="2425" w:type="dxa"/>
          </w:tcPr>
          <w:p w14:paraId="1EF8B67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467BCCB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Beneficiaries of gratuitous transfer payments </w:t>
            </w:r>
          </w:p>
        </w:tc>
      </w:tr>
      <w:tr w:rsidR="00002F93" w:rsidRPr="007669E1" w14:paraId="2A9BEF10" w14:textId="77777777" w:rsidTr="00AD18E3">
        <w:tc>
          <w:tcPr>
            <w:tcW w:w="2425" w:type="dxa"/>
          </w:tcPr>
          <w:p w14:paraId="08B0CE0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01DD874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036E343F" w14:textId="77777777" w:rsidTr="00AD18E3">
        <w:tc>
          <w:tcPr>
            <w:tcW w:w="2425" w:type="dxa"/>
          </w:tcPr>
          <w:p w14:paraId="3B2EEFB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12AFF59D" w14:textId="19A9E270"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these transfers/payments constitute income in the hands of the persons receiving the transfers. They should attract PIT at the flat rate of 12% if their combined income streams exceed the basic personal allowance of MDL 27,000 per year. The non-taxation constitutes therefore a tax expenditure.</w:t>
            </w:r>
          </w:p>
        </w:tc>
      </w:tr>
      <w:tr w:rsidR="00002F93" w:rsidRPr="007669E1" w14:paraId="76E1597D" w14:textId="77777777" w:rsidTr="00AD18E3">
        <w:tc>
          <w:tcPr>
            <w:tcW w:w="2425" w:type="dxa"/>
          </w:tcPr>
          <w:p w14:paraId="35D70EC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165FDE5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(j)</w:t>
            </w:r>
          </w:p>
        </w:tc>
      </w:tr>
      <w:tr w:rsidR="00002F93" w:rsidRPr="007669E1" w14:paraId="3E2938CC" w14:textId="77777777" w:rsidTr="00AD18E3">
        <w:trPr>
          <w:trHeight w:val="182"/>
        </w:trPr>
        <w:tc>
          <w:tcPr>
            <w:tcW w:w="2425" w:type="dxa"/>
            <w:vMerge w:val="restart"/>
          </w:tcPr>
          <w:p w14:paraId="3E32FED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4567E782"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1876D8DD" w14:textId="77777777" w:rsidTr="00AD18E3">
        <w:trPr>
          <w:trHeight w:val="182"/>
        </w:trPr>
        <w:tc>
          <w:tcPr>
            <w:tcW w:w="2425" w:type="dxa"/>
            <w:vMerge/>
          </w:tcPr>
          <w:p w14:paraId="4E74CA64"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718547D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2007</w:t>
            </w:r>
          </w:p>
        </w:tc>
        <w:tc>
          <w:tcPr>
            <w:tcW w:w="3738" w:type="dxa"/>
            <w:gridSpan w:val="3"/>
          </w:tcPr>
          <w:p w14:paraId="21216044" w14:textId="5598AC7E"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01F37877" w14:textId="77777777" w:rsidTr="00AD18E3">
        <w:tc>
          <w:tcPr>
            <w:tcW w:w="2425" w:type="dxa"/>
          </w:tcPr>
          <w:p w14:paraId="226A46B1"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6226B4D0" w14:textId="709394A3"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516D272" w14:textId="77777777" w:rsidTr="00AD18E3">
        <w:tc>
          <w:tcPr>
            <w:tcW w:w="2425" w:type="dxa"/>
          </w:tcPr>
          <w:p w14:paraId="74612C18"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4EE57DC5" w14:textId="0696236B"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3DA60CE" w14:textId="77777777" w:rsidTr="00AD18E3">
        <w:tc>
          <w:tcPr>
            <w:tcW w:w="2425" w:type="dxa"/>
          </w:tcPr>
          <w:p w14:paraId="67943E1F"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3D201BE1" w14:textId="3EAF58E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8C5AF19" w14:textId="77777777" w:rsidTr="00AD18E3">
        <w:tc>
          <w:tcPr>
            <w:tcW w:w="2425" w:type="dxa"/>
          </w:tcPr>
          <w:p w14:paraId="3BC07F0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62D6E2BF" w14:textId="6184CB1C" w:rsidR="00280E00" w:rsidRPr="007669E1" w:rsidRDefault="00840F2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58DF9CCE" w14:textId="77777777" w:rsidTr="00AD18E3">
        <w:trPr>
          <w:trHeight w:val="91"/>
        </w:trPr>
        <w:tc>
          <w:tcPr>
            <w:tcW w:w="2425" w:type="dxa"/>
            <w:vMerge w:val="restart"/>
          </w:tcPr>
          <w:p w14:paraId="02DB39A3"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2F3ED6B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18C0F72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3DD6E35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77DB8B3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3C77BECD" w14:textId="1569FE57"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33F4E35B" w14:textId="77777777" w:rsidTr="00AD18E3">
        <w:trPr>
          <w:trHeight w:val="91"/>
        </w:trPr>
        <w:tc>
          <w:tcPr>
            <w:tcW w:w="2425" w:type="dxa"/>
            <w:vMerge/>
          </w:tcPr>
          <w:p w14:paraId="158F7EFA"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3D070520" w14:textId="388F094A" w:rsidR="00AA1580" w:rsidRPr="007669E1" w:rsidRDefault="004319B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tcPr>
          <w:p w14:paraId="515C8154" w14:textId="35A51776" w:rsidR="00AA1580" w:rsidRPr="007669E1" w:rsidRDefault="004319B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gridSpan w:val="2"/>
          </w:tcPr>
          <w:p w14:paraId="64DA5226" w14:textId="28203BE2" w:rsidR="00AA1580" w:rsidRPr="007669E1" w:rsidRDefault="004319B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385" w:type="dxa"/>
          </w:tcPr>
          <w:p w14:paraId="268E6575" w14:textId="39B579CE" w:rsidR="00AA1580" w:rsidRPr="007669E1" w:rsidRDefault="004319B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c>
          <w:tcPr>
            <w:tcW w:w="1660" w:type="dxa"/>
          </w:tcPr>
          <w:p w14:paraId="3FD6F153" w14:textId="069CE95F" w:rsidR="00AA1580" w:rsidRPr="007669E1" w:rsidRDefault="004319B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A26E7" w:rsidRPr="007669E1">
              <w:rPr>
                <w:rFonts w:ascii="Segoe UI" w:hAnsi="Segoe UI" w:cs="Segoe UI"/>
                <w:color w:val="000000"/>
                <w:sz w:val="18"/>
                <w:szCs w:val="18"/>
              </w:rPr>
              <w:t>.</w:t>
            </w:r>
          </w:p>
        </w:tc>
      </w:tr>
    </w:tbl>
    <w:p w14:paraId="54C2EA9B" w14:textId="3D7CF209"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1BC0408A" w14:textId="77777777" w:rsidTr="007E1C79">
        <w:tc>
          <w:tcPr>
            <w:tcW w:w="9625" w:type="dxa"/>
            <w:gridSpan w:val="7"/>
            <w:shd w:val="clear" w:color="auto" w:fill="D9D9D9" w:themeFill="background1" w:themeFillShade="D9"/>
          </w:tcPr>
          <w:p w14:paraId="0D76A5B8" w14:textId="70409719" w:rsidR="00280E00" w:rsidRPr="007669E1" w:rsidRDefault="00280E00" w:rsidP="00E90BA7">
            <w:pPr>
              <w:keepNext/>
              <w:spacing w:before="20" w:after="20" w:line="240" w:lineRule="auto"/>
              <w:jc w:val="both"/>
              <w:rPr>
                <w:rFonts w:ascii="Segoe UI" w:hAnsi="Segoe UI" w:cs="Segoe UI"/>
                <w:b/>
                <w:bCs/>
                <w:sz w:val="18"/>
                <w:szCs w:val="18"/>
              </w:rPr>
            </w:pPr>
            <w:r w:rsidRPr="007669E1">
              <w:rPr>
                <w:rFonts w:ascii="Segoe UI" w:hAnsi="Segoe UI" w:cs="Segoe UI"/>
                <w:b/>
                <w:bCs/>
                <w:sz w:val="18"/>
                <w:szCs w:val="18"/>
              </w:rPr>
              <w:t>8. Tax exemption of amounts received by blood donors from state healthcare institutions</w:t>
            </w:r>
          </w:p>
        </w:tc>
      </w:tr>
      <w:tr w:rsidR="00002F93" w:rsidRPr="007669E1" w14:paraId="50D7E593" w14:textId="77777777" w:rsidTr="007E1C79">
        <w:tc>
          <w:tcPr>
            <w:tcW w:w="2425" w:type="dxa"/>
          </w:tcPr>
          <w:p w14:paraId="3978BD8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680CDF1A" w14:textId="4D33ADE4" w:rsidR="00280E00" w:rsidRPr="007669E1" w:rsidRDefault="00280E00" w:rsidP="00E90BA7">
            <w:pPr>
              <w:keepNext/>
              <w:spacing w:before="20" w:after="20" w:line="240" w:lineRule="auto"/>
              <w:jc w:val="both"/>
              <w:rPr>
                <w:rFonts w:ascii="Segoe UI" w:hAnsi="Segoe UI" w:cs="Segoe UI"/>
                <w:sz w:val="18"/>
                <w:szCs w:val="18"/>
              </w:rPr>
            </w:pPr>
            <w:r w:rsidRPr="007669E1">
              <w:rPr>
                <w:rFonts w:ascii="Segoe UI" w:hAnsi="Segoe UI" w:cs="Segoe UI"/>
                <w:sz w:val="18"/>
                <w:szCs w:val="18"/>
              </w:rPr>
              <w:t>Amounts received by the blood donors from the state healthcare institutions are tax exempt</w:t>
            </w:r>
            <w:r w:rsidR="00804525" w:rsidRPr="007669E1">
              <w:rPr>
                <w:rFonts w:ascii="Segoe UI" w:hAnsi="Segoe UI" w:cs="Segoe UI"/>
                <w:sz w:val="18"/>
                <w:szCs w:val="18"/>
              </w:rPr>
              <w:t>.</w:t>
            </w:r>
          </w:p>
        </w:tc>
      </w:tr>
      <w:tr w:rsidR="00002F93" w:rsidRPr="007669E1" w14:paraId="19BF9E88" w14:textId="77777777" w:rsidTr="007E1C79">
        <w:tc>
          <w:tcPr>
            <w:tcW w:w="2425" w:type="dxa"/>
          </w:tcPr>
          <w:p w14:paraId="058F1F4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5EAFCFB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6DDADA1F" w14:textId="77777777" w:rsidTr="007E1C79">
        <w:tc>
          <w:tcPr>
            <w:tcW w:w="2425" w:type="dxa"/>
          </w:tcPr>
          <w:p w14:paraId="67318A1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728B878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Blood donors</w:t>
            </w:r>
          </w:p>
        </w:tc>
      </w:tr>
      <w:tr w:rsidR="00002F93" w:rsidRPr="007669E1" w14:paraId="0D1E9E30" w14:textId="77777777" w:rsidTr="007E1C79">
        <w:tc>
          <w:tcPr>
            <w:tcW w:w="2425" w:type="dxa"/>
          </w:tcPr>
          <w:p w14:paraId="7FEECB2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06F5573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06011D18" w14:textId="77777777" w:rsidTr="007E1C79">
        <w:tc>
          <w:tcPr>
            <w:tcW w:w="2425" w:type="dxa"/>
          </w:tcPr>
          <w:p w14:paraId="6AA7516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Reason why this Measure is not part of the Benchmark Tax System</w:t>
            </w:r>
          </w:p>
        </w:tc>
        <w:tc>
          <w:tcPr>
            <w:tcW w:w="7200" w:type="dxa"/>
            <w:gridSpan w:val="6"/>
          </w:tcPr>
          <w:p w14:paraId="2FEBD96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consideration for donated blood constitutes therefore a tax expenditure.</w:t>
            </w:r>
          </w:p>
        </w:tc>
      </w:tr>
      <w:tr w:rsidR="00002F93" w:rsidRPr="007669E1" w14:paraId="650CE4A5" w14:textId="77777777" w:rsidTr="007E1C79">
        <w:tc>
          <w:tcPr>
            <w:tcW w:w="2425" w:type="dxa"/>
          </w:tcPr>
          <w:p w14:paraId="73C5C3C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04F5CED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20(o)</w:t>
            </w:r>
          </w:p>
        </w:tc>
      </w:tr>
      <w:tr w:rsidR="00002F93" w:rsidRPr="007669E1" w14:paraId="57FB0A67" w14:textId="77777777" w:rsidTr="007E1C79">
        <w:trPr>
          <w:trHeight w:val="182"/>
        </w:trPr>
        <w:tc>
          <w:tcPr>
            <w:tcW w:w="2425" w:type="dxa"/>
            <w:vMerge w:val="restart"/>
          </w:tcPr>
          <w:p w14:paraId="3AAC864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07A820B2"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73E129A3" w14:textId="77777777" w:rsidTr="007E1C79">
        <w:trPr>
          <w:trHeight w:val="182"/>
        </w:trPr>
        <w:tc>
          <w:tcPr>
            <w:tcW w:w="2425" w:type="dxa"/>
            <w:vMerge/>
          </w:tcPr>
          <w:p w14:paraId="54CB0508"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0B8CE82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37B34815" w14:textId="5D1E488B"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07F8B6B3" w14:textId="77777777" w:rsidTr="007E1C79">
        <w:tc>
          <w:tcPr>
            <w:tcW w:w="2425" w:type="dxa"/>
          </w:tcPr>
          <w:p w14:paraId="20075484"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544220FF" w14:textId="2855247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0633FED1" w14:textId="77777777" w:rsidTr="007E1C79">
        <w:tc>
          <w:tcPr>
            <w:tcW w:w="2425" w:type="dxa"/>
          </w:tcPr>
          <w:p w14:paraId="6B859F41"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003B8398" w14:textId="54B6700B"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3C30E2B" w14:textId="77777777" w:rsidTr="007E1C79">
        <w:tc>
          <w:tcPr>
            <w:tcW w:w="2425" w:type="dxa"/>
          </w:tcPr>
          <w:p w14:paraId="13C34BEE"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4644AD8F" w14:textId="7EC19A1B"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2CA80A2E" w14:textId="77777777" w:rsidTr="007E1C79">
        <w:tc>
          <w:tcPr>
            <w:tcW w:w="2425" w:type="dxa"/>
          </w:tcPr>
          <w:p w14:paraId="7D03673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069C1396" w14:textId="768DED0D" w:rsidR="00280E00" w:rsidRPr="007669E1" w:rsidRDefault="00840F2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5D6128D2" w14:textId="77777777" w:rsidTr="007E1C79">
        <w:trPr>
          <w:trHeight w:val="91"/>
        </w:trPr>
        <w:tc>
          <w:tcPr>
            <w:tcW w:w="2425" w:type="dxa"/>
            <w:vMerge w:val="restart"/>
          </w:tcPr>
          <w:p w14:paraId="459B5263"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72B48B5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1352474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5684100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2367DC1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62727E39" w14:textId="5B0A6DB6"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032F54AE" w14:textId="77777777" w:rsidTr="007E1C79">
        <w:trPr>
          <w:trHeight w:val="91"/>
        </w:trPr>
        <w:tc>
          <w:tcPr>
            <w:tcW w:w="2425" w:type="dxa"/>
            <w:vMerge/>
          </w:tcPr>
          <w:p w14:paraId="7367F181"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75A8CD4F" w14:textId="5299A2FD" w:rsidR="00AA1580" w:rsidRPr="007669E1" w:rsidRDefault="003B54F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67D93BD2" w14:textId="2E9AD453" w:rsidR="00AA1580" w:rsidRPr="007669E1" w:rsidRDefault="003B54F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gridSpan w:val="2"/>
          </w:tcPr>
          <w:p w14:paraId="13D8C554" w14:textId="429E055D" w:rsidR="00AA1580" w:rsidRPr="007669E1" w:rsidRDefault="003B54F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7E16D96A" w14:textId="21C06F0E" w:rsidR="00AA1580" w:rsidRPr="007669E1" w:rsidRDefault="003B54F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660" w:type="dxa"/>
          </w:tcPr>
          <w:p w14:paraId="4D9FB6A9" w14:textId="0918F7D8" w:rsidR="00AA1580" w:rsidRPr="007669E1" w:rsidRDefault="003B54F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r>
    </w:tbl>
    <w:p w14:paraId="49D03E2C" w14:textId="78F18201"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127B0BF7" w14:textId="77777777" w:rsidTr="007E1C79">
        <w:tc>
          <w:tcPr>
            <w:tcW w:w="9625" w:type="dxa"/>
            <w:gridSpan w:val="7"/>
            <w:shd w:val="clear" w:color="auto" w:fill="D9D9D9" w:themeFill="background1" w:themeFillShade="D9"/>
          </w:tcPr>
          <w:p w14:paraId="53A23FEB" w14:textId="22CA7090"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9. Winnings and awards from games of chance</w:t>
            </w:r>
          </w:p>
        </w:tc>
      </w:tr>
      <w:tr w:rsidR="00002F93" w:rsidRPr="007669E1" w14:paraId="1DDF6C36" w14:textId="77777777" w:rsidTr="007E1C79">
        <w:tc>
          <w:tcPr>
            <w:tcW w:w="2425" w:type="dxa"/>
          </w:tcPr>
          <w:p w14:paraId="1586C44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6E25489C"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Exempting from income tax amounts</w:t>
            </w:r>
          </w:p>
          <w:p w14:paraId="275F80EF" w14:textId="77777777" w:rsidR="00280E00" w:rsidRPr="007669E1" w:rsidRDefault="00280E00" w:rsidP="00E90BA7">
            <w:pPr>
              <w:pStyle w:val="ListParagraph"/>
              <w:numPr>
                <w:ilvl w:val="0"/>
                <w:numId w:val="10"/>
              </w:numPr>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winnings from lotteries and / or sports bets in the part where the value of each win does not exceed 1% of the personal exemption established in Article 33 paragraph (1);</w:t>
            </w:r>
          </w:p>
          <w:p w14:paraId="15E218D5" w14:textId="77777777" w:rsidR="00280E00" w:rsidRPr="007669E1" w:rsidRDefault="00280E00" w:rsidP="00E90BA7">
            <w:pPr>
              <w:pStyle w:val="ListParagraph"/>
              <w:numPr>
                <w:ilvl w:val="0"/>
                <w:numId w:val="10"/>
              </w:numPr>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gains from promotional campaigns in the part in which the value of each gain does not exceed the amount of the personal exemption set out in Article 33 para. (1).</w:t>
            </w:r>
          </w:p>
        </w:tc>
      </w:tr>
      <w:tr w:rsidR="00002F93" w:rsidRPr="007669E1" w14:paraId="6DDB4FAA" w14:textId="77777777" w:rsidTr="007E1C79">
        <w:tc>
          <w:tcPr>
            <w:tcW w:w="2425" w:type="dxa"/>
          </w:tcPr>
          <w:p w14:paraId="1F471C6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061850A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37155FA7" w14:textId="77777777" w:rsidTr="007E1C79">
        <w:tc>
          <w:tcPr>
            <w:tcW w:w="2425" w:type="dxa"/>
          </w:tcPr>
          <w:p w14:paraId="118C18A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469AAE1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Participants receiving winnings</w:t>
            </w:r>
          </w:p>
        </w:tc>
      </w:tr>
      <w:tr w:rsidR="00002F93" w:rsidRPr="007669E1" w14:paraId="6E196919" w14:textId="77777777" w:rsidTr="007E1C79">
        <w:tc>
          <w:tcPr>
            <w:tcW w:w="2425" w:type="dxa"/>
          </w:tcPr>
          <w:p w14:paraId="4A03657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7F58008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Exemption</w:t>
            </w:r>
          </w:p>
        </w:tc>
      </w:tr>
      <w:tr w:rsidR="00002F93" w:rsidRPr="007669E1" w14:paraId="4C9AA1AF" w14:textId="77777777" w:rsidTr="007E1C79">
        <w:tc>
          <w:tcPr>
            <w:tcW w:w="2425" w:type="dxa"/>
          </w:tcPr>
          <w:p w14:paraId="5FE1E27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77BA995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is a non-structural tax exemption</w:t>
            </w:r>
          </w:p>
        </w:tc>
      </w:tr>
      <w:tr w:rsidR="00002F93" w:rsidRPr="007669E1" w14:paraId="51574DFB" w14:textId="77777777" w:rsidTr="007E1C79">
        <w:tc>
          <w:tcPr>
            <w:tcW w:w="2425" w:type="dxa"/>
          </w:tcPr>
          <w:p w14:paraId="63399E3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3476EC6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(p1) (p2)</w:t>
            </w:r>
          </w:p>
        </w:tc>
      </w:tr>
      <w:tr w:rsidR="00002F93" w:rsidRPr="007669E1" w14:paraId="1B4095ED" w14:textId="77777777" w:rsidTr="007E1C79">
        <w:trPr>
          <w:trHeight w:val="182"/>
        </w:trPr>
        <w:tc>
          <w:tcPr>
            <w:tcW w:w="2425" w:type="dxa"/>
            <w:vMerge w:val="restart"/>
          </w:tcPr>
          <w:p w14:paraId="1D5782F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4148A722"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652C1D97" w14:textId="77777777" w:rsidTr="007E1C79">
        <w:trPr>
          <w:trHeight w:val="182"/>
        </w:trPr>
        <w:tc>
          <w:tcPr>
            <w:tcW w:w="2425" w:type="dxa"/>
            <w:vMerge/>
          </w:tcPr>
          <w:p w14:paraId="17C45F05"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637E05F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p1 – 2006</w:t>
            </w:r>
          </w:p>
          <w:p w14:paraId="74B731E3" w14:textId="75413FC2"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                               </w:t>
            </w:r>
            <w:r w:rsidR="005C0E5B" w:rsidRPr="007669E1">
              <w:rPr>
                <w:rFonts w:ascii="Segoe UI" w:hAnsi="Segoe UI" w:cs="Segoe UI"/>
                <w:sz w:val="18"/>
                <w:szCs w:val="18"/>
              </w:rPr>
              <w:t>p</w:t>
            </w:r>
            <w:r w:rsidRPr="007669E1">
              <w:rPr>
                <w:rFonts w:ascii="Segoe UI" w:hAnsi="Segoe UI" w:cs="Segoe UI"/>
                <w:sz w:val="18"/>
                <w:szCs w:val="18"/>
              </w:rPr>
              <w:t>2 - 2018</w:t>
            </w:r>
          </w:p>
        </w:tc>
        <w:tc>
          <w:tcPr>
            <w:tcW w:w="3738" w:type="dxa"/>
            <w:gridSpan w:val="3"/>
          </w:tcPr>
          <w:p w14:paraId="3301BFE9" w14:textId="6DD1F67A"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76BD8641" w14:textId="77777777" w:rsidTr="007E1C79">
        <w:tc>
          <w:tcPr>
            <w:tcW w:w="2425" w:type="dxa"/>
          </w:tcPr>
          <w:p w14:paraId="687822CA"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63DB7FAA" w14:textId="10843141" w:rsidR="00F34AC6" w:rsidRPr="007669E1" w:rsidRDefault="00F34AC6" w:rsidP="00E90BA7">
            <w:pPr>
              <w:spacing w:before="20" w:after="20" w:line="240" w:lineRule="auto"/>
              <w:jc w:val="both"/>
              <w:rPr>
                <w:rFonts w:ascii="Segoe UI" w:hAnsi="Segoe UI" w:cs="Segoe UI"/>
                <w:sz w:val="18"/>
                <w:szCs w:val="18"/>
                <w:highlight w:val="yellow"/>
              </w:rPr>
            </w:pPr>
            <w:r w:rsidRPr="007669E1">
              <w:rPr>
                <w:rFonts w:ascii="Segoe UI" w:hAnsi="Segoe UI" w:cs="Segoe UI"/>
                <w:sz w:val="18"/>
                <w:szCs w:val="18"/>
              </w:rPr>
              <w:t>n.a.</w:t>
            </w:r>
          </w:p>
        </w:tc>
      </w:tr>
      <w:tr w:rsidR="00002F93" w:rsidRPr="007669E1" w14:paraId="49F36ED6" w14:textId="77777777" w:rsidTr="007E1C79">
        <w:tc>
          <w:tcPr>
            <w:tcW w:w="2425" w:type="dxa"/>
          </w:tcPr>
          <w:p w14:paraId="5FD46239"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71C91339" w14:textId="6B2A52F4" w:rsidR="00F34AC6" w:rsidRPr="007669E1" w:rsidRDefault="00F34AC6" w:rsidP="00E90BA7">
            <w:pPr>
              <w:spacing w:before="20" w:after="20" w:line="240" w:lineRule="auto"/>
              <w:jc w:val="both"/>
              <w:rPr>
                <w:rFonts w:ascii="Segoe UI" w:hAnsi="Segoe UI" w:cs="Segoe UI"/>
                <w:sz w:val="18"/>
                <w:szCs w:val="18"/>
                <w:highlight w:val="yellow"/>
              </w:rPr>
            </w:pPr>
            <w:r w:rsidRPr="007669E1">
              <w:rPr>
                <w:rFonts w:ascii="Segoe UI" w:hAnsi="Segoe UI" w:cs="Segoe UI"/>
                <w:sz w:val="18"/>
                <w:szCs w:val="18"/>
              </w:rPr>
              <w:t>n.a.</w:t>
            </w:r>
          </w:p>
        </w:tc>
      </w:tr>
      <w:tr w:rsidR="00002F93" w:rsidRPr="007669E1" w14:paraId="1D4B789F" w14:textId="77777777" w:rsidTr="007E1C79">
        <w:tc>
          <w:tcPr>
            <w:tcW w:w="2425" w:type="dxa"/>
          </w:tcPr>
          <w:p w14:paraId="1AEFEEC5"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01A7CC0B" w14:textId="3CA46EE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76673BD" w14:textId="77777777" w:rsidTr="007E1C79">
        <w:tc>
          <w:tcPr>
            <w:tcW w:w="2425" w:type="dxa"/>
          </w:tcPr>
          <w:p w14:paraId="735F2F3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25A288CA" w14:textId="5690AADF" w:rsidR="00280E00" w:rsidRPr="007669E1" w:rsidRDefault="00840F2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7AADFBD0" w14:textId="77777777" w:rsidTr="007E1C79">
        <w:trPr>
          <w:trHeight w:val="91"/>
        </w:trPr>
        <w:tc>
          <w:tcPr>
            <w:tcW w:w="2425" w:type="dxa"/>
            <w:vMerge w:val="restart"/>
          </w:tcPr>
          <w:p w14:paraId="60730900"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382D420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3B4BF2F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6BB5E74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3C770D1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3E3E64CE" w14:textId="6D8EA61B"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01E0B92E" w14:textId="77777777" w:rsidTr="007E1C79">
        <w:trPr>
          <w:trHeight w:val="91"/>
        </w:trPr>
        <w:tc>
          <w:tcPr>
            <w:tcW w:w="2425" w:type="dxa"/>
            <w:vMerge/>
          </w:tcPr>
          <w:p w14:paraId="7FA2579D"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12082862" w14:textId="08082635" w:rsidR="00AA1580" w:rsidRPr="007669E1" w:rsidRDefault="00576B5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5E02054D" w14:textId="3187DE2C"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gridSpan w:val="2"/>
          </w:tcPr>
          <w:p w14:paraId="0E9242AD" w14:textId="260668D0"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1C14A950" w14:textId="2DAB1C7E"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660" w:type="dxa"/>
          </w:tcPr>
          <w:p w14:paraId="5FB019F5" w14:textId="3BEE60AD"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r>
    </w:tbl>
    <w:p w14:paraId="252CBFC7"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5A708844" w14:textId="77777777" w:rsidTr="007E1C79">
        <w:tc>
          <w:tcPr>
            <w:tcW w:w="9625" w:type="dxa"/>
            <w:gridSpan w:val="7"/>
            <w:shd w:val="clear" w:color="auto" w:fill="D9D9D9" w:themeFill="background1" w:themeFillShade="D9"/>
          </w:tcPr>
          <w:p w14:paraId="2401218B" w14:textId="786DE8C2"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10. Tax exemption of material assistance received by natural persons from the reserve funds of the Moldovan Government</w:t>
            </w:r>
          </w:p>
        </w:tc>
      </w:tr>
      <w:tr w:rsidR="00002F93" w:rsidRPr="007669E1" w14:paraId="589B2562" w14:textId="77777777" w:rsidTr="007E1C79">
        <w:tc>
          <w:tcPr>
            <w:tcW w:w="2425" w:type="dxa"/>
          </w:tcPr>
          <w:p w14:paraId="2A28907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7139FC90" w14:textId="48034128" w:rsidR="00280E00" w:rsidRPr="007669E1" w:rsidRDefault="00A8233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w:t>
            </w:r>
            <w:r w:rsidR="000338E8" w:rsidRPr="007669E1">
              <w:rPr>
                <w:rFonts w:ascii="Segoe UI" w:hAnsi="Segoe UI" w:cs="Segoe UI"/>
                <w:sz w:val="18"/>
                <w:szCs w:val="18"/>
              </w:rPr>
              <w:t>ncludes t</w:t>
            </w:r>
            <w:r w:rsidR="00280E00" w:rsidRPr="007669E1">
              <w:rPr>
                <w:rFonts w:ascii="Segoe UI" w:hAnsi="Segoe UI" w:cs="Segoe UI"/>
                <w:sz w:val="18"/>
                <w:szCs w:val="18"/>
              </w:rPr>
              <w:t>ax exempt</w:t>
            </w:r>
            <w:r w:rsidR="000338E8" w:rsidRPr="007669E1">
              <w:rPr>
                <w:rFonts w:ascii="Segoe UI" w:hAnsi="Segoe UI" w:cs="Segoe UI"/>
                <w:sz w:val="18"/>
                <w:szCs w:val="18"/>
              </w:rPr>
              <w:t>ion of</w:t>
            </w:r>
            <w:r w:rsidR="00280E00" w:rsidRPr="007669E1">
              <w:rPr>
                <w:rFonts w:ascii="Segoe UI" w:hAnsi="Segoe UI" w:cs="Segoe UI"/>
                <w:sz w:val="18"/>
                <w:szCs w:val="18"/>
              </w:rPr>
              <w:t xml:space="preserve"> material assistance received by natural persons from the reserve funds of the Government, of the local public administration authorities, from the Social Support Fund and from the trade unions in accordance with the regulations providing for the granting of such aid. In the case of material aid granted by trade unions, the non-taxable limit represents an average monthly salary </w:t>
            </w:r>
            <w:r w:rsidR="00420468" w:rsidRPr="007669E1">
              <w:rPr>
                <w:rFonts w:ascii="Segoe UI" w:hAnsi="Segoe UI" w:cs="Segoe UI"/>
                <w:sz w:val="18"/>
                <w:szCs w:val="18"/>
              </w:rPr>
              <w:t xml:space="preserve">in the </w:t>
            </w:r>
            <w:r w:rsidR="00280E00" w:rsidRPr="007669E1">
              <w:rPr>
                <w:rFonts w:ascii="Segoe UI" w:hAnsi="Segoe UI" w:cs="Segoe UI"/>
                <w:sz w:val="18"/>
                <w:szCs w:val="18"/>
              </w:rPr>
              <w:t xml:space="preserve">economy, forecasted and annually approved by the Government, per employee per year, except for the aid </w:t>
            </w:r>
            <w:r w:rsidR="00280E00" w:rsidRPr="007669E1">
              <w:rPr>
                <w:rFonts w:ascii="Segoe UI" w:hAnsi="Segoe UI" w:cs="Segoe UI"/>
                <w:sz w:val="18"/>
                <w:szCs w:val="18"/>
              </w:rPr>
              <w:lastRenderedPageBreak/>
              <w:t>granted in case of death and/or sickness of the employee or their relatives and/or first-degree in-laws.</w:t>
            </w:r>
          </w:p>
        </w:tc>
      </w:tr>
      <w:tr w:rsidR="00002F93" w:rsidRPr="007669E1" w14:paraId="15C85B5C" w14:textId="77777777" w:rsidTr="007E1C79">
        <w:tc>
          <w:tcPr>
            <w:tcW w:w="2425" w:type="dxa"/>
          </w:tcPr>
          <w:p w14:paraId="52F6113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Type of Tax Affected</w:t>
            </w:r>
          </w:p>
        </w:tc>
        <w:tc>
          <w:tcPr>
            <w:tcW w:w="7200" w:type="dxa"/>
            <w:gridSpan w:val="6"/>
          </w:tcPr>
          <w:p w14:paraId="44FF6B6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323D3F2D" w14:textId="77777777" w:rsidTr="007E1C79">
        <w:tc>
          <w:tcPr>
            <w:tcW w:w="2425" w:type="dxa"/>
          </w:tcPr>
          <w:p w14:paraId="4265A57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5088FC2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Recipient of material assistance</w:t>
            </w:r>
          </w:p>
        </w:tc>
      </w:tr>
      <w:tr w:rsidR="00002F93" w:rsidRPr="007669E1" w14:paraId="54A68008" w14:textId="77777777" w:rsidTr="007E1C79">
        <w:tc>
          <w:tcPr>
            <w:tcW w:w="2425" w:type="dxa"/>
          </w:tcPr>
          <w:p w14:paraId="72AD7C3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0483F04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4EA5E922" w14:textId="77777777" w:rsidTr="007E1C79">
        <w:tc>
          <w:tcPr>
            <w:tcW w:w="2425" w:type="dxa"/>
          </w:tcPr>
          <w:p w14:paraId="128A866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6751F80D" w14:textId="2E796115"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these “material assistance” transfers/payments constitute income in the hands of the persons receiving the material aid transfers. They should attract PIT at the flat rate of 12% if their combined income streams exceed the basic personal allowance of MDL 27,000 per year. The non-taxation constitutes therefore a tax expenditure.</w:t>
            </w:r>
          </w:p>
        </w:tc>
      </w:tr>
      <w:tr w:rsidR="00002F93" w:rsidRPr="007669E1" w14:paraId="65DA4EC8" w14:textId="77777777" w:rsidTr="007E1C79">
        <w:tc>
          <w:tcPr>
            <w:tcW w:w="2425" w:type="dxa"/>
          </w:tcPr>
          <w:p w14:paraId="4DED921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2E0A8D4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(r)</w:t>
            </w:r>
          </w:p>
        </w:tc>
      </w:tr>
      <w:tr w:rsidR="00002F93" w:rsidRPr="007669E1" w14:paraId="767D23BB" w14:textId="77777777" w:rsidTr="007E1C79">
        <w:trPr>
          <w:trHeight w:val="182"/>
        </w:trPr>
        <w:tc>
          <w:tcPr>
            <w:tcW w:w="2425" w:type="dxa"/>
            <w:vMerge w:val="restart"/>
          </w:tcPr>
          <w:p w14:paraId="030D29C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2B083F9D"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07E31D87" w14:textId="77777777" w:rsidTr="007E1C79">
        <w:trPr>
          <w:trHeight w:val="182"/>
        </w:trPr>
        <w:tc>
          <w:tcPr>
            <w:tcW w:w="2425" w:type="dxa"/>
            <w:vMerge/>
          </w:tcPr>
          <w:p w14:paraId="39D0A888"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14DE3CF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2001</w:t>
            </w:r>
          </w:p>
        </w:tc>
        <w:tc>
          <w:tcPr>
            <w:tcW w:w="3738" w:type="dxa"/>
            <w:gridSpan w:val="3"/>
          </w:tcPr>
          <w:p w14:paraId="2CD5246C" w14:textId="2AE99B6F"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5AC68630" w14:textId="77777777" w:rsidTr="007E1C79">
        <w:tc>
          <w:tcPr>
            <w:tcW w:w="2425" w:type="dxa"/>
          </w:tcPr>
          <w:p w14:paraId="2EF072CD"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5970E322" w14:textId="2F6D3C0C"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9FBD008" w14:textId="77777777" w:rsidTr="007E1C79">
        <w:tc>
          <w:tcPr>
            <w:tcW w:w="2425" w:type="dxa"/>
          </w:tcPr>
          <w:p w14:paraId="0D16BC6D"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3C476509" w14:textId="42873266"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017E99E2" w14:textId="77777777" w:rsidTr="007E1C79">
        <w:tc>
          <w:tcPr>
            <w:tcW w:w="2425" w:type="dxa"/>
          </w:tcPr>
          <w:p w14:paraId="6C687A80"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7F307828" w14:textId="3CF3E28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4928AB38" w14:textId="77777777" w:rsidTr="007E1C79">
        <w:tc>
          <w:tcPr>
            <w:tcW w:w="2425" w:type="dxa"/>
          </w:tcPr>
          <w:p w14:paraId="70E2369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3155F1C4" w14:textId="10A46021" w:rsidR="00280E00" w:rsidRPr="007669E1" w:rsidRDefault="00840F2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3FF9FED6" w14:textId="77777777" w:rsidTr="007E1C79">
        <w:trPr>
          <w:trHeight w:val="91"/>
        </w:trPr>
        <w:tc>
          <w:tcPr>
            <w:tcW w:w="2425" w:type="dxa"/>
            <w:vMerge w:val="restart"/>
          </w:tcPr>
          <w:p w14:paraId="383D53F8"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23CB15A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410A893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4C3F3C9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3103D0A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7A699805" w14:textId="24B517F2"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41C50811" w14:textId="77777777" w:rsidTr="007E1C79">
        <w:trPr>
          <w:trHeight w:val="91"/>
        </w:trPr>
        <w:tc>
          <w:tcPr>
            <w:tcW w:w="2425" w:type="dxa"/>
            <w:vMerge/>
          </w:tcPr>
          <w:p w14:paraId="74B23DDE"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74FC5D97" w14:textId="64F53C3F"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109F5215" w14:textId="5835224F"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gridSpan w:val="2"/>
          </w:tcPr>
          <w:p w14:paraId="4B1CBC94" w14:textId="78755182"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287B6883" w14:textId="64F0B9EB"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660" w:type="dxa"/>
          </w:tcPr>
          <w:p w14:paraId="21652EE7" w14:textId="201466DE" w:rsidR="00AA1580" w:rsidRPr="007669E1" w:rsidRDefault="007F69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r>
    </w:tbl>
    <w:p w14:paraId="3ED35E33"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297053AB" w14:textId="77777777" w:rsidTr="007E1C79">
        <w:tc>
          <w:tcPr>
            <w:tcW w:w="9625" w:type="dxa"/>
            <w:gridSpan w:val="7"/>
            <w:shd w:val="clear" w:color="auto" w:fill="D9D9D9" w:themeFill="background1" w:themeFillShade="D9"/>
          </w:tcPr>
          <w:p w14:paraId="6AF08D79" w14:textId="6648C9D5"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11. Tax exemption for financial assistance received by sportsmen from the International Olympic Committee</w:t>
            </w:r>
          </w:p>
        </w:tc>
      </w:tr>
      <w:tr w:rsidR="00002F93" w:rsidRPr="007669E1" w14:paraId="1FD92104" w14:textId="77777777" w:rsidTr="007E1C79">
        <w:tc>
          <w:tcPr>
            <w:tcW w:w="2425" w:type="dxa"/>
          </w:tcPr>
          <w:p w14:paraId="5546929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0F71E7D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for financial assistance received by sportsmen and coaches from the International Olympic Committee, prizes obtained by sportsmen, coaches and technicians at international sport competitions, sports scholarships and allowances awarded to national lots for getting prepared and participate to the official international competitions.</w:t>
            </w:r>
          </w:p>
        </w:tc>
      </w:tr>
      <w:tr w:rsidR="00002F93" w:rsidRPr="007669E1" w14:paraId="3E7572B6" w14:textId="77777777" w:rsidTr="007E1C79">
        <w:tc>
          <w:tcPr>
            <w:tcW w:w="2425" w:type="dxa"/>
          </w:tcPr>
          <w:p w14:paraId="67D4697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5ADF2AA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211F35F4" w14:textId="77777777" w:rsidTr="007E1C79">
        <w:tc>
          <w:tcPr>
            <w:tcW w:w="2425" w:type="dxa"/>
          </w:tcPr>
          <w:p w14:paraId="3ABE829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39A59A5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Sportsmen and coaches in the categories listed above.</w:t>
            </w:r>
          </w:p>
        </w:tc>
      </w:tr>
      <w:tr w:rsidR="00002F93" w:rsidRPr="007669E1" w14:paraId="6F71FBFD" w14:textId="77777777" w:rsidTr="007E1C79">
        <w:tc>
          <w:tcPr>
            <w:tcW w:w="2425" w:type="dxa"/>
          </w:tcPr>
          <w:p w14:paraId="4565A18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66F2108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71E62730" w14:textId="77777777" w:rsidTr="007E1C79">
        <w:tc>
          <w:tcPr>
            <w:tcW w:w="2425" w:type="dxa"/>
          </w:tcPr>
          <w:p w14:paraId="02DD020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73A3E71D" w14:textId="018E37E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the “financial assistance” transfers/payments constitute income in the hands of the persons receiving these transfers. They should attract PIT at the flat rate of 12% if their combined income streams exceed the basic personal allowance of MDL 27,000 per year. The non-taxation constitutes therefore a tax expenditure.</w:t>
            </w:r>
          </w:p>
        </w:tc>
      </w:tr>
      <w:tr w:rsidR="00002F93" w:rsidRPr="007669E1" w14:paraId="69861F3B" w14:textId="77777777" w:rsidTr="007E1C79">
        <w:tc>
          <w:tcPr>
            <w:tcW w:w="2425" w:type="dxa"/>
          </w:tcPr>
          <w:p w14:paraId="257A63A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634F052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(s)</w:t>
            </w:r>
          </w:p>
        </w:tc>
      </w:tr>
      <w:tr w:rsidR="00002F93" w:rsidRPr="007669E1" w14:paraId="23519169" w14:textId="77777777" w:rsidTr="007E1C79">
        <w:trPr>
          <w:trHeight w:val="182"/>
        </w:trPr>
        <w:tc>
          <w:tcPr>
            <w:tcW w:w="2425" w:type="dxa"/>
            <w:vMerge w:val="restart"/>
          </w:tcPr>
          <w:p w14:paraId="596907C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2D5B517A"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5EFCEB3D" w14:textId="77777777" w:rsidTr="007E1C79">
        <w:trPr>
          <w:trHeight w:val="182"/>
        </w:trPr>
        <w:tc>
          <w:tcPr>
            <w:tcW w:w="2425" w:type="dxa"/>
            <w:vMerge/>
          </w:tcPr>
          <w:p w14:paraId="0B4425B1"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5066A1C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2001</w:t>
            </w:r>
          </w:p>
        </w:tc>
        <w:tc>
          <w:tcPr>
            <w:tcW w:w="3738" w:type="dxa"/>
            <w:gridSpan w:val="3"/>
          </w:tcPr>
          <w:p w14:paraId="0C59757D" w14:textId="5EFCC791"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5C24D676" w14:textId="77777777" w:rsidTr="007E1C79">
        <w:tc>
          <w:tcPr>
            <w:tcW w:w="2425" w:type="dxa"/>
          </w:tcPr>
          <w:p w14:paraId="27D97128"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5BD6D7E2" w14:textId="12FC7D7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2B575BD7" w14:textId="77777777" w:rsidTr="007E1C79">
        <w:tc>
          <w:tcPr>
            <w:tcW w:w="2425" w:type="dxa"/>
          </w:tcPr>
          <w:p w14:paraId="0C445326"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343689F5" w14:textId="1217F90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2D3B90A" w14:textId="77777777" w:rsidTr="007E1C79">
        <w:tc>
          <w:tcPr>
            <w:tcW w:w="2425" w:type="dxa"/>
          </w:tcPr>
          <w:p w14:paraId="516B06C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11F082B9" w14:textId="27C23DDF" w:rsidR="00280E00"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0CCDF6B3" w14:textId="77777777" w:rsidTr="007E1C79">
        <w:tc>
          <w:tcPr>
            <w:tcW w:w="2425" w:type="dxa"/>
          </w:tcPr>
          <w:p w14:paraId="1F6E999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7105F67C" w14:textId="4E409250" w:rsidR="00280E00" w:rsidRPr="007669E1" w:rsidRDefault="00840F2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3E5E6E5E" w14:textId="77777777" w:rsidTr="007E1C79">
        <w:trPr>
          <w:trHeight w:val="91"/>
        </w:trPr>
        <w:tc>
          <w:tcPr>
            <w:tcW w:w="2425" w:type="dxa"/>
            <w:vMerge w:val="restart"/>
          </w:tcPr>
          <w:p w14:paraId="547DEA0C"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7D88B0F6" w14:textId="77777777" w:rsidR="00280E00" w:rsidRPr="000F56C8" w:rsidRDefault="00280E00" w:rsidP="00E90BA7">
            <w:pPr>
              <w:spacing w:before="20" w:after="20" w:line="240" w:lineRule="auto"/>
              <w:jc w:val="both"/>
              <w:rPr>
                <w:rFonts w:ascii="Segoe UI" w:hAnsi="Segoe UI" w:cs="Segoe UI"/>
                <w:b/>
                <w:bCs/>
                <w:sz w:val="18"/>
                <w:szCs w:val="18"/>
              </w:rPr>
            </w:pPr>
            <w:r w:rsidRPr="000F56C8">
              <w:rPr>
                <w:rFonts w:ascii="Segoe UI" w:hAnsi="Segoe UI" w:cs="Segoe UI"/>
                <w:b/>
                <w:bCs/>
                <w:sz w:val="18"/>
                <w:szCs w:val="18"/>
              </w:rPr>
              <w:t>2018</w:t>
            </w:r>
          </w:p>
        </w:tc>
        <w:tc>
          <w:tcPr>
            <w:tcW w:w="1385" w:type="dxa"/>
          </w:tcPr>
          <w:p w14:paraId="7FF9CF11" w14:textId="77777777" w:rsidR="00280E00" w:rsidRPr="000F56C8" w:rsidRDefault="00280E00" w:rsidP="00E90BA7">
            <w:pPr>
              <w:spacing w:before="20" w:after="20" w:line="240" w:lineRule="auto"/>
              <w:jc w:val="both"/>
              <w:rPr>
                <w:rFonts w:ascii="Segoe UI" w:hAnsi="Segoe UI" w:cs="Segoe UI"/>
                <w:b/>
                <w:bCs/>
                <w:sz w:val="18"/>
                <w:szCs w:val="18"/>
              </w:rPr>
            </w:pPr>
            <w:r w:rsidRPr="000F56C8">
              <w:rPr>
                <w:rFonts w:ascii="Segoe UI" w:hAnsi="Segoe UI" w:cs="Segoe UI"/>
                <w:b/>
                <w:bCs/>
                <w:sz w:val="18"/>
                <w:szCs w:val="18"/>
              </w:rPr>
              <w:t>2019</w:t>
            </w:r>
          </w:p>
        </w:tc>
        <w:tc>
          <w:tcPr>
            <w:tcW w:w="1385" w:type="dxa"/>
            <w:gridSpan w:val="2"/>
          </w:tcPr>
          <w:p w14:paraId="2D89A933" w14:textId="77777777" w:rsidR="00280E00" w:rsidRPr="000F56C8" w:rsidRDefault="00280E00" w:rsidP="00E90BA7">
            <w:pPr>
              <w:spacing w:before="20" w:after="20" w:line="240" w:lineRule="auto"/>
              <w:jc w:val="both"/>
              <w:rPr>
                <w:rFonts w:ascii="Segoe UI" w:hAnsi="Segoe UI" w:cs="Segoe UI"/>
                <w:b/>
                <w:bCs/>
                <w:sz w:val="18"/>
                <w:szCs w:val="18"/>
              </w:rPr>
            </w:pPr>
            <w:r w:rsidRPr="000F56C8">
              <w:rPr>
                <w:rFonts w:ascii="Segoe UI" w:hAnsi="Segoe UI" w:cs="Segoe UI"/>
                <w:b/>
                <w:bCs/>
                <w:sz w:val="18"/>
                <w:szCs w:val="18"/>
              </w:rPr>
              <w:t>2020</w:t>
            </w:r>
          </w:p>
        </w:tc>
        <w:tc>
          <w:tcPr>
            <w:tcW w:w="1385" w:type="dxa"/>
          </w:tcPr>
          <w:p w14:paraId="152CE445" w14:textId="77777777" w:rsidR="00280E00" w:rsidRPr="000F56C8" w:rsidRDefault="00280E00" w:rsidP="00E90BA7">
            <w:pPr>
              <w:spacing w:before="20" w:after="20" w:line="240" w:lineRule="auto"/>
              <w:jc w:val="both"/>
              <w:rPr>
                <w:rFonts w:ascii="Segoe UI" w:hAnsi="Segoe UI" w:cs="Segoe UI"/>
                <w:b/>
                <w:bCs/>
                <w:sz w:val="18"/>
                <w:szCs w:val="18"/>
              </w:rPr>
            </w:pPr>
            <w:r w:rsidRPr="000F56C8">
              <w:rPr>
                <w:rFonts w:ascii="Segoe UI" w:hAnsi="Segoe UI" w:cs="Segoe UI"/>
                <w:b/>
                <w:bCs/>
                <w:sz w:val="18"/>
                <w:szCs w:val="18"/>
              </w:rPr>
              <w:t>2021</w:t>
            </w:r>
          </w:p>
        </w:tc>
        <w:tc>
          <w:tcPr>
            <w:tcW w:w="1660" w:type="dxa"/>
          </w:tcPr>
          <w:p w14:paraId="763DDD44" w14:textId="71938BA3" w:rsidR="00280E00" w:rsidRPr="000F56C8" w:rsidRDefault="000C00AF" w:rsidP="00E90BA7">
            <w:pPr>
              <w:spacing w:before="20" w:after="20" w:line="240" w:lineRule="auto"/>
              <w:jc w:val="both"/>
              <w:rPr>
                <w:rFonts w:ascii="Segoe UI" w:hAnsi="Segoe UI" w:cs="Segoe UI"/>
                <w:b/>
                <w:bCs/>
                <w:sz w:val="18"/>
                <w:szCs w:val="18"/>
              </w:rPr>
            </w:pPr>
            <w:r w:rsidRPr="000F56C8">
              <w:rPr>
                <w:rFonts w:ascii="Segoe UI" w:hAnsi="Segoe UI" w:cs="Segoe UI"/>
                <w:b/>
                <w:bCs/>
                <w:sz w:val="18"/>
                <w:szCs w:val="18"/>
              </w:rPr>
              <w:t>2022</w:t>
            </w:r>
          </w:p>
        </w:tc>
      </w:tr>
      <w:tr w:rsidR="00002F93" w:rsidRPr="007669E1" w14:paraId="0EF57F70" w14:textId="77777777" w:rsidTr="007E1C79">
        <w:trPr>
          <w:trHeight w:val="91"/>
        </w:trPr>
        <w:tc>
          <w:tcPr>
            <w:tcW w:w="2425" w:type="dxa"/>
            <w:vMerge/>
          </w:tcPr>
          <w:p w14:paraId="47BCDEF2"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33C1B8BD" w14:textId="28E3AB69" w:rsidR="00AA1580" w:rsidRPr="007669E1" w:rsidRDefault="003E0CE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29D907CC" w14:textId="7631CA8C" w:rsidR="00AA1580" w:rsidRPr="007669E1" w:rsidRDefault="003E0CE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gridSpan w:val="2"/>
          </w:tcPr>
          <w:p w14:paraId="060CEE7C" w14:textId="4356A96D" w:rsidR="00AA1580" w:rsidRPr="007669E1" w:rsidRDefault="003E0CE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385" w:type="dxa"/>
          </w:tcPr>
          <w:p w14:paraId="3925C890" w14:textId="3B2DD69A" w:rsidR="00AA1580" w:rsidRPr="007669E1" w:rsidRDefault="003E0CE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c>
          <w:tcPr>
            <w:tcW w:w="1660" w:type="dxa"/>
          </w:tcPr>
          <w:p w14:paraId="798C1B05" w14:textId="41C62DB2" w:rsidR="00AA1580" w:rsidRPr="007669E1" w:rsidRDefault="003E0CE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0103B" w:rsidRPr="007669E1">
              <w:rPr>
                <w:rFonts w:ascii="Segoe UI" w:hAnsi="Segoe UI" w:cs="Segoe UI"/>
                <w:color w:val="000000"/>
                <w:sz w:val="18"/>
                <w:szCs w:val="18"/>
              </w:rPr>
              <w:t>.</w:t>
            </w:r>
          </w:p>
        </w:tc>
      </w:tr>
    </w:tbl>
    <w:p w14:paraId="7B269F76"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1F1C27FA" w14:textId="77777777" w:rsidTr="007E1C79">
        <w:tc>
          <w:tcPr>
            <w:tcW w:w="9625" w:type="dxa"/>
            <w:gridSpan w:val="7"/>
            <w:shd w:val="clear" w:color="auto" w:fill="D9D9D9" w:themeFill="background1" w:themeFillShade="D9"/>
          </w:tcPr>
          <w:p w14:paraId="56192E90" w14:textId="1173E07A"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12. Tax exemptions of rewards received from the Republic of Moldova</w:t>
            </w:r>
          </w:p>
        </w:tc>
      </w:tr>
      <w:tr w:rsidR="00002F93" w:rsidRPr="007669E1" w14:paraId="365162B4" w14:textId="77777777" w:rsidTr="007E1C79">
        <w:tc>
          <w:tcPr>
            <w:tcW w:w="2425" w:type="dxa"/>
          </w:tcPr>
          <w:p w14:paraId="1636573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3DBDD2EB" w14:textId="79E223CB" w:rsidR="00280E00" w:rsidRPr="007669E1" w:rsidRDefault="00280E00" w:rsidP="00E90BA7">
            <w:pPr>
              <w:pStyle w:val="Default"/>
              <w:spacing w:before="20" w:after="20"/>
              <w:jc w:val="both"/>
              <w:rPr>
                <w:rFonts w:ascii="Segoe UI" w:hAnsi="Segoe UI" w:cs="Segoe UI"/>
                <w:sz w:val="18"/>
                <w:szCs w:val="18"/>
              </w:rPr>
            </w:pPr>
            <w:r w:rsidRPr="007669E1">
              <w:rPr>
                <w:rFonts w:ascii="Segoe UI" w:hAnsi="Segoe UI" w:cs="Segoe UI"/>
                <w:sz w:val="18"/>
                <w:szCs w:val="18"/>
              </w:rPr>
              <w:t xml:space="preserve">There is a tax exemption for the receipt of the national award of the Republic of Moldova in literature, art, architecture, science, and technology, as well as awards to pupils and </w:t>
            </w:r>
            <w:r w:rsidRPr="007669E1">
              <w:rPr>
                <w:rFonts w:ascii="Segoe UI" w:hAnsi="Segoe UI" w:cs="Segoe UI"/>
                <w:sz w:val="18"/>
                <w:szCs w:val="18"/>
              </w:rPr>
              <w:lastRenderedPageBreak/>
              <w:t>animating teachers, paid in the amounts established by the current regulatory acts, for outstanding results achieved at district, city, municipal, zonal, republican, regional and international Olympiads, and contests. The amount of reward</w:t>
            </w:r>
            <w:r w:rsidR="5977208A" w:rsidRPr="007669E1">
              <w:rPr>
                <w:rFonts w:ascii="Segoe UI" w:hAnsi="Segoe UI" w:cs="Segoe UI"/>
                <w:sz w:val="18"/>
                <w:szCs w:val="18"/>
              </w:rPr>
              <w:t>s</w:t>
            </w:r>
            <w:r w:rsidRPr="007669E1">
              <w:rPr>
                <w:rFonts w:ascii="Segoe UI" w:hAnsi="Segoe UI" w:cs="Segoe UI"/>
                <w:sz w:val="18"/>
                <w:szCs w:val="18"/>
              </w:rPr>
              <w:t xml:space="preserve"> is 100</w:t>
            </w:r>
            <w:r w:rsidR="00696640" w:rsidRPr="007669E1">
              <w:rPr>
                <w:rFonts w:ascii="Segoe UI" w:hAnsi="Segoe UI" w:cs="Segoe UI"/>
                <w:sz w:val="18"/>
                <w:szCs w:val="18"/>
              </w:rPr>
              <w:t>,</w:t>
            </w:r>
            <w:r w:rsidRPr="007669E1">
              <w:rPr>
                <w:rFonts w:ascii="Segoe UI" w:hAnsi="Segoe UI" w:cs="Segoe UI"/>
                <w:sz w:val="18"/>
                <w:szCs w:val="18"/>
              </w:rPr>
              <w:t xml:space="preserve">000 </w:t>
            </w:r>
            <w:r w:rsidR="00E672A2" w:rsidRPr="007669E1">
              <w:rPr>
                <w:rFonts w:ascii="Segoe UI" w:hAnsi="Segoe UI" w:cs="Segoe UI"/>
                <w:sz w:val="18"/>
                <w:szCs w:val="18"/>
              </w:rPr>
              <w:t>MDL</w:t>
            </w:r>
            <w:r w:rsidRPr="007669E1">
              <w:rPr>
                <w:rFonts w:ascii="Segoe UI" w:hAnsi="Segoe UI" w:cs="Segoe UI"/>
                <w:sz w:val="18"/>
                <w:szCs w:val="18"/>
              </w:rPr>
              <w:t xml:space="preserve"> (Government Decision nr.</w:t>
            </w:r>
            <w:r w:rsidR="00715FB1" w:rsidRPr="007669E1">
              <w:rPr>
                <w:rFonts w:ascii="Segoe UI" w:hAnsi="Segoe UI" w:cs="Segoe UI"/>
                <w:sz w:val="18"/>
                <w:szCs w:val="18"/>
              </w:rPr>
              <w:t xml:space="preserve"> </w:t>
            </w:r>
            <w:r w:rsidRPr="007669E1">
              <w:rPr>
                <w:rFonts w:ascii="Segoe UI" w:hAnsi="Segoe UI" w:cs="Segoe UI"/>
                <w:sz w:val="18"/>
                <w:szCs w:val="18"/>
              </w:rPr>
              <w:t>504/2018)</w:t>
            </w:r>
          </w:p>
        </w:tc>
      </w:tr>
      <w:tr w:rsidR="00002F93" w:rsidRPr="007669E1" w14:paraId="74578801" w14:textId="77777777" w:rsidTr="007E1C79">
        <w:tc>
          <w:tcPr>
            <w:tcW w:w="2425" w:type="dxa"/>
          </w:tcPr>
          <w:p w14:paraId="6B446B5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Type of Tax Affected</w:t>
            </w:r>
          </w:p>
        </w:tc>
        <w:tc>
          <w:tcPr>
            <w:tcW w:w="7200" w:type="dxa"/>
            <w:gridSpan w:val="6"/>
          </w:tcPr>
          <w:p w14:paraId="3AD7655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656302C" w14:textId="77777777" w:rsidTr="007E1C79">
        <w:tc>
          <w:tcPr>
            <w:tcW w:w="2425" w:type="dxa"/>
          </w:tcPr>
          <w:p w14:paraId="5D09808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50959A8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Recipients of the National Awards</w:t>
            </w:r>
          </w:p>
        </w:tc>
      </w:tr>
      <w:tr w:rsidR="00002F93" w:rsidRPr="007669E1" w14:paraId="58C28DBD" w14:textId="77777777" w:rsidTr="007E1C79">
        <w:tc>
          <w:tcPr>
            <w:tcW w:w="2425" w:type="dxa"/>
          </w:tcPr>
          <w:p w14:paraId="0382B68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48A0B81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54E4E96C" w14:textId="77777777" w:rsidTr="007E1C79">
        <w:tc>
          <w:tcPr>
            <w:tcW w:w="2425" w:type="dxa"/>
          </w:tcPr>
          <w:p w14:paraId="3AC4678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1BC44DA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the financial value of the national awards constitute income in the hands of persons receiving the national award. It should attract PIT at the flat rate of 12% if their combined income streams exceed the basic personal allowance of MDL 27,000 per year. The non-taxation constitutes therefore a tax expenditure.</w:t>
            </w:r>
          </w:p>
        </w:tc>
      </w:tr>
      <w:tr w:rsidR="00002F93" w:rsidRPr="007669E1" w14:paraId="1F80FB21" w14:textId="77777777" w:rsidTr="007E1C79">
        <w:tc>
          <w:tcPr>
            <w:tcW w:w="2425" w:type="dxa"/>
          </w:tcPr>
          <w:p w14:paraId="6CDBAC9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4278632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(u)</w:t>
            </w:r>
          </w:p>
        </w:tc>
      </w:tr>
      <w:tr w:rsidR="00002F93" w:rsidRPr="007669E1" w14:paraId="7B1776DE" w14:textId="77777777" w:rsidTr="007E1C79">
        <w:trPr>
          <w:trHeight w:val="182"/>
        </w:trPr>
        <w:tc>
          <w:tcPr>
            <w:tcW w:w="2425" w:type="dxa"/>
            <w:vMerge w:val="restart"/>
          </w:tcPr>
          <w:p w14:paraId="322EF5A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4E93119C"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4008662F" w14:textId="77777777" w:rsidTr="007E1C79">
        <w:trPr>
          <w:trHeight w:val="182"/>
        </w:trPr>
        <w:tc>
          <w:tcPr>
            <w:tcW w:w="2425" w:type="dxa"/>
            <w:vMerge/>
          </w:tcPr>
          <w:p w14:paraId="4E3823C0"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5AC0556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2001</w:t>
            </w:r>
          </w:p>
        </w:tc>
        <w:tc>
          <w:tcPr>
            <w:tcW w:w="3738" w:type="dxa"/>
            <w:gridSpan w:val="3"/>
          </w:tcPr>
          <w:p w14:paraId="1F98B299" w14:textId="2280E224"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4C40D44B" w14:textId="77777777" w:rsidTr="007E1C79">
        <w:tc>
          <w:tcPr>
            <w:tcW w:w="2425" w:type="dxa"/>
          </w:tcPr>
          <w:p w14:paraId="1D44E14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76844B1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Budget data</w:t>
            </w:r>
          </w:p>
        </w:tc>
      </w:tr>
      <w:tr w:rsidR="00002F93" w:rsidRPr="007669E1" w14:paraId="044E188F" w14:textId="77777777" w:rsidTr="007E1C79">
        <w:tc>
          <w:tcPr>
            <w:tcW w:w="2425" w:type="dxa"/>
          </w:tcPr>
          <w:p w14:paraId="6E1D2AA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6FFAD1C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Estimation of budget expenditures </w:t>
            </w:r>
          </w:p>
        </w:tc>
      </w:tr>
      <w:tr w:rsidR="00002F93" w:rsidRPr="007669E1" w14:paraId="4A2D202F" w14:textId="77777777" w:rsidTr="007E1C79">
        <w:tc>
          <w:tcPr>
            <w:tcW w:w="2425" w:type="dxa"/>
          </w:tcPr>
          <w:p w14:paraId="4310DD0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78FBF60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2018 – 10 beneficiaries</w:t>
            </w:r>
          </w:p>
          <w:p w14:paraId="751B973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2019 – 10 beneficiaries</w:t>
            </w:r>
          </w:p>
          <w:p w14:paraId="3E84AC8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2020 – 30 beneficiaries</w:t>
            </w:r>
          </w:p>
          <w:p w14:paraId="02DBED5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2021 – 7 beneficiaries</w:t>
            </w:r>
          </w:p>
        </w:tc>
      </w:tr>
      <w:tr w:rsidR="00002F93" w:rsidRPr="007669E1" w14:paraId="00E122D9" w14:textId="77777777" w:rsidTr="007E1C79">
        <w:tc>
          <w:tcPr>
            <w:tcW w:w="2425" w:type="dxa"/>
          </w:tcPr>
          <w:p w14:paraId="4038956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55C8513B" w14:textId="509CF4B4" w:rsidR="00280E00" w:rsidRPr="007669E1" w:rsidRDefault="7023C11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002F93" w:rsidRPr="007669E1" w14:paraId="1D3A8F11" w14:textId="77777777" w:rsidTr="007E1C79">
        <w:trPr>
          <w:trHeight w:val="91"/>
        </w:trPr>
        <w:tc>
          <w:tcPr>
            <w:tcW w:w="2425" w:type="dxa"/>
            <w:vMerge w:val="restart"/>
          </w:tcPr>
          <w:p w14:paraId="58028D36" w14:textId="77777777" w:rsidR="00280E00" w:rsidRPr="007669E1" w:rsidRDefault="00280E00" w:rsidP="00E90BA7">
            <w:pPr>
              <w:spacing w:before="20" w:after="20" w:line="240" w:lineRule="auto"/>
              <w:jc w:val="both"/>
              <w:rPr>
                <w:rFonts w:ascii="Segoe UI" w:hAnsi="Segoe UI" w:cs="Segoe UI"/>
                <w:b/>
                <w:bCs/>
                <w:sz w:val="18"/>
                <w:szCs w:val="18"/>
              </w:rPr>
            </w:pPr>
          </w:p>
        </w:tc>
        <w:tc>
          <w:tcPr>
            <w:tcW w:w="1385" w:type="dxa"/>
          </w:tcPr>
          <w:p w14:paraId="74F03B2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3F1AAAC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7D174DB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020D5E1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55E06975" w14:textId="562C6D1A"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A2051E" w:rsidRPr="007669E1" w14:paraId="27FC02AE" w14:textId="77777777" w:rsidTr="6F4C2B7C">
        <w:trPr>
          <w:trHeight w:val="314"/>
        </w:trPr>
        <w:tc>
          <w:tcPr>
            <w:tcW w:w="2425" w:type="dxa"/>
            <w:vMerge/>
          </w:tcPr>
          <w:p w14:paraId="6A8F3652"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5D354C06" w14:textId="60C9C105" w:rsidR="00280E00" w:rsidRPr="007669E1" w:rsidRDefault="2A4874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w:t>
            </w:r>
            <w:r w:rsidR="521D3943" w:rsidRPr="007669E1">
              <w:rPr>
                <w:rFonts w:ascii="Segoe UI" w:hAnsi="Segoe UI" w:cs="Segoe UI"/>
                <w:sz w:val="18"/>
                <w:szCs w:val="18"/>
              </w:rPr>
              <w:t>0.0</w:t>
            </w:r>
          </w:p>
        </w:tc>
        <w:tc>
          <w:tcPr>
            <w:tcW w:w="1385" w:type="dxa"/>
          </w:tcPr>
          <w:p w14:paraId="736F9FA1" w14:textId="7D3837C5" w:rsidR="00280E00" w:rsidRPr="007669E1" w:rsidRDefault="2A4874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w:t>
            </w:r>
            <w:r w:rsidR="1283F3C2" w:rsidRPr="007669E1">
              <w:rPr>
                <w:rFonts w:ascii="Segoe UI" w:hAnsi="Segoe UI" w:cs="Segoe UI"/>
                <w:sz w:val="18"/>
                <w:szCs w:val="18"/>
              </w:rPr>
              <w:t>0.0</w:t>
            </w:r>
          </w:p>
        </w:tc>
        <w:tc>
          <w:tcPr>
            <w:tcW w:w="1385" w:type="dxa"/>
            <w:gridSpan w:val="2"/>
          </w:tcPr>
          <w:p w14:paraId="43A5DA61" w14:textId="3931CB59" w:rsidR="00280E00" w:rsidRPr="007669E1" w:rsidRDefault="2A4874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36</w:t>
            </w:r>
            <w:r w:rsidR="27CB64F8" w:rsidRPr="007669E1">
              <w:rPr>
                <w:rFonts w:ascii="Segoe UI" w:hAnsi="Segoe UI" w:cs="Segoe UI"/>
                <w:sz w:val="18"/>
                <w:szCs w:val="18"/>
              </w:rPr>
              <w:t>0.0</w:t>
            </w:r>
          </w:p>
        </w:tc>
        <w:tc>
          <w:tcPr>
            <w:tcW w:w="1385" w:type="dxa"/>
          </w:tcPr>
          <w:p w14:paraId="2F6596D1" w14:textId="78006C41" w:rsidR="00280E00" w:rsidRPr="007669E1" w:rsidRDefault="006B0EB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84</w:t>
            </w:r>
            <w:r w:rsidR="5A9918DF" w:rsidRPr="007669E1">
              <w:rPr>
                <w:rFonts w:ascii="Segoe UI" w:hAnsi="Segoe UI" w:cs="Segoe UI"/>
                <w:sz w:val="18"/>
                <w:szCs w:val="18"/>
              </w:rPr>
              <w:t>.0</w:t>
            </w:r>
          </w:p>
        </w:tc>
        <w:tc>
          <w:tcPr>
            <w:tcW w:w="1660" w:type="dxa"/>
            <w:shd w:val="clear" w:color="auto" w:fill="E6E6E6"/>
          </w:tcPr>
          <w:p w14:paraId="6757A258" w14:textId="75CD5753" w:rsidR="006263A5" w:rsidRPr="007669E1" w:rsidRDefault="2A487411"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w:t>
            </w:r>
            <w:r w:rsidR="3D0027E3" w:rsidRPr="007669E1">
              <w:rPr>
                <w:rFonts w:ascii="Segoe UI" w:hAnsi="Segoe UI" w:cs="Segoe UI"/>
                <w:i/>
                <w:sz w:val="18"/>
                <w:szCs w:val="18"/>
              </w:rPr>
              <w:t>00.0</w:t>
            </w:r>
          </w:p>
        </w:tc>
      </w:tr>
    </w:tbl>
    <w:p w14:paraId="79FFE01A" w14:textId="550CA472" w:rsidR="00F64170" w:rsidRPr="007669E1" w:rsidRDefault="00F6417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Note: Estimates from 2018 to 2021 are based on actual data</w:t>
      </w:r>
      <w:r w:rsidR="00B4798B" w:rsidRPr="007669E1">
        <w:rPr>
          <w:rFonts w:ascii="Segoe UI" w:hAnsi="Segoe UI" w:cs="Segoe UI"/>
          <w:sz w:val="18"/>
          <w:szCs w:val="18"/>
        </w:rPr>
        <w:t>;</w:t>
      </w:r>
      <w:r w:rsidR="00C65451" w:rsidRPr="007669E1">
        <w:rPr>
          <w:rFonts w:ascii="Segoe UI" w:hAnsi="Segoe UI" w:cs="Segoe UI"/>
          <w:sz w:val="18"/>
          <w:szCs w:val="18"/>
        </w:rPr>
        <w:t xml:space="preserve"> </w:t>
      </w:r>
      <w:r w:rsidRPr="007669E1">
        <w:rPr>
          <w:rFonts w:ascii="Segoe UI" w:hAnsi="Segoe UI" w:cs="Segoe UI"/>
          <w:sz w:val="18"/>
          <w:szCs w:val="18"/>
        </w:rPr>
        <w:t>2022 is projected from 2021.</w:t>
      </w:r>
    </w:p>
    <w:p w14:paraId="5E82A14A"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2E807A2F" w14:textId="77777777" w:rsidTr="007E1C79">
        <w:tc>
          <w:tcPr>
            <w:tcW w:w="9625" w:type="dxa"/>
            <w:gridSpan w:val="7"/>
            <w:shd w:val="clear" w:color="auto" w:fill="D9D9D9" w:themeFill="background1" w:themeFillShade="D9"/>
          </w:tcPr>
          <w:p w14:paraId="2D8DA85B" w14:textId="0974B48D"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13. Tax exemption of remuneration granted to households for participating in survey by the statistic bodies</w:t>
            </w:r>
          </w:p>
        </w:tc>
      </w:tr>
      <w:tr w:rsidR="00002F93" w:rsidRPr="007669E1" w14:paraId="2074B719" w14:textId="77777777" w:rsidTr="007E1C79">
        <w:tc>
          <w:tcPr>
            <w:tcW w:w="2425" w:type="dxa"/>
          </w:tcPr>
          <w:p w14:paraId="11DC2FB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471F8D1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for remuneration granted to members of households (families) for participation in selective surveys carried out by the statistics bodies.</w:t>
            </w:r>
          </w:p>
        </w:tc>
      </w:tr>
      <w:tr w:rsidR="00002F93" w:rsidRPr="007669E1" w14:paraId="35418C9F" w14:textId="77777777" w:rsidTr="007E1C79">
        <w:tc>
          <w:tcPr>
            <w:tcW w:w="2425" w:type="dxa"/>
          </w:tcPr>
          <w:p w14:paraId="38A10AB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1524865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426290FF" w14:textId="77777777" w:rsidTr="007E1C79">
        <w:tc>
          <w:tcPr>
            <w:tcW w:w="2425" w:type="dxa"/>
          </w:tcPr>
          <w:p w14:paraId="2EBC764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0F120BF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Households participating in selective surveys</w:t>
            </w:r>
          </w:p>
        </w:tc>
      </w:tr>
      <w:tr w:rsidR="00002F93" w:rsidRPr="007669E1" w14:paraId="409102B7" w14:textId="77777777" w:rsidTr="007E1C79">
        <w:tc>
          <w:tcPr>
            <w:tcW w:w="2425" w:type="dxa"/>
          </w:tcPr>
          <w:p w14:paraId="5A61674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65C48E3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Legislated tax exemption </w:t>
            </w:r>
          </w:p>
        </w:tc>
      </w:tr>
      <w:tr w:rsidR="00002F93" w:rsidRPr="007669E1" w14:paraId="55A1A66F" w14:textId="77777777" w:rsidTr="007E1C79">
        <w:tc>
          <w:tcPr>
            <w:tcW w:w="2425" w:type="dxa"/>
          </w:tcPr>
          <w:p w14:paraId="1621F07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2F11B6E1" w14:textId="18E140E8"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the paid remuneration for statistical survey work constitute</w:t>
            </w:r>
            <w:r w:rsidR="003A3C68" w:rsidRPr="007669E1">
              <w:rPr>
                <w:rFonts w:ascii="Segoe UI" w:hAnsi="Segoe UI" w:cs="Segoe UI"/>
                <w:sz w:val="18"/>
                <w:szCs w:val="18"/>
              </w:rPr>
              <w:t>s</w:t>
            </w:r>
            <w:r w:rsidRPr="007669E1">
              <w:rPr>
                <w:rFonts w:ascii="Segoe UI" w:hAnsi="Segoe UI" w:cs="Segoe UI"/>
                <w:sz w:val="18"/>
                <w:szCs w:val="18"/>
              </w:rPr>
              <w:t xml:space="preserve"> income in the hands of the survey-participating households/taxpayers. It should attract PIT at the flat rate of 12% if their combined income streams exceed the basic personal allowance of MDL 27,000 per year. The non-taxation constitutes therefore a tax expenditure.</w:t>
            </w:r>
          </w:p>
        </w:tc>
      </w:tr>
      <w:tr w:rsidR="00002F93" w:rsidRPr="007669E1" w14:paraId="681F10C0" w14:textId="77777777" w:rsidTr="007E1C79">
        <w:tc>
          <w:tcPr>
            <w:tcW w:w="2425" w:type="dxa"/>
          </w:tcPr>
          <w:p w14:paraId="357AE23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4645356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20(w)</w:t>
            </w:r>
          </w:p>
        </w:tc>
      </w:tr>
      <w:tr w:rsidR="00002F93" w:rsidRPr="007669E1" w14:paraId="6745DADA" w14:textId="77777777" w:rsidTr="007E1C79">
        <w:trPr>
          <w:trHeight w:val="182"/>
        </w:trPr>
        <w:tc>
          <w:tcPr>
            <w:tcW w:w="2425" w:type="dxa"/>
            <w:vMerge w:val="restart"/>
          </w:tcPr>
          <w:p w14:paraId="0AD28F83"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4AD84E6F"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53083FA9" w14:textId="77777777" w:rsidTr="007E1C79">
        <w:trPr>
          <w:trHeight w:val="182"/>
        </w:trPr>
        <w:tc>
          <w:tcPr>
            <w:tcW w:w="2425" w:type="dxa"/>
            <w:vMerge/>
          </w:tcPr>
          <w:p w14:paraId="7DE9D7ED"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0F0D8D2C"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2002</w:t>
            </w:r>
          </w:p>
        </w:tc>
        <w:tc>
          <w:tcPr>
            <w:tcW w:w="3738" w:type="dxa"/>
            <w:gridSpan w:val="3"/>
          </w:tcPr>
          <w:p w14:paraId="15ED7E05" w14:textId="45703819"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37409373" w14:textId="77777777" w:rsidTr="007E1C79">
        <w:tc>
          <w:tcPr>
            <w:tcW w:w="2425" w:type="dxa"/>
          </w:tcPr>
          <w:p w14:paraId="7E7F18EC"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6CEC1077" w14:textId="6D672C74"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0E767FE" w14:textId="77777777" w:rsidTr="007E1C79">
        <w:tc>
          <w:tcPr>
            <w:tcW w:w="2425" w:type="dxa"/>
          </w:tcPr>
          <w:p w14:paraId="4365841C"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2889FE24" w14:textId="7C8A24A0"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32A7DEC" w14:textId="77777777" w:rsidTr="007E1C79">
        <w:tc>
          <w:tcPr>
            <w:tcW w:w="2425" w:type="dxa"/>
          </w:tcPr>
          <w:p w14:paraId="588D6EF6"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44E6BE97" w14:textId="1A619D87"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19A8" w:rsidRPr="007669E1" w14:paraId="6B3B3792" w14:textId="77777777" w:rsidTr="00416DA2">
        <w:tc>
          <w:tcPr>
            <w:tcW w:w="2425" w:type="dxa"/>
            <w:tcBorders>
              <w:bottom w:val="single" w:sz="4" w:space="0" w:color="auto"/>
            </w:tcBorders>
          </w:tcPr>
          <w:p w14:paraId="702DA31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Borders>
              <w:bottom w:val="single" w:sz="4" w:space="0" w:color="auto"/>
            </w:tcBorders>
          </w:tcPr>
          <w:p w14:paraId="21D7B4AE" w14:textId="45945E4D" w:rsidR="00280E00" w:rsidRPr="007669E1" w:rsidRDefault="00AE637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6F4BB281" w14:textId="77777777" w:rsidTr="007E1C79">
        <w:trPr>
          <w:trHeight w:val="91"/>
        </w:trPr>
        <w:tc>
          <w:tcPr>
            <w:tcW w:w="2425" w:type="dxa"/>
            <w:vMerge w:val="restart"/>
          </w:tcPr>
          <w:p w14:paraId="59CFDD5D"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166C266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4E0A33A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786C7FA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75694E4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63EBFCBC" w14:textId="35B9507E"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7619A8" w:rsidRPr="007669E1" w14:paraId="34FC4BDF" w14:textId="77777777" w:rsidTr="00416DA2">
        <w:trPr>
          <w:trHeight w:val="91"/>
        </w:trPr>
        <w:tc>
          <w:tcPr>
            <w:tcW w:w="2425" w:type="dxa"/>
            <w:vMerge/>
            <w:tcBorders>
              <w:bottom w:val="single" w:sz="4" w:space="0" w:color="auto"/>
            </w:tcBorders>
          </w:tcPr>
          <w:p w14:paraId="460BE285"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Borders>
              <w:bottom w:val="single" w:sz="4" w:space="0" w:color="auto"/>
            </w:tcBorders>
          </w:tcPr>
          <w:p w14:paraId="50FDD245" w14:textId="1E89F7CB" w:rsidR="00AA1580" w:rsidRPr="007669E1" w:rsidRDefault="005826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Borders>
              <w:bottom w:val="single" w:sz="4" w:space="0" w:color="auto"/>
            </w:tcBorders>
          </w:tcPr>
          <w:p w14:paraId="3478859F" w14:textId="03F295BD" w:rsidR="00AA1580" w:rsidRPr="007669E1" w:rsidRDefault="005826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gridSpan w:val="2"/>
            <w:tcBorders>
              <w:bottom w:val="single" w:sz="4" w:space="0" w:color="auto"/>
            </w:tcBorders>
          </w:tcPr>
          <w:p w14:paraId="0EAAF576" w14:textId="6BF93F86" w:rsidR="00AA1580" w:rsidRPr="007669E1" w:rsidRDefault="005826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Borders>
              <w:bottom w:val="single" w:sz="4" w:space="0" w:color="auto"/>
            </w:tcBorders>
          </w:tcPr>
          <w:p w14:paraId="4F977B65" w14:textId="271350DF" w:rsidR="00AA1580" w:rsidRPr="007669E1" w:rsidRDefault="005826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660" w:type="dxa"/>
            <w:tcBorders>
              <w:bottom w:val="single" w:sz="4" w:space="0" w:color="auto"/>
            </w:tcBorders>
          </w:tcPr>
          <w:p w14:paraId="0165AF22" w14:textId="77E0F14A" w:rsidR="00AA1580" w:rsidRPr="007669E1" w:rsidRDefault="005826C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r>
    </w:tbl>
    <w:p w14:paraId="2A92EA7E"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2DF19EE9" w14:textId="77777777" w:rsidTr="00542E59">
        <w:tc>
          <w:tcPr>
            <w:tcW w:w="9625" w:type="dxa"/>
            <w:gridSpan w:val="7"/>
            <w:shd w:val="clear" w:color="auto" w:fill="D9D9D9" w:themeFill="background1" w:themeFillShade="D9"/>
          </w:tcPr>
          <w:p w14:paraId="7ECA321E" w14:textId="5D3F38FF"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14. Tax exemption for income generated from the delivery of secondary raw materials</w:t>
            </w:r>
          </w:p>
        </w:tc>
      </w:tr>
      <w:tr w:rsidR="00002F93" w:rsidRPr="007669E1" w14:paraId="4E2BA76C" w14:textId="77777777" w:rsidTr="00542E59">
        <w:tc>
          <w:tcPr>
            <w:tcW w:w="2425" w:type="dxa"/>
          </w:tcPr>
          <w:p w14:paraId="296A2DC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696B230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for incomes received by natural persons, excluding individual entrepreneurs and farming household (farm), from the delivery of secondary raw materials, including waste and scrap of paper and paperboard, rubber, plastic, and glass waste (shard of glass), of ferrous and non-ferrous metals, of industrial waste containing metals or their alloys and of returnable packaging, as well as of used electric accumulators.</w:t>
            </w:r>
          </w:p>
        </w:tc>
      </w:tr>
      <w:tr w:rsidR="00002F93" w:rsidRPr="007669E1" w14:paraId="79B3D9C2" w14:textId="77777777" w:rsidTr="00542E59">
        <w:tc>
          <w:tcPr>
            <w:tcW w:w="2425" w:type="dxa"/>
          </w:tcPr>
          <w:p w14:paraId="7BC2B8F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783DE62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78513579" w14:textId="77777777" w:rsidTr="00542E59">
        <w:tc>
          <w:tcPr>
            <w:tcW w:w="2425" w:type="dxa"/>
          </w:tcPr>
          <w:p w14:paraId="03B5D51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71BCF00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Vendors active in the trade of recycling and delivery of secondary raw materials.</w:t>
            </w:r>
          </w:p>
        </w:tc>
      </w:tr>
      <w:tr w:rsidR="00002F93" w:rsidRPr="007669E1" w14:paraId="494AF350" w14:textId="77777777" w:rsidTr="00542E59">
        <w:tc>
          <w:tcPr>
            <w:tcW w:w="2425" w:type="dxa"/>
          </w:tcPr>
          <w:p w14:paraId="5E7D69C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0C4EE24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24E8B519" w14:textId="77777777" w:rsidTr="00542E59">
        <w:tc>
          <w:tcPr>
            <w:tcW w:w="2425" w:type="dxa"/>
          </w:tcPr>
          <w:p w14:paraId="5B652F2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53CE1AD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[business] income constitutes therefore a tax expenditure.</w:t>
            </w:r>
          </w:p>
        </w:tc>
      </w:tr>
      <w:tr w:rsidR="00002F93" w:rsidRPr="007669E1" w14:paraId="41D06457" w14:textId="77777777" w:rsidTr="00542E59">
        <w:tc>
          <w:tcPr>
            <w:tcW w:w="2425" w:type="dxa"/>
          </w:tcPr>
          <w:p w14:paraId="0E7857C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39CB282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(y)</w:t>
            </w:r>
          </w:p>
        </w:tc>
      </w:tr>
      <w:tr w:rsidR="00002F93" w:rsidRPr="007669E1" w14:paraId="7BA2F059" w14:textId="77777777" w:rsidTr="00542E59">
        <w:trPr>
          <w:trHeight w:val="182"/>
        </w:trPr>
        <w:tc>
          <w:tcPr>
            <w:tcW w:w="2425" w:type="dxa"/>
            <w:vMerge w:val="restart"/>
          </w:tcPr>
          <w:p w14:paraId="72A6475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700B46AB"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7D589BF4" w14:textId="77777777" w:rsidTr="00542E59">
        <w:trPr>
          <w:trHeight w:val="182"/>
        </w:trPr>
        <w:tc>
          <w:tcPr>
            <w:tcW w:w="2425" w:type="dxa"/>
            <w:vMerge/>
          </w:tcPr>
          <w:p w14:paraId="34EB8BA1"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4B587EB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2012</w:t>
            </w:r>
          </w:p>
        </w:tc>
        <w:tc>
          <w:tcPr>
            <w:tcW w:w="3738" w:type="dxa"/>
            <w:gridSpan w:val="3"/>
          </w:tcPr>
          <w:p w14:paraId="1D0253E1" w14:textId="7D24F9AF"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3F38C909" w14:textId="77777777" w:rsidTr="00542E59">
        <w:tc>
          <w:tcPr>
            <w:tcW w:w="2425" w:type="dxa"/>
          </w:tcPr>
          <w:p w14:paraId="4B63C8D7"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4E1CBAD8" w14:textId="7B74AA03"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2B6293B3" w14:textId="77777777" w:rsidTr="00542E59">
        <w:tc>
          <w:tcPr>
            <w:tcW w:w="2425" w:type="dxa"/>
          </w:tcPr>
          <w:p w14:paraId="00852C93"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100BAFC3" w14:textId="456B1A8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7EA1B5A9" w14:textId="77777777" w:rsidTr="00542E59">
        <w:tc>
          <w:tcPr>
            <w:tcW w:w="2425" w:type="dxa"/>
          </w:tcPr>
          <w:p w14:paraId="7FC9006B"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5D220EE1" w14:textId="24574D1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54DC75B" w14:textId="77777777" w:rsidTr="00542E59">
        <w:tc>
          <w:tcPr>
            <w:tcW w:w="2425" w:type="dxa"/>
          </w:tcPr>
          <w:p w14:paraId="1CC31220"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029B27AD" w14:textId="7693F97D" w:rsidR="00280E00" w:rsidRPr="007669E1" w:rsidRDefault="00AE637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5E8C880C" w14:textId="77777777" w:rsidTr="00542E59">
        <w:trPr>
          <w:trHeight w:val="91"/>
        </w:trPr>
        <w:tc>
          <w:tcPr>
            <w:tcW w:w="2425" w:type="dxa"/>
            <w:vMerge w:val="restart"/>
          </w:tcPr>
          <w:p w14:paraId="63E5A7AE" w14:textId="77777777" w:rsidR="00280E00" w:rsidRPr="007669E1" w:rsidRDefault="00280E00" w:rsidP="00E90BA7">
            <w:pPr>
              <w:spacing w:before="20" w:after="20" w:line="240" w:lineRule="auto"/>
              <w:jc w:val="both"/>
              <w:rPr>
                <w:rFonts w:ascii="Segoe UI" w:hAnsi="Segoe UI" w:cs="Segoe UI"/>
                <w:b/>
                <w:bCs/>
                <w:sz w:val="18"/>
                <w:szCs w:val="18"/>
              </w:rPr>
            </w:pPr>
          </w:p>
        </w:tc>
        <w:tc>
          <w:tcPr>
            <w:tcW w:w="1385" w:type="dxa"/>
          </w:tcPr>
          <w:p w14:paraId="7C5EA2D6"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5599E9C5"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0CAA187D"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747A38CA"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0FE1A53B" w14:textId="599887B2"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3B1EAC10" w14:textId="77777777" w:rsidTr="00542E59">
        <w:trPr>
          <w:trHeight w:val="91"/>
        </w:trPr>
        <w:tc>
          <w:tcPr>
            <w:tcW w:w="2425" w:type="dxa"/>
            <w:vMerge/>
          </w:tcPr>
          <w:p w14:paraId="504C165D"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1202DE1B" w14:textId="04A56A43" w:rsidR="00AA1580" w:rsidRPr="007669E1" w:rsidRDefault="00475C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130F7001" w14:textId="2BA23D7D" w:rsidR="00AA1580" w:rsidRPr="007669E1" w:rsidRDefault="00475C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gridSpan w:val="2"/>
          </w:tcPr>
          <w:p w14:paraId="524880B2" w14:textId="321B4ECB" w:rsidR="00AA1580" w:rsidRPr="007669E1" w:rsidRDefault="00475C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427E1E8E" w14:textId="1770430E" w:rsidR="00AA1580" w:rsidRPr="007669E1" w:rsidRDefault="00475C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660" w:type="dxa"/>
          </w:tcPr>
          <w:p w14:paraId="7B670B05" w14:textId="6A825929" w:rsidR="00AA1580" w:rsidRPr="007669E1" w:rsidRDefault="00475C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r>
    </w:tbl>
    <w:p w14:paraId="22BBB55C"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4793FE94" w14:textId="77777777" w:rsidTr="00542E59">
        <w:tc>
          <w:tcPr>
            <w:tcW w:w="9625" w:type="dxa"/>
            <w:gridSpan w:val="7"/>
            <w:shd w:val="clear" w:color="auto" w:fill="D9D9D9" w:themeFill="background1" w:themeFillShade="D9"/>
          </w:tcPr>
          <w:p w14:paraId="13EB5E79" w14:textId="3DE2BEA6"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15. Tax exemption of income generated from the sale of natural plant, horticultural production</w:t>
            </w:r>
            <w:r w:rsidR="00877A36" w:rsidRPr="007669E1">
              <w:rPr>
                <w:rFonts w:ascii="Segoe UI" w:hAnsi="Segoe UI" w:cs="Segoe UI"/>
                <w:b/>
                <w:bCs/>
                <w:sz w:val="18"/>
                <w:szCs w:val="18"/>
              </w:rPr>
              <w:t>,</w:t>
            </w:r>
            <w:r w:rsidRPr="007669E1">
              <w:rPr>
                <w:rFonts w:ascii="Segoe UI" w:hAnsi="Segoe UI" w:cs="Segoe UI"/>
                <w:b/>
                <w:bCs/>
                <w:sz w:val="18"/>
                <w:szCs w:val="18"/>
              </w:rPr>
              <w:t xml:space="preserve"> and animal husbandry</w:t>
            </w:r>
          </w:p>
        </w:tc>
      </w:tr>
      <w:tr w:rsidR="00002F93" w:rsidRPr="007669E1" w14:paraId="53820549" w14:textId="77777777" w:rsidTr="00542E59">
        <w:tc>
          <w:tcPr>
            <w:tcW w:w="2425" w:type="dxa"/>
          </w:tcPr>
          <w:p w14:paraId="139A5D9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24044970" w14:textId="4AABF35E"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There is </w:t>
            </w:r>
            <w:r w:rsidR="00CA6736" w:rsidRPr="007669E1">
              <w:rPr>
                <w:rFonts w:ascii="Segoe UI" w:hAnsi="Segoe UI" w:cs="Segoe UI"/>
                <w:sz w:val="18"/>
                <w:szCs w:val="18"/>
              </w:rPr>
              <w:t xml:space="preserve">an </w:t>
            </w:r>
            <w:r w:rsidRPr="007669E1">
              <w:rPr>
                <w:rFonts w:ascii="Segoe UI" w:hAnsi="Segoe UI" w:cs="Segoe UI"/>
                <w:sz w:val="18"/>
                <w:szCs w:val="18"/>
              </w:rPr>
              <w:t>exempt</w:t>
            </w:r>
            <w:r w:rsidR="00CA6736" w:rsidRPr="007669E1">
              <w:rPr>
                <w:rFonts w:ascii="Segoe UI" w:hAnsi="Segoe UI" w:cs="Segoe UI"/>
                <w:sz w:val="18"/>
                <w:szCs w:val="18"/>
              </w:rPr>
              <w:t>ion</w:t>
            </w:r>
            <w:r w:rsidRPr="007669E1">
              <w:rPr>
                <w:rFonts w:ascii="Segoe UI" w:hAnsi="Segoe UI" w:cs="Segoe UI"/>
                <w:sz w:val="18"/>
                <w:szCs w:val="18"/>
              </w:rPr>
              <w:t xml:space="preserve"> </w:t>
            </w:r>
            <w:r w:rsidR="00E125C3" w:rsidRPr="007669E1">
              <w:rPr>
                <w:rFonts w:ascii="Segoe UI" w:hAnsi="Segoe UI" w:cs="Segoe UI"/>
                <w:sz w:val="18"/>
                <w:szCs w:val="18"/>
              </w:rPr>
              <w:t>for</w:t>
            </w:r>
            <w:r w:rsidRPr="007669E1">
              <w:rPr>
                <w:rFonts w:ascii="Segoe UI" w:hAnsi="Segoe UI" w:cs="Segoe UI"/>
                <w:sz w:val="18"/>
                <w:szCs w:val="18"/>
              </w:rPr>
              <w:t xml:space="preserve"> income received by natural persons, except for individual entrepreneurs and farming households (farms), from the sale of natural plant and horticultural production and of animal husbandry production in natural form, in living and slaughtered mass to another natural person, except for individual entrepreneurs and households (farmers).</w:t>
            </w:r>
          </w:p>
        </w:tc>
      </w:tr>
      <w:tr w:rsidR="00002F93" w:rsidRPr="007669E1" w14:paraId="2BA34C93" w14:textId="77777777" w:rsidTr="00542E59">
        <w:tc>
          <w:tcPr>
            <w:tcW w:w="2425" w:type="dxa"/>
          </w:tcPr>
          <w:p w14:paraId="3E1192D1"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433A38D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78BE8DD7" w14:textId="77777777" w:rsidTr="00542E59">
        <w:tc>
          <w:tcPr>
            <w:tcW w:w="2425" w:type="dxa"/>
          </w:tcPr>
          <w:p w14:paraId="32BD6D48"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281640B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Natural persons selling produce from farms</w:t>
            </w:r>
          </w:p>
        </w:tc>
      </w:tr>
      <w:tr w:rsidR="00002F93" w:rsidRPr="007669E1" w14:paraId="1FD3A434" w14:textId="77777777" w:rsidTr="00542E59">
        <w:tc>
          <w:tcPr>
            <w:tcW w:w="2425" w:type="dxa"/>
          </w:tcPr>
          <w:p w14:paraId="4154629F"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00" w:type="dxa"/>
            <w:gridSpan w:val="6"/>
          </w:tcPr>
          <w:p w14:paraId="5D584EC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06C67CDA" w14:textId="77777777" w:rsidTr="00542E59">
        <w:tc>
          <w:tcPr>
            <w:tcW w:w="2425" w:type="dxa"/>
          </w:tcPr>
          <w:p w14:paraId="154F2C4B"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1963051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[business] income constitutes therefore a tax expenditure.</w:t>
            </w:r>
          </w:p>
        </w:tc>
      </w:tr>
      <w:tr w:rsidR="00002F93" w:rsidRPr="007669E1" w14:paraId="5D276BA8" w14:textId="77777777" w:rsidTr="00542E59">
        <w:tc>
          <w:tcPr>
            <w:tcW w:w="2425" w:type="dxa"/>
          </w:tcPr>
          <w:p w14:paraId="07B06D99"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1669351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20(y</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002F93" w:rsidRPr="007669E1" w14:paraId="3E813797" w14:textId="77777777" w:rsidTr="00542E59">
        <w:trPr>
          <w:trHeight w:val="182"/>
        </w:trPr>
        <w:tc>
          <w:tcPr>
            <w:tcW w:w="2425" w:type="dxa"/>
            <w:vMerge w:val="restart"/>
          </w:tcPr>
          <w:p w14:paraId="4C59E8D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30476883"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077B9113" w14:textId="77777777" w:rsidTr="00542E59">
        <w:trPr>
          <w:trHeight w:val="182"/>
        </w:trPr>
        <w:tc>
          <w:tcPr>
            <w:tcW w:w="2425" w:type="dxa"/>
            <w:vMerge/>
          </w:tcPr>
          <w:p w14:paraId="7E3E7910" w14:textId="77777777" w:rsidR="00280E00" w:rsidRPr="007669E1" w:rsidRDefault="00280E00" w:rsidP="00E90BA7">
            <w:pPr>
              <w:spacing w:before="20" w:after="20" w:line="240" w:lineRule="auto"/>
              <w:jc w:val="both"/>
              <w:rPr>
                <w:rFonts w:ascii="Segoe UI" w:hAnsi="Segoe UI" w:cs="Segoe UI"/>
                <w:b/>
                <w:bCs/>
                <w:sz w:val="18"/>
                <w:szCs w:val="18"/>
              </w:rPr>
            </w:pPr>
          </w:p>
        </w:tc>
        <w:tc>
          <w:tcPr>
            <w:tcW w:w="3462" w:type="dxa"/>
            <w:gridSpan w:val="3"/>
          </w:tcPr>
          <w:p w14:paraId="3DB7598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2004</w:t>
            </w:r>
          </w:p>
        </w:tc>
        <w:tc>
          <w:tcPr>
            <w:tcW w:w="3738" w:type="dxa"/>
            <w:gridSpan w:val="3"/>
          </w:tcPr>
          <w:p w14:paraId="3DF1FCC9" w14:textId="0E8BB047"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664DC4F2" w14:textId="77777777" w:rsidTr="00542E59">
        <w:tc>
          <w:tcPr>
            <w:tcW w:w="2425" w:type="dxa"/>
          </w:tcPr>
          <w:p w14:paraId="2A794884"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09DFB5CA" w14:textId="17885F0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77581AE7" w14:textId="77777777" w:rsidTr="00542E59">
        <w:tc>
          <w:tcPr>
            <w:tcW w:w="2425" w:type="dxa"/>
          </w:tcPr>
          <w:p w14:paraId="50896B74"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42EC1E6D" w14:textId="7CB35A64"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7BAE576" w14:textId="77777777" w:rsidTr="00542E59">
        <w:tc>
          <w:tcPr>
            <w:tcW w:w="2425" w:type="dxa"/>
          </w:tcPr>
          <w:p w14:paraId="0A0D11EC" w14:textId="77777777" w:rsidR="00F34AC6" w:rsidRPr="007669E1" w:rsidRDefault="00F34AC6"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327543E8" w14:textId="64D7E46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793C2D3" w14:textId="77777777" w:rsidTr="00542E59">
        <w:tc>
          <w:tcPr>
            <w:tcW w:w="2425" w:type="dxa"/>
          </w:tcPr>
          <w:p w14:paraId="3801B2F7"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343B7211" w14:textId="14940E59" w:rsidR="00280E00" w:rsidRPr="007669E1" w:rsidRDefault="00AE637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01805717" w14:textId="77777777" w:rsidTr="00542E59">
        <w:trPr>
          <w:trHeight w:val="91"/>
        </w:trPr>
        <w:tc>
          <w:tcPr>
            <w:tcW w:w="2425" w:type="dxa"/>
            <w:vMerge w:val="restart"/>
          </w:tcPr>
          <w:p w14:paraId="2AA611E3"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40090742"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356847FE"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7C9EAD04"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6E60792C" w14:textId="77777777"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06157D9B" w14:textId="06E62FD8" w:rsidR="00280E00"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002F93" w:rsidRPr="007669E1" w14:paraId="4F6F29C4" w14:textId="77777777" w:rsidTr="00542E59">
        <w:trPr>
          <w:trHeight w:val="91"/>
        </w:trPr>
        <w:tc>
          <w:tcPr>
            <w:tcW w:w="2425" w:type="dxa"/>
            <w:vMerge/>
          </w:tcPr>
          <w:p w14:paraId="3399AE2D"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29BBBD41" w14:textId="745FA3EA" w:rsidR="00AA1580" w:rsidRPr="007669E1" w:rsidRDefault="00E30B2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225841D7" w14:textId="357671AE" w:rsidR="00AA1580" w:rsidRPr="007669E1" w:rsidRDefault="00E30B2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gridSpan w:val="2"/>
          </w:tcPr>
          <w:p w14:paraId="2EE2A16C" w14:textId="75D5E40B" w:rsidR="00AA1580" w:rsidRPr="007669E1" w:rsidRDefault="00E30B2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475772EE" w14:textId="25C7AE48" w:rsidR="00AA1580" w:rsidRPr="007669E1" w:rsidRDefault="00E30B2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660" w:type="dxa"/>
          </w:tcPr>
          <w:p w14:paraId="00E0E99F" w14:textId="56AFBD11" w:rsidR="00AA1580" w:rsidRPr="007669E1" w:rsidRDefault="00E30B2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r>
    </w:tbl>
    <w:p w14:paraId="76A21619"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75112CC3" w14:textId="77777777" w:rsidTr="00542E59">
        <w:tc>
          <w:tcPr>
            <w:tcW w:w="9625" w:type="dxa"/>
            <w:gridSpan w:val="7"/>
            <w:shd w:val="clear" w:color="auto" w:fill="D9D9D9" w:themeFill="background1" w:themeFillShade="D9"/>
          </w:tcPr>
          <w:p w14:paraId="2BEE6E7B" w14:textId="6E5CD460" w:rsidR="00280E00" w:rsidRPr="007669E1" w:rsidRDefault="00280E00"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16. Tax exemption of income received by individuals for the delivery of milk</w:t>
            </w:r>
          </w:p>
        </w:tc>
      </w:tr>
      <w:tr w:rsidR="00002F93" w:rsidRPr="007669E1" w14:paraId="5B2AC408" w14:textId="77777777" w:rsidTr="00542E59">
        <w:tc>
          <w:tcPr>
            <w:tcW w:w="2425" w:type="dxa"/>
          </w:tcPr>
          <w:p w14:paraId="2EEF2B01"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Description</w:t>
            </w:r>
          </w:p>
        </w:tc>
        <w:tc>
          <w:tcPr>
            <w:tcW w:w="7200" w:type="dxa"/>
            <w:gridSpan w:val="6"/>
          </w:tcPr>
          <w:p w14:paraId="28518A13" w14:textId="04C80C0B"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w:t>
            </w:r>
            <w:r w:rsidR="00F21FBA" w:rsidRPr="007669E1">
              <w:rPr>
                <w:rFonts w:ascii="Segoe UI" w:hAnsi="Segoe UI" w:cs="Segoe UI"/>
                <w:sz w:val="18"/>
                <w:szCs w:val="18"/>
              </w:rPr>
              <w:t xml:space="preserve"> an</w:t>
            </w:r>
            <w:r w:rsidRPr="007669E1">
              <w:rPr>
                <w:rFonts w:ascii="Segoe UI" w:hAnsi="Segoe UI" w:cs="Segoe UI"/>
                <w:sz w:val="18"/>
                <w:szCs w:val="18"/>
              </w:rPr>
              <w:t xml:space="preserve"> exempt</w:t>
            </w:r>
            <w:r w:rsidR="00BE2787" w:rsidRPr="007669E1">
              <w:rPr>
                <w:rFonts w:ascii="Segoe UI" w:hAnsi="Segoe UI" w:cs="Segoe UI"/>
                <w:sz w:val="18"/>
                <w:szCs w:val="18"/>
              </w:rPr>
              <w:t>ion</w:t>
            </w:r>
            <w:r w:rsidRPr="007669E1">
              <w:rPr>
                <w:rFonts w:ascii="Segoe UI" w:hAnsi="Segoe UI" w:cs="Segoe UI"/>
                <w:sz w:val="18"/>
                <w:szCs w:val="18"/>
              </w:rPr>
              <w:t xml:space="preserve"> </w:t>
            </w:r>
            <w:r w:rsidR="001B0F55" w:rsidRPr="007669E1">
              <w:rPr>
                <w:rFonts w:ascii="Segoe UI" w:hAnsi="Segoe UI" w:cs="Segoe UI"/>
                <w:sz w:val="18"/>
                <w:szCs w:val="18"/>
              </w:rPr>
              <w:t xml:space="preserve">for </w:t>
            </w:r>
            <w:r w:rsidRPr="007669E1">
              <w:rPr>
                <w:rFonts w:ascii="Segoe UI" w:hAnsi="Segoe UI" w:cs="Segoe UI"/>
                <w:sz w:val="18"/>
                <w:szCs w:val="18"/>
              </w:rPr>
              <w:t>income received by individuals, except individual entrepreneurs and farming households, from the delivery of natural milk.</w:t>
            </w:r>
          </w:p>
        </w:tc>
      </w:tr>
      <w:tr w:rsidR="00002F93" w:rsidRPr="007669E1" w14:paraId="7557F617" w14:textId="77777777" w:rsidTr="00542E59">
        <w:tc>
          <w:tcPr>
            <w:tcW w:w="2425" w:type="dxa"/>
          </w:tcPr>
          <w:p w14:paraId="12AF4B8A"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Type of Tax Affected</w:t>
            </w:r>
          </w:p>
        </w:tc>
        <w:tc>
          <w:tcPr>
            <w:tcW w:w="7200" w:type="dxa"/>
            <w:gridSpan w:val="6"/>
          </w:tcPr>
          <w:p w14:paraId="69F19E6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77ECC5C" w14:textId="77777777" w:rsidTr="00542E59">
        <w:tc>
          <w:tcPr>
            <w:tcW w:w="2425" w:type="dxa"/>
          </w:tcPr>
          <w:p w14:paraId="4A88D487"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Beneficiaries</w:t>
            </w:r>
          </w:p>
        </w:tc>
        <w:tc>
          <w:tcPr>
            <w:tcW w:w="7200" w:type="dxa"/>
            <w:gridSpan w:val="6"/>
          </w:tcPr>
          <w:p w14:paraId="7E4E28C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selling milk (small scale operation)</w:t>
            </w:r>
          </w:p>
        </w:tc>
      </w:tr>
      <w:tr w:rsidR="00002F93" w:rsidRPr="007669E1" w14:paraId="4118BB5D" w14:textId="77777777" w:rsidTr="00542E59">
        <w:tc>
          <w:tcPr>
            <w:tcW w:w="2425" w:type="dxa"/>
          </w:tcPr>
          <w:p w14:paraId="7672A149"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Type of Measure</w:t>
            </w:r>
          </w:p>
        </w:tc>
        <w:tc>
          <w:tcPr>
            <w:tcW w:w="7200" w:type="dxa"/>
            <w:gridSpan w:val="6"/>
          </w:tcPr>
          <w:p w14:paraId="26A272B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33664FF0" w14:textId="77777777" w:rsidTr="00542E59">
        <w:tc>
          <w:tcPr>
            <w:tcW w:w="2425" w:type="dxa"/>
          </w:tcPr>
          <w:p w14:paraId="6CD8BE8B"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Reason why this Measure is not part of the Benchmark Tax System</w:t>
            </w:r>
          </w:p>
        </w:tc>
        <w:tc>
          <w:tcPr>
            <w:tcW w:w="7200" w:type="dxa"/>
            <w:gridSpan w:val="6"/>
          </w:tcPr>
          <w:p w14:paraId="5212B99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income constitutes therefore a tax expenditure.</w:t>
            </w:r>
          </w:p>
        </w:tc>
      </w:tr>
      <w:tr w:rsidR="00002F93" w:rsidRPr="007669E1" w14:paraId="412F5704" w14:textId="77777777" w:rsidTr="00542E59">
        <w:tc>
          <w:tcPr>
            <w:tcW w:w="2425" w:type="dxa"/>
          </w:tcPr>
          <w:p w14:paraId="7715769C"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Legal Reference</w:t>
            </w:r>
          </w:p>
        </w:tc>
        <w:tc>
          <w:tcPr>
            <w:tcW w:w="7200" w:type="dxa"/>
            <w:gridSpan w:val="6"/>
          </w:tcPr>
          <w:p w14:paraId="0D74495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20(y</w:t>
            </w:r>
            <w:r w:rsidRPr="007669E1">
              <w:rPr>
                <w:rFonts w:ascii="Segoe UI" w:hAnsi="Segoe UI" w:cs="Segoe UI"/>
                <w:sz w:val="18"/>
                <w:szCs w:val="18"/>
                <w:vertAlign w:val="superscript"/>
              </w:rPr>
              <w:t>2</w:t>
            </w:r>
            <w:r w:rsidRPr="007669E1">
              <w:rPr>
                <w:rFonts w:ascii="Segoe UI" w:hAnsi="Segoe UI" w:cs="Segoe UI"/>
                <w:sz w:val="18"/>
                <w:szCs w:val="18"/>
              </w:rPr>
              <w:t>)</w:t>
            </w:r>
          </w:p>
        </w:tc>
      </w:tr>
      <w:tr w:rsidR="00002F93" w:rsidRPr="007669E1" w14:paraId="50C9DB6F" w14:textId="77777777" w:rsidTr="00542E59">
        <w:trPr>
          <w:trHeight w:val="182"/>
        </w:trPr>
        <w:tc>
          <w:tcPr>
            <w:tcW w:w="2425" w:type="dxa"/>
            <w:vMerge w:val="restart"/>
          </w:tcPr>
          <w:p w14:paraId="502A1350"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Implementation, Objectives, and History</w:t>
            </w:r>
          </w:p>
        </w:tc>
        <w:tc>
          <w:tcPr>
            <w:tcW w:w="7200" w:type="dxa"/>
            <w:gridSpan w:val="6"/>
          </w:tcPr>
          <w:p w14:paraId="7933BC40"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12F667AA" w14:textId="77777777" w:rsidTr="00542E59">
        <w:trPr>
          <w:trHeight w:val="182"/>
        </w:trPr>
        <w:tc>
          <w:tcPr>
            <w:tcW w:w="2425" w:type="dxa"/>
            <w:vMerge/>
          </w:tcPr>
          <w:p w14:paraId="6AF418A6" w14:textId="77777777" w:rsidR="00280E00" w:rsidRPr="004A715E" w:rsidRDefault="00280E00" w:rsidP="00E90BA7">
            <w:pPr>
              <w:spacing w:before="20" w:after="20" w:line="240" w:lineRule="auto"/>
              <w:jc w:val="both"/>
              <w:rPr>
                <w:rFonts w:ascii="Segoe UI" w:hAnsi="Segoe UI" w:cs="Segoe UI"/>
                <w:b/>
                <w:bCs/>
                <w:sz w:val="18"/>
                <w:szCs w:val="18"/>
              </w:rPr>
            </w:pPr>
          </w:p>
        </w:tc>
        <w:tc>
          <w:tcPr>
            <w:tcW w:w="3462" w:type="dxa"/>
            <w:gridSpan w:val="3"/>
          </w:tcPr>
          <w:p w14:paraId="316284A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2B87C752" w14:textId="1FF65775"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436509E3" w14:textId="77777777" w:rsidTr="00542E59">
        <w:tc>
          <w:tcPr>
            <w:tcW w:w="2425" w:type="dxa"/>
          </w:tcPr>
          <w:p w14:paraId="11F39431"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Source of Data</w:t>
            </w:r>
          </w:p>
        </w:tc>
        <w:tc>
          <w:tcPr>
            <w:tcW w:w="7200" w:type="dxa"/>
            <w:gridSpan w:val="6"/>
          </w:tcPr>
          <w:p w14:paraId="4888CE74" w14:textId="2CDEFE81"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4EE1D79A" w14:textId="77777777" w:rsidTr="00542E59">
        <w:tc>
          <w:tcPr>
            <w:tcW w:w="2425" w:type="dxa"/>
          </w:tcPr>
          <w:p w14:paraId="163929D3"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Estimation Method</w:t>
            </w:r>
          </w:p>
        </w:tc>
        <w:tc>
          <w:tcPr>
            <w:tcW w:w="7200" w:type="dxa"/>
            <w:gridSpan w:val="6"/>
          </w:tcPr>
          <w:p w14:paraId="2A064DC2" w14:textId="13B92F76"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4DF3A913" w14:textId="77777777" w:rsidTr="00542E59">
        <w:tc>
          <w:tcPr>
            <w:tcW w:w="2425" w:type="dxa"/>
          </w:tcPr>
          <w:p w14:paraId="49191DC4"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Number of Beneficiaries</w:t>
            </w:r>
          </w:p>
        </w:tc>
        <w:tc>
          <w:tcPr>
            <w:tcW w:w="7200" w:type="dxa"/>
            <w:gridSpan w:val="6"/>
          </w:tcPr>
          <w:p w14:paraId="6397B47A" w14:textId="6CFCA40B"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D73E0E4" w14:textId="77777777" w:rsidTr="00542E59">
        <w:tc>
          <w:tcPr>
            <w:tcW w:w="2425" w:type="dxa"/>
          </w:tcPr>
          <w:p w14:paraId="17AA284E"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Revenue Cost Reporting</w:t>
            </w:r>
          </w:p>
        </w:tc>
        <w:tc>
          <w:tcPr>
            <w:tcW w:w="7200" w:type="dxa"/>
            <w:gridSpan w:val="6"/>
          </w:tcPr>
          <w:p w14:paraId="75D8E91C" w14:textId="58394DB4" w:rsidR="00280E00" w:rsidRPr="007669E1" w:rsidRDefault="00AE637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2DBA1ABD" w14:textId="77777777" w:rsidTr="00542E59">
        <w:trPr>
          <w:trHeight w:val="91"/>
        </w:trPr>
        <w:tc>
          <w:tcPr>
            <w:tcW w:w="2425" w:type="dxa"/>
            <w:vMerge w:val="restart"/>
          </w:tcPr>
          <w:p w14:paraId="01875F47" w14:textId="77777777" w:rsidR="00280E00" w:rsidRPr="004A715E" w:rsidRDefault="00280E00" w:rsidP="00E90BA7">
            <w:pPr>
              <w:spacing w:before="20" w:after="20" w:line="240" w:lineRule="auto"/>
              <w:jc w:val="both"/>
              <w:rPr>
                <w:rFonts w:ascii="Segoe UI" w:hAnsi="Segoe UI" w:cs="Segoe UI"/>
                <w:b/>
                <w:bCs/>
                <w:sz w:val="18"/>
                <w:szCs w:val="18"/>
              </w:rPr>
            </w:pPr>
          </w:p>
        </w:tc>
        <w:tc>
          <w:tcPr>
            <w:tcW w:w="1385" w:type="dxa"/>
          </w:tcPr>
          <w:p w14:paraId="415ECF1B"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2018</w:t>
            </w:r>
          </w:p>
        </w:tc>
        <w:tc>
          <w:tcPr>
            <w:tcW w:w="1385" w:type="dxa"/>
          </w:tcPr>
          <w:p w14:paraId="6D3C0E02"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2019</w:t>
            </w:r>
          </w:p>
        </w:tc>
        <w:tc>
          <w:tcPr>
            <w:tcW w:w="1385" w:type="dxa"/>
            <w:gridSpan w:val="2"/>
          </w:tcPr>
          <w:p w14:paraId="33F247CE"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2020</w:t>
            </w:r>
          </w:p>
        </w:tc>
        <w:tc>
          <w:tcPr>
            <w:tcW w:w="1385" w:type="dxa"/>
          </w:tcPr>
          <w:p w14:paraId="70B98505"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2021</w:t>
            </w:r>
          </w:p>
        </w:tc>
        <w:tc>
          <w:tcPr>
            <w:tcW w:w="1660" w:type="dxa"/>
          </w:tcPr>
          <w:p w14:paraId="18311332" w14:textId="19785316" w:rsidR="00280E00" w:rsidRPr="004A715E" w:rsidRDefault="000C00AF"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2022</w:t>
            </w:r>
          </w:p>
        </w:tc>
      </w:tr>
      <w:tr w:rsidR="00002F93" w:rsidRPr="007669E1" w14:paraId="41CC2299" w14:textId="77777777" w:rsidTr="00542E59">
        <w:trPr>
          <w:trHeight w:val="91"/>
        </w:trPr>
        <w:tc>
          <w:tcPr>
            <w:tcW w:w="2425" w:type="dxa"/>
            <w:vMerge/>
          </w:tcPr>
          <w:p w14:paraId="57A099A1"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47328E94" w14:textId="0A03217E" w:rsidR="00AA1580" w:rsidRPr="007669E1" w:rsidRDefault="009C6ED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79949C7A" w14:textId="6F3D8167" w:rsidR="00AA1580" w:rsidRPr="007669E1" w:rsidRDefault="009C6ED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gridSpan w:val="2"/>
          </w:tcPr>
          <w:p w14:paraId="5543F6EB" w14:textId="2B970038" w:rsidR="00AA1580" w:rsidRPr="007669E1" w:rsidRDefault="009C6ED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2B64864A" w14:textId="485B7EA0" w:rsidR="00AA1580" w:rsidRPr="007669E1" w:rsidRDefault="009C6ED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660" w:type="dxa"/>
          </w:tcPr>
          <w:p w14:paraId="4A809475" w14:textId="4B2B1CA3" w:rsidR="00AA1580" w:rsidRPr="007669E1" w:rsidRDefault="009C6ED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r>
    </w:tbl>
    <w:p w14:paraId="4F58161B"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715E" w14:paraId="4D60E1DF" w14:textId="77777777" w:rsidTr="00542E59">
        <w:tc>
          <w:tcPr>
            <w:tcW w:w="9625" w:type="dxa"/>
            <w:gridSpan w:val="7"/>
            <w:shd w:val="clear" w:color="auto" w:fill="D9D9D9" w:themeFill="background1" w:themeFillShade="D9"/>
          </w:tcPr>
          <w:p w14:paraId="79ABC2E6" w14:textId="0E7BD136"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17. Tax exemption of cash allowances to the military</w:t>
            </w:r>
          </w:p>
        </w:tc>
      </w:tr>
      <w:tr w:rsidR="00002F93" w:rsidRPr="007669E1" w14:paraId="23EB834C" w14:textId="77777777" w:rsidTr="00542E59">
        <w:tc>
          <w:tcPr>
            <w:tcW w:w="2425" w:type="dxa"/>
          </w:tcPr>
          <w:p w14:paraId="18C60CA5"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Description</w:t>
            </w:r>
          </w:p>
        </w:tc>
        <w:tc>
          <w:tcPr>
            <w:tcW w:w="7200" w:type="dxa"/>
            <w:gridSpan w:val="6"/>
          </w:tcPr>
          <w:p w14:paraId="00DFC740" w14:textId="3A8ADB0C"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There is a tax exemption of cash allowances </w:t>
            </w:r>
            <w:r w:rsidR="00BA1DEF" w:rsidRPr="007669E1">
              <w:rPr>
                <w:rFonts w:ascii="Segoe UI" w:hAnsi="Segoe UI" w:cs="Segoe UI"/>
                <w:sz w:val="18"/>
                <w:szCs w:val="18"/>
              </w:rPr>
              <w:t>granted to</w:t>
            </w:r>
            <w:r w:rsidRPr="007669E1">
              <w:rPr>
                <w:rFonts w:ascii="Segoe UI" w:hAnsi="Segoe UI" w:cs="Segoe UI"/>
                <w:sz w:val="18"/>
                <w:szCs w:val="18"/>
              </w:rPr>
              <w:t xml:space="preserve"> the military, the pupils</w:t>
            </w:r>
            <w:r w:rsidR="00E41E41" w:rsidRPr="007669E1">
              <w:rPr>
                <w:rFonts w:ascii="Segoe UI" w:hAnsi="Segoe UI" w:cs="Segoe UI"/>
                <w:sz w:val="18"/>
                <w:szCs w:val="18"/>
              </w:rPr>
              <w:t>,</w:t>
            </w:r>
            <w:r w:rsidRPr="007669E1">
              <w:rPr>
                <w:rFonts w:ascii="Segoe UI" w:hAnsi="Segoe UI" w:cs="Segoe UI"/>
                <w:sz w:val="18"/>
                <w:szCs w:val="18"/>
              </w:rPr>
              <w:t xml:space="preserve"> and learners (students) of the military educational institutions and of the higher education institution with the status of large special unit.</w:t>
            </w:r>
          </w:p>
        </w:tc>
      </w:tr>
      <w:tr w:rsidR="00002F93" w:rsidRPr="007669E1" w14:paraId="0D72A281" w14:textId="77777777" w:rsidTr="00542E59">
        <w:tc>
          <w:tcPr>
            <w:tcW w:w="2425" w:type="dxa"/>
          </w:tcPr>
          <w:p w14:paraId="1D18B20F"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Type of Tax Affected</w:t>
            </w:r>
          </w:p>
        </w:tc>
        <w:tc>
          <w:tcPr>
            <w:tcW w:w="7200" w:type="dxa"/>
            <w:gridSpan w:val="6"/>
          </w:tcPr>
          <w:p w14:paraId="5773B84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57B0F9D" w14:textId="77777777" w:rsidTr="00542E59">
        <w:tc>
          <w:tcPr>
            <w:tcW w:w="2425" w:type="dxa"/>
          </w:tcPr>
          <w:p w14:paraId="01D0EAF6"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Beneficiaries</w:t>
            </w:r>
          </w:p>
        </w:tc>
        <w:tc>
          <w:tcPr>
            <w:tcW w:w="7200" w:type="dxa"/>
            <w:gridSpan w:val="6"/>
          </w:tcPr>
          <w:p w14:paraId="46D2866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Recipients of these cash allowances.</w:t>
            </w:r>
          </w:p>
        </w:tc>
      </w:tr>
      <w:tr w:rsidR="00002F93" w:rsidRPr="007669E1" w14:paraId="24786E39" w14:textId="77777777" w:rsidTr="00542E59">
        <w:tc>
          <w:tcPr>
            <w:tcW w:w="2425" w:type="dxa"/>
          </w:tcPr>
          <w:p w14:paraId="2D12BD9F"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Type of Measure</w:t>
            </w:r>
          </w:p>
        </w:tc>
        <w:tc>
          <w:tcPr>
            <w:tcW w:w="7200" w:type="dxa"/>
            <w:gridSpan w:val="6"/>
          </w:tcPr>
          <w:p w14:paraId="4301507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4EFEFC2B" w14:textId="77777777" w:rsidTr="00542E59">
        <w:tc>
          <w:tcPr>
            <w:tcW w:w="2425" w:type="dxa"/>
          </w:tcPr>
          <w:p w14:paraId="3B2952C1"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Reason why this Measure is not part of the Benchmark Tax System</w:t>
            </w:r>
          </w:p>
        </w:tc>
        <w:tc>
          <w:tcPr>
            <w:tcW w:w="7200" w:type="dxa"/>
            <w:gridSpan w:val="6"/>
          </w:tcPr>
          <w:p w14:paraId="3B588BF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transfers or grants should attract PIT at the flat rate of 12% if their combined income streams exceed the basic personal allowance of MDL 27,000 per year. The non-taxation of these income accretions constitutes a tax expenditure.</w:t>
            </w:r>
          </w:p>
        </w:tc>
      </w:tr>
      <w:tr w:rsidR="00002F93" w:rsidRPr="007669E1" w14:paraId="2EC06A58" w14:textId="77777777" w:rsidTr="00542E59">
        <w:tc>
          <w:tcPr>
            <w:tcW w:w="2425" w:type="dxa"/>
          </w:tcPr>
          <w:p w14:paraId="271CCB40"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Legal Reference</w:t>
            </w:r>
          </w:p>
        </w:tc>
        <w:tc>
          <w:tcPr>
            <w:tcW w:w="7200" w:type="dxa"/>
            <w:gridSpan w:val="6"/>
          </w:tcPr>
          <w:p w14:paraId="16AE109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 (z</w:t>
            </w:r>
            <w:r w:rsidRPr="007669E1">
              <w:rPr>
                <w:rFonts w:ascii="Segoe UI" w:hAnsi="Segoe UI" w:cs="Segoe UI"/>
                <w:sz w:val="18"/>
                <w:szCs w:val="18"/>
                <w:vertAlign w:val="superscript"/>
              </w:rPr>
              <w:t>5)</w:t>
            </w:r>
          </w:p>
        </w:tc>
      </w:tr>
      <w:tr w:rsidR="00002F93" w:rsidRPr="007669E1" w14:paraId="10617B80" w14:textId="77777777" w:rsidTr="00542E59">
        <w:trPr>
          <w:trHeight w:val="182"/>
        </w:trPr>
        <w:tc>
          <w:tcPr>
            <w:tcW w:w="2425" w:type="dxa"/>
            <w:vMerge w:val="restart"/>
          </w:tcPr>
          <w:p w14:paraId="26BC8FDB"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Implementation, Objectives, and History</w:t>
            </w:r>
          </w:p>
        </w:tc>
        <w:tc>
          <w:tcPr>
            <w:tcW w:w="7200" w:type="dxa"/>
            <w:gridSpan w:val="6"/>
          </w:tcPr>
          <w:p w14:paraId="2AE78EE4"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32C067CD" w14:textId="77777777" w:rsidTr="00542E59">
        <w:trPr>
          <w:trHeight w:val="182"/>
        </w:trPr>
        <w:tc>
          <w:tcPr>
            <w:tcW w:w="2425" w:type="dxa"/>
            <w:vMerge/>
          </w:tcPr>
          <w:p w14:paraId="06CB9999" w14:textId="77777777" w:rsidR="00280E00" w:rsidRPr="004A715E" w:rsidRDefault="00280E00" w:rsidP="00E90BA7">
            <w:pPr>
              <w:spacing w:before="20" w:after="20" w:line="240" w:lineRule="auto"/>
              <w:jc w:val="both"/>
              <w:rPr>
                <w:rFonts w:ascii="Segoe UI" w:hAnsi="Segoe UI" w:cs="Segoe UI"/>
                <w:b/>
                <w:bCs/>
                <w:sz w:val="18"/>
                <w:szCs w:val="18"/>
              </w:rPr>
            </w:pPr>
          </w:p>
        </w:tc>
        <w:tc>
          <w:tcPr>
            <w:tcW w:w="3462" w:type="dxa"/>
            <w:gridSpan w:val="3"/>
          </w:tcPr>
          <w:p w14:paraId="4BD0299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2006</w:t>
            </w:r>
          </w:p>
        </w:tc>
        <w:tc>
          <w:tcPr>
            <w:tcW w:w="3738" w:type="dxa"/>
            <w:gridSpan w:val="3"/>
          </w:tcPr>
          <w:p w14:paraId="0BD98498" w14:textId="4885D7CE"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0FB3A26D" w14:textId="77777777" w:rsidTr="00542E59">
        <w:tc>
          <w:tcPr>
            <w:tcW w:w="2425" w:type="dxa"/>
          </w:tcPr>
          <w:p w14:paraId="1A5B003D"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Source of Data</w:t>
            </w:r>
          </w:p>
        </w:tc>
        <w:tc>
          <w:tcPr>
            <w:tcW w:w="7200" w:type="dxa"/>
            <w:gridSpan w:val="6"/>
          </w:tcPr>
          <w:p w14:paraId="3024D2B1" w14:textId="7948926E"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9936992" w14:textId="77777777" w:rsidTr="00542E59">
        <w:tc>
          <w:tcPr>
            <w:tcW w:w="2425" w:type="dxa"/>
          </w:tcPr>
          <w:p w14:paraId="796AE611"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Estimation Method</w:t>
            </w:r>
          </w:p>
        </w:tc>
        <w:tc>
          <w:tcPr>
            <w:tcW w:w="7200" w:type="dxa"/>
            <w:gridSpan w:val="6"/>
          </w:tcPr>
          <w:p w14:paraId="15091C67" w14:textId="1AB1DD77"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448F3642" w14:textId="77777777" w:rsidTr="00542E59">
        <w:tc>
          <w:tcPr>
            <w:tcW w:w="2425" w:type="dxa"/>
          </w:tcPr>
          <w:p w14:paraId="4745CAD3"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Number of Beneficiaries</w:t>
            </w:r>
          </w:p>
        </w:tc>
        <w:tc>
          <w:tcPr>
            <w:tcW w:w="7200" w:type="dxa"/>
            <w:gridSpan w:val="6"/>
          </w:tcPr>
          <w:p w14:paraId="5B82D0C0" w14:textId="63BD91C3"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7D240398" w14:textId="77777777" w:rsidTr="00542E59">
        <w:tc>
          <w:tcPr>
            <w:tcW w:w="2425" w:type="dxa"/>
          </w:tcPr>
          <w:p w14:paraId="45215A04"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Revenue Cost Reporting</w:t>
            </w:r>
          </w:p>
        </w:tc>
        <w:tc>
          <w:tcPr>
            <w:tcW w:w="7200" w:type="dxa"/>
            <w:gridSpan w:val="6"/>
          </w:tcPr>
          <w:p w14:paraId="2B8735B4" w14:textId="3B2D8468" w:rsidR="00280E00" w:rsidRPr="007669E1" w:rsidRDefault="002A216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390C1651" w14:textId="77777777" w:rsidTr="00542E59">
        <w:trPr>
          <w:trHeight w:val="91"/>
        </w:trPr>
        <w:tc>
          <w:tcPr>
            <w:tcW w:w="2425" w:type="dxa"/>
            <w:vMerge w:val="restart"/>
          </w:tcPr>
          <w:p w14:paraId="69AAC9D0" w14:textId="77777777" w:rsidR="00280E00" w:rsidRPr="004A715E" w:rsidRDefault="00280E00" w:rsidP="00E90BA7">
            <w:pPr>
              <w:spacing w:before="20" w:after="20" w:line="240" w:lineRule="auto"/>
              <w:jc w:val="both"/>
              <w:rPr>
                <w:rFonts w:ascii="Segoe UI" w:hAnsi="Segoe UI" w:cs="Segoe UI"/>
                <w:b/>
                <w:bCs/>
                <w:sz w:val="18"/>
                <w:szCs w:val="18"/>
              </w:rPr>
            </w:pPr>
          </w:p>
        </w:tc>
        <w:tc>
          <w:tcPr>
            <w:tcW w:w="1385" w:type="dxa"/>
          </w:tcPr>
          <w:p w14:paraId="580D2A78"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2018</w:t>
            </w:r>
          </w:p>
        </w:tc>
        <w:tc>
          <w:tcPr>
            <w:tcW w:w="1385" w:type="dxa"/>
          </w:tcPr>
          <w:p w14:paraId="0C232BBE"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2019</w:t>
            </w:r>
          </w:p>
        </w:tc>
        <w:tc>
          <w:tcPr>
            <w:tcW w:w="1385" w:type="dxa"/>
            <w:gridSpan w:val="2"/>
          </w:tcPr>
          <w:p w14:paraId="3C51CBF3"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2020</w:t>
            </w:r>
          </w:p>
        </w:tc>
        <w:tc>
          <w:tcPr>
            <w:tcW w:w="1385" w:type="dxa"/>
          </w:tcPr>
          <w:p w14:paraId="2909FE66"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2021</w:t>
            </w:r>
          </w:p>
        </w:tc>
        <w:tc>
          <w:tcPr>
            <w:tcW w:w="1660" w:type="dxa"/>
          </w:tcPr>
          <w:p w14:paraId="7F714FB7" w14:textId="133D879C" w:rsidR="00280E00" w:rsidRPr="004A715E" w:rsidRDefault="000C00AF"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2022</w:t>
            </w:r>
          </w:p>
        </w:tc>
      </w:tr>
      <w:tr w:rsidR="00002F93" w:rsidRPr="007669E1" w14:paraId="73B7D8AE" w14:textId="77777777" w:rsidTr="00542E59">
        <w:trPr>
          <w:trHeight w:val="91"/>
        </w:trPr>
        <w:tc>
          <w:tcPr>
            <w:tcW w:w="2425" w:type="dxa"/>
            <w:vMerge/>
          </w:tcPr>
          <w:p w14:paraId="1FC0FE90"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49F2ABAF" w14:textId="3D71E8B5"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7DB13C73" w14:textId="53485911"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gridSpan w:val="2"/>
          </w:tcPr>
          <w:p w14:paraId="13690CDA" w14:textId="6E7D0C6A"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401ED173" w14:textId="41F2383F"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660" w:type="dxa"/>
          </w:tcPr>
          <w:p w14:paraId="795602D7" w14:textId="243F25AF"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r>
    </w:tbl>
    <w:p w14:paraId="6F007EAC" w14:textId="77777777" w:rsidR="00280E00" w:rsidRPr="007669E1" w:rsidRDefault="00280E0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715E" w14:paraId="558D8EE3" w14:textId="77777777" w:rsidTr="00542E59">
        <w:tc>
          <w:tcPr>
            <w:tcW w:w="9625" w:type="dxa"/>
            <w:gridSpan w:val="7"/>
            <w:shd w:val="clear" w:color="auto" w:fill="D9D9D9" w:themeFill="background1" w:themeFillShade="D9"/>
          </w:tcPr>
          <w:p w14:paraId="2B0763D4" w14:textId="3F15BCE4" w:rsidR="00280E00" w:rsidRPr="004A715E" w:rsidRDefault="00280E00" w:rsidP="00E90BA7">
            <w:pPr>
              <w:keepNext/>
              <w:spacing w:before="20" w:after="20" w:line="240" w:lineRule="auto"/>
              <w:jc w:val="both"/>
              <w:rPr>
                <w:rFonts w:ascii="Segoe UI" w:hAnsi="Segoe UI" w:cs="Segoe UI"/>
                <w:b/>
                <w:bCs/>
                <w:sz w:val="18"/>
                <w:szCs w:val="18"/>
              </w:rPr>
            </w:pPr>
            <w:r w:rsidRPr="004A715E">
              <w:rPr>
                <w:rFonts w:ascii="Segoe UI" w:hAnsi="Segoe UI" w:cs="Segoe UI"/>
                <w:b/>
                <w:bCs/>
                <w:sz w:val="18"/>
                <w:szCs w:val="18"/>
              </w:rPr>
              <w:t>18. Tax exemption of royalties for individuals aged 60 and over in the area of art, science, and literature</w:t>
            </w:r>
          </w:p>
        </w:tc>
      </w:tr>
      <w:tr w:rsidR="00002F93" w:rsidRPr="007669E1" w14:paraId="33CC1E05" w14:textId="77777777" w:rsidTr="00542E59">
        <w:tc>
          <w:tcPr>
            <w:tcW w:w="2425" w:type="dxa"/>
          </w:tcPr>
          <w:p w14:paraId="32AF7042" w14:textId="77777777" w:rsidR="00280E00" w:rsidRPr="004A715E" w:rsidRDefault="00280E00" w:rsidP="00E90BA7">
            <w:pPr>
              <w:keepNext/>
              <w:spacing w:before="20" w:after="20" w:line="240" w:lineRule="auto"/>
              <w:jc w:val="both"/>
              <w:rPr>
                <w:rFonts w:ascii="Segoe UI" w:hAnsi="Segoe UI" w:cs="Segoe UI"/>
                <w:b/>
                <w:bCs/>
                <w:sz w:val="18"/>
                <w:szCs w:val="18"/>
              </w:rPr>
            </w:pPr>
            <w:r w:rsidRPr="004A715E">
              <w:rPr>
                <w:rFonts w:ascii="Segoe UI" w:hAnsi="Segoe UI" w:cs="Segoe UI"/>
                <w:b/>
                <w:bCs/>
                <w:sz w:val="18"/>
                <w:szCs w:val="18"/>
              </w:rPr>
              <w:t>Description</w:t>
            </w:r>
          </w:p>
        </w:tc>
        <w:tc>
          <w:tcPr>
            <w:tcW w:w="7200" w:type="dxa"/>
            <w:gridSpan w:val="6"/>
          </w:tcPr>
          <w:p w14:paraId="0F726CF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of incomes in the form of royalties for individuals aged 60 and over in the domain of literature, art, and science.</w:t>
            </w:r>
          </w:p>
        </w:tc>
      </w:tr>
      <w:tr w:rsidR="00002F93" w:rsidRPr="007669E1" w14:paraId="38A5CC45" w14:textId="77777777" w:rsidTr="00542E59">
        <w:tc>
          <w:tcPr>
            <w:tcW w:w="2425" w:type="dxa"/>
          </w:tcPr>
          <w:p w14:paraId="38A8862D"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Type of Tax Affected</w:t>
            </w:r>
          </w:p>
        </w:tc>
        <w:tc>
          <w:tcPr>
            <w:tcW w:w="7200" w:type="dxa"/>
            <w:gridSpan w:val="6"/>
          </w:tcPr>
          <w:p w14:paraId="3430367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60A4066" w14:textId="77777777" w:rsidTr="00542E59">
        <w:tc>
          <w:tcPr>
            <w:tcW w:w="2425" w:type="dxa"/>
          </w:tcPr>
          <w:p w14:paraId="4B9A3B86"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lastRenderedPageBreak/>
              <w:t>Beneficiaries</w:t>
            </w:r>
          </w:p>
        </w:tc>
        <w:tc>
          <w:tcPr>
            <w:tcW w:w="7200" w:type="dxa"/>
            <w:gridSpan w:val="6"/>
          </w:tcPr>
          <w:p w14:paraId="76EA4FF4" w14:textId="54D96651"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aged 60 earning royalties</w:t>
            </w:r>
            <w:r w:rsidR="008C3C6D" w:rsidRPr="007669E1">
              <w:rPr>
                <w:rFonts w:ascii="Segoe UI" w:hAnsi="Segoe UI" w:cs="Segoe UI"/>
                <w:sz w:val="18"/>
                <w:szCs w:val="18"/>
              </w:rPr>
              <w:t>.</w:t>
            </w:r>
          </w:p>
        </w:tc>
      </w:tr>
      <w:tr w:rsidR="00002F93" w:rsidRPr="007669E1" w14:paraId="2AF94F62" w14:textId="77777777" w:rsidTr="00542E59">
        <w:tc>
          <w:tcPr>
            <w:tcW w:w="2425" w:type="dxa"/>
          </w:tcPr>
          <w:p w14:paraId="22554D2B"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Type of Measure</w:t>
            </w:r>
          </w:p>
        </w:tc>
        <w:tc>
          <w:tcPr>
            <w:tcW w:w="7200" w:type="dxa"/>
            <w:gridSpan w:val="6"/>
          </w:tcPr>
          <w:p w14:paraId="3D7E225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33D6E424" w14:textId="77777777" w:rsidTr="00542E59">
        <w:tc>
          <w:tcPr>
            <w:tcW w:w="2425" w:type="dxa"/>
          </w:tcPr>
          <w:p w14:paraId="39673745"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Reason why this Measure is not part of the Benchmark Tax System</w:t>
            </w:r>
          </w:p>
        </w:tc>
        <w:tc>
          <w:tcPr>
            <w:tcW w:w="7200" w:type="dxa"/>
            <w:gridSpan w:val="6"/>
          </w:tcPr>
          <w:p w14:paraId="47C035A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accretion of income from whatever source should attract PIT at the flat rate of 12% if their combined income streams exceed the basic personal allowance of MDL 27,000 per year. The non-taxation of these income accretions constitutes a tax expenditure.</w:t>
            </w:r>
          </w:p>
        </w:tc>
      </w:tr>
      <w:tr w:rsidR="00002F93" w:rsidRPr="007669E1" w14:paraId="148FDD14" w14:textId="77777777" w:rsidTr="00542E59">
        <w:tc>
          <w:tcPr>
            <w:tcW w:w="2425" w:type="dxa"/>
          </w:tcPr>
          <w:p w14:paraId="55FB13D1"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Legal Reference</w:t>
            </w:r>
          </w:p>
        </w:tc>
        <w:tc>
          <w:tcPr>
            <w:tcW w:w="7200" w:type="dxa"/>
            <w:gridSpan w:val="6"/>
          </w:tcPr>
          <w:p w14:paraId="1C34117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20(z</w:t>
            </w:r>
            <w:r w:rsidRPr="007669E1">
              <w:rPr>
                <w:rFonts w:ascii="Segoe UI" w:hAnsi="Segoe UI" w:cs="Segoe UI"/>
                <w:sz w:val="18"/>
                <w:szCs w:val="18"/>
                <w:vertAlign w:val="superscript"/>
              </w:rPr>
              <w:t>11</w:t>
            </w:r>
            <w:r w:rsidRPr="007669E1">
              <w:rPr>
                <w:rFonts w:ascii="Segoe UI" w:hAnsi="Segoe UI" w:cs="Segoe UI"/>
                <w:sz w:val="18"/>
                <w:szCs w:val="18"/>
              </w:rPr>
              <w:t>)</w:t>
            </w:r>
          </w:p>
        </w:tc>
      </w:tr>
      <w:tr w:rsidR="00002F93" w:rsidRPr="007669E1" w14:paraId="44362F84" w14:textId="77777777" w:rsidTr="00542E59">
        <w:trPr>
          <w:trHeight w:val="182"/>
        </w:trPr>
        <w:tc>
          <w:tcPr>
            <w:tcW w:w="2425" w:type="dxa"/>
            <w:vMerge w:val="restart"/>
          </w:tcPr>
          <w:p w14:paraId="6E20F49F"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Implementation, Objectives, and History</w:t>
            </w:r>
          </w:p>
        </w:tc>
        <w:tc>
          <w:tcPr>
            <w:tcW w:w="7200" w:type="dxa"/>
            <w:gridSpan w:val="6"/>
          </w:tcPr>
          <w:p w14:paraId="015565FC"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2D548F96" w14:textId="77777777" w:rsidTr="00542E59">
        <w:trPr>
          <w:trHeight w:val="182"/>
        </w:trPr>
        <w:tc>
          <w:tcPr>
            <w:tcW w:w="2425" w:type="dxa"/>
            <w:vMerge/>
          </w:tcPr>
          <w:p w14:paraId="6DC9B2EB" w14:textId="77777777" w:rsidR="00280E00" w:rsidRPr="004A715E" w:rsidRDefault="00280E00" w:rsidP="00E90BA7">
            <w:pPr>
              <w:spacing w:before="20" w:after="20" w:line="240" w:lineRule="auto"/>
              <w:jc w:val="both"/>
              <w:rPr>
                <w:rFonts w:ascii="Segoe UI" w:hAnsi="Segoe UI" w:cs="Segoe UI"/>
                <w:b/>
                <w:bCs/>
                <w:sz w:val="18"/>
                <w:szCs w:val="18"/>
              </w:rPr>
            </w:pPr>
          </w:p>
        </w:tc>
        <w:tc>
          <w:tcPr>
            <w:tcW w:w="3462" w:type="dxa"/>
            <w:gridSpan w:val="3"/>
          </w:tcPr>
          <w:p w14:paraId="6DE1D01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0AF9D45C" w14:textId="51B4CB6F"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4986D7D6" w14:textId="77777777" w:rsidTr="00542E59">
        <w:tc>
          <w:tcPr>
            <w:tcW w:w="2425" w:type="dxa"/>
          </w:tcPr>
          <w:p w14:paraId="20152FE2"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Source of Data</w:t>
            </w:r>
          </w:p>
        </w:tc>
        <w:tc>
          <w:tcPr>
            <w:tcW w:w="7200" w:type="dxa"/>
            <w:gridSpan w:val="6"/>
          </w:tcPr>
          <w:p w14:paraId="67DAA207" w14:textId="1573C45F"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3D2F9CFB" w14:textId="77777777" w:rsidTr="00542E59">
        <w:tc>
          <w:tcPr>
            <w:tcW w:w="2425" w:type="dxa"/>
          </w:tcPr>
          <w:p w14:paraId="5512F8CB"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Estimation Method</w:t>
            </w:r>
          </w:p>
        </w:tc>
        <w:tc>
          <w:tcPr>
            <w:tcW w:w="7200" w:type="dxa"/>
            <w:gridSpan w:val="6"/>
          </w:tcPr>
          <w:p w14:paraId="53DF6B99" w14:textId="46FBE22C"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D946229" w14:textId="77777777" w:rsidTr="00542E59">
        <w:tc>
          <w:tcPr>
            <w:tcW w:w="2425" w:type="dxa"/>
          </w:tcPr>
          <w:p w14:paraId="66A61F33" w14:textId="77777777" w:rsidR="00F34AC6" w:rsidRPr="004A715E" w:rsidRDefault="00F34AC6"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Number of Beneficiaries</w:t>
            </w:r>
          </w:p>
        </w:tc>
        <w:tc>
          <w:tcPr>
            <w:tcW w:w="7200" w:type="dxa"/>
            <w:gridSpan w:val="6"/>
          </w:tcPr>
          <w:p w14:paraId="0E07D573" w14:textId="31426184"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4E977555" w14:textId="77777777" w:rsidTr="00542E59">
        <w:tc>
          <w:tcPr>
            <w:tcW w:w="2425" w:type="dxa"/>
          </w:tcPr>
          <w:p w14:paraId="2086A061"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Revenue Cost Reporting</w:t>
            </w:r>
          </w:p>
        </w:tc>
        <w:tc>
          <w:tcPr>
            <w:tcW w:w="7200" w:type="dxa"/>
            <w:gridSpan w:val="6"/>
          </w:tcPr>
          <w:p w14:paraId="67C368C6" w14:textId="7B05764C" w:rsidR="00280E00" w:rsidRPr="007669E1" w:rsidRDefault="002A216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4A715E" w14:paraId="3D2E010A" w14:textId="77777777" w:rsidTr="00542E59">
        <w:trPr>
          <w:trHeight w:val="91"/>
        </w:trPr>
        <w:tc>
          <w:tcPr>
            <w:tcW w:w="2425" w:type="dxa"/>
            <w:vMerge w:val="restart"/>
          </w:tcPr>
          <w:p w14:paraId="237D0BF5"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0F4073D3"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2018</w:t>
            </w:r>
          </w:p>
        </w:tc>
        <w:tc>
          <w:tcPr>
            <w:tcW w:w="1385" w:type="dxa"/>
          </w:tcPr>
          <w:p w14:paraId="36A81382"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2019</w:t>
            </w:r>
          </w:p>
        </w:tc>
        <w:tc>
          <w:tcPr>
            <w:tcW w:w="1385" w:type="dxa"/>
            <w:gridSpan w:val="2"/>
          </w:tcPr>
          <w:p w14:paraId="6901425B"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2020</w:t>
            </w:r>
          </w:p>
        </w:tc>
        <w:tc>
          <w:tcPr>
            <w:tcW w:w="1385" w:type="dxa"/>
          </w:tcPr>
          <w:p w14:paraId="705B9EFB" w14:textId="77777777" w:rsidR="00280E00" w:rsidRPr="004A715E" w:rsidRDefault="00280E00"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2021</w:t>
            </w:r>
          </w:p>
        </w:tc>
        <w:tc>
          <w:tcPr>
            <w:tcW w:w="1660" w:type="dxa"/>
          </w:tcPr>
          <w:p w14:paraId="05EF020B" w14:textId="16EB5AC4" w:rsidR="00280E00" w:rsidRPr="004A715E" w:rsidRDefault="000C00AF" w:rsidP="00E90BA7">
            <w:pPr>
              <w:spacing w:before="20" w:after="20" w:line="240" w:lineRule="auto"/>
              <w:jc w:val="both"/>
              <w:rPr>
                <w:rFonts w:ascii="Segoe UI" w:hAnsi="Segoe UI" w:cs="Segoe UI"/>
                <w:b/>
                <w:bCs/>
                <w:sz w:val="18"/>
                <w:szCs w:val="18"/>
              </w:rPr>
            </w:pPr>
            <w:r w:rsidRPr="004A715E">
              <w:rPr>
                <w:rFonts w:ascii="Segoe UI" w:hAnsi="Segoe UI" w:cs="Segoe UI"/>
                <w:b/>
                <w:bCs/>
                <w:sz w:val="18"/>
                <w:szCs w:val="18"/>
              </w:rPr>
              <w:t>2022</w:t>
            </w:r>
          </w:p>
        </w:tc>
      </w:tr>
      <w:tr w:rsidR="00002F93" w:rsidRPr="007669E1" w14:paraId="1329F240" w14:textId="77777777" w:rsidTr="00542E59">
        <w:trPr>
          <w:trHeight w:val="91"/>
        </w:trPr>
        <w:tc>
          <w:tcPr>
            <w:tcW w:w="2425" w:type="dxa"/>
            <w:vMerge/>
          </w:tcPr>
          <w:p w14:paraId="28EABA72"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4FFF6AC6" w14:textId="706531F3"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14B01316" w14:textId="53A07053"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gridSpan w:val="2"/>
          </w:tcPr>
          <w:p w14:paraId="41D8EEB6" w14:textId="639AAC02"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385" w:type="dxa"/>
          </w:tcPr>
          <w:p w14:paraId="3A4A8D0A" w14:textId="1DD790E2"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c>
          <w:tcPr>
            <w:tcW w:w="1660" w:type="dxa"/>
          </w:tcPr>
          <w:p w14:paraId="59119910" w14:textId="6909B217" w:rsidR="00AA1580" w:rsidRPr="007669E1" w:rsidRDefault="008F299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4798B" w:rsidRPr="007669E1">
              <w:rPr>
                <w:rFonts w:ascii="Segoe UI" w:hAnsi="Segoe UI" w:cs="Segoe UI"/>
                <w:color w:val="000000"/>
                <w:sz w:val="18"/>
                <w:szCs w:val="18"/>
              </w:rPr>
              <w:t>.</w:t>
            </w:r>
          </w:p>
        </w:tc>
      </w:tr>
    </w:tbl>
    <w:p w14:paraId="798BB3A7"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3A25CB" w14:paraId="38ADF8BB" w14:textId="77777777" w:rsidTr="00542E59">
        <w:tc>
          <w:tcPr>
            <w:tcW w:w="9625" w:type="dxa"/>
            <w:gridSpan w:val="7"/>
            <w:shd w:val="clear" w:color="auto" w:fill="D9D9D9" w:themeFill="background1" w:themeFillShade="D9"/>
          </w:tcPr>
          <w:p w14:paraId="7F77F990" w14:textId="3FFC3A1D"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19. Tax exemptions for received allowances as compensation for work performed during election day</w:t>
            </w:r>
          </w:p>
        </w:tc>
      </w:tr>
      <w:tr w:rsidR="00002F93" w:rsidRPr="007669E1" w14:paraId="7C4EC7A5" w14:textId="77777777" w:rsidTr="00542E59">
        <w:tc>
          <w:tcPr>
            <w:tcW w:w="2425" w:type="dxa"/>
          </w:tcPr>
          <w:p w14:paraId="052BFBAC"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Description</w:t>
            </w:r>
          </w:p>
        </w:tc>
        <w:tc>
          <w:tcPr>
            <w:tcW w:w="7200" w:type="dxa"/>
            <w:gridSpan w:val="6"/>
          </w:tcPr>
          <w:p w14:paraId="0362B1E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for incomes obtained in the form of an allowance for the work performed on election day, paid to the members of the constituency electoral councils, to the members of the electoral bureaus of the polling stations and to the officials of the respective councils and bureaus.</w:t>
            </w:r>
          </w:p>
        </w:tc>
      </w:tr>
      <w:tr w:rsidR="00002F93" w:rsidRPr="007669E1" w14:paraId="545F5685" w14:textId="77777777" w:rsidTr="00542E59">
        <w:tc>
          <w:tcPr>
            <w:tcW w:w="2425" w:type="dxa"/>
          </w:tcPr>
          <w:p w14:paraId="754E0D02"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Type of Tax Affected</w:t>
            </w:r>
          </w:p>
        </w:tc>
        <w:tc>
          <w:tcPr>
            <w:tcW w:w="7200" w:type="dxa"/>
            <w:gridSpan w:val="6"/>
          </w:tcPr>
          <w:p w14:paraId="4E56008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5BC1A5A3" w14:textId="77777777" w:rsidTr="00542E59">
        <w:tc>
          <w:tcPr>
            <w:tcW w:w="2425" w:type="dxa"/>
          </w:tcPr>
          <w:p w14:paraId="6887027B"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Beneficiaries</w:t>
            </w:r>
          </w:p>
        </w:tc>
        <w:tc>
          <w:tcPr>
            <w:tcW w:w="7200" w:type="dxa"/>
            <w:gridSpan w:val="6"/>
          </w:tcPr>
          <w:p w14:paraId="1E77248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Electoral workers and officials.</w:t>
            </w:r>
          </w:p>
        </w:tc>
      </w:tr>
      <w:tr w:rsidR="00002F93" w:rsidRPr="007669E1" w14:paraId="467F399F" w14:textId="77777777" w:rsidTr="00542E59">
        <w:tc>
          <w:tcPr>
            <w:tcW w:w="2425" w:type="dxa"/>
          </w:tcPr>
          <w:p w14:paraId="2EFC4072"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Type of Measure</w:t>
            </w:r>
          </w:p>
        </w:tc>
        <w:tc>
          <w:tcPr>
            <w:tcW w:w="7200" w:type="dxa"/>
            <w:gridSpan w:val="6"/>
          </w:tcPr>
          <w:p w14:paraId="1E41344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6A47677C" w14:textId="77777777" w:rsidTr="00542E59">
        <w:tc>
          <w:tcPr>
            <w:tcW w:w="2425" w:type="dxa"/>
          </w:tcPr>
          <w:p w14:paraId="19D25A96"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Reason why this Measure is not part of the Benchmark Tax System</w:t>
            </w:r>
          </w:p>
        </w:tc>
        <w:tc>
          <w:tcPr>
            <w:tcW w:w="7200" w:type="dxa"/>
            <w:gridSpan w:val="6"/>
          </w:tcPr>
          <w:p w14:paraId="35E9ED7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accretion of income from whatever source or any considerations for work performed should attract PIT at the flat rate of 12% if their combined income streams exceed the basic personal allowance of MDL 27,000 per year. The non-taxation of these income accretions constitutes a tax expenditure.</w:t>
            </w:r>
          </w:p>
        </w:tc>
      </w:tr>
      <w:tr w:rsidR="00002F93" w:rsidRPr="007669E1" w14:paraId="21785E97" w14:textId="77777777" w:rsidTr="00542E59">
        <w:tc>
          <w:tcPr>
            <w:tcW w:w="2425" w:type="dxa"/>
          </w:tcPr>
          <w:p w14:paraId="5059F2E9"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Legal Reference</w:t>
            </w:r>
          </w:p>
        </w:tc>
        <w:tc>
          <w:tcPr>
            <w:tcW w:w="7200" w:type="dxa"/>
            <w:gridSpan w:val="6"/>
          </w:tcPr>
          <w:p w14:paraId="25C8BFF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20(z</w:t>
            </w:r>
            <w:r w:rsidRPr="007669E1">
              <w:rPr>
                <w:rFonts w:ascii="Segoe UI" w:hAnsi="Segoe UI" w:cs="Segoe UI"/>
                <w:sz w:val="18"/>
                <w:szCs w:val="18"/>
                <w:vertAlign w:val="superscript"/>
              </w:rPr>
              <w:t>14</w:t>
            </w:r>
            <w:r w:rsidRPr="007669E1">
              <w:rPr>
                <w:rFonts w:ascii="Segoe UI" w:hAnsi="Segoe UI" w:cs="Segoe UI"/>
                <w:sz w:val="18"/>
                <w:szCs w:val="18"/>
              </w:rPr>
              <w:t>)</w:t>
            </w:r>
          </w:p>
        </w:tc>
      </w:tr>
      <w:tr w:rsidR="00002F93" w:rsidRPr="007669E1" w14:paraId="6D42AAE8" w14:textId="77777777" w:rsidTr="00542E59">
        <w:trPr>
          <w:trHeight w:val="182"/>
        </w:trPr>
        <w:tc>
          <w:tcPr>
            <w:tcW w:w="2425" w:type="dxa"/>
            <w:vMerge w:val="restart"/>
          </w:tcPr>
          <w:p w14:paraId="21D178C3"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Implementation, Objectives, and History</w:t>
            </w:r>
          </w:p>
        </w:tc>
        <w:tc>
          <w:tcPr>
            <w:tcW w:w="7200" w:type="dxa"/>
            <w:gridSpan w:val="6"/>
          </w:tcPr>
          <w:p w14:paraId="7C128343"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4C68B131" w14:textId="77777777" w:rsidTr="00542E59">
        <w:trPr>
          <w:trHeight w:val="182"/>
        </w:trPr>
        <w:tc>
          <w:tcPr>
            <w:tcW w:w="2425" w:type="dxa"/>
            <w:vMerge/>
          </w:tcPr>
          <w:p w14:paraId="31A37301" w14:textId="77777777" w:rsidR="00280E00" w:rsidRPr="003A25CB" w:rsidRDefault="00280E00" w:rsidP="00E90BA7">
            <w:pPr>
              <w:spacing w:before="20" w:after="20" w:line="240" w:lineRule="auto"/>
              <w:jc w:val="both"/>
              <w:rPr>
                <w:rFonts w:ascii="Segoe UI" w:hAnsi="Segoe UI" w:cs="Segoe UI"/>
                <w:b/>
                <w:bCs/>
                <w:sz w:val="18"/>
                <w:szCs w:val="18"/>
              </w:rPr>
            </w:pPr>
          </w:p>
        </w:tc>
        <w:tc>
          <w:tcPr>
            <w:tcW w:w="3462" w:type="dxa"/>
            <w:gridSpan w:val="3"/>
          </w:tcPr>
          <w:p w14:paraId="667FB66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2018</w:t>
            </w:r>
          </w:p>
        </w:tc>
        <w:tc>
          <w:tcPr>
            <w:tcW w:w="3738" w:type="dxa"/>
            <w:gridSpan w:val="3"/>
          </w:tcPr>
          <w:p w14:paraId="4C860488" w14:textId="1FED33BF"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57CF051A" w14:textId="77777777" w:rsidTr="00542E59">
        <w:tc>
          <w:tcPr>
            <w:tcW w:w="2425" w:type="dxa"/>
          </w:tcPr>
          <w:p w14:paraId="67629232" w14:textId="77777777" w:rsidR="00F34AC6" w:rsidRPr="003A25CB" w:rsidRDefault="00F34AC6"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Source of Data</w:t>
            </w:r>
          </w:p>
        </w:tc>
        <w:tc>
          <w:tcPr>
            <w:tcW w:w="7200" w:type="dxa"/>
            <w:gridSpan w:val="6"/>
          </w:tcPr>
          <w:p w14:paraId="4B8F697F" w14:textId="26C1B4EC"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7045D969" w14:textId="77777777" w:rsidTr="00542E59">
        <w:tc>
          <w:tcPr>
            <w:tcW w:w="2425" w:type="dxa"/>
          </w:tcPr>
          <w:p w14:paraId="3C0399BA" w14:textId="77777777" w:rsidR="00F34AC6" w:rsidRPr="003A25CB" w:rsidRDefault="00F34AC6"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Estimation Method</w:t>
            </w:r>
          </w:p>
        </w:tc>
        <w:tc>
          <w:tcPr>
            <w:tcW w:w="7200" w:type="dxa"/>
            <w:gridSpan w:val="6"/>
          </w:tcPr>
          <w:p w14:paraId="712D41E5" w14:textId="7B6A5791"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35DA5C8F" w14:textId="77777777" w:rsidTr="00542E59">
        <w:tc>
          <w:tcPr>
            <w:tcW w:w="2425" w:type="dxa"/>
          </w:tcPr>
          <w:p w14:paraId="42B28EA6" w14:textId="77777777" w:rsidR="00F34AC6" w:rsidRPr="003A25CB" w:rsidRDefault="00F34AC6"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Number of Beneficiaries</w:t>
            </w:r>
          </w:p>
        </w:tc>
        <w:tc>
          <w:tcPr>
            <w:tcW w:w="7200" w:type="dxa"/>
            <w:gridSpan w:val="6"/>
          </w:tcPr>
          <w:p w14:paraId="571759BC" w14:textId="23AA1426"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7B274F22" w14:textId="77777777" w:rsidTr="00542E59">
        <w:tc>
          <w:tcPr>
            <w:tcW w:w="2425" w:type="dxa"/>
          </w:tcPr>
          <w:p w14:paraId="151DBCEF"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Revenue Cost Reporting</w:t>
            </w:r>
          </w:p>
        </w:tc>
        <w:tc>
          <w:tcPr>
            <w:tcW w:w="7200" w:type="dxa"/>
            <w:gridSpan w:val="6"/>
          </w:tcPr>
          <w:p w14:paraId="30E5CE47" w14:textId="1B550FA7" w:rsidR="00280E00" w:rsidRPr="007669E1" w:rsidRDefault="002A216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5319061F" w14:textId="77777777" w:rsidTr="00542E59">
        <w:trPr>
          <w:trHeight w:val="91"/>
        </w:trPr>
        <w:tc>
          <w:tcPr>
            <w:tcW w:w="2425" w:type="dxa"/>
            <w:vMerge w:val="restart"/>
          </w:tcPr>
          <w:p w14:paraId="2E13C749"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47D0FFC7"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2018</w:t>
            </w:r>
          </w:p>
        </w:tc>
        <w:tc>
          <w:tcPr>
            <w:tcW w:w="1385" w:type="dxa"/>
          </w:tcPr>
          <w:p w14:paraId="37F16157"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2019</w:t>
            </w:r>
          </w:p>
        </w:tc>
        <w:tc>
          <w:tcPr>
            <w:tcW w:w="1385" w:type="dxa"/>
            <w:gridSpan w:val="2"/>
          </w:tcPr>
          <w:p w14:paraId="42301D99"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2020</w:t>
            </w:r>
          </w:p>
        </w:tc>
        <w:tc>
          <w:tcPr>
            <w:tcW w:w="1385" w:type="dxa"/>
          </w:tcPr>
          <w:p w14:paraId="4AEC4C00" w14:textId="77777777" w:rsidR="00280E00" w:rsidRPr="003A25CB" w:rsidRDefault="00280E00"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2021</w:t>
            </w:r>
          </w:p>
        </w:tc>
        <w:tc>
          <w:tcPr>
            <w:tcW w:w="1660" w:type="dxa"/>
          </w:tcPr>
          <w:p w14:paraId="662C7889" w14:textId="223F6BE1" w:rsidR="00280E00" w:rsidRPr="003A25CB" w:rsidRDefault="000C00AF" w:rsidP="00E90BA7">
            <w:pPr>
              <w:spacing w:before="20" w:after="20" w:line="240" w:lineRule="auto"/>
              <w:jc w:val="both"/>
              <w:rPr>
                <w:rFonts w:ascii="Segoe UI" w:hAnsi="Segoe UI" w:cs="Segoe UI"/>
                <w:b/>
                <w:bCs/>
                <w:sz w:val="18"/>
                <w:szCs w:val="18"/>
              </w:rPr>
            </w:pPr>
            <w:r w:rsidRPr="003A25CB">
              <w:rPr>
                <w:rFonts w:ascii="Segoe UI" w:hAnsi="Segoe UI" w:cs="Segoe UI"/>
                <w:b/>
                <w:bCs/>
                <w:sz w:val="18"/>
                <w:szCs w:val="18"/>
              </w:rPr>
              <w:t>2022</w:t>
            </w:r>
          </w:p>
        </w:tc>
      </w:tr>
      <w:tr w:rsidR="00002F93" w:rsidRPr="007669E1" w14:paraId="15C1C79D" w14:textId="77777777" w:rsidTr="00542E59">
        <w:trPr>
          <w:trHeight w:val="91"/>
        </w:trPr>
        <w:tc>
          <w:tcPr>
            <w:tcW w:w="2425" w:type="dxa"/>
            <w:vMerge/>
          </w:tcPr>
          <w:p w14:paraId="020CB1C0"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3C0BC819" w14:textId="4C991374" w:rsidR="00AA1580" w:rsidRPr="007669E1" w:rsidRDefault="0023483C"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tcPr>
          <w:p w14:paraId="2B084D83" w14:textId="469403F1" w:rsidR="00AA1580" w:rsidRPr="007669E1" w:rsidRDefault="0023483C"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gridSpan w:val="2"/>
          </w:tcPr>
          <w:p w14:paraId="789270AE" w14:textId="2D72EA36" w:rsidR="00AA1580" w:rsidRPr="007669E1" w:rsidRDefault="0023483C"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tcPr>
          <w:p w14:paraId="24F9B81A" w14:textId="249099D3" w:rsidR="00AA1580" w:rsidRPr="007669E1" w:rsidRDefault="0023483C"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660" w:type="dxa"/>
          </w:tcPr>
          <w:p w14:paraId="1B187EB6" w14:textId="2C0E2C13" w:rsidR="00AA1580" w:rsidRPr="007669E1" w:rsidRDefault="0023483C"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r>
    </w:tbl>
    <w:p w14:paraId="1BD1E65A" w14:textId="1E9D13D1" w:rsidR="00280E00" w:rsidRPr="0055238D" w:rsidRDefault="00280E00" w:rsidP="00E90BA7">
      <w:pPr>
        <w:spacing w:before="20" w:after="20" w:line="240" w:lineRule="auto"/>
        <w:jc w:val="both"/>
        <w:rPr>
          <w:rFonts w:ascii="Segoe UI" w:hAnsi="Segoe UI" w:cs="Segoe UI"/>
          <w:sz w:val="18"/>
          <w:szCs w:val="18"/>
        </w:rPr>
      </w:pPr>
    </w:p>
    <w:tbl>
      <w:tblPr>
        <w:tblpPr w:leftFromText="180" w:rightFromText="180" w:vertAnchor="text" w:tblpY="231"/>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4154F882" w14:textId="77777777" w:rsidTr="00542E59">
        <w:tc>
          <w:tcPr>
            <w:tcW w:w="9625" w:type="dxa"/>
            <w:gridSpan w:val="7"/>
            <w:shd w:val="clear" w:color="auto" w:fill="D9D9D9" w:themeFill="background1" w:themeFillShade="D9"/>
          </w:tcPr>
          <w:p w14:paraId="5E7ECB95" w14:textId="269093CB"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 xml:space="preserve">20. Tax exemption of payments borne by the beneficiaries of works for food </w:t>
            </w:r>
          </w:p>
        </w:tc>
      </w:tr>
      <w:tr w:rsidR="00002F93" w:rsidRPr="007669E1" w14:paraId="6247DBBE" w14:textId="77777777" w:rsidTr="00542E59">
        <w:tc>
          <w:tcPr>
            <w:tcW w:w="2425" w:type="dxa"/>
          </w:tcPr>
          <w:p w14:paraId="73CE63D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Description</w:t>
            </w:r>
          </w:p>
        </w:tc>
        <w:tc>
          <w:tcPr>
            <w:tcW w:w="7200" w:type="dxa"/>
            <w:gridSpan w:val="6"/>
          </w:tcPr>
          <w:p w14:paraId="4FD966C1" w14:textId="094B4471"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for payments borne by the beneficiaries of works for food and transportation of day laborers, in the amount established by the Government.</w:t>
            </w:r>
          </w:p>
        </w:tc>
      </w:tr>
      <w:tr w:rsidR="00002F93" w:rsidRPr="007669E1" w14:paraId="58479487" w14:textId="77777777" w:rsidTr="00542E59">
        <w:tc>
          <w:tcPr>
            <w:tcW w:w="2425" w:type="dxa"/>
          </w:tcPr>
          <w:p w14:paraId="79C5FBDC"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Tax Affected</w:t>
            </w:r>
          </w:p>
        </w:tc>
        <w:tc>
          <w:tcPr>
            <w:tcW w:w="7200" w:type="dxa"/>
            <w:gridSpan w:val="6"/>
          </w:tcPr>
          <w:p w14:paraId="3B5C201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328B5B57" w14:textId="77777777" w:rsidTr="00542E59">
        <w:tc>
          <w:tcPr>
            <w:tcW w:w="2425" w:type="dxa"/>
          </w:tcPr>
          <w:p w14:paraId="4D19E326"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Beneficiaries</w:t>
            </w:r>
          </w:p>
        </w:tc>
        <w:tc>
          <w:tcPr>
            <w:tcW w:w="7200" w:type="dxa"/>
            <w:gridSpan w:val="6"/>
          </w:tcPr>
          <w:p w14:paraId="752BF60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Beneficiaries of works for food.</w:t>
            </w:r>
          </w:p>
        </w:tc>
      </w:tr>
      <w:tr w:rsidR="00002F93" w:rsidRPr="007669E1" w14:paraId="20725832" w14:textId="77777777" w:rsidTr="00542E59">
        <w:tc>
          <w:tcPr>
            <w:tcW w:w="2425" w:type="dxa"/>
          </w:tcPr>
          <w:p w14:paraId="273BF3F2"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Measure</w:t>
            </w:r>
          </w:p>
        </w:tc>
        <w:tc>
          <w:tcPr>
            <w:tcW w:w="7200" w:type="dxa"/>
            <w:gridSpan w:val="6"/>
          </w:tcPr>
          <w:p w14:paraId="420A4E8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002F93" w:rsidRPr="007669E1" w14:paraId="19605AAD" w14:textId="77777777" w:rsidTr="00542E59">
        <w:tc>
          <w:tcPr>
            <w:tcW w:w="2425" w:type="dxa"/>
          </w:tcPr>
          <w:p w14:paraId="5DAE4BE1"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lastRenderedPageBreak/>
              <w:t>Reason why this Measure is not part of the Benchmark Tax System</w:t>
            </w:r>
          </w:p>
        </w:tc>
        <w:tc>
          <w:tcPr>
            <w:tcW w:w="7200" w:type="dxa"/>
            <w:gridSpan w:val="6"/>
          </w:tcPr>
          <w:p w14:paraId="02A1EF2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accretion of income from whatever source or any considerations for work performed should attract PIT at the flat rate of 12% if their combined income streams exceed the basic personal allowance of MDL 27,000 per year. The non-taxation of these income accretions or benefits in kind constitutes a tax expenditure.</w:t>
            </w:r>
          </w:p>
        </w:tc>
      </w:tr>
      <w:tr w:rsidR="00002F93" w:rsidRPr="007669E1" w14:paraId="31A4DA60" w14:textId="77777777" w:rsidTr="00542E59">
        <w:tc>
          <w:tcPr>
            <w:tcW w:w="2425" w:type="dxa"/>
          </w:tcPr>
          <w:p w14:paraId="2083587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Legal Reference</w:t>
            </w:r>
          </w:p>
        </w:tc>
        <w:tc>
          <w:tcPr>
            <w:tcW w:w="7200" w:type="dxa"/>
            <w:gridSpan w:val="6"/>
          </w:tcPr>
          <w:p w14:paraId="69E5D83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20(z</w:t>
            </w:r>
            <w:r w:rsidRPr="007669E1">
              <w:rPr>
                <w:rFonts w:ascii="Segoe UI" w:hAnsi="Segoe UI" w:cs="Segoe UI"/>
                <w:sz w:val="18"/>
                <w:szCs w:val="18"/>
                <w:vertAlign w:val="superscript"/>
              </w:rPr>
              <w:t>15</w:t>
            </w:r>
            <w:r w:rsidRPr="007669E1">
              <w:rPr>
                <w:rFonts w:ascii="Segoe UI" w:hAnsi="Segoe UI" w:cs="Segoe UI"/>
                <w:sz w:val="18"/>
                <w:szCs w:val="18"/>
              </w:rPr>
              <w:t>)</w:t>
            </w:r>
          </w:p>
        </w:tc>
      </w:tr>
      <w:tr w:rsidR="00E72E03" w:rsidRPr="007669E1" w14:paraId="1271D475" w14:textId="77777777" w:rsidTr="00542E59">
        <w:trPr>
          <w:trHeight w:val="182"/>
        </w:trPr>
        <w:tc>
          <w:tcPr>
            <w:tcW w:w="2425" w:type="dxa"/>
            <w:vMerge w:val="restart"/>
          </w:tcPr>
          <w:p w14:paraId="1C5A5C4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Implementation, Objectives, and History</w:t>
            </w:r>
          </w:p>
        </w:tc>
        <w:tc>
          <w:tcPr>
            <w:tcW w:w="7200" w:type="dxa"/>
            <w:gridSpan w:val="6"/>
          </w:tcPr>
          <w:p w14:paraId="519313F7" w14:textId="77777777" w:rsidR="00280E00" w:rsidRPr="007669E1" w:rsidRDefault="00280E00" w:rsidP="00E90BA7">
            <w:pPr>
              <w:spacing w:before="20" w:after="20" w:line="240" w:lineRule="auto"/>
              <w:jc w:val="both"/>
              <w:rPr>
                <w:rFonts w:ascii="Segoe UI" w:hAnsi="Segoe UI" w:cs="Segoe UI"/>
                <w:sz w:val="18"/>
                <w:szCs w:val="18"/>
              </w:rPr>
            </w:pPr>
          </w:p>
        </w:tc>
      </w:tr>
      <w:tr w:rsidR="00E72E03" w:rsidRPr="007669E1" w14:paraId="7DBEE21E" w14:textId="77777777" w:rsidTr="00542E59">
        <w:trPr>
          <w:trHeight w:val="182"/>
        </w:trPr>
        <w:tc>
          <w:tcPr>
            <w:tcW w:w="2425" w:type="dxa"/>
            <w:vMerge/>
          </w:tcPr>
          <w:p w14:paraId="33F04B4B" w14:textId="77777777" w:rsidR="00280E00" w:rsidRPr="0055238D" w:rsidRDefault="00280E00" w:rsidP="00E90BA7">
            <w:pPr>
              <w:spacing w:before="20" w:after="20" w:line="240" w:lineRule="auto"/>
              <w:jc w:val="both"/>
              <w:rPr>
                <w:rFonts w:ascii="Segoe UI" w:hAnsi="Segoe UI" w:cs="Segoe UI"/>
                <w:b/>
                <w:bCs/>
                <w:sz w:val="18"/>
                <w:szCs w:val="18"/>
              </w:rPr>
            </w:pPr>
          </w:p>
        </w:tc>
        <w:tc>
          <w:tcPr>
            <w:tcW w:w="3462" w:type="dxa"/>
            <w:gridSpan w:val="3"/>
          </w:tcPr>
          <w:p w14:paraId="24855E5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2020</w:t>
            </w:r>
          </w:p>
        </w:tc>
        <w:tc>
          <w:tcPr>
            <w:tcW w:w="3738" w:type="dxa"/>
            <w:gridSpan w:val="3"/>
          </w:tcPr>
          <w:p w14:paraId="2B808D71" w14:textId="69E6F8BB"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E72E03" w:rsidRPr="007669E1" w14:paraId="4CEF4ED2" w14:textId="77777777" w:rsidTr="00542E59">
        <w:tc>
          <w:tcPr>
            <w:tcW w:w="2425" w:type="dxa"/>
          </w:tcPr>
          <w:p w14:paraId="1EF59056"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Source of Data</w:t>
            </w:r>
          </w:p>
        </w:tc>
        <w:tc>
          <w:tcPr>
            <w:tcW w:w="7200" w:type="dxa"/>
            <w:gridSpan w:val="6"/>
          </w:tcPr>
          <w:p w14:paraId="4DAEFB66" w14:textId="5E36B9FF"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035AE4C3" w14:textId="77777777" w:rsidTr="00542E59">
        <w:tc>
          <w:tcPr>
            <w:tcW w:w="2425" w:type="dxa"/>
          </w:tcPr>
          <w:p w14:paraId="13AFB52B"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Estimation Method</w:t>
            </w:r>
          </w:p>
        </w:tc>
        <w:tc>
          <w:tcPr>
            <w:tcW w:w="7200" w:type="dxa"/>
            <w:gridSpan w:val="6"/>
          </w:tcPr>
          <w:p w14:paraId="56C5F528" w14:textId="1098CE0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73625146" w14:textId="77777777" w:rsidTr="00542E59">
        <w:tc>
          <w:tcPr>
            <w:tcW w:w="2425" w:type="dxa"/>
          </w:tcPr>
          <w:p w14:paraId="5106CF86"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Number of Beneficiaries</w:t>
            </w:r>
          </w:p>
        </w:tc>
        <w:tc>
          <w:tcPr>
            <w:tcW w:w="7200" w:type="dxa"/>
            <w:gridSpan w:val="6"/>
          </w:tcPr>
          <w:p w14:paraId="0D543AD9" w14:textId="2ECEA1BE"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06FF69E0" w14:textId="77777777" w:rsidTr="00542E59">
        <w:tc>
          <w:tcPr>
            <w:tcW w:w="2425" w:type="dxa"/>
          </w:tcPr>
          <w:p w14:paraId="1DD4DE5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Revenue Cost Reporting</w:t>
            </w:r>
          </w:p>
        </w:tc>
        <w:tc>
          <w:tcPr>
            <w:tcW w:w="7200" w:type="dxa"/>
            <w:gridSpan w:val="6"/>
          </w:tcPr>
          <w:p w14:paraId="0A62AFD0" w14:textId="65F46951" w:rsidR="00280E00" w:rsidRPr="007669E1" w:rsidRDefault="0082183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E72E03" w:rsidRPr="007669E1" w14:paraId="6A69091B" w14:textId="77777777" w:rsidTr="00542E59">
        <w:trPr>
          <w:trHeight w:val="91"/>
        </w:trPr>
        <w:tc>
          <w:tcPr>
            <w:tcW w:w="2425" w:type="dxa"/>
            <w:vMerge w:val="restart"/>
          </w:tcPr>
          <w:p w14:paraId="0F8D6968" w14:textId="77777777" w:rsidR="00280E00" w:rsidRPr="0055238D" w:rsidRDefault="00280E00" w:rsidP="00E90BA7">
            <w:pPr>
              <w:spacing w:before="20" w:after="20" w:line="240" w:lineRule="auto"/>
              <w:jc w:val="both"/>
              <w:rPr>
                <w:rFonts w:ascii="Segoe UI" w:hAnsi="Segoe UI" w:cs="Segoe UI"/>
                <w:b/>
                <w:bCs/>
                <w:sz w:val="18"/>
                <w:szCs w:val="18"/>
              </w:rPr>
            </w:pPr>
          </w:p>
        </w:tc>
        <w:tc>
          <w:tcPr>
            <w:tcW w:w="1385" w:type="dxa"/>
          </w:tcPr>
          <w:p w14:paraId="3F1162A5"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2018</w:t>
            </w:r>
          </w:p>
        </w:tc>
        <w:tc>
          <w:tcPr>
            <w:tcW w:w="1385" w:type="dxa"/>
          </w:tcPr>
          <w:p w14:paraId="19021FB2"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2019</w:t>
            </w:r>
          </w:p>
        </w:tc>
        <w:tc>
          <w:tcPr>
            <w:tcW w:w="1385" w:type="dxa"/>
            <w:gridSpan w:val="2"/>
          </w:tcPr>
          <w:p w14:paraId="0186BBA5"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2020</w:t>
            </w:r>
          </w:p>
        </w:tc>
        <w:tc>
          <w:tcPr>
            <w:tcW w:w="1385" w:type="dxa"/>
          </w:tcPr>
          <w:p w14:paraId="28D96376"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2021</w:t>
            </w:r>
          </w:p>
        </w:tc>
        <w:tc>
          <w:tcPr>
            <w:tcW w:w="1660" w:type="dxa"/>
          </w:tcPr>
          <w:p w14:paraId="36C97A63" w14:textId="6D19098F" w:rsidR="00280E00" w:rsidRPr="0055238D" w:rsidRDefault="000C00AF"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2022</w:t>
            </w:r>
          </w:p>
        </w:tc>
      </w:tr>
      <w:tr w:rsidR="00E72E03" w:rsidRPr="007669E1" w14:paraId="7524611F" w14:textId="77777777" w:rsidTr="00542E59">
        <w:trPr>
          <w:trHeight w:val="91"/>
        </w:trPr>
        <w:tc>
          <w:tcPr>
            <w:tcW w:w="2425" w:type="dxa"/>
            <w:vMerge/>
          </w:tcPr>
          <w:p w14:paraId="5A8F50EF"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4720D1E4" w14:textId="24F9CB4D" w:rsidR="00AA1580" w:rsidRPr="007669E1" w:rsidRDefault="0011092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tcPr>
          <w:p w14:paraId="5120F557" w14:textId="788E64AE" w:rsidR="00AA1580" w:rsidRPr="007669E1" w:rsidRDefault="0011092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gridSpan w:val="2"/>
          </w:tcPr>
          <w:p w14:paraId="7870D874" w14:textId="29ACD4A7" w:rsidR="00AA1580" w:rsidRPr="007669E1" w:rsidRDefault="0011092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tcPr>
          <w:p w14:paraId="1C2CCFC8" w14:textId="10AD2B31" w:rsidR="00AA1580" w:rsidRPr="007669E1" w:rsidRDefault="0011092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660" w:type="dxa"/>
          </w:tcPr>
          <w:p w14:paraId="7E2BE606" w14:textId="7160CFD5" w:rsidR="00AA1580" w:rsidRPr="007669E1" w:rsidRDefault="0011092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r>
    </w:tbl>
    <w:p w14:paraId="0FAEE6AA"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5238D" w14:paraId="4C30EDE3" w14:textId="77777777" w:rsidTr="00542E59">
        <w:tc>
          <w:tcPr>
            <w:tcW w:w="9625" w:type="dxa"/>
            <w:gridSpan w:val="7"/>
            <w:shd w:val="clear" w:color="auto" w:fill="D9D9D9" w:themeFill="background1" w:themeFillShade="D9"/>
          </w:tcPr>
          <w:p w14:paraId="7CAB217F" w14:textId="1382ABB0"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21. Deduction to encourage the development of software (IT programs)</w:t>
            </w:r>
          </w:p>
        </w:tc>
      </w:tr>
      <w:tr w:rsidR="00002F93" w:rsidRPr="007669E1" w14:paraId="6E42129D" w14:textId="77777777" w:rsidTr="00542E59">
        <w:tc>
          <w:tcPr>
            <w:tcW w:w="2425" w:type="dxa"/>
          </w:tcPr>
          <w:p w14:paraId="0C22F4E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Description</w:t>
            </w:r>
          </w:p>
        </w:tc>
        <w:tc>
          <w:tcPr>
            <w:tcW w:w="7200" w:type="dxa"/>
            <w:gridSpan w:val="6"/>
          </w:tcPr>
          <w:p w14:paraId="341A4126" w14:textId="4577DB30" w:rsidR="00280E00" w:rsidRPr="007669E1" w:rsidRDefault="008C3C6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A d</w:t>
            </w:r>
            <w:r w:rsidR="00280E00" w:rsidRPr="007669E1">
              <w:rPr>
                <w:rFonts w:ascii="Segoe UI" w:hAnsi="Segoe UI" w:cs="Segoe UI"/>
                <w:sz w:val="18"/>
                <w:szCs w:val="18"/>
              </w:rPr>
              <w:t xml:space="preserve">eduction </w:t>
            </w:r>
            <w:r w:rsidRPr="007669E1">
              <w:rPr>
                <w:rFonts w:ascii="Segoe UI" w:hAnsi="Segoe UI" w:cs="Segoe UI"/>
                <w:sz w:val="18"/>
                <w:szCs w:val="18"/>
              </w:rPr>
              <w:t>is provided for</w:t>
            </w:r>
            <w:r w:rsidR="00280E00" w:rsidRPr="007669E1">
              <w:rPr>
                <w:rFonts w:ascii="Segoe UI" w:hAnsi="Segoe UI" w:cs="Segoe UI"/>
                <w:sz w:val="18"/>
                <w:szCs w:val="18"/>
              </w:rPr>
              <w:t xml:space="preserve"> an amount equal to two average monthly salaries at national level forecasted for the tax year. </w:t>
            </w:r>
            <w:r w:rsidR="00A75BC2" w:rsidRPr="007669E1">
              <w:rPr>
                <w:rFonts w:ascii="Segoe UI" w:hAnsi="Segoe UI" w:cs="Segoe UI"/>
                <w:sz w:val="18"/>
                <w:szCs w:val="18"/>
              </w:rPr>
              <w:t xml:space="preserve">The deduction is not applicable to </w:t>
            </w:r>
            <w:r w:rsidR="00280E00" w:rsidRPr="007669E1">
              <w:rPr>
                <w:rFonts w:ascii="Segoe UI" w:hAnsi="Segoe UI" w:cs="Segoe UI"/>
                <w:sz w:val="18"/>
                <w:szCs w:val="18"/>
              </w:rPr>
              <w:t>residents of IT parks</w:t>
            </w:r>
            <w:r w:rsidRPr="007669E1">
              <w:rPr>
                <w:rFonts w:ascii="Segoe UI" w:hAnsi="Segoe UI" w:cs="Segoe UI"/>
                <w:sz w:val="18"/>
                <w:szCs w:val="18"/>
              </w:rPr>
              <w:t>.</w:t>
            </w:r>
          </w:p>
        </w:tc>
      </w:tr>
      <w:tr w:rsidR="00002F93" w:rsidRPr="007669E1" w14:paraId="1F93D349" w14:textId="77777777" w:rsidTr="00542E59">
        <w:tc>
          <w:tcPr>
            <w:tcW w:w="2425" w:type="dxa"/>
          </w:tcPr>
          <w:p w14:paraId="77D0F9A2"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Tax Affected</w:t>
            </w:r>
          </w:p>
        </w:tc>
        <w:tc>
          <w:tcPr>
            <w:tcW w:w="7200" w:type="dxa"/>
            <w:gridSpan w:val="6"/>
          </w:tcPr>
          <w:p w14:paraId="2705AB9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747FB326" w14:textId="77777777" w:rsidTr="00542E59">
        <w:tc>
          <w:tcPr>
            <w:tcW w:w="2425" w:type="dxa"/>
          </w:tcPr>
          <w:p w14:paraId="051D69CB"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Beneficiaries</w:t>
            </w:r>
          </w:p>
        </w:tc>
        <w:tc>
          <w:tcPr>
            <w:tcW w:w="7200" w:type="dxa"/>
            <w:gridSpan w:val="6"/>
          </w:tcPr>
          <w:p w14:paraId="54705528" w14:textId="5D91866F" w:rsidR="00280E00" w:rsidRPr="007669E1" w:rsidRDefault="00A75BC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Software developers</w:t>
            </w:r>
          </w:p>
        </w:tc>
      </w:tr>
      <w:tr w:rsidR="00002F93" w:rsidRPr="007669E1" w14:paraId="110FF180" w14:textId="77777777" w:rsidTr="00542E59">
        <w:tc>
          <w:tcPr>
            <w:tcW w:w="2425" w:type="dxa"/>
          </w:tcPr>
          <w:p w14:paraId="6208ADEA"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Measure</w:t>
            </w:r>
          </w:p>
        </w:tc>
        <w:tc>
          <w:tcPr>
            <w:tcW w:w="7200" w:type="dxa"/>
            <w:gridSpan w:val="6"/>
          </w:tcPr>
          <w:p w14:paraId="0204E69E" w14:textId="22209C87" w:rsidR="00280E00" w:rsidRPr="007669E1" w:rsidRDefault="00B1487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a</w:t>
            </w:r>
            <w:r w:rsidR="00280E00" w:rsidRPr="007669E1">
              <w:rPr>
                <w:rFonts w:ascii="Segoe UI" w:hAnsi="Segoe UI" w:cs="Segoe UI"/>
                <w:sz w:val="18"/>
                <w:szCs w:val="18"/>
              </w:rPr>
              <w:t>llowance</w:t>
            </w:r>
          </w:p>
        </w:tc>
      </w:tr>
      <w:tr w:rsidR="00002F93" w:rsidRPr="007669E1" w14:paraId="779D555E" w14:textId="77777777" w:rsidTr="00542E59">
        <w:tc>
          <w:tcPr>
            <w:tcW w:w="2425" w:type="dxa"/>
          </w:tcPr>
          <w:p w14:paraId="2BB07486"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Reason why this Measure is not part of the Benchmark Tax System</w:t>
            </w:r>
          </w:p>
        </w:tc>
        <w:tc>
          <w:tcPr>
            <w:tcW w:w="7200" w:type="dxa"/>
            <w:gridSpan w:val="6"/>
          </w:tcPr>
          <w:p w14:paraId="2B730BED" w14:textId="32DF283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is to encourage a small sub-group of taxpayers with the view to stimulate employment in the IT sector and incentivize the development of IT—it is not a standard practice to enhance the deduction of a legitimate business expense this way</w:t>
            </w:r>
            <w:r w:rsidR="008C3C6D" w:rsidRPr="007669E1">
              <w:rPr>
                <w:rFonts w:ascii="Segoe UI" w:hAnsi="Segoe UI" w:cs="Segoe UI"/>
                <w:sz w:val="18"/>
                <w:szCs w:val="18"/>
              </w:rPr>
              <w:t>; hence, it is a tax expenditure.</w:t>
            </w:r>
          </w:p>
        </w:tc>
      </w:tr>
      <w:tr w:rsidR="00002F93" w:rsidRPr="007669E1" w14:paraId="2992C7AE" w14:textId="77777777" w:rsidTr="00542E59">
        <w:tc>
          <w:tcPr>
            <w:tcW w:w="2425" w:type="dxa"/>
          </w:tcPr>
          <w:p w14:paraId="69E0E1EB"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Legal Reference</w:t>
            </w:r>
          </w:p>
        </w:tc>
        <w:tc>
          <w:tcPr>
            <w:tcW w:w="7200" w:type="dxa"/>
            <w:gridSpan w:val="6"/>
          </w:tcPr>
          <w:p w14:paraId="7347EE6D" w14:textId="77777777"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Law no. 1164‐XIII of April 24, 1997, Art. 24 para. (21)</w:t>
            </w:r>
          </w:p>
        </w:tc>
      </w:tr>
      <w:tr w:rsidR="00002F93" w:rsidRPr="007669E1" w14:paraId="4CC3A682" w14:textId="77777777" w:rsidTr="00542E59">
        <w:trPr>
          <w:trHeight w:val="182"/>
        </w:trPr>
        <w:tc>
          <w:tcPr>
            <w:tcW w:w="2425" w:type="dxa"/>
            <w:vMerge w:val="restart"/>
          </w:tcPr>
          <w:p w14:paraId="7F033041"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Implementation, Objectives, and History</w:t>
            </w:r>
          </w:p>
        </w:tc>
        <w:tc>
          <w:tcPr>
            <w:tcW w:w="3462" w:type="dxa"/>
            <w:gridSpan w:val="3"/>
          </w:tcPr>
          <w:p w14:paraId="385F29D8" w14:textId="77777777" w:rsidR="00280E00" w:rsidRPr="007669E1" w:rsidRDefault="00280E00" w:rsidP="00E90BA7">
            <w:pPr>
              <w:spacing w:before="20" w:after="20" w:line="240" w:lineRule="auto"/>
              <w:jc w:val="both"/>
              <w:rPr>
                <w:rFonts w:ascii="Segoe UI" w:hAnsi="Segoe UI" w:cs="Segoe UI"/>
                <w:sz w:val="18"/>
                <w:szCs w:val="18"/>
              </w:rPr>
            </w:pPr>
          </w:p>
        </w:tc>
        <w:tc>
          <w:tcPr>
            <w:tcW w:w="3738" w:type="dxa"/>
            <w:gridSpan w:val="3"/>
          </w:tcPr>
          <w:p w14:paraId="35D5239A"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716E0F48" w14:textId="77777777" w:rsidTr="00542E59">
        <w:trPr>
          <w:trHeight w:val="182"/>
        </w:trPr>
        <w:tc>
          <w:tcPr>
            <w:tcW w:w="2425" w:type="dxa"/>
            <w:vMerge/>
          </w:tcPr>
          <w:p w14:paraId="08D7A1B8" w14:textId="77777777" w:rsidR="00280E00" w:rsidRPr="0055238D" w:rsidRDefault="00280E00" w:rsidP="00E90BA7">
            <w:pPr>
              <w:spacing w:before="20" w:after="20" w:line="240" w:lineRule="auto"/>
              <w:jc w:val="both"/>
              <w:rPr>
                <w:rFonts w:ascii="Segoe UI" w:hAnsi="Segoe UI" w:cs="Segoe UI"/>
                <w:b/>
                <w:bCs/>
                <w:sz w:val="18"/>
                <w:szCs w:val="18"/>
              </w:rPr>
            </w:pPr>
          </w:p>
        </w:tc>
        <w:tc>
          <w:tcPr>
            <w:tcW w:w="3462" w:type="dxa"/>
            <w:gridSpan w:val="3"/>
          </w:tcPr>
          <w:p w14:paraId="5363D72D" w14:textId="3616A24B"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BA556B" w:rsidRPr="007669E1">
              <w:rPr>
                <w:rFonts w:ascii="Segoe UI" w:hAnsi="Segoe UI" w:cs="Segoe UI"/>
                <w:sz w:val="18"/>
                <w:szCs w:val="18"/>
              </w:rPr>
              <w:t>:</w:t>
            </w:r>
          </w:p>
        </w:tc>
        <w:tc>
          <w:tcPr>
            <w:tcW w:w="3738" w:type="dxa"/>
            <w:gridSpan w:val="3"/>
          </w:tcPr>
          <w:p w14:paraId="3842B031" w14:textId="5CE10FAC"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59C221FF" w14:textId="77777777" w:rsidTr="00F7324F">
        <w:trPr>
          <w:trHeight w:val="67"/>
        </w:trPr>
        <w:tc>
          <w:tcPr>
            <w:tcW w:w="2425" w:type="dxa"/>
          </w:tcPr>
          <w:p w14:paraId="264D21F0"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Source of Data</w:t>
            </w:r>
          </w:p>
        </w:tc>
        <w:tc>
          <w:tcPr>
            <w:tcW w:w="7200" w:type="dxa"/>
            <w:gridSpan w:val="6"/>
          </w:tcPr>
          <w:p w14:paraId="781BB380" w14:textId="18D57B51"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20E282CA" w14:textId="77777777" w:rsidTr="00542E59">
        <w:tc>
          <w:tcPr>
            <w:tcW w:w="2425" w:type="dxa"/>
          </w:tcPr>
          <w:p w14:paraId="079F0E14"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Estimation Method</w:t>
            </w:r>
          </w:p>
        </w:tc>
        <w:tc>
          <w:tcPr>
            <w:tcW w:w="7200" w:type="dxa"/>
            <w:gridSpan w:val="6"/>
          </w:tcPr>
          <w:p w14:paraId="7BEBD1F4" w14:textId="673F74F0"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0DE58818" w14:textId="77777777" w:rsidTr="00542E59">
        <w:tc>
          <w:tcPr>
            <w:tcW w:w="2425" w:type="dxa"/>
          </w:tcPr>
          <w:p w14:paraId="2CC050AE"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Number of Beneficiaries</w:t>
            </w:r>
          </w:p>
        </w:tc>
        <w:tc>
          <w:tcPr>
            <w:tcW w:w="7200" w:type="dxa"/>
            <w:gridSpan w:val="6"/>
          </w:tcPr>
          <w:p w14:paraId="68E4001F" w14:textId="4B0A7291"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D289F70" w14:textId="77777777" w:rsidTr="00542E59">
        <w:tc>
          <w:tcPr>
            <w:tcW w:w="2425" w:type="dxa"/>
          </w:tcPr>
          <w:p w14:paraId="39A2CA9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Revenue Cost Reporting</w:t>
            </w:r>
          </w:p>
        </w:tc>
        <w:tc>
          <w:tcPr>
            <w:tcW w:w="7200" w:type="dxa"/>
            <w:gridSpan w:val="6"/>
          </w:tcPr>
          <w:p w14:paraId="35432D2B" w14:textId="7A064A4A" w:rsidR="00280E00" w:rsidRPr="007669E1" w:rsidRDefault="0082183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0B98800A" w14:textId="77777777" w:rsidTr="00542E59">
        <w:trPr>
          <w:trHeight w:val="91"/>
        </w:trPr>
        <w:tc>
          <w:tcPr>
            <w:tcW w:w="2425" w:type="dxa"/>
            <w:vMerge w:val="restart"/>
          </w:tcPr>
          <w:p w14:paraId="4A797D34" w14:textId="77777777" w:rsidR="00280E00" w:rsidRPr="0055238D" w:rsidRDefault="00280E00" w:rsidP="00E90BA7">
            <w:pPr>
              <w:spacing w:before="20" w:after="20" w:line="240" w:lineRule="auto"/>
              <w:jc w:val="both"/>
              <w:rPr>
                <w:rFonts w:ascii="Segoe UI" w:hAnsi="Segoe UI" w:cs="Segoe UI"/>
                <w:b/>
                <w:bCs/>
                <w:sz w:val="18"/>
                <w:szCs w:val="18"/>
              </w:rPr>
            </w:pPr>
          </w:p>
        </w:tc>
        <w:tc>
          <w:tcPr>
            <w:tcW w:w="1385" w:type="dxa"/>
          </w:tcPr>
          <w:p w14:paraId="31C514ED"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2018</w:t>
            </w:r>
          </w:p>
        </w:tc>
        <w:tc>
          <w:tcPr>
            <w:tcW w:w="1385" w:type="dxa"/>
          </w:tcPr>
          <w:p w14:paraId="70C08430"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2019</w:t>
            </w:r>
          </w:p>
        </w:tc>
        <w:tc>
          <w:tcPr>
            <w:tcW w:w="1385" w:type="dxa"/>
            <w:gridSpan w:val="2"/>
          </w:tcPr>
          <w:p w14:paraId="249C1934"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2020</w:t>
            </w:r>
          </w:p>
        </w:tc>
        <w:tc>
          <w:tcPr>
            <w:tcW w:w="1385" w:type="dxa"/>
          </w:tcPr>
          <w:p w14:paraId="137FABCC"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2021</w:t>
            </w:r>
          </w:p>
        </w:tc>
        <w:tc>
          <w:tcPr>
            <w:tcW w:w="1660" w:type="dxa"/>
          </w:tcPr>
          <w:p w14:paraId="23EE64A9" w14:textId="6C69C59B" w:rsidR="00280E00" w:rsidRPr="0055238D" w:rsidRDefault="000C00AF"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2022</w:t>
            </w:r>
          </w:p>
        </w:tc>
      </w:tr>
      <w:tr w:rsidR="00002F93" w:rsidRPr="007669E1" w14:paraId="6CFD33CC" w14:textId="77777777" w:rsidTr="00542E59">
        <w:trPr>
          <w:trHeight w:val="91"/>
        </w:trPr>
        <w:tc>
          <w:tcPr>
            <w:tcW w:w="2425" w:type="dxa"/>
            <w:vMerge/>
          </w:tcPr>
          <w:p w14:paraId="7474AE89"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3B58B2BC" w14:textId="1057B927"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tcPr>
          <w:p w14:paraId="54CD9E9A" w14:textId="51160A52"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gridSpan w:val="2"/>
          </w:tcPr>
          <w:p w14:paraId="6F4A5EA5" w14:textId="13AA08DA"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385" w:type="dxa"/>
          </w:tcPr>
          <w:p w14:paraId="131DE4F1" w14:textId="2B1A16D3"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7B203A" w:rsidRPr="007669E1">
              <w:rPr>
                <w:rFonts w:ascii="Segoe UI" w:hAnsi="Segoe UI" w:cs="Segoe UI"/>
                <w:color w:val="000000"/>
                <w:sz w:val="18"/>
                <w:szCs w:val="18"/>
              </w:rPr>
              <w:t>.</w:t>
            </w:r>
          </w:p>
        </w:tc>
        <w:tc>
          <w:tcPr>
            <w:tcW w:w="1660" w:type="dxa"/>
          </w:tcPr>
          <w:p w14:paraId="7CE4B4E8" w14:textId="15EDA72D"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A556B" w:rsidRPr="007669E1">
              <w:rPr>
                <w:rFonts w:ascii="Segoe UI" w:hAnsi="Segoe UI" w:cs="Segoe UI"/>
                <w:color w:val="000000"/>
                <w:sz w:val="18"/>
                <w:szCs w:val="18"/>
              </w:rPr>
              <w:t>.</w:t>
            </w:r>
          </w:p>
        </w:tc>
      </w:tr>
    </w:tbl>
    <w:p w14:paraId="48B8FB57" w14:textId="77777777" w:rsidR="00280E00" w:rsidRPr="007669E1" w:rsidRDefault="00280E00" w:rsidP="00E90BA7">
      <w:pPr>
        <w:spacing w:before="20" w:after="20" w:line="240" w:lineRule="auto"/>
        <w:jc w:val="both"/>
        <w:rPr>
          <w:rFonts w:ascii="Segoe UI" w:eastAsia="SimSun"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5238D" w14:paraId="671444A4" w14:textId="77777777" w:rsidTr="00542E59">
        <w:tc>
          <w:tcPr>
            <w:tcW w:w="9625" w:type="dxa"/>
            <w:gridSpan w:val="7"/>
            <w:shd w:val="clear" w:color="auto" w:fill="D9D9D9" w:themeFill="background1" w:themeFillShade="D9"/>
          </w:tcPr>
          <w:p w14:paraId="72A2B55A" w14:textId="09CFAB2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22. Tax Exemption of income from the disposal of primary residence</w:t>
            </w:r>
          </w:p>
        </w:tc>
      </w:tr>
      <w:tr w:rsidR="00002F93" w:rsidRPr="007669E1" w14:paraId="0D9ABD3C" w14:textId="77777777" w:rsidTr="00542E59">
        <w:tc>
          <w:tcPr>
            <w:tcW w:w="2425" w:type="dxa"/>
          </w:tcPr>
          <w:p w14:paraId="0F9A26AA"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Description</w:t>
            </w:r>
          </w:p>
        </w:tc>
        <w:tc>
          <w:tcPr>
            <w:tcW w:w="7200" w:type="dxa"/>
            <w:gridSpan w:val="6"/>
          </w:tcPr>
          <w:p w14:paraId="27CA0E7E" w14:textId="54A5570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Income from the disposal of a taxpayer’s primary residence or basic housing is exempt from tax (capital gains). It is deemed to be the primary residence if the individual taxpayer owned it for at least 3 years before selling it and it was the taxpayer’s residence during that period. </w:t>
            </w:r>
            <w:r w:rsidR="008C3C6D" w:rsidRPr="007669E1">
              <w:rPr>
                <w:rFonts w:ascii="Segoe UI" w:hAnsi="Segoe UI" w:cs="Segoe UI"/>
                <w:sz w:val="18"/>
                <w:szCs w:val="18"/>
              </w:rPr>
              <w:t xml:space="preserve">A </w:t>
            </w:r>
            <w:r w:rsidRPr="007669E1">
              <w:rPr>
                <w:rFonts w:ascii="Segoe UI" w:hAnsi="Segoe UI" w:cs="Segoe UI"/>
                <w:sz w:val="18"/>
                <w:szCs w:val="18"/>
              </w:rPr>
              <w:t>50 percent inclusion rate for capital gains is applied</w:t>
            </w:r>
            <w:r w:rsidR="008C3C6D" w:rsidRPr="007669E1">
              <w:rPr>
                <w:rFonts w:ascii="Segoe UI" w:hAnsi="Segoe UI" w:cs="Segoe UI"/>
                <w:sz w:val="18"/>
                <w:szCs w:val="18"/>
              </w:rPr>
              <w:t>.</w:t>
            </w:r>
          </w:p>
        </w:tc>
      </w:tr>
      <w:tr w:rsidR="00002F93" w:rsidRPr="007669E1" w14:paraId="2D47C484" w14:textId="77777777" w:rsidTr="00542E59">
        <w:tc>
          <w:tcPr>
            <w:tcW w:w="2425" w:type="dxa"/>
          </w:tcPr>
          <w:p w14:paraId="045A68E3"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Tax Affected</w:t>
            </w:r>
          </w:p>
        </w:tc>
        <w:tc>
          <w:tcPr>
            <w:tcW w:w="7200" w:type="dxa"/>
            <w:gridSpan w:val="6"/>
          </w:tcPr>
          <w:p w14:paraId="1B7687E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06C5E692" w14:textId="77777777" w:rsidTr="00542E59">
        <w:tc>
          <w:tcPr>
            <w:tcW w:w="2425" w:type="dxa"/>
          </w:tcPr>
          <w:p w14:paraId="354AC682"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Beneficiaries</w:t>
            </w:r>
          </w:p>
        </w:tc>
        <w:tc>
          <w:tcPr>
            <w:tcW w:w="7200" w:type="dxa"/>
            <w:gridSpan w:val="6"/>
          </w:tcPr>
          <w:p w14:paraId="10AE38C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Homeowners disposing of basic housing or their primary residence</w:t>
            </w:r>
          </w:p>
        </w:tc>
      </w:tr>
      <w:tr w:rsidR="00002F93" w:rsidRPr="007669E1" w14:paraId="5221A519" w14:textId="77777777" w:rsidTr="00542E59">
        <w:tc>
          <w:tcPr>
            <w:tcW w:w="2425" w:type="dxa"/>
          </w:tcPr>
          <w:p w14:paraId="712B1733"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Measure</w:t>
            </w:r>
          </w:p>
        </w:tc>
        <w:tc>
          <w:tcPr>
            <w:tcW w:w="7200" w:type="dxa"/>
            <w:gridSpan w:val="6"/>
          </w:tcPr>
          <w:p w14:paraId="1D25E728" w14:textId="0B0C4F0F"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Legislated tax </w:t>
            </w:r>
            <w:r w:rsidR="008C3C6D" w:rsidRPr="007669E1">
              <w:rPr>
                <w:rFonts w:ascii="Segoe UI" w:hAnsi="Segoe UI" w:cs="Segoe UI"/>
                <w:sz w:val="18"/>
                <w:szCs w:val="18"/>
              </w:rPr>
              <w:t>reduction</w:t>
            </w:r>
          </w:p>
        </w:tc>
      </w:tr>
      <w:tr w:rsidR="00002F93" w:rsidRPr="007669E1" w14:paraId="1856B29E" w14:textId="77777777" w:rsidTr="00542E59">
        <w:tc>
          <w:tcPr>
            <w:tcW w:w="2425" w:type="dxa"/>
          </w:tcPr>
          <w:p w14:paraId="6FC7996E"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Reason why this Measure is not part of the Benchmark Tax System</w:t>
            </w:r>
          </w:p>
        </w:tc>
        <w:tc>
          <w:tcPr>
            <w:tcW w:w="7200" w:type="dxa"/>
            <w:gridSpan w:val="6"/>
          </w:tcPr>
          <w:p w14:paraId="5755F9A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income from the sale of a home constitutes therefore a tax expenditure.</w:t>
            </w:r>
          </w:p>
        </w:tc>
      </w:tr>
      <w:tr w:rsidR="00002F93" w:rsidRPr="007669E1" w14:paraId="1AC45E54" w14:textId="77777777" w:rsidTr="00542E59">
        <w:tc>
          <w:tcPr>
            <w:tcW w:w="2425" w:type="dxa"/>
          </w:tcPr>
          <w:p w14:paraId="510F070D"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lastRenderedPageBreak/>
              <w:t>Legal Reference</w:t>
            </w:r>
          </w:p>
        </w:tc>
        <w:tc>
          <w:tcPr>
            <w:tcW w:w="7200" w:type="dxa"/>
            <w:gridSpan w:val="6"/>
          </w:tcPr>
          <w:p w14:paraId="488E6BA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20(y</w:t>
            </w:r>
            <w:r w:rsidRPr="007669E1">
              <w:rPr>
                <w:rFonts w:ascii="Segoe UI" w:hAnsi="Segoe UI" w:cs="Segoe UI"/>
                <w:sz w:val="18"/>
                <w:szCs w:val="18"/>
                <w:vertAlign w:val="superscript"/>
              </w:rPr>
              <w:t>3</w:t>
            </w:r>
            <w:r w:rsidRPr="007669E1">
              <w:rPr>
                <w:rFonts w:ascii="Segoe UI" w:hAnsi="Segoe UI" w:cs="Segoe UI"/>
                <w:sz w:val="18"/>
                <w:szCs w:val="18"/>
              </w:rPr>
              <w:t>)</w:t>
            </w:r>
          </w:p>
        </w:tc>
      </w:tr>
      <w:tr w:rsidR="00002F93" w:rsidRPr="007669E1" w14:paraId="705ED03E" w14:textId="77777777" w:rsidTr="00542E59">
        <w:trPr>
          <w:trHeight w:val="182"/>
        </w:trPr>
        <w:tc>
          <w:tcPr>
            <w:tcW w:w="2425" w:type="dxa"/>
            <w:vMerge w:val="restart"/>
          </w:tcPr>
          <w:p w14:paraId="7A6377A1"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Implementation, Objectives, and History</w:t>
            </w:r>
          </w:p>
        </w:tc>
        <w:tc>
          <w:tcPr>
            <w:tcW w:w="3462" w:type="dxa"/>
            <w:gridSpan w:val="3"/>
          </w:tcPr>
          <w:p w14:paraId="54F167C1" w14:textId="77777777" w:rsidR="00280E00" w:rsidRPr="007669E1" w:rsidRDefault="00280E00" w:rsidP="00E90BA7">
            <w:pPr>
              <w:spacing w:before="20" w:after="20" w:line="240" w:lineRule="auto"/>
              <w:jc w:val="both"/>
              <w:rPr>
                <w:rFonts w:ascii="Segoe UI" w:hAnsi="Segoe UI" w:cs="Segoe UI"/>
                <w:sz w:val="18"/>
                <w:szCs w:val="18"/>
              </w:rPr>
            </w:pPr>
          </w:p>
        </w:tc>
        <w:tc>
          <w:tcPr>
            <w:tcW w:w="3738" w:type="dxa"/>
            <w:gridSpan w:val="3"/>
          </w:tcPr>
          <w:p w14:paraId="4C263227"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172D1DAE" w14:textId="77777777" w:rsidTr="00542E59">
        <w:trPr>
          <w:trHeight w:val="182"/>
        </w:trPr>
        <w:tc>
          <w:tcPr>
            <w:tcW w:w="2425" w:type="dxa"/>
            <w:vMerge/>
          </w:tcPr>
          <w:p w14:paraId="0067BEB5" w14:textId="77777777" w:rsidR="00280E00" w:rsidRPr="0055238D" w:rsidRDefault="00280E00" w:rsidP="00E90BA7">
            <w:pPr>
              <w:spacing w:before="20" w:after="20" w:line="240" w:lineRule="auto"/>
              <w:jc w:val="both"/>
              <w:rPr>
                <w:rFonts w:ascii="Segoe UI" w:hAnsi="Segoe UI" w:cs="Segoe UI"/>
                <w:b/>
                <w:bCs/>
                <w:sz w:val="18"/>
                <w:szCs w:val="18"/>
              </w:rPr>
            </w:pPr>
          </w:p>
        </w:tc>
        <w:tc>
          <w:tcPr>
            <w:tcW w:w="3462" w:type="dxa"/>
            <w:gridSpan w:val="3"/>
          </w:tcPr>
          <w:p w14:paraId="270BD3B0" w14:textId="5821A395"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38" w:type="dxa"/>
            <w:gridSpan w:val="3"/>
          </w:tcPr>
          <w:p w14:paraId="0BC4C7AE" w14:textId="41232F59"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63A2347A" w14:textId="77777777" w:rsidTr="00542E59">
        <w:tc>
          <w:tcPr>
            <w:tcW w:w="2425" w:type="dxa"/>
          </w:tcPr>
          <w:p w14:paraId="38D849EB"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Source of Data</w:t>
            </w:r>
          </w:p>
        </w:tc>
        <w:tc>
          <w:tcPr>
            <w:tcW w:w="7200" w:type="dxa"/>
            <w:gridSpan w:val="6"/>
          </w:tcPr>
          <w:p w14:paraId="5C988E91" w14:textId="7AC04898"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B00DB25" w14:textId="77777777" w:rsidTr="00542E59">
        <w:tc>
          <w:tcPr>
            <w:tcW w:w="2425" w:type="dxa"/>
          </w:tcPr>
          <w:p w14:paraId="60C42A6C"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Estimation Method</w:t>
            </w:r>
          </w:p>
        </w:tc>
        <w:tc>
          <w:tcPr>
            <w:tcW w:w="7200" w:type="dxa"/>
            <w:gridSpan w:val="6"/>
          </w:tcPr>
          <w:p w14:paraId="609C65F9" w14:textId="1B4391C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19043AD" w14:textId="77777777" w:rsidTr="00542E59">
        <w:tc>
          <w:tcPr>
            <w:tcW w:w="2425" w:type="dxa"/>
          </w:tcPr>
          <w:p w14:paraId="1AE4048B"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Number of Beneficiaries</w:t>
            </w:r>
          </w:p>
        </w:tc>
        <w:tc>
          <w:tcPr>
            <w:tcW w:w="7200" w:type="dxa"/>
            <w:gridSpan w:val="6"/>
          </w:tcPr>
          <w:p w14:paraId="388F03C4" w14:textId="431F810D"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5968B25B" w14:textId="77777777" w:rsidTr="00542E59">
        <w:tc>
          <w:tcPr>
            <w:tcW w:w="2425" w:type="dxa"/>
          </w:tcPr>
          <w:p w14:paraId="76813D01"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Revenue Cost Reporting</w:t>
            </w:r>
          </w:p>
        </w:tc>
        <w:tc>
          <w:tcPr>
            <w:tcW w:w="7200" w:type="dxa"/>
            <w:gridSpan w:val="6"/>
          </w:tcPr>
          <w:p w14:paraId="570E448D" w14:textId="5D11E39C" w:rsidR="00280E00" w:rsidRPr="007669E1" w:rsidRDefault="0082183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6A849C3A" w14:textId="77777777" w:rsidTr="00542E59">
        <w:trPr>
          <w:trHeight w:val="91"/>
        </w:trPr>
        <w:tc>
          <w:tcPr>
            <w:tcW w:w="2425" w:type="dxa"/>
            <w:vMerge w:val="restart"/>
          </w:tcPr>
          <w:p w14:paraId="208F44CC" w14:textId="77777777" w:rsidR="00280E00" w:rsidRPr="0055238D" w:rsidRDefault="00280E00" w:rsidP="00E90BA7">
            <w:pPr>
              <w:spacing w:before="20" w:after="20" w:line="240" w:lineRule="auto"/>
              <w:jc w:val="both"/>
              <w:rPr>
                <w:rFonts w:ascii="Segoe UI" w:hAnsi="Segoe UI" w:cs="Segoe UI"/>
                <w:b/>
                <w:bCs/>
                <w:sz w:val="18"/>
                <w:szCs w:val="18"/>
              </w:rPr>
            </w:pPr>
          </w:p>
        </w:tc>
        <w:tc>
          <w:tcPr>
            <w:tcW w:w="1385" w:type="dxa"/>
          </w:tcPr>
          <w:p w14:paraId="334F03A0"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2018</w:t>
            </w:r>
          </w:p>
        </w:tc>
        <w:tc>
          <w:tcPr>
            <w:tcW w:w="1385" w:type="dxa"/>
          </w:tcPr>
          <w:p w14:paraId="794AEFD5"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2019</w:t>
            </w:r>
          </w:p>
        </w:tc>
        <w:tc>
          <w:tcPr>
            <w:tcW w:w="1385" w:type="dxa"/>
            <w:gridSpan w:val="2"/>
          </w:tcPr>
          <w:p w14:paraId="4ADFAEFF"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2020</w:t>
            </w:r>
          </w:p>
        </w:tc>
        <w:tc>
          <w:tcPr>
            <w:tcW w:w="1385" w:type="dxa"/>
          </w:tcPr>
          <w:p w14:paraId="024946C8"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2021</w:t>
            </w:r>
          </w:p>
        </w:tc>
        <w:tc>
          <w:tcPr>
            <w:tcW w:w="1660" w:type="dxa"/>
          </w:tcPr>
          <w:p w14:paraId="502D0779" w14:textId="04B35CC2" w:rsidR="00280E00" w:rsidRPr="0055238D" w:rsidRDefault="000C00AF"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2022</w:t>
            </w:r>
          </w:p>
        </w:tc>
      </w:tr>
      <w:tr w:rsidR="00002F93" w:rsidRPr="007669E1" w14:paraId="110F7E4F" w14:textId="77777777" w:rsidTr="00542E59">
        <w:trPr>
          <w:trHeight w:val="91"/>
        </w:trPr>
        <w:tc>
          <w:tcPr>
            <w:tcW w:w="2425" w:type="dxa"/>
            <w:vMerge/>
          </w:tcPr>
          <w:p w14:paraId="7C6A43CB"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13B7C413" w14:textId="19195A00"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385" w:type="dxa"/>
          </w:tcPr>
          <w:p w14:paraId="0BE9D42A" w14:textId="63F8475F"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385" w:type="dxa"/>
            <w:gridSpan w:val="2"/>
          </w:tcPr>
          <w:p w14:paraId="247CF8C5" w14:textId="3C790C67"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385" w:type="dxa"/>
          </w:tcPr>
          <w:p w14:paraId="6960692B" w14:textId="733970BC"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660" w:type="dxa"/>
          </w:tcPr>
          <w:p w14:paraId="32AF7B07" w14:textId="01C29627" w:rsidR="00AA1580" w:rsidRPr="007669E1" w:rsidRDefault="003272B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r>
    </w:tbl>
    <w:p w14:paraId="1A6D4A1C"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5238D" w14:paraId="4C2FED53" w14:textId="77777777" w:rsidTr="00542E59">
        <w:tc>
          <w:tcPr>
            <w:tcW w:w="9625" w:type="dxa"/>
            <w:gridSpan w:val="7"/>
            <w:shd w:val="clear" w:color="auto" w:fill="D9D9D9" w:themeFill="background1" w:themeFillShade="D9"/>
          </w:tcPr>
          <w:p w14:paraId="2374A022" w14:textId="46EB1A76"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23. C</w:t>
            </w:r>
            <w:r w:rsidR="62DD5708" w:rsidRPr="0055238D">
              <w:rPr>
                <w:rFonts w:ascii="Segoe UI" w:hAnsi="Segoe UI" w:cs="Segoe UI"/>
                <w:b/>
                <w:bCs/>
                <w:sz w:val="18"/>
                <w:szCs w:val="18"/>
              </w:rPr>
              <w:t>apital gains tax</w:t>
            </w:r>
            <w:r w:rsidRPr="0055238D">
              <w:rPr>
                <w:rFonts w:ascii="Segoe UI" w:hAnsi="Segoe UI" w:cs="Segoe UI"/>
                <w:b/>
                <w:bCs/>
                <w:sz w:val="18"/>
                <w:szCs w:val="18"/>
              </w:rPr>
              <w:t xml:space="preserve"> with 50% inclusion rate of gains realized by natural persons</w:t>
            </w:r>
          </w:p>
        </w:tc>
      </w:tr>
      <w:tr w:rsidR="00002F93" w:rsidRPr="007669E1" w14:paraId="550CBACC" w14:textId="77777777" w:rsidTr="00542E59">
        <w:tc>
          <w:tcPr>
            <w:tcW w:w="2425" w:type="dxa"/>
          </w:tcPr>
          <w:p w14:paraId="65B07319"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Description</w:t>
            </w:r>
          </w:p>
        </w:tc>
        <w:tc>
          <w:tcPr>
            <w:tcW w:w="7200" w:type="dxa"/>
            <w:gridSpan w:val="6"/>
          </w:tcPr>
          <w:p w14:paraId="3D3C8024" w14:textId="6C0B0C19"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non-structural incentive taxing only half of realized gains for a tax period</w:t>
            </w:r>
            <w:r w:rsidR="008C3C6D" w:rsidRPr="007669E1">
              <w:rPr>
                <w:rFonts w:ascii="Segoe UI" w:hAnsi="Segoe UI" w:cs="Segoe UI"/>
                <w:sz w:val="18"/>
                <w:szCs w:val="18"/>
              </w:rPr>
              <w:t>.</w:t>
            </w:r>
          </w:p>
        </w:tc>
      </w:tr>
      <w:tr w:rsidR="00002F93" w:rsidRPr="007669E1" w14:paraId="1EE0530A" w14:textId="77777777" w:rsidTr="00542E59">
        <w:tc>
          <w:tcPr>
            <w:tcW w:w="2425" w:type="dxa"/>
          </w:tcPr>
          <w:p w14:paraId="6466F627"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Tax Affected</w:t>
            </w:r>
          </w:p>
        </w:tc>
        <w:tc>
          <w:tcPr>
            <w:tcW w:w="7200" w:type="dxa"/>
            <w:gridSpan w:val="6"/>
          </w:tcPr>
          <w:p w14:paraId="5CFE326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57D254B3" w14:textId="77777777" w:rsidTr="00542E59">
        <w:tc>
          <w:tcPr>
            <w:tcW w:w="2425" w:type="dxa"/>
          </w:tcPr>
          <w:p w14:paraId="1EDE7443"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Beneficiaries</w:t>
            </w:r>
          </w:p>
        </w:tc>
        <w:tc>
          <w:tcPr>
            <w:tcW w:w="7200" w:type="dxa"/>
            <w:gridSpan w:val="6"/>
          </w:tcPr>
          <w:p w14:paraId="571EE8B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Natural persons with realized capital gains</w:t>
            </w:r>
          </w:p>
        </w:tc>
      </w:tr>
      <w:tr w:rsidR="00002F93" w:rsidRPr="007669E1" w14:paraId="49D32746" w14:textId="77777777" w:rsidTr="00542E59">
        <w:tc>
          <w:tcPr>
            <w:tcW w:w="2425" w:type="dxa"/>
          </w:tcPr>
          <w:p w14:paraId="3B0834EA"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Type of Measure</w:t>
            </w:r>
          </w:p>
        </w:tc>
        <w:tc>
          <w:tcPr>
            <w:tcW w:w="7200" w:type="dxa"/>
            <w:gridSpan w:val="6"/>
          </w:tcPr>
          <w:p w14:paraId="44E2BF5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 of income</w:t>
            </w:r>
          </w:p>
        </w:tc>
      </w:tr>
      <w:tr w:rsidR="00002F93" w:rsidRPr="007669E1" w14:paraId="624A5779" w14:textId="77777777" w:rsidTr="00542E59">
        <w:tc>
          <w:tcPr>
            <w:tcW w:w="2425" w:type="dxa"/>
          </w:tcPr>
          <w:p w14:paraId="44968AE3"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Reason why this Measure is not part of the Benchmark Tax System</w:t>
            </w:r>
          </w:p>
        </w:tc>
        <w:tc>
          <w:tcPr>
            <w:tcW w:w="7200" w:type="dxa"/>
            <w:gridSpan w:val="6"/>
          </w:tcPr>
          <w:p w14:paraId="5E5AF3DD" w14:textId="55EA09F2" w:rsidR="00280E00" w:rsidRPr="007669E1" w:rsidRDefault="008C3C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A legislated lighter tax burden on generated income from the sale of a home constitutes therefore a tax expenditure.</w:t>
            </w:r>
          </w:p>
        </w:tc>
      </w:tr>
      <w:tr w:rsidR="00002F93" w:rsidRPr="007669E1" w14:paraId="7A33491F" w14:textId="77777777" w:rsidTr="00542E59">
        <w:tc>
          <w:tcPr>
            <w:tcW w:w="2425" w:type="dxa"/>
          </w:tcPr>
          <w:p w14:paraId="590AB644"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Legal Reference</w:t>
            </w:r>
          </w:p>
        </w:tc>
        <w:tc>
          <w:tcPr>
            <w:tcW w:w="7200" w:type="dxa"/>
            <w:gridSpan w:val="6"/>
          </w:tcPr>
          <w:p w14:paraId="0AFF2B7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40 of TC</w:t>
            </w:r>
          </w:p>
        </w:tc>
      </w:tr>
      <w:tr w:rsidR="00002F93" w:rsidRPr="007669E1" w14:paraId="25552492" w14:textId="77777777" w:rsidTr="00542E59">
        <w:trPr>
          <w:trHeight w:val="182"/>
        </w:trPr>
        <w:tc>
          <w:tcPr>
            <w:tcW w:w="2425" w:type="dxa"/>
            <w:vMerge w:val="restart"/>
          </w:tcPr>
          <w:p w14:paraId="1C8922C0"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Implementation, Objectives, and History</w:t>
            </w:r>
          </w:p>
        </w:tc>
        <w:tc>
          <w:tcPr>
            <w:tcW w:w="7200" w:type="dxa"/>
            <w:gridSpan w:val="6"/>
          </w:tcPr>
          <w:p w14:paraId="5406D639"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46328DF5" w14:textId="77777777" w:rsidTr="00542E59">
        <w:trPr>
          <w:trHeight w:val="182"/>
        </w:trPr>
        <w:tc>
          <w:tcPr>
            <w:tcW w:w="2425" w:type="dxa"/>
            <w:vMerge/>
          </w:tcPr>
          <w:p w14:paraId="4E68C30A" w14:textId="77777777" w:rsidR="00280E00" w:rsidRPr="0055238D" w:rsidRDefault="00280E00" w:rsidP="00E90BA7">
            <w:pPr>
              <w:spacing w:before="20" w:after="20" w:line="240" w:lineRule="auto"/>
              <w:jc w:val="both"/>
              <w:rPr>
                <w:rFonts w:ascii="Segoe UI" w:hAnsi="Segoe UI" w:cs="Segoe UI"/>
                <w:b/>
                <w:bCs/>
                <w:sz w:val="18"/>
                <w:szCs w:val="18"/>
              </w:rPr>
            </w:pPr>
          </w:p>
        </w:tc>
        <w:tc>
          <w:tcPr>
            <w:tcW w:w="3462" w:type="dxa"/>
            <w:gridSpan w:val="3"/>
          </w:tcPr>
          <w:p w14:paraId="240F33D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644BDCE" w14:textId="7DDC3874"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28C94799" w14:textId="77777777" w:rsidTr="00542E59">
        <w:tc>
          <w:tcPr>
            <w:tcW w:w="2425" w:type="dxa"/>
          </w:tcPr>
          <w:p w14:paraId="1C7CCF3E"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Source of Data</w:t>
            </w:r>
          </w:p>
        </w:tc>
        <w:tc>
          <w:tcPr>
            <w:tcW w:w="7200" w:type="dxa"/>
            <w:gridSpan w:val="6"/>
          </w:tcPr>
          <w:p w14:paraId="7B272BD3" w14:textId="42D8CE02"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34F6AD21" w14:textId="77777777" w:rsidTr="00542E59">
        <w:tc>
          <w:tcPr>
            <w:tcW w:w="2425" w:type="dxa"/>
          </w:tcPr>
          <w:p w14:paraId="4CCC7B7E"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Estimation Method</w:t>
            </w:r>
          </w:p>
        </w:tc>
        <w:tc>
          <w:tcPr>
            <w:tcW w:w="7200" w:type="dxa"/>
            <w:gridSpan w:val="6"/>
          </w:tcPr>
          <w:p w14:paraId="5BAA727B" w14:textId="50F1B911"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972D9B2" w14:textId="77777777" w:rsidTr="00542E59">
        <w:tc>
          <w:tcPr>
            <w:tcW w:w="2425" w:type="dxa"/>
          </w:tcPr>
          <w:p w14:paraId="765C99A9" w14:textId="77777777" w:rsidR="00F34AC6" w:rsidRPr="0055238D" w:rsidRDefault="00F34AC6"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Number of Beneficiaries</w:t>
            </w:r>
          </w:p>
        </w:tc>
        <w:tc>
          <w:tcPr>
            <w:tcW w:w="7200" w:type="dxa"/>
            <w:gridSpan w:val="6"/>
          </w:tcPr>
          <w:p w14:paraId="597FDDF5" w14:textId="73F0D901"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360B9C6A" w14:textId="77777777" w:rsidTr="00542E59">
        <w:tc>
          <w:tcPr>
            <w:tcW w:w="2425" w:type="dxa"/>
          </w:tcPr>
          <w:p w14:paraId="66164566"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Revenue Cost Reporting</w:t>
            </w:r>
          </w:p>
        </w:tc>
        <w:tc>
          <w:tcPr>
            <w:tcW w:w="7200" w:type="dxa"/>
            <w:gridSpan w:val="6"/>
          </w:tcPr>
          <w:p w14:paraId="7F713BAF" w14:textId="229CED55" w:rsidR="00280E00" w:rsidRPr="007669E1" w:rsidRDefault="0082183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46CB2977" w14:textId="77777777" w:rsidTr="00542E59">
        <w:trPr>
          <w:trHeight w:val="91"/>
        </w:trPr>
        <w:tc>
          <w:tcPr>
            <w:tcW w:w="2425" w:type="dxa"/>
            <w:vMerge w:val="restart"/>
          </w:tcPr>
          <w:p w14:paraId="767C6173"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1CB37BE8"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2018</w:t>
            </w:r>
          </w:p>
        </w:tc>
        <w:tc>
          <w:tcPr>
            <w:tcW w:w="1385" w:type="dxa"/>
          </w:tcPr>
          <w:p w14:paraId="2CA521F7"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2019</w:t>
            </w:r>
          </w:p>
        </w:tc>
        <w:tc>
          <w:tcPr>
            <w:tcW w:w="1385" w:type="dxa"/>
            <w:gridSpan w:val="2"/>
          </w:tcPr>
          <w:p w14:paraId="5614BA6D"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2020</w:t>
            </w:r>
          </w:p>
        </w:tc>
        <w:tc>
          <w:tcPr>
            <w:tcW w:w="1385" w:type="dxa"/>
          </w:tcPr>
          <w:p w14:paraId="7440BC30"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2021</w:t>
            </w:r>
          </w:p>
        </w:tc>
        <w:tc>
          <w:tcPr>
            <w:tcW w:w="1660" w:type="dxa"/>
          </w:tcPr>
          <w:p w14:paraId="72808069" w14:textId="6EAE348A" w:rsidR="00280E00" w:rsidRPr="0055238D" w:rsidRDefault="000C00AF"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2022</w:t>
            </w:r>
          </w:p>
        </w:tc>
      </w:tr>
      <w:tr w:rsidR="00002F93" w:rsidRPr="007669E1" w14:paraId="72A3CDF9" w14:textId="77777777" w:rsidTr="00542E59">
        <w:trPr>
          <w:trHeight w:val="91"/>
        </w:trPr>
        <w:tc>
          <w:tcPr>
            <w:tcW w:w="2425" w:type="dxa"/>
            <w:vMerge/>
          </w:tcPr>
          <w:p w14:paraId="7B0294AA"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2D0E472E" w14:textId="25E7522B" w:rsidR="00AA1580" w:rsidRPr="007669E1" w:rsidRDefault="00487D2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385" w:type="dxa"/>
          </w:tcPr>
          <w:p w14:paraId="17CD6849" w14:textId="05B709B1" w:rsidR="00AA1580" w:rsidRPr="007669E1" w:rsidRDefault="00487D2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385" w:type="dxa"/>
            <w:gridSpan w:val="2"/>
          </w:tcPr>
          <w:p w14:paraId="3E267151" w14:textId="1ED41A22" w:rsidR="00AA1580" w:rsidRPr="007669E1" w:rsidRDefault="00487D2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385" w:type="dxa"/>
          </w:tcPr>
          <w:p w14:paraId="63D5FE20" w14:textId="48E40424" w:rsidR="00AA1580" w:rsidRPr="007669E1" w:rsidRDefault="00487D2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c>
          <w:tcPr>
            <w:tcW w:w="1660" w:type="dxa"/>
          </w:tcPr>
          <w:p w14:paraId="2382F954" w14:textId="349DCBEE" w:rsidR="00AA1580" w:rsidRPr="007669E1" w:rsidRDefault="00487D2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F32C15" w:rsidRPr="007669E1">
              <w:rPr>
                <w:rFonts w:ascii="Segoe UI" w:hAnsi="Segoe UI" w:cs="Segoe UI"/>
                <w:color w:val="000000"/>
                <w:sz w:val="18"/>
                <w:szCs w:val="18"/>
              </w:rPr>
              <w:t>.</w:t>
            </w:r>
          </w:p>
        </w:tc>
      </w:tr>
    </w:tbl>
    <w:p w14:paraId="1121CE15" w14:textId="77777777" w:rsidR="00280E00" w:rsidRPr="007669E1" w:rsidRDefault="00280E00" w:rsidP="00E90BA7">
      <w:pPr>
        <w:spacing w:before="20" w:after="20" w:line="240" w:lineRule="auto"/>
        <w:jc w:val="both"/>
        <w:rPr>
          <w:rFonts w:ascii="Segoe UI" w:hAnsi="Segoe UI" w:cs="Segoe UI"/>
          <w:b/>
          <w:sz w:val="18"/>
          <w:szCs w:val="18"/>
        </w:rPr>
      </w:pPr>
    </w:p>
    <w:tbl>
      <w:tblPr>
        <w:tblW w:w="963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5"/>
      </w:tblGrid>
      <w:tr w:rsidR="00A2051E" w:rsidRPr="00C80E99" w14:paraId="2B5AD8AD" w14:textId="77777777" w:rsidTr="00D51E9B">
        <w:tc>
          <w:tcPr>
            <w:tcW w:w="9630" w:type="dxa"/>
            <w:gridSpan w:val="7"/>
            <w:shd w:val="clear" w:color="auto" w:fill="D9D9D9" w:themeFill="background1" w:themeFillShade="D9"/>
          </w:tcPr>
          <w:p w14:paraId="406CDCAE" w14:textId="2472EEA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 xml:space="preserve">24. Tax exemption of </w:t>
            </w:r>
            <w:r w:rsidR="006E51C5" w:rsidRPr="00C80E99">
              <w:rPr>
                <w:rFonts w:ascii="Segoe UI" w:hAnsi="Segoe UI" w:cs="Segoe UI"/>
                <w:b/>
                <w:bCs/>
                <w:sz w:val="18"/>
                <w:szCs w:val="18"/>
              </w:rPr>
              <w:t>b</w:t>
            </w:r>
            <w:r w:rsidRPr="00C80E99">
              <w:rPr>
                <w:rFonts w:ascii="Segoe UI" w:hAnsi="Segoe UI" w:cs="Segoe UI"/>
                <w:b/>
                <w:bCs/>
                <w:sz w:val="18"/>
                <w:szCs w:val="18"/>
              </w:rPr>
              <w:t>enefits in kind: food stamps</w:t>
            </w:r>
          </w:p>
        </w:tc>
      </w:tr>
      <w:tr w:rsidR="00002F93" w:rsidRPr="007669E1" w14:paraId="51CF888A" w14:textId="77777777" w:rsidTr="00D51E9B">
        <w:tc>
          <w:tcPr>
            <w:tcW w:w="2425" w:type="dxa"/>
          </w:tcPr>
          <w:p w14:paraId="57373A0A"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Description</w:t>
            </w:r>
          </w:p>
        </w:tc>
        <w:tc>
          <w:tcPr>
            <w:tcW w:w="7205" w:type="dxa"/>
            <w:gridSpan w:val="6"/>
          </w:tcPr>
          <w:p w14:paraId="19BF0FD8" w14:textId="1655A0FE"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Food stamps issued by an employer to its employees that can be used to buy food are not considered as benefits in kind, provided that their value does not exceed MDL 45 per day. </w:t>
            </w:r>
          </w:p>
        </w:tc>
      </w:tr>
      <w:tr w:rsidR="00002F93" w:rsidRPr="007669E1" w14:paraId="18DCEE10" w14:textId="77777777" w:rsidTr="00D51E9B">
        <w:tc>
          <w:tcPr>
            <w:tcW w:w="2425" w:type="dxa"/>
          </w:tcPr>
          <w:p w14:paraId="21B60361"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Type of Tax Affected</w:t>
            </w:r>
          </w:p>
        </w:tc>
        <w:tc>
          <w:tcPr>
            <w:tcW w:w="7205" w:type="dxa"/>
            <w:gridSpan w:val="6"/>
          </w:tcPr>
          <w:p w14:paraId="5EAC73A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42B9AB71" w14:textId="77777777" w:rsidTr="00D51E9B">
        <w:tc>
          <w:tcPr>
            <w:tcW w:w="2425" w:type="dxa"/>
          </w:tcPr>
          <w:p w14:paraId="6EA597FA"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Beneficiaries</w:t>
            </w:r>
          </w:p>
        </w:tc>
        <w:tc>
          <w:tcPr>
            <w:tcW w:w="7205" w:type="dxa"/>
            <w:gridSpan w:val="6"/>
          </w:tcPr>
          <w:p w14:paraId="61C44C8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Recipients of food stamps</w:t>
            </w:r>
          </w:p>
        </w:tc>
      </w:tr>
      <w:tr w:rsidR="00002F93" w:rsidRPr="007669E1" w14:paraId="6516E610" w14:textId="77777777" w:rsidTr="00D51E9B">
        <w:tc>
          <w:tcPr>
            <w:tcW w:w="2425" w:type="dxa"/>
          </w:tcPr>
          <w:p w14:paraId="67F2EF4E"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Type of Measure</w:t>
            </w:r>
          </w:p>
        </w:tc>
        <w:tc>
          <w:tcPr>
            <w:tcW w:w="7205" w:type="dxa"/>
            <w:gridSpan w:val="6"/>
          </w:tcPr>
          <w:p w14:paraId="6DD37AB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income tax exemption</w:t>
            </w:r>
          </w:p>
        </w:tc>
      </w:tr>
      <w:tr w:rsidR="00002F93" w:rsidRPr="007669E1" w14:paraId="716F3CCD" w14:textId="77777777" w:rsidTr="00D51E9B">
        <w:tc>
          <w:tcPr>
            <w:tcW w:w="2425" w:type="dxa"/>
          </w:tcPr>
          <w:p w14:paraId="3A84E721"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Reason why this Measure is not part of the Benchmark Tax System</w:t>
            </w:r>
          </w:p>
        </w:tc>
        <w:tc>
          <w:tcPr>
            <w:tcW w:w="7205" w:type="dxa"/>
            <w:gridSpan w:val="6"/>
          </w:tcPr>
          <w:p w14:paraId="7C0BF2D1" w14:textId="6E0DFE59"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color w:val="000000"/>
                <w:sz w:val="18"/>
                <w:szCs w:val="18"/>
              </w:rPr>
              <w:t xml:space="preserve">In principle, benefits in kind are taxable as income from employment (Art 18 of the </w:t>
            </w:r>
            <w:r w:rsidRPr="007669E1">
              <w:rPr>
                <w:rFonts w:ascii="Segoe UI" w:hAnsi="Segoe UI" w:cs="Segoe UI"/>
                <w:sz w:val="18"/>
                <w:szCs w:val="18"/>
              </w:rPr>
              <w:t>TC)</w:t>
            </w:r>
            <w:r w:rsidRPr="007669E1">
              <w:rPr>
                <w:rFonts w:ascii="Segoe UI" w:hAnsi="Segoe UI" w:cs="Segoe UI"/>
                <w:color w:val="000000"/>
                <w:sz w:val="18"/>
                <w:szCs w:val="18"/>
              </w:rPr>
              <w:t>. Benefits in kind are valued at market prices on the date of receipt. Benefits in kind include payments made to cover an employee’s personal expenses, the waiving of an employee’s debts by the employer, supplementary payments for accommodation provided by the employer, the benefit of a</w:t>
            </w:r>
            <w:r w:rsidR="005529C6" w:rsidRPr="007669E1">
              <w:rPr>
                <w:rFonts w:ascii="Segoe UI" w:hAnsi="Segoe UI" w:cs="Segoe UI"/>
                <w:color w:val="000000"/>
                <w:sz w:val="18"/>
                <w:szCs w:val="18"/>
              </w:rPr>
              <w:t xml:space="preserve"> </w:t>
            </w:r>
            <w:r w:rsidRPr="007669E1">
              <w:rPr>
                <w:rFonts w:ascii="Segoe UI" w:hAnsi="Segoe UI" w:cs="Segoe UI"/>
                <w:color w:val="000000"/>
                <w:sz w:val="18"/>
                <w:szCs w:val="18"/>
              </w:rPr>
              <w:t>low-interest loan provided by an employer, except for loans granted to an employee at a regular market rate, the employer’s expenses with regard to the personal use of its assets by an employee, etc.</w:t>
            </w:r>
          </w:p>
        </w:tc>
      </w:tr>
      <w:tr w:rsidR="00002F93" w:rsidRPr="007669E1" w14:paraId="2D37E1F1" w14:textId="77777777" w:rsidTr="00D51E9B">
        <w:tc>
          <w:tcPr>
            <w:tcW w:w="2425" w:type="dxa"/>
          </w:tcPr>
          <w:p w14:paraId="537C6E7F"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Legal Reference</w:t>
            </w:r>
          </w:p>
        </w:tc>
        <w:tc>
          <w:tcPr>
            <w:tcW w:w="7205" w:type="dxa"/>
            <w:gridSpan w:val="6"/>
          </w:tcPr>
          <w:p w14:paraId="67A7D8D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19 of TC</w:t>
            </w:r>
          </w:p>
        </w:tc>
      </w:tr>
      <w:tr w:rsidR="00002F93" w:rsidRPr="007669E1" w14:paraId="4111A254" w14:textId="77777777" w:rsidTr="00D51E9B">
        <w:trPr>
          <w:trHeight w:val="182"/>
        </w:trPr>
        <w:tc>
          <w:tcPr>
            <w:tcW w:w="2425" w:type="dxa"/>
            <w:vMerge w:val="restart"/>
          </w:tcPr>
          <w:p w14:paraId="53E3A8DA"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Implementation, Objectives, and History</w:t>
            </w:r>
          </w:p>
        </w:tc>
        <w:tc>
          <w:tcPr>
            <w:tcW w:w="3462" w:type="dxa"/>
            <w:gridSpan w:val="3"/>
          </w:tcPr>
          <w:p w14:paraId="5FD185EA" w14:textId="77777777" w:rsidR="00280E00" w:rsidRPr="007669E1" w:rsidRDefault="00280E00" w:rsidP="00E90BA7">
            <w:pPr>
              <w:spacing w:before="20" w:after="20" w:line="240" w:lineRule="auto"/>
              <w:jc w:val="both"/>
              <w:rPr>
                <w:rFonts w:ascii="Segoe UI" w:hAnsi="Segoe UI" w:cs="Segoe UI"/>
                <w:sz w:val="18"/>
                <w:szCs w:val="18"/>
              </w:rPr>
            </w:pPr>
          </w:p>
        </w:tc>
        <w:tc>
          <w:tcPr>
            <w:tcW w:w="3743" w:type="dxa"/>
            <w:gridSpan w:val="3"/>
          </w:tcPr>
          <w:p w14:paraId="040B503B"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0EDACF74" w14:textId="77777777" w:rsidTr="00D51E9B">
        <w:trPr>
          <w:trHeight w:val="182"/>
        </w:trPr>
        <w:tc>
          <w:tcPr>
            <w:tcW w:w="2425" w:type="dxa"/>
            <w:vMerge/>
          </w:tcPr>
          <w:p w14:paraId="5C8D4183" w14:textId="77777777" w:rsidR="00280E00" w:rsidRPr="00C80E99" w:rsidRDefault="00280E00" w:rsidP="00E90BA7">
            <w:pPr>
              <w:spacing w:before="20" w:after="20" w:line="240" w:lineRule="auto"/>
              <w:jc w:val="both"/>
              <w:rPr>
                <w:rFonts w:ascii="Segoe UI" w:hAnsi="Segoe UI" w:cs="Segoe UI"/>
                <w:b/>
                <w:bCs/>
                <w:sz w:val="18"/>
                <w:szCs w:val="18"/>
              </w:rPr>
            </w:pPr>
          </w:p>
        </w:tc>
        <w:tc>
          <w:tcPr>
            <w:tcW w:w="3462" w:type="dxa"/>
            <w:gridSpan w:val="3"/>
          </w:tcPr>
          <w:p w14:paraId="321725F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43" w:type="dxa"/>
            <w:gridSpan w:val="3"/>
          </w:tcPr>
          <w:p w14:paraId="3D194E3A" w14:textId="046EB327"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6BBFA8E7" w14:textId="77777777" w:rsidTr="00D51E9B">
        <w:tc>
          <w:tcPr>
            <w:tcW w:w="2425" w:type="dxa"/>
          </w:tcPr>
          <w:p w14:paraId="7B555A72"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lastRenderedPageBreak/>
              <w:t>Source of Data</w:t>
            </w:r>
          </w:p>
        </w:tc>
        <w:tc>
          <w:tcPr>
            <w:tcW w:w="7205" w:type="dxa"/>
            <w:gridSpan w:val="6"/>
          </w:tcPr>
          <w:p w14:paraId="147BC84B" w14:textId="079E9056" w:rsidR="00280E00" w:rsidRPr="007669E1" w:rsidRDefault="00F7324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w:t>
            </w:r>
            <w:r w:rsidR="00B7472F" w:rsidRPr="007669E1">
              <w:rPr>
                <w:rFonts w:ascii="Segoe UI" w:hAnsi="Segoe UI" w:cs="Segoe UI"/>
                <w:sz w:val="18"/>
                <w:szCs w:val="18"/>
              </w:rPr>
              <w:t>nformation from stamps issuers</w:t>
            </w:r>
          </w:p>
        </w:tc>
      </w:tr>
      <w:tr w:rsidR="00002F93" w:rsidRPr="007669E1" w14:paraId="75202AC0" w14:textId="77777777" w:rsidTr="00D51E9B">
        <w:tc>
          <w:tcPr>
            <w:tcW w:w="2425" w:type="dxa"/>
          </w:tcPr>
          <w:p w14:paraId="32BFA6F2"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Estimation Method</w:t>
            </w:r>
          </w:p>
        </w:tc>
        <w:tc>
          <w:tcPr>
            <w:tcW w:w="7205" w:type="dxa"/>
            <w:gridSpan w:val="6"/>
          </w:tcPr>
          <w:p w14:paraId="7D7463A8" w14:textId="273934D3" w:rsidR="00280E00" w:rsidRPr="007669E1" w:rsidRDefault="00F7324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Direct calculations</w:t>
            </w:r>
          </w:p>
        </w:tc>
      </w:tr>
      <w:tr w:rsidR="00002F93" w:rsidRPr="007669E1" w14:paraId="650FC623" w14:textId="77777777" w:rsidTr="00D51E9B">
        <w:tc>
          <w:tcPr>
            <w:tcW w:w="2425" w:type="dxa"/>
          </w:tcPr>
          <w:p w14:paraId="6E14F85D"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Number of Beneficiaries</w:t>
            </w:r>
          </w:p>
        </w:tc>
        <w:tc>
          <w:tcPr>
            <w:tcW w:w="7205" w:type="dxa"/>
            <w:gridSpan w:val="6"/>
          </w:tcPr>
          <w:p w14:paraId="3589084A"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4B5A4CED" w14:textId="77777777" w:rsidTr="00D51E9B">
        <w:tc>
          <w:tcPr>
            <w:tcW w:w="2425" w:type="dxa"/>
          </w:tcPr>
          <w:p w14:paraId="293122F4"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Revenue Cost Reporting</w:t>
            </w:r>
          </w:p>
        </w:tc>
        <w:tc>
          <w:tcPr>
            <w:tcW w:w="7205" w:type="dxa"/>
            <w:gridSpan w:val="6"/>
          </w:tcPr>
          <w:p w14:paraId="5D16B63E" w14:textId="59253A72" w:rsidR="00280E00" w:rsidRPr="007669E1" w:rsidRDefault="1E41A01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002F93" w:rsidRPr="007669E1" w14:paraId="4DF49031" w14:textId="77777777" w:rsidTr="00D51E9B">
        <w:trPr>
          <w:trHeight w:val="91"/>
        </w:trPr>
        <w:tc>
          <w:tcPr>
            <w:tcW w:w="2425" w:type="dxa"/>
            <w:vMerge w:val="restart"/>
          </w:tcPr>
          <w:p w14:paraId="62460938"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33DCA37A"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2018</w:t>
            </w:r>
          </w:p>
        </w:tc>
        <w:tc>
          <w:tcPr>
            <w:tcW w:w="1385" w:type="dxa"/>
          </w:tcPr>
          <w:p w14:paraId="32785C02"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2019</w:t>
            </w:r>
          </w:p>
        </w:tc>
        <w:tc>
          <w:tcPr>
            <w:tcW w:w="1385" w:type="dxa"/>
            <w:gridSpan w:val="2"/>
          </w:tcPr>
          <w:p w14:paraId="4E6E86A7"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2020</w:t>
            </w:r>
          </w:p>
        </w:tc>
        <w:tc>
          <w:tcPr>
            <w:tcW w:w="1385" w:type="dxa"/>
          </w:tcPr>
          <w:p w14:paraId="01308AEA" w14:textId="77777777" w:rsidR="00280E00" w:rsidRPr="0055238D" w:rsidRDefault="00280E00"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2021</w:t>
            </w:r>
          </w:p>
        </w:tc>
        <w:tc>
          <w:tcPr>
            <w:tcW w:w="1665" w:type="dxa"/>
          </w:tcPr>
          <w:p w14:paraId="3E4DE91B" w14:textId="43EA8F49" w:rsidR="00280E00" w:rsidRPr="0055238D" w:rsidRDefault="000C00AF" w:rsidP="00E90BA7">
            <w:pPr>
              <w:spacing w:before="20" w:after="20" w:line="240" w:lineRule="auto"/>
              <w:jc w:val="both"/>
              <w:rPr>
                <w:rFonts w:ascii="Segoe UI" w:hAnsi="Segoe UI" w:cs="Segoe UI"/>
                <w:b/>
                <w:bCs/>
                <w:sz w:val="18"/>
                <w:szCs w:val="18"/>
              </w:rPr>
            </w:pPr>
            <w:r w:rsidRPr="0055238D">
              <w:rPr>
                <w:rFonts w:ascii="Segoe UI" w:hAnsi="Segoe UI" w:cs="Segoe UI"/>
                <w:b/>
                <w:bCs/>
                <w:sz w:val="18"/>
                <w:szCs w:val="18"/>
              </w:rPr>
              <w:t>2022</w:t>
            </w:r>
          </w:p>
        </w:tc>
      </w:tr>
      <w:tr w:rsidR="00A2051E" w:rsidRPr="007669E1" w14:paraId="7EC0CD18" w14:textId="77777777" w:rsidTr="4F0E0701">
        <w:trPr>
          <w:trHeight w:val="91"/>
        </w:trPr>
        <w:tc>
          <w:tcPr>
            <w:tcW w:w="2425" w:type="dxa"/>
            <w:vMerge/>
          </w:tcPr>
          <w:p w14:paraId="3A4C95DF"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271E5F55" w14:textId="738C6D36" w:rsidR="00280E00" w:rsidRPr="007669E1" w:rsidRDefault="00AD6F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F32C15" w:rsidRPr="007669E1">
              <w:rPr>
                <w:rFonts w:ascii="Segoe UI" w:hAnsi="Segoe UI" w:cs="Segoe UI"/>
                <w:sz w:val="18"/>
                <w:szCs w:val="18"/>
              </w:rPr>
              <w:t>.</w:t>
            </w:r>
          </w:p>
        </w:tc>
        <w:tc>
          <w:tcPr>
            <w:tcW w:w="1385" w:type="dxa"/>
          </w:tcPr>
          <w:p w14:paraId="439C7A8D" w14:textId="735890E5"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color w:val="000000" w:themeColor="text1"/>
                <w:sz w:val="18"/>
                <w:szCs w:val="18"/>
              </w:rPr>
              <w:t>39</w:t>
            </w:r>
            <w:r w:rsidR="3E2175DD" w:rsidRPr="007669E1">
              <w:rPr>
                <w:rFonts w:ascii="Segoe UI" w:hAnsi="Segoe UI" w:cs="Segoe UI"/>
                <w:color w:val="000000" w:themeColor="text1"/>
                <w:sz w:val="18"/>
                <w:szCs w:val="18"/>
              </w:rPr>
              <w:t>,</w:t>
            </w:r>
            <w:r w:rsidR="28E7E7AA" w:rsidRPr="007669E1">
              <w:rPr>
                <w:rFonts w:ascii="Segoe UI" w:hAnsi="Segoe UI" w:cs="Segoe UI"/>
                <w:color w:val="000000" w:themeColor="text1"/>
                <w:sz w:val="18"/>
                <w:szCs w:val="18"/>
              </w:rPr>
              <w:t>5</w:t>
            </w:r>
            <w:r w:rsidR="7C8A4D4F" w:rsidRPr="007669E1">
              <w:rPr>
                <w:rFonts w:ascii="Segoe UI" w:hAnsi="Segoe UI" w:cs="Segoe UI"/>
                <w:color w:val="000000" w:themeColor="text1"/>
                <w:sz w:val="18"/>
                <w:szCs w:val="18"/>
              </w:rPr>
              <w:t>00.0</w:t>
            </w:r>
          </w:p>
        </w:tc>
        <w:tc>
          <w:tcPr>
            <w:tcW w:w="1385" w:type="dxa"/>
            <w:gridSpan w:val="2"/>
            <w:shd w:val="clear" w:color="auto" w:fill="E6E6E6"/>
          </w:tcPr>
          <w:p w14:paraId="65164737" w14:textId="47F83C1C" w:rsidR="00106CC5" w:rsidRPr="007669E1" w:rsidRDefault="00106CC5" w:rsidP="00E90BA7">
            <w:pPr>
              <w:spacing w:before="20" w:after="20" w:line="240" w:lineRule="auto"/>
              <w:jc w:val="both"/>
              <w:rPr>
                <w:rFonts w:ascii="Segoe UI" w:hAnsi="Segoe UI" w:cs="Segoe UI"/>
                <w:i/>
                <w:sz w:val="18"/>
                <w:szCs w:val="18"/>
              </w:rPr>
            </w:pPr>
            <w:r w:rsidRPr="007669E1">
              <w:rPr>
                <w:rFonts w:ascii="Segoe UI" w:hAnsi="Segoe UI" w:cs="Segoe UI"/>
                <w:i/>
                <w:color w:val="000000" w:themeColor="text1"/>
                <w:sz w:val="18"/>
                <w:szCs w:val="18"/>
              </w:rPr>
              <w:t>38</w:t>
            </w:r>
            <w:r w:rsidR="20035CE3" w:rsidRPr="007669E1">
              <w:rPr>
                <w:rFonts w:ascii="Segoe UI" w:hAnsi="Segoe UI" w:cs="Segoe UI"/>
                <w:i/>
                <w:color w:val="000000" w:themeColor="text1"/>
                <w:sz w:val="18"/>
                <w:szCs w:val="18"/>
              </w:rPr>
              <w:t>,</w:t>
            </w:r>
            <w:r w:rsidR="28E7E7AA" w:rsidRPr="007669E1">
              <w:rPr>
                <w:rFonts w:ascii="Segoe UI" w:hAnsi="Segoe UI" w:cs="Segoe UI"/>
                <w:i/>
                <w:color w:val="000000" w:themeColor="text1"/>
                <w:sz w:val="18"/>
                <w:szCs w:val="18"/>
              </w:rPr>
              <w:t>6</w:t>
            </w:r>
            <w:r w:rsidR="20035CE3" w:rsidRPr="007669E1">
              <w:rPr>
                <w:rFonts w:ascii="Segoe UI" w:hAnsi="Segoe UI" w:cs="Segoe UI"/>
                <w:i/>
                <w:color w:val="000000" w:themeColor="text1"/>
                <w:sz w:val="18"/>
                <w:szCs w:val="18"/>
              </w:rPr>
              <w:t>00.0</w:t>
            </w:r>
          </w:p>
        </w:tc>
        <w:tc>
          <w:tcPr>
            <w:tcW w:w="1385" w:type="dxa"/>
            <w:shd w:val="clear" w:color="auto" w:fill="E6E6E6"/>
          </w:tcPr>
          <w:p w14:paraId="22B6FA93" w14:textId="1AB3F9A9" w:rsidR="00106CC5" w:rsidRPr="007669E1" w:rsidRDefault="00106CC5" w:rsidP="00E90BA7">
            <w:pPr>
              <w:spacing w:before="20" w:after="20" w:line="240" w:lineRule="auto"/>
              <w:jc w:val="both"/>
              <w:rPr>
                <w:rFonts w:ascii="Segoe UI" w:hAnsi="Segoe UI" w:cs="Segoe UI"/>
                <w:i/>
                <w:sz w:val="18"/>
                <w:szCs w:val="18"/>
              </w:rPr>
            </w:pPr>
            <w:r w:rsidRPr="007669E1">
              <w:rPr>
                <w:rFonts w:ascii="Segoe UI" w:hAnsi="Segoe UI" w:cs="Segoe UI"/>
                <w:i/>
                <w:color w:val="000000" w:themeColor="text1"/>
                <w:sz w:val="18"/>
                <w:szCs w:val="18"/>
              </w:rPr>
              <w:t>43</w:t>
            </w:r>
            <w:r w:rsidR="04265561" w:rsidRPr="007669E1">
              <w:rPr>
                <w:rFonts w:ascii="Segoe UI" w:hAnsi="Segoe UI" w:cs="Segoe UI"/>
                <w:i/>
                <w:color w:val="000000" w:themeColor="text1"/>
                <w:sz w:val="18"/>
                <w:szCs w:val="18"/>
              </w:rPr>
              <w:t>,</w:t>
            </w:r>
            <w:r w:rsidR="28E7E7AA" w:rsidRPr="007669E1">
              <w:rPr>
                <w:rFonts w:ascii="Segoe UI" w:hAnsi="Segoe UI" w:cs="Segoe UI"/>
                <w:i/>
                <w:color w:val="000000" w:themeColor="text1"/>
                <w:sz w:val="18"/>
                <w:szCs w:val="18"/>
              </w:rPr>
              <w:t>7</w:t>
            </w:r>
            <w:r w:rsidR="04265561" w:rsidRPr="007669E1">
              <w:rPr>
                <w:rFonts w:ascii="Segoe UI" w:hAnsi="Segoe UI" w:cs="Segoe UI"/>
                <w:i/>
                <w:color w:val="000000" w:themeColor="text1"/>
                <w:sz w:val="18"/>
                <w:szCs w:val="18"/>
              </w:rPr>
              <w:t>00.0</w:t>
            </w:r>
          </w:p>
        </w:tc>
        <w:tc>
          <w:tcPr>
            <w:tcW w:w="1665" w:type="dxa"/>
            <w:shd w:val="clear" w:color="auto" w:fill="E6E6E6"/>
          </w:tcPr>
          <w:p w14:paraId="60B79AF7" w14:textId="623A75C4" w:rsidR="00106CC5" w:rsidRPr="007669E1" w:rsidRDefault="001761FA" w:rsidP="00E90BA7">
            <w:pPr>
              <w:spacing w:before="20" w:after="20" w:line="240" w:lineRule="auto"/>
              <w:jc w:val="both"/>
              <w:rPr>
                <w:rFonts w:ascii="Segoe UI" w:hAnsi="Segoe UI" w:cs="Segoe UI"/>
                <w:i/>
                <w:sz w:val="18"/>
                <w:szCs w:val="18"/>
              </w:rPr>
            </w:pPr>
            <w:r w:rsidRPr="007669E1">
              <w:rPr>
                <w:rFonts w:ascii="Segoe UI" w:hAnsi="Segoe UI" w:cs="Segoe UI"/>
                <w:i/>
                <w:color w:val="000000" w:themeColor="text1"/>
                <w:sz w:val="18"/>
                <w:szCs w:val="18"/>
              </w:rPr>
              <w:t>48</w:t>
            </w:r>
            <w:r w:rsidR="205C36AC" w:rsidRPr="007669E1">
              <w:rPr>
                <w:rFonts w:ascii="Segoe UI" w:hAnsi="Segoe UI" w:cs="Segoe UI"/>
                <w:i/>
                <w:color w:val="000000" w:themeColor="text1"/>
                <w:sz w:val="18"/>
                <w:szCs w:val="18"/>
              </w:rPr>
              <w:t>,</w:t>
            </w:r>
            <w:r w:rsidR="28E7E7AA" w:rsidRPr="007669E1">
              <w:rPr>
                <w:rFonts w:ascii="Segoe UI" w:hAnsi="Segoe UI" w:cs="Segoe UI"/>
                <w:i/>
                <w:color w:val="000000" w:themeColor="text1"/>
                <w:sz w:val="18"/>
                <w:szCs w:val="18"/>
              </w:rPr>
              <w:t>0</w:t>
            </w:r>
            <w:r w:rsidR="205C36AC" w:rsidRPr="007669E1">
              <w:rPr>
                <w:rFonts w:ascii="Segoe UI" w:hAnsi="Segoe UI" w:cs="Segoe UI"/>
                <w:i/>
                <w:color w:val="000000" w:themeColor="text1"/>
                <w:sz w:val="18"/>
                <w:szCs w:val="18"/>
              </w:rPr>
              <w:t>00.</w:t>
            </w:r>
            <w:r w:rsidR="009419CB" w:rsidRPr="007669E1">
              <w:rPr>
                <w:rFonts w:ascii="Segoe UI" w:hAnsi="Segoe UI" w:cs="Segoe UI"/>
                <w:i/>
                <w:color w:val="000000" w:themeColor="text1"/>
                <w:sz w:val="18"/>
                <w:szCs w:val="18"/>
              </w:rPr>
              <w:t>0</w:t>
            </w:r>
          </w:p>
        </w:tc>
      </w:tr>
    </w:tbl>
    <w:p w14:paraId="7D6042B6" w14:textId="770D16BC" w:rsidR="211A5B55" w:rsidRPr="007669E1" w:rsidRDefault="00A748B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Note: Estimates for 2019 are based on actual data</w:t>
      </w:r>
      <w:r w:rsidR="00F32C15" w:rsidRPr="007669E1">
        <w:rPr>
          <w:rFonts w:ascii="Segoe UI" w:hAnsi="Segoe UI" w:cs="Segoe UI"/>
          <w:sz w:val="18"/>
          <w:szCs w:val="18"/>
        </w:rPr>
        <w:t>;</w:t>
      </w:r>
      <w:r w:rsidR="00281646" w:rsidRPr="007669E1">
        <w:rPr>
          <w:rFonts w:ascii="Segoe UI" w:hAnsi="Segoe UI" w:cs="Segoe UI"/>
          <w:sz w:val="18"/>
          <w:szCs w:val="18"/>
        </w:rPr>
        <w:t xml:space="preserve"> </w:t>
      </w:r>
      <w:r w:rsidRPr="007669E1">
        <w:rPr>
          <w:rFonts w:ascii="Segoe UI" w:hAnsi="Segoe UI" w:cs="Segoe UI"/>
          <w:sz w:val="18"/>
          <w:szCs w:val="18"/>
        </w:rPr>
        <w:t>2020 to 2022 are projected</w:t>
      </w:r>
      <w:r w:rsidR="00AD5FCD" w:rsidRPr="007669E1">
        <w:rPr>
          <w:rFonts w:ascii="Segoe UI" w:hAnsi="Segoe UI" w:cs="Segoe UI"/>
          <w:sz w:val="18"/>
          <w:szCs w:val="18"/>
        </w:rPr>
        <w:t xml:space="preserve"> </w:t>
      </w:r>
      <w:r w:rsidR="001F74E4" w:rsidRPr="007669E1">
        <w:rPr>
          <w:rFonts w:ascii="Segoe UI" w:hAnsi="Segoe UI" w:cs="Segoe UI"/>
          <w:sz w:val="18"/>
          <w:szCs w:val="18"/>
        </w:rPr>
        <w:t>based on</w:t>
      </w:r>
      <w:r w:rsidR="00AD5FCD" w:rsidRPr="007669E1">
        <w:rPr>
          <w:rFonts w:ascii="Segoe UI" w:hAnsi="Segoe UI" w:cs="Segoe UI"/>
          <w:sz w:val="18"/>
          <w:szCs w:val="18"/>
        </w:rPr>
        <w:t xml:space="preserve"> 20</w:t>
      </w:r>
      <w:r w:rsidR="001F74E4" w:rsidRPr="007669E1">
        <w:rPr>
          <w:rFonts w:ascii="Segoe UI" w:hAnsi="Segoe UI" w:cs="Segoe UI"/>
          <w:sz w:val="18"/>
          <w:szCs w:val="18"/>
        </w:rPr>
        <w:t>19</w:t>
      </w:r>
      <w:r w:rsidR="00281646" w:rsidRPr="007669E1">
        <w:rPr>
          <w:rFonts w:ascii="Segoe UI" w:hAnsi="Segoe UI" w:cs="Segoe UI"/>
          <w:sz w:val="18"/>
          <w:szCs w:val="18"/>
        </w:rPr>
        <w:t>.</w:t>
      </w:r>
    </w:p>
    <w:tbl>
      <w:tblPr>
        <w:tblpPr w:leftFromText="180" w:rightFromText="180" w:vertAnchor="text" w:tblpY="231"/>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2E0C299C" w14:textId="77777777" w:rsidTr="0092285E">
        <w:tc>
          <w:tcPr>
            <w:tcW w:w="9625" w:type="dxa"/>
            <w:gridSpan w:val="7"/>
            <w:shd w:val="clear" w:color="auto" w:fill="D9D9D9" w:themeFill="background1" w:themeFillShade="D9"/>
          </w:tcPr>
          <w:p w14:paraId="729DE2A1" w14:textId="2D4D3904"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25. Rental income earned by natural persons</w:t>
            </w:r>
            <w:r w:rsidR="007E3C04" w:rsidRPr="00C80E99">
              <w:rPr>
                <w:rFonts w:ascii="Segoe UI" w:hAnsi="Segoe UI" w:cs="Segoe UI"/>
                <w:b/>
                <w:bCs/>
                <w:sz w:val="18"/>
                <w:szCs w:val="18"/>
              </w:rPr>
              <w:t xml:space="preserve"> </w:t>
            </w:r>
            <w:r w:rsidRPr="00C80E99">
              <w:rPr>
                <w:rFonts w:ascii="Segoe UI" w:hAnsi="Segoe UI" w:cs="Segoe UI"/>
                <w:b/>
                <w:bCs/>
                <w:sz w:val="18"/>
                <w:szCs w:val="18"/>
              </w:rPr>
              <w:t>taxed at a reduced rate</w:t>
            </w:r>
          </w:p>
        </w:tc>
      </w:tr>
      <w:tr w:rsidR="00002F93" w:rsidRPr="007669E1" w14:paraId="0699F047" w14:textId="77777777" w:rsidTr="0092285E">
        <w:tc>
          <w:tcPr>
            <w:tcW w:w="2425" w:type="dxa"/>
          </w:tcPr>
          <w:p w14:paraId="23A50789"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Description</w:t>
            </w:r>
          </w:p>
        </w:tc>
        <w:tc>
          <w:tcPr>
            <w:tcW w:w="7200" w:type="dxa"/>
            <w:gridSpan w:val="6"/>
          </w:tcPr>
          <w:p w14:paraId="7476A4B7" w14:textId="40A77114"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Natural persons, subjects of taxation that do not carry out entrepreneurial activity and transmit the real estate in possession and/or in use (rent, lease, usufruct</w:t>
            </w:r>
            <w:r w:rsidR="005524A8" w:rsidRPr="007669E1">
              <w:rPr>
                <w:rFonts w:ascii="Segoe UI" w:hAnsi="Segoe UI" w:cs="Segoe UI"/>
                <w:sz w:val="18"/>
                <w:szCs w:val="18"/>
              </w:rPr>
              <w:t>,</w:t>
            </w:r>
            <w:r w:rsidRPr="007669E1">
              <w:rPr>
                <w:rFonts w:ascii="Segoe UI" w:hAnsi="Segoe UI" w:cs="Segoe UI"/>
                <w:sz w:val="18"/>
                <w:szCs w:val="18"/>
              </w:rPr>
              <w:t xml:space="preserve"> and superficies</w:t>
            </w:r>
            <w:r w:rsidR="00F7324F" w:rsidRPr="007669E1">
              <w:rPr>
                <w:rStyle w:val="FootnoteReference"/>
                <w:rFonts w:ascii="Segoe UI" w:hAnsi="Segoe UI" w:cs="Segoe UI"/>
                <w:sz w:val="18"/>
                <w:szCs w:val="18"/>
              </w:rPr>
              <w:footnoteReference w:id="37"/>
            </w:r>
            <w:r w:rsidRPr="007669E1">
              <w:rPr>
                <w:rFonts w:ascii="Segoe UI" w:hAnsi="Segoe UI" w:cs="Segoe UI"/>
                <w:sz w:val="18"/>
                <w:szCs w:val="18"/>
              </w:rPr>
              <w:t xml:space="preserve">) to the other natural persons pay tax in the amount of 7% of the monthly value of the contract. </w:t>
            </w:r>
          </w:p>
        </w:tc>
      </w:tr>
      <w:tr w:rsidR="00002F93" w:rsidRPr="007669E1" w14:paraId="39AC5A9D" w14:textId="77777777" w:rsidTr="0092285E">
        <w:tc>
          <w:tcPr>
            <w:tcW w:w="2425" w:type="dxa"/>
          </w:tcPr>
          <w:p w14:paraId="5AA38791"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Type of Tax Affected</w:t>
            </w:r>
          </w:p>
        </w:tc>
        <w:tc>
          <w:tcPr>
            <w:tcW w:w="7200" w:type="dxa"/>
            <w:gridSpan w:val="6"/>
          </w:tcPr>
          <w:p w14:paraId="4E94B33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7595E782" w14:textId="77777777" w:rsidTr="0092285E">
        <w:tc>
          <w:tcPr>
            <w:tcW w:w="2425" w:type="dxa"/>
          </w:tcPr>
          <w:p w14:paraId="241D08C3"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Beneficiaries</w:t>
            </w:r>
          </w:p>
        </w:tc>
        <w:tc>
          <w:tcPr>
            <w:tcW w:w="7200" w:type="dxa"/>
            <w:gridSpan w:val="6"/>
          </w:tcPr>
          <w:p w14:paraId="08E5DE8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Natural persons that transmit real estate in possession</w:t>
            </w:r>
          </w:p>
        </w:tc>
      </w:tr>
      <w:tr w:rsidR="00002F93" w:rsidRPr="007669E1" w14:paraId="2C7885E2" w14:textId="77777777" w:rsidTr="0092285E">
        <w:tc>
          <w:tcPr>
            <w:tcW w:w="2425" w:type="dxa"/>
          </w:tcPr>
          <w:p w14:paraId="12DF4E9B"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Type of Measure</w:t>
            </w:r>
          </w:p>
        </w:tc>
        <w:tc>
          <w:tcPr>
            <w:tcW w:w="7200" w:type="dxa"/>
            <w:gridSpan w:val="6"/>
          </w:tcPr>
          <w:p w14:paraId="1BD744D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exemption</w:t>
            </w:r>
          </w:p>
        </w:tc>
      </w:tr>
      <w:tr w:rsidR="00002F93" w:rsidRPr="007669E1" w14:paraId="09C44BF7" w14:textId="77777777" w:rsidTr="0092285E">
        <w:tc>
          <w:tcPr>
            <w:tcW w:w="2425" w:type="dxa"/>
          </w:tcPr>
          <w:p w14:paraId="26B4F529"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Reason why this Measure is not part of the Benchmark Tax System</w:t>
            </w:r>
          </w:p>
        </w:tc>
        <w:tc>
          <w:tcPr>
            <w:tcW w:w="7200" w:type="dxa"/>
            <w:gridSpan w:val="6"/>
          </w:tcPr>
          <w:p w14:paraId="072DF95E" w14:textId="66858069" w:rsidR="00280E00" w:rsidRPr="007669E1" w:rsidRDefault="005524A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A legislated lighter tax burden on rentals constitutes therefore a tax expenditure.</w:t>
            </w:r>
          </w:p>
        </w:tc>
      </w:tr>
      <w:tr w:rsidR="00002F93" w:rsidRPr="007669E1" w14:paraId="40DF38D1" w14:textId="77777777" w:rsidTr="0092285E">
        <w:tc>
          <w:tcPr>
            <w:tcW w:w="2425" w:type="dxa"/>
          </w:tcPr>
          <w:p w14:paraId="4AA2FAC7"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Legal Reference</w:t>
            </w:r>
          </w:p>
        </w:tc>
        <w:tc>
          <w:tcPr>
            <w:tcW w:w="7200" w:type="dxa"/>
            <w:gridSpan w:val="6"/>
          </w:tcPr>
          <w:p w14:paraId="697B790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90 para 3</w:t>
            </w:r>
            <w:r w:rsidRPr="007669E1">
              <w:rPr>
                <w:rFonts w:ascii="Segoe UI" w:hAnsi="Segoe UI" w:cs="Segoe UI"/>
                <w:sz w:val="18"/>
                <w:szCs w:val="18"/>
                <w:vertAlign w:val="superscript"/>
              </w:rPr>
              <w:t>4</w:t>
            </w:r>
          </w:p>
        </w:tc>
      </w:tr>
      <w:tr w:rsidR="00E72E03" w:rsidRPr="007669E1" w14:paraId="306CC15D" w14:textId="77777777" w:rsidTr="0092285E">
        <w:trPr>
          <w:trHeight w:val="182"/>
        </w:trPr>
        <w:tc>
          <w:tcPr>
            <w:tcW w:w="2425" w:type="dxa"/>
            <w:vMerge w:val="restart"/>
          </w:tcPr>
          <w:p w14:paraId="4E938F01"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Implementation, Objectives, and History</w:t>
            </w:r>
          </w:p>
        </w:tc>
        <w:tc>
          <w:tcPr>
            <w:tcW w:w="7200" w:type="dxa"/>
            <w:gridSpan w:val="6"/>
          </w:tcPr>
          <w:p w14:paraId="0DE1F47B" w14:textId="77777777" w:rsidR="00280E00" w:rsidRPr="007669E1" w:rsidRDefault="00280E00" w:rsidP="00E90BA7">
            <w:pPr>
              <w:spacing w:before="20" w:after="20" w:line="240" w:lineRule="auto"/>
              <w:jc w:val="both"/>
              <w:rPr>
                <w:rFonts w:ascii="Segoe UI" w:hAnsi="Segoe UI" w:cs="Segoe UI"/>
                <w:sz w:val="18"/>
                <w:szCs w:val="18"/>
              </w:rPr>
            </w:pPr>
          </w:p>
        </w:tc>
      </w:tr>
      <w:tr w:rsidR="00E72E03" w:rsidRPr="007669E1" w14:paraId="7646BD8D" w14:textId="77777777" w:rsidTr="0092285E">
        <w:trPr>
          <w:trHeight w:val="182"/>
        </w:trPr>
        <w:tc>
          <w:tcPr>
            <w:tcW w:w="2425" w:type="dxa"/>
            <w:vMerge/>
          </w:tcPr>
          <w:p w14:paraId="5742ECD8" w14:textId="77777777" w:rsidR="00280E00" w:rsidRPr="00C80E99" w:rsidRDefault="00280E00" w:rsidP="00E90BA7">
            <w:pPr>
              <w:spacing w:before="20" w:after="20" w:line="240" w:lineRule="auto"/>
              <w:jc w:val="both"/>
              <w:rPr>
                <w:rFonts w:ascii="Segoe UI" w:hAnsi="Segoe UI" w:cs="Segoe UI"/>
                <w:b/>
                <w:bCs/>
                <w:sz w:val="18"/>
                <w:szCs w:val="18"/>
              </w:rPr>
            </w:pPr>
          </w:p>
        </w:tc>
        <w:tc>
          <w:tcPr>
            <w:tcW w:w="3462" w:type="dxa"/>
            <w:gridSpan w:val="3"/>
          </w:tcPr>
          <w:p w14:paraId="3D84EF1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2FD4156D" w14:textId="25DBA022"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E72E03" w:rsidRPr="007669E1" w14:paraId="459D9A6F" w14:textId="77777777" w:rsidTr="0092285E">
        <w:tc>
          <w:tcPr>
            <w:tcW w:w="2425" w:type="dxa"/>
          </w:tcPr>
          <w:p w14:paraId="12E2CAF4" w14:textId="77777777" w:rsidR="00F34AC6" w:rsidRPr="00C80E99" w:rsidRDefault="00F34AC6"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Source of Data</w:t>
            </w:r>
          </w:p>
        </w:tc>
        <w:tc>
          <w:tcPr>
            <w:tcW w:w="7200" w:type="dxa"/>
            <w:gridSpan w:val="6"/>
          </w:tcPr>
          <w:p w14:paraId="2190A884" w14:textId="22994A2C"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311CEB00" w14:textId="77777777" w:rsidTr="0092285E">
        <w:tc>
          <w:tcPr>
            <w:tcW w:w="2425" w:type="dxa"/>
          </w:tcPr>
          <w:p w14:paraId="4A3A5CEE" w14:textId="77777777" w:rsidR="00F34AC6" w:rsidRPr="00C80E99" w:rsidRDefault="00F34AC6"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Estimation Method</w:t>
            </w:r>
          </w:p>
        </w:tc>
        <w:tc>
          <w:tcPr>
            <w:tcW w:w="7200" w:type="dxa"/>
            <w:gridSpan w:val="6"/>
          </w:tcPr>
          <w:p w14:paraId="3C0BF0AD" w14:textId="6E60F515"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7D06AD67" w14:textId="77777777" w:rsidTr="0092285E">
        <w:tc>
          <w:tcPr>
            <w:tcW w:w="2425" w:type="dxa"/>
          </w:tcPr>
          <w:p w14:paraId="3D7023C9" w14:textId="77777777" w:rsidR="00F34AC6" w:rsidRPr="00C80E99" w:rsidRDefault="00F34AC6"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Number of Beneficiaries</w:t>
            </w:r>
          </w:p>
        </w:tc>
        <w:tc>
          <w:tcPr>
            <w:tcW w:w="7200" w:type="dxa"/>
            <w:gridSpan w:val="6"/>
          </w:tcPr>
          <w:p w14:paraId="1219A61F" w14:textId="5F911259"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68E3E735" w14:textId="77777777" w:rsidTr="0092285E">
        <w:tc>
          <w:tcPr>
            <w:tcW w:w="2425" w:type="dxa"/>
          </w:tcPr>
          <w:p w14:paraId="043746D3"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Revenue Cost Reporting</w:t>
            </w:r>
          </w:p>
        </w:tc>
        <w:tc>
          <w:tcPr>
            <w:tcW w:w="7200" w:type="dxa"/>
            <w:gridSpan w:val="6"/>
          </w:tcPr>
          <w:p w14:paraId="57A4D09C" w14:textId="37692BDB" w:rsidR="00280E00" w:rsidRPr="007669E1" w:rsidRDefault="007F0E2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E72E03" w:rsidRPr="007669E1" w14:paraId="4C5E3CFA" w14:textId="77777777" w:rsidTr="0092285E">
        <w:trPr>
          <w:trHeight w:val="91"/>
        </w:trPr>
        <w:tc>
          <w:tcPr>
            <w:tcW w:w="2425" w:type="dxa"/>
            <w:vMerge w:val="restart"/>
          </w:tcPr>
          <w:p w14:paraId="0A29C3BC" w14:textId="77777777" w:rsidR="00280E00" w:rsidRPr="00C80E99" w:rsidRDefault="00280E00" w:rsidP="00E90BA7">
            <w:pPr>
              <w:spacing w:before="20" w:after="20" w:line="240" w:lineRule="auto"/>
              <w:jc w:val="both"/>
              <w:rPr>
                <w:rFonts w:ascii="Segoe UI" w:hAnsi="Segoe UI" w:cs="Segoe UI"/>
                <w:b/>
                <w:bCs/>
                <w:sz w:val="18"/>
                <w:szCs w:val="18"/>
              </w:rPr>
            </w:pPr>
          </w:p>
        </w:tc>
        <w:tc>
          <w:tcPr>
            <w:tcW w:w="1385" w:type="dxa"/>
          </w:tcPr>
          <w:p w14:paraId="7F46B0DA"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2018</w:t>
            </w:r>
          </w:p>
        </w:tc>
        <w:tc>
          <w:tcPr>
            <w:tcW w:w="1385" w:type="dxa"/>
          </w:tcPr>
          <w:p w14:paraId="55FB85D1"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2019</w:t>
            </w:r>
          </w:p>
        </w:tc>
        <w:tc>
          <w:tcPr>
            <w:tcW w:w="1385" w:type="dxa"/>
            <w:gridSpan w:val="2"/>
          </w:tcPr>
          <w:p w14:paraId="2D498F0C"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2020</w:t>
            </w:r>
          </w:p>
        </w:tc>
        <w:tc>
          <w:tcPr>
            <w:tcW w:w="1385" w:type="dxa"/>
          </w:tcPr>
          <w:p w14:paraId="7A019D51" w14:textId="77777777" w:rsidR="00280E00" w:rsidRPr="00C80E99" w:rsidRDefault="00280E00"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2021</w:t>
            </w:r>
          </w:p>
        </w:tc>
        <w:tc>
          <w:tcPr>
            <w:tcW w:w="1660" w:type="dxa"/>
          </w:tcPr>
          <w:p w14:paraId="2AFD2416" w14:textId="2A781340" w:rsidR="00280E00" w:rsidRPr="00C80E99" w:rsidRDefault="000C00AF" w:rsidP="00E90BA7">
            <w:pPr>
              <w:spacing w:before="20" w:after="20" w:line="240" w:lineRule="auto"/>
              <w:jc w:val="both"/>
              <w:rPr>
                <w:rFonts w:ascii="Segoe UI" w:hAnsi="Segoe UI" w:cs="Segoe UI"/>
                <w:b/>
                <w:bCs/>
                <w:sz w:val="18"/>
                <w:szCs w:val="18"/>
              </w:rPr>
            </w:pPr>
            <w:r w:rsidRPr="00C80E99">
              <w:rPr>
                <w:rFonts w:ascii="Segoe UI" w:hAnsi="Segoe UI" w:cs="Segoe UI"/>
                <w:b/>
                <w:bCs/>
                <w:sz w:val="18"/>
                <w:szCs w:val="18"/>
              </w:rPr>
              <w:t>2022</w:t>
            </w:r>
          </w:p>
        </w:tc>
      </w:tr>
      <w:tr w:rsidR="00E72E03" w:rsidRPr="007669E1" w14:paraId="099605A7" w14:textId="77777777" w:rsidTr="0092285E">
        <w:trPr>
          <w:trHeight w:val="91"/>
        </w:trPr>
        <w:tc>
          <w:tcPr>
            <w:tcW w:w="2425" w:type="dxa"/>
            <w:vMerge/>
          </w:tcPr>
          <w:p w14:paraId="56562C9E"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42FA9585" w14:textId="48F7DCB2" w:rsidR="00AA1580" w:rsidRPr="007669E1" w:rsidRDefault="00DF1C9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1E72A7" w:rsidRPr="007669E1">
              <w:rPr>
                <w:rFonts w:ascii="Segoe UI" w:hAnsi="Segoe UI" w:cs="Segoe UI"/>
                <w:color w:val="000000"/>
                <w:sz w:val="18"/>
                <w:szCs w:val="18"/>
              </w:rPr>
              <w:t>.</w:t>
            </w:r>
          </w:p>
        </w:tc>
        <w:tc>
          <w:tcPr>
            <w:tcW w:w="1385" w:type="dxa"/>
          </w:tcPr>
          <w:p w14:paraId="2246ED47" w14:textId="422E131F" w:rsidR="00AA1580" w:rsidRPr="007669E1" w:rsidRDefault="00DF1C9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1E72A7" w:rsidRPr="007669E1">
              <w:rPr>
                <w:rFonts w:ascii="Segoe UI" w:hAnsi="Segoe UI" w:cs="Segoe UI"/>
                <w:color w:val="000000"/>
                <w:sz w:val="18"/>
                <w:szCs w:val="18"/>
              </w:rPr>
              <w:t>.</w:t>
            </w:r>
          </w:p>
        </w:tc>
        <w:tc>
          <w:tcPr>
            <w:tcW w:w="1385" w:type="dxa"/>
            <w:gridSpan w:val="2"/>
          </w:tcPr>
          <w:p w14:paraId="16098E18" w14:textId="3142FC11" w:rsidR="00AA1580" w:rsidRPr="007669E1" w:rsidRDefault="00DF1C9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1E72A7" w:rsidRPr="007669E1">
              <w:rPr>
                <w:rFonts w:ascii="Segoe UI" w:hAnsi="Segoe UI" w:cs="Segoe UI"/>
                <w:color w:val="000000"/>
                <w:sz w:val="18"/>
                <w:szCs w:val="18"/>
              </w:rPr>
              <w:t>.</w:t>
            </w:r>
          </w:p>
        </w:tc>
        <w:tc>
          <w:tcPr>
            <w:tcW w:w="1385" w:type="dxa"/>
          </w:tcPr>
          <w:p w14:paraId="079CE545" w14:textId="5B5F784D" w:rsidR="00AA1580" w:rsidRPr="007669E1" w:rsidRDefault="00DF1C9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1E72A7" w:rsidRPr="007669E1">
              <w:rPr>
                <w:rFonts w:ascii="Segoe UI" w:hAnsi="Segoe UI" w:cs="Segoe UI"/>
                <w:color w:val="000000"/>
                <w:sz w:val="18"/>
                <w:szCs w:val="18"/>
              </w:rPr>
              <w:t>.</w:t>
            </w:r>
          </w:p>
        </w:tc>
        <w:tc>
          <w:tcPr>
            <w:tcW w:w="1660" w:type="dxa"/>
          </w:tcPr>
          <w:p w14:paraId="29144489" w14:textId="547D9E44" w:rsidR="00AA1580" w:rsidRPr="007669E1" w:rsidRDefault="00DF1C9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1E72A7" w:rsidRPr="007669E1">
              <w:rPr>
                <w:rFonts w:ascii="Segoe UI" w:hAnsi="Segoe UI" w:cs="Segoe UI"/>
                <w:color w:val="000000"/>
                <w:sz w:val="18"/>
                <w:szCs w:val="18"/>
              </w:rPr>
              <w:t>.</w:t>
            </w:r>
          </w:p>
        </w:tc>
      </w:tr>
    </w:tbl>
    <w:p w14:paraId="5B638EE4"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25D70" w14:paraId="2ED203A8" w14:textId="77777777" w:rsidTr="0092285E">
        <w:tc>
          <w:tcPr>
            <w:tcW w:w="9625" w:type="dxa"/>
            <w:gridSpan w:val="7"/>
            <w:shd w:val="clear" w:color="auto" w:fill="D9D9D9" w:themeFill="background1" w:themeFillShade="D9"/>
          </w:tcPr>
          <w:p w14:paraId="041EDB5C" w14:textId="7DEF6963"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26. Interest earned by natural persons taxed at a reduced rate</w:t>
            </w:r>
          </w:p>
        </w:tc>
      </w:tr>
      <w:tr w:rsidR="00002F93" w:rsidRPr="007669E1" w14:paraId="055AB0CB" w14:textId="77777777" w:rsidTr="0092285E">
        <w:tc>
          <w:tcPr>
            <w:tcW w:w="2425" w:type="dxa"/>
          </w:tcPr>
          <w:p w14:paraId="49E31674"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Description</w:t>
            </w:r>
          </w:p>
        </w:tc>
        <w:tc>
          <w:tcPr>
            <w:tcW w:w="7200" w:type="dxa"/>
            <w:gridSpan w:val="6"/>
          </w:tcPr>
          <w:p w14:paraId="27E1327D"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Banks, savings, and loan associations, as well as issuers of corporate securities withhold a tax of 3% of the interest paid to resident individuals.</w:t>
            </w:r>
          </w:p>
        </w:tc>
      </w:tr>
      <w:tr w:rsidR="00002F93" w:rsidRPr="007669E1" w14:paraId="7B9480B7" w14:textId="77777777" w:rsidTr="0092285E">
        <w:tc>
          <w:tcPr>
            <w:tcW w:w="2425" w:type="dxa"/>
          </w:tcPr>
          <w:p w14:paraId="033D04E3"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Type of Tax Affected</w:t>
            </w:r>
          </w:p>
        </w:tc>
        <w:tc>
          <w:tcPr>
            <w:tcW w:w="7200" w:type="dxa"/>
            <w:gridSpan w:val="6"/>
          </w:tcPr>
          <w:p w14:paraId="56F1213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3D22B3FD" w14:textId="77777777" w:rsidTr="0092285E">
        <w:tc>
          <w:tcPr>
            <w:tcW w:w="2425" w:type="dxa"/>
          </w:tcPr>
          <w:p w14:paraId="0B1AEABD"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Beneficiaries</w:t>
            </w:r>
          </w:p>
        </w:tc>
        <w:tc>
          <w:tcPr>
            <w:tcW w:w="7200" w:type="dxa"/>
            <w:gridSpan w:val="6"/>
          </w:tcPr>
          <w:p w14:paraId="22AC0AB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Natural persons that receive interest from savings</w:t>
            </w:r>
          </w:p>
        </w:tc>
      </w:tr>
      <w:tr w:rsidR="00002F93" w:rsidRPr="007669E1" w14:paraId="6549A2F7" w14:textId="77777777" w:rsidTr="0092285E">
        <w:tc>
          <w:tcPr>
            <w:tcW w:w="2425" w:type="dxa"/>
          </w:tcPr>
          <w:p w14:paraId="775FD7A2"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Type of Measure</w:t>
            </w:r>
          </w:p>
        </w:tc>
        <w:tc>
          <w:tcPr>
            <w:tcW w:w="7200" w:type="dxa"/>
            <w:gridSpan w:val="6"/>
          </w:tcPr>
          <w:p w14:paraId="32E0632E"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exemption</w:t>
            </w:r>
          </w:p>
        </w:tc>
      </w:tr>
      <w:tr w:rsidR="00002F93" w:rsidRPr="007669E1" w14:paraId="73BD3D11" w14:textId="77777777" w:rsidTr="0092285E">
        <w:tc>
          <w:tcPr>
            <w:tcW w:w="2425" w:type="dxa"/>
          </w:tcPr>
          <w:p w14:paraId="54FDD3F7"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Reason why this Measure is not part of the Benchmark Tax System</w:t>
            </w:r>
          </w:p>
        </w:tc>
        <w:tc>
          <w:tcPr>
            <w:tcW w:w="7200" w:type="dxa"/>
            <w:gridSpan w:val="6"/>
          </w:tcPr>
          <w:p w14:paraId="28B99CB3" w14:textId="3175D599" w:rsidR="00280E00" w:rsidRPr="007669E1" w:rsidRDefault="00FC3AC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A legislated lighter tax burden on interest earned by natural persons constitutes therefore a tax expenditure.</w:t>
            </w:r>
          </w:p>
        </w:tc>
      </w:tr>
      <w:tr w:rsidR="00002F93" w:rsidRPr="007669E1" w14:paraId="65B20C94" w14:textId="77777777" w:rsidTr="0092285E">
        <w:tc>
          <w:tcPr>
            <w:tcW w:w="2425" w:type="dxa"/>
          </w:tcPr>
          <w:p w14:paraId="3DDC9E4D"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Legal Reference</w:t>
            </w:r>
          </w:p>
        </w:tc>
        <w:tc>
          <w:tcPr>
            <w:tcW w:w="7200" w:type="dxa"/>
            <w:gridSpan w:val="6"/>
          </w:tcPr>
          <w:p w14:paraId="53B1C3D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90 para 3</w:t>
            </w:r>
            <w:r w:rsidRPr="007669E1">
              <w:rPr>
                <w:rFonts w:ascii="Segoe UI" w:hAnsi="Segoe UI" w:cs="Segoe UI"/>
                <w:sz w:val="18"/>
                <w:szCs w:val="18"/>
                <w:vertAlign w:val="superscript"/>
              </w:rPr>
              <w:t>7</w:t>
            </w:r>
          </w:p>
        </w:tc>
      </w:tr>
      <w:tr w:rsidR="00002F93" w:rsidRPr="007669E1" w14:paraId="0C6973FF" w14:textId="77777777" w:rsidTr="0092285E">
        <w:trPr>
          <w:trHeight w:val="182"/>
        </w:trPr>
        <w:tc>
          <w:tcPr>
            <w:tcW w:w="2425" w:type="dxa"/>
            <w:vMerge w:val="restart"/>
          </w:tcPr>
          <w:p w14:paraId="7A9979EE"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Implementation, Objectives, and History</w:t>
            </w:r>
          </w:p>
        </w:tc>
        <w:tc>
          <w:tcPr>
            <w:tcW w:w="7200" w:type="dxa"/>
            <w:gridSpan w:val="6"/>
          </w:tcPr>
          <w:p w14:paraId="6CE79C70"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52B6B0B0" w14:textId="77777777" w:rsidTr="0092285E">
        <w:trPr>
          <w:trHeight w:val="182"/>
        </w:trPr>
        <w:tc>
          <w:tcPr>
            <w:tcW w:w="2425" w:type="dxa"/>
            <w:vMerge/>
          </w:tcPr>
          <w:p w14:paraId="4493A220" w14:textId="77777777" w:rsidR="00280E00" w:rsidRPr="00525D70" w:rsidRDefault="00280E00" w:rsidP="00E90BA7">
            <w:pPr>
              <w:spacing w:before="20" w:after="20" w:line="240" w:lineRule="auto"/>
              <w:jc w:val="both"/>
              <w:rPr>
                <w:rFonts w:ascii="Segoe UI" w:hAnsi="Segoe UI" w:cs="Segoe UI"/>
                <w:b/>
                <w:bCs/>
                <w:sz w:val="18"/>
                <w:szCs w:val="18"/>
              </w:rPr>
            </w:pPr>
          </w:p>
        </w:tc>
        <w:tc>
          <w:tcPr>
            <w:tcW w:w="3462" w:type="dxa"/>
            <w:gridSpan w:val="3"/>
          </w:tcPr>
          <w:p w14:paraId="6EBF911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2021</w:t>
            </w:r>
          </w:p>
        </w:tc>
        <w:tc>
          <w:tcPr>
            <w:tcW w:w="3738" w:type="dxa"/>
            <w:gridSpan w:val="3"/>
          </w:tcPr>
          <w:p w14:paraId="462D4B83" w14:textId="759AFE55"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594E1563" w14:textId="77777777" w:rsidTr="0092285E">
        <w:tc>
          <w:tcPr>
            <w:tcW w:w="2425" w:type="dxa"/>
          </w:tcPr>
          <w:p w14:paraId="45A53072" w14:textId="77777777" w:rsidR="00F34AC6" w:rsidRPr="00525D70" w:rsidRDefault="00F34AC6"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lastRenderedPageBreak/>
              <w:t>Source of Data</w:t>
            </w:r>
          </w:p>
        </w:tc>
        <w:tc>
          <w:tcPr>
            <w:tcW w:w="7200" w:type="dxa"/>
            <w:gridSpan w:val="6"/>
          </w:tcPr>
          <w:p w14:paraId="6D405D74" w14:textId="4550BDBA"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164DDCB1" w14:textId="77777777" w:rsidTr="0092285E">
        <w:tc>
          <w:tcPr>
            <w:tcW w:w="2425" w:type="dxa"/>
          </w:tcPr>
          <w:p w14:paraId="239766AF" w14:textId="77777777" w:rsidR="00F34AC6" w:rsidRPr="00525D70" w:rsidRDefault="00F34AC6"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Estimation Method</w:t>
            </w:r>
          </w:p>
        </w:tc>
        <w:tc>
          <w:tcPr>
            <w:tcW w:w="7200" w:type="dxa"/>
            <w:gridSpan w:val="6"/>
          </w:tcPr>
          <w:p w14:paraId="024B1AC0" w14:textId="78D4700F"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41E3D4B2" w14:textId="77777777" w:rsidTr="0092285E">
        <w:tc>
          <w:tcPr>
            <w:tcW w:w="2425" w:type="dxa"/>
          </w:tcPr>
          <w:p w14:paraId="44183AD5" w14:textId="77777777" w:rsidR="00F34AC6" w:rsidRPr="00525D70" w:rsidRDefault="00F34AC6"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Number of Beneficiaries</w:t>
            </w:r>
          </w:p>
        </w:tc>
        <w:tc>
          <w:tcPr>
            <w:tcW w:w="7200" w:type="dxa"/>
            <w:gridSpan w:val="6"/>
          </w:tcPr>
          <w:p w14:paraId="7095E7A0" w14:textId="0D7ABE7D" w:rsidR="00F34AC6" w:rsidRPr="007669E1" w:rsidRDefault="00F34A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002F93" w:rsidRPr="007669E1" w14:paraId="311F331E" w14:textId="77777777" w:rsidTr="0092285E">
        <w:tc>
          <w:tcPr>
            <w:tcW w:w="2425" w:type="dxa"/>
          </w:tcPr>
          <w:p w14:paraId="5C6375F9"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Revenue Cost Reporting</w:t>
            </w:r>
          </w:p>
        </w:tc>
        <w:tc>
          <w:tcPr>
            <w:tcW w:w="7200" w:type="dxa"/>
            <w:gridSpan w:val="6"/>
          </w:tcPr>
          <w:p w14:paraId="6EB1ABF8" w14:textId="35AF1CB6" w:rsidR="00280E00" w:rsidRPr="007669E1" w:rsidRDefault="007F0E2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002F93" w:rsidRPr="007669E1" w14:paraId="0C14738F" w14:textId="77777777" w:rsidTr="0092285E">
        <w:trPr>
          <w:trHeight w:val="91"/>
        </w:trPr>
        <w:tc>
          <w:tcPr>
            <w:tcW w:w="2425" w:type="dxa"/>
            <w:vMerge w:val="restart"/>
          </w:tcPr>
          <w:p w14:paraId="14F8E0A4"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2ACEA5C8"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2018</w:t>
            </w:r>
          </w:p>
        </w:tc>
        <w:tc>
          <w:tcPr>
            <w:tcW w:w="1385" w:type="dxa"/>
          </w:tcPr>
          <w:p w14:paraId="54BAB7F5"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2019</w:t>
            </w:r>
          </w:p>
        </w:tc>
        <w:tc>
          <w:tcPr>
            <w:tcW w:w="1385" w:type="dxa"/>
            <w:gridSpan w:val="2"/>
          </w:tcPr>
          <w:p w14:paraId="1A3004BA"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2020</w:t>
            </w:r>
          </w:p>
        </w:tc>
        <w:tc>
          <w:tcPr>
            <w:tcW w:w="1385" w:type="dxa"/>
          </w:tcPr>
          <w:p w14:paraId="3F321B6D"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2021</w:t>
            </w:r>
          </w:p>
        </w:tc>
        <w:tc>
          <w:tcPr>
            <w:tcW w:w="1660" w:type="dxa"/>
          </w:tcPr>
          <w:p w14:paraId="005305DC" w14:textId="6DEFEE34" w:rsidR="00280E00" w:rsidRPr="00525D70" w:rsidRDefault="000C00AF"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2022</w:t>
            </w:r>
          </w:p>
        </w:tc>
      </w:tr>
      <w:tr w:rsidR="00002F93" w:rsidRPr="007669E1" w14:paraId="112366C0" w14:textId="77777777" w:rsidTr="0092285E">
        <w:trPr>
          <w:trHeight w:val="91"/>
        </w:trPr>
        <w:tc>
          <w:tcPr>
            <w:tcW w:w="2425" w:type="dxa"/>
            <w:vMerge/>
          </w:tcPr>
          <w:p w14:paraId="07A1F5FE" w14:textId="77777777" w:rsidR="00AA1580" w:rsidRPr="007669E1" w:rsidRDefault="00AA1580" w:rsidP="00E90BA7">
            <w:pPr>
              <w:spacing w:before="20" w:after="20" w:line="240" w:lineRule="auto"/>
              <w:jc w:val="both"/>
              <w:rPr>
                <w:rFonts w:ascii="Segoe UI" w:hAnsi="Segoe UI" w:cs="Segoe UI"/>
                <w:sz w:val="18"/>
                <w:szCs w:val="18"/>
              </w:rPr>
            </w:pPr>
          </w:p>
        </w:tc>
        <w:tc>
          <w:tcPr>
            <w:tcW w:w="1385" w:type="dxa"/>
          </w:tcPr>
          <w:p w14:paraId="6B66C63C" w14:textId="67B11209" w:rsidR="00AA1580" w:rsidRPr="007669E1" w:rsidRDefault="00AA158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w:t>
            </w:r>
          </w:p>
        </w:tc>
        <w:tc>
          <w:tcPr>
            <w:tcW w:w="1385" w:type="dxa"/>
          </w:tcPr>
          <w:p w14:paraId="60CFECDA" w14:textId="0F0DD085" w:rsidR="00AA1580" w:rsidRPr="007669E1" w:rsidRDefault="00AA158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w:t>
            </w:r>
          </w:p>
        </w:tc>
        <w:tc>
          <w:tcPr>
            <w:tcW w:w="1385" w:type="dxa"/>
            <w:gridSpan w:val="2"/>
          </w:tcPr>
          <w:p w14:paraId="23BE4049" w14:textId="20052B5A" w:rsidR="00AA1580" w:rsidRPr="007669E1" w:rsidRDefault="00AA158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w:t>
            </w:r>
          </w:p>
        </w:tc>
        <w:tc>
          <w:tcPr>
            <w:tcW w:w="1385" w:type="dxa"/>
          </w:tcPr>
          <w:p w14:paraId="54B5093C" w14:textId="56823C4D" w:rsidR="00AA1580" w:rsidRPr="007669E1" w:rsidRDefault="00827EF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879F8" w:rsidRPr="007669E1">
              <w:rPr>
                <w:rFonts w:ascii="Segoe UI" w:hAnsi="Segoe UI" w:cs="Segoe UI"/>
                <w:color w:val="000000"/>
                <w:sz w:val="18"/>
                <w:szCs w:val="18"/>
              </w:rPr>
              <w:t>.</w:t>
            </w:r>
          </w:p>
        </w:tc>
        <w:tc>
          <w:tcPr>
            <w:tcW w:w="1660" w:type="dxa"/>
          </w:tcPr>
          <w:p w14:paraId="40301F09" w14:textId="6B326E9B" w:rsidR="00AA1580" w:rsidRPr="007669E1" w:rsidRDefault="0076410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879F8" w:rsidRPr="007669E1">
              <w:rPr>
                <w:rFonts w:ascii="Segoe UI" w:hAnsi="Segoe UI" w:cs="Segoe UI"/>
                <w:color w:val="000000"/>
                <w:sz w:val="18"/>
                <w:szCs w:val="18"/>
              </w:rPr>
              <w:t>.</w:t>
            </w:r>
          </w:p>
        </w:tc>
      </w:tr>
    </w:tbl>
    <w:p w14:paraId="4961BDB4" w14:textId="722822A6" w:rsidR="003815DC" w:rsidRPr="007669E1" w:rsidRDefault="003815D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Note: Estimates are not </w:t>
      </w:r>
      <w:r w:rsidR="00827EFE" w:rsidRPr="007669E1">
        <w:rPr>
          <w:rFonts w:ascii="Segoe UI" w:hAnsi="Segoe UI" w:cs="Segoe UI"/>
          <w:sz w:val="18"/>
          <w:szCs w:val="18"/>
        </w:rPr>
        <w:t>applicable from 2018 to 2020</w:t>
      </w:r>
      <w:r w:rsidR="00EA4274" w:rsidRPr="007669E1">
        <w:rPr>
          <w:rFonts w:ascii="Segoe UI" w:hAnsi="Segoe UI" w:cs="Segoe UI"/>
          <w:sz w:val="18"/>
          <w:szCs w:val="18"/>
        </w:rPr>
        <w:t xml:space="preserve">, and </w:t>
      </w:r>
      <w:r w:rsidR="008B7AB7" w:rsidRPr="007669E1">
        <w:rPr>
          <w:rFonts w:ascii="Segoe UI" w:hAnsi="Segoe UI" w:cs="Segoe UI"/>
          <w:sz w:val="18"/>
          <w:szCs w:val="18"/>
        </w:rPr>
        <w:t>not available in 2021 and 2022</w:t>
      </w:r>
      <w:r w:rsidR="00827EFE" w:rsidRPr="007669E1">
        <w:rPr>
          <w:rFonts w:ascii="Segoe UI" w:hAnsi="Segoe UI" w:cs="Segoe UI"/>
          <w:sz w:val="18"/>
          <w:szCs w:val="18"/>
        </w:rPr>
        <w:t xml:space="preserve">. </w:t>
      </w:r>
    </w:p>
    <w:p w14:paraId="16299C5C"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25D70" w14:paraId="47C0E2E3" w14:textId="77777777" w:rsidTr="0092285E">
        <w:tc>
          <w:tcPr>
            <w:tcW w:w="9625" w:type="dxa"/>
            <w:gridSpan w:val="7"/>
            <w:shd w:val="clear" w:color="auto" w:fill="D9D9D9" w:themeFill="background1" w:themeFillShade="D9"/>
          </w:tcPr>
          <w:p w14:paraId="1257A77B" w14:textId="64AAEB95"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27. Personal deduction of 2% of annual income tax liability</w:t>
            </w:r>
          </w:p>
        </w:tc>
      </w:tr>
      <w:tr w:rsidR="00002F93" w:rsidRPr="007669E1" w14:paraId="1E772035" w14:textId="77777777" w:rsidTr="0092285E">
        <w:tc>
          <w:tcPr>
            <w:tcW w:w="2425" w:type="dxa"/>
          </w:tcPr>
          <w:p w14:paraId="4DCD0A10"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Description</w:t>
            </w:r>
          </w:p>
        </w:tc>
        <w:tc>
          <w:tcPr>
            <w:tcW w:w="7200" w:type="dxa"/>
            <w:gridSpan w:val="6"/>
          </w:tcPr>
          <w:p w14:paraId="4E07DB5B" w14:textId="77777777" w:rsidR="00280E00" w:rsidRPr="007669E1" w:rsidRDefault="00280E00" w:rsidP="00E90BA7">
            <w:pPr>
              <w:autoSpaceDE w:val="0"/>
              <w:autoSpaceDN w:val="0"/>
              <w:adjustRightInd w:val="0"/>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Individuals may deduct charity and sponsoring contributions made to eligible entities. This deduction may not exceed 2% of their annual income tax liability. The list of eligible entities for each year is made public annually by the Agency of Public Services.</w:t>
            </w:r>
          </w:p>
        </w:tc>
      </w:tr>
      <w:tr w:rsidR="00002F93" w:rsidRPr="007669E1" w14:paraId="04270E0C" w14:textId="77777777" w:rsidTr="0092285E">
        <w:tc>
          <w:tcPr>
            <w:tcW w:w="2425" w:type="dxa"/>
          </w:tcPr>
          <w:p w14:paraId="5B1B452E"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Type of Tax Affected</w:t>
            </w:r>
          </w:p>
        </w:tc>
        <w:tc>
          <w:tcPr>
            <w:tcW w:w="7200" w:type="dxa"/>
            <w:gridSpan w:val="6"/>
          </w:tcPr>
          <w:p w14:paraId="4039CAD4"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20937B91" w14:textId="77777777" w:rsidTr="0092285E">
        <w:tc>
          <w:tcPr>
            <w:tcW w:w="2425" w:type="dxa"/>
          </w:tcPr>
          <w:p w14:paraId="69528C78"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Beneficiaries</w:t>
            </w:r>
          </w:p>
        </w:tc>
        <w:tc>
          <w:tcPr>
            <w:tcW w:w="7200" w:type="dxa"/>
            <w:gridSpan w:val="6"/>
          </w:tcPr>
          <w:p w14:paraId="1EE3B49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Donator of funds to assigned charity</w:t>
            </w:r>
          </w:p>
        </w:tc>
      </w:tr>
      <w:tr w:rsidR="00002F93" w:rsidRPr="007669E1" w14:paraId="585F28D1" w14:textId="77777777" w:rsidTr="0092285E">
        <w:tc>
          <w:tcPr>
            <w:tcW w:w="2425" w:type="dxa"/>
          </w:tcPr>
          <w:p w14:paraId="54F82F6F"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Type of Measure</w:t>
            </w:r>
          </w:p>
        </w:tc>
        <w:tc>
          <w:tcPr>
            <w:tcW w:w="7200" w:type="dxa"/>
            <w:gridSpan w:val="6"/>
          </w:tcPr>
          <w:p w14:paraId="50409349"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liability deduction</w:t>
            </w:r>
          </w:p>
        </w:tc>
      </w:tr>
      <w:tr w:rsidR="00002F93" w:rsidRPr="007669E1" w14:paraId="75715B47" w14:textId="77777777" w:rsidTr="0092285E">
        <w:tc>
          <w:tcPr>
            <w:tcW w:w="2425" w:type="dxa"/>
          </w:tcPr>
          <w:p w14:paraId="55ADB6D6"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Reason why this Measure is not part of the Benchmark Tax System</w:t>
            </w:r>
          </w:p>
        </w:tc>
        <w:tc>
          <w:tcPr>
            <w:tcW w:w="7200" w:type="dxa"/>
            <w:gridSpan w:val="6"/>
          </w:tcPr>
          <w:p w14:paraId="044C1294" w14:textId="4371F7F2"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Through an individually determined deduction up to a ceiling, an individual can reduce his/her tax liability, thereby reducing the originally intended tax burden for respective income earned</w:t>
            </w:r>
            <w:r w:rsidR="00FC3AC8" w:rsidRPr="007669E1">
              <w:rPr>
                <w:rFonts w:ascii="Segoe UI" w:hAnsi="Segoe UI" w:cs="Segoe UI"/>
                <w:sz w:val="18"/>
                <w:szCs w:val="18"/>
              </w:rPr>
              <w:t>.</w:t>
            </w:r>
          </w:p>
        </w:tc>
      </w:tr>
      <w:tr w:rsidR="00002F93" w:rsidRPr="007669E1" w14:paraId="4ACAE87E" w14:textId="77777777" w:rsidTr="0092285E">
        <w:tc>
          <w:tcPr>
            <w:tcW w:w="2425" w:type="dxa"/>
          </w:tcPr>
          <w:p w14:paraId="18C7B6BF"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Legal Reference</w:t>
            </w:r>
          </w:p>
        </w:tc>
        <w:tc>
          <w:tcPr>
            <w:tcW w:w="7200" w:type="dxa"/>
            <w:gridSpan w:val="6"/>
          </w:tcPr>
          <w:p w14:paraId="40BA6BE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15</w:t>
            </w:r>
            <w:r w:rsidRPr="007669E1">
              <w:rPr>
                <w:rFonts w:ascii="Segoe UI" w:hAnsi="Segoe UI" w:cs="Segoe UI"/>
                <w:sz w:val="18"/>
                <w:szCs w:val="18"/>
                <w:vertAlign w:val="superscript"/>
              </w:rPr>
              <w:t>2</w:t>
            </w:r>
            <w:r w:rsidRPr="007669E1">
              <w:rPr>
                <w:rFonts w:ascii="Segoe UI" w:hAnsi="Segoe UI" w:cs="Segoe UI"/>
                <w:sz w:val="18"/>
                <w:szCs w:val="18"/>
              </w:rPr>
              <w:t xml:space="preserve"> </w:t>
            </w:r>
          </w:p>
        </w:tc>
      </w:tr>
      <w:tr w:rsidR="00002F93" w:rsidRPr="007669E1" w14:paraId="089BD7C6" w14:textId="77777777" w:rsidTr="0092285E">
        <w:trPr>
          <w:trHeight w:val="182"/>
        </w:trPr>
        <w:tc>
          <w:tcPr>
            <w:tcW w:w="2425" w:type="dxa"/>
            <w:vMerge w:val="restart"/>
          </w:tcPr>
          <w:p w14:paraId="6546069C"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Implementation, Objectives, and History</w:t>
            </w:r>
          </w:p>
        </w:tc>
        <w:tc>
          <w:tcPr>
            <w:tcW w:w="7200" w:type="dxa"/>
            <w:gridSpan w:val="6"/>
          </w:tcPr>
          <w:p w14:paraId="4A786A89"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2A67F8E8" w14:textId="77777777" w:rsidTr="0092285E">
        <w:trPr>
          <w:trHeight w:val="182"/>
        </w:trPr>
        <w:tc>
          <w:tcPr>
            <w:tcW w:w="2425" w:type="dxa"/>
            <w:vMerge/>
          </w:tcPr>
          <w:p w14:paraId="5DB17DC7" w14:textId="77777777" w:rsidR="00280E00" w:rsidRPr="00525D70" w:rsidRDefault="00280E00" w:rsidP="00E90BA7">
            <w:pPr>
              <w:spacing w:before="20" w:after="20" w:line="240" w:lineRule="auto"/>
              <w:jc w:val="both"/>
              <w:rPr>
                <w:rFonts w:ascii="Segoe UI" w:hAnsi="Segoe UI" w:cs="Segoe UI"/>
                <w:b/>
                <w:bCs/>
                <w:sz w:val="18"/>
                <w:szCs w:val="18"/>
              </w:rPr>
            </w:pPr>
          </w:p>
        </w:tc>
        <w:tc>
          <w:tcPr>
            <w:tcW w:w="3462" w:type="dxa"/>
            <w:gridSpan w:val="3"/>
          </w:tcPr>
          <w:p w14:paraId="7D3313A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2B850D9D" w14:textId="561BF5BE"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26E2E3D6" w14:textId="77777777" w:rsidTr="0092285E">
        <w:tc>
          <w:tcPr>
            <w:tcW w:w="2425" w:type="dxa"/>
          </w:tcPr>
          <w:p w14:paraId="71C4B0F3"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Source of Data</w:t>
            </w:r>
          </w:p>
        </w:tc>
        <w:tc>
          <w:tcPr>
            <w:tcW w:w="7200" w:type="dxa"/>
            <w:gridSpan w:val="6"/>
          </w:tcPr>
          <w:p w14:paraId="21C53DDC"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return</w:t>
            </w:r>
          </w:p>
        </w:tc>
      </w:tr>
      <w:tr w:rsidR="00002F93" w:rsidRPr="007669E1" w14:paraId="4E059B5D" w14:textId="77777777" w:rsidTr="0092285E">
        <w:tc>
          <w:tcPr>
            <w:tcW w:w="2425" w:type="dxa"/>
          </w:tcPr>
          <w:p w14:paraId="694B4415"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Estimation Method</w:t>
            </w:r>
          </w:p>
        </w:tc>
        <w:tc>
          <w:tcPr>
            <w:tcW w:w="7200" w:type="dxa"/>
            <w:gridSpan w:val="6"/>
          </w:tcPr>
          <w:p w14:paraId="077FD471"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122232E0" w14:textId="77777777" w:rsidTr="0092285E">
        <w:tc>
          <w:tcPr>
            <w:tcW w:w="2425" w:type="dxa"/>
          </w:tcPr>
          <w:p w14:paraId="48260DFC"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Number of Beneficiaries</w:t>
            </w:r>
          </w:p>
        </w:tc>
        <w:tc>
          <w:tcPr>
            <w:tcW w:w="7200" w:type="dxa"/>
            <w:gridSpan w:val="6"/>
          </w:tcPr>
          <w:p w14:paraId="76F35628"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2019 - 504 beneficiaries</w:t>
            </w:r>
          </w:p>
          <w:p w14:paraId="703D4606"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2020 – 534 beneficiaries</w:t>
            </w:r>
          </w:p>
          <w:p w14:paraId="79B43A0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2021 – 651 beneficiaries</w:t>
            </w:r>
          </w:p>
        </w:tc>
      </w:tr>
      <w:tr w:rsidR="00002F93" w:rsidRPr="007669E1" w14:paraId="4C2B38EA" w14:textId="77777777" w:rsidTr="0092285E">
        <w:tc>
          <w:tcPr>
            <w:tcW w:w="2425" w:type="dxa"/>
          </w:tcPr>
          <w:p w14:paraId="45066E40"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Revenue Cost Reporting</w:t>
            </w:r>
          </w:p>
        </w:tc>
        <w:tc>
          <w:tcPr>
            <w:tcW w:w="7200" w:type="dxa"/>
            <w:gridSpan w:val="6"/>
          </w:tcPr>
          <w:p w14:paraId="22C073E7" w14:textId="4DE844DE" w:rsidR="00280E00" w:rsidRPr="007669E1" w:rsidRDefault="1B4AD0F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6B748B63" w:rsidRPr="007669E1">
              <w:rPr>
                <w:rFonts w:ascii="Segoe UI" w:hAnsi="Segoe UI" w:cs="Segoe UI"/>
                <w:sz w:val="18"/>
                <w:szCs w:val="18"/>
              </w:rPr>
              <w:t xml:space="preserve"> </w:t>
            </w:r>
            <w:r w:rsidR="734C74B1" w:rsidRPr="007669E1">
              <w:rPr>
                <w:rFonts w:ascii="Segoe UI" w:hAnsi="Segoe UI" w:cs="Segoe UI"/>
                <w:sz w:val="18"/>
                <w:szCs w:val="18"/>
              </w:rPr>
              <w:t>MDL</w:t>
            </w:r>
          </w:p>
        </w:tc>
      </w:tr>
      <w:tr w:rsidR="00002F93" w:rsidRPr="007669E1" w14:paraId="7459EB35" w14:textId="77777777" w:rsidTr="0092285E">
        <w:trPr>
          <w:trHeight w:val="91"/>
        </w:trPr>
        <w:tc>
          <w:tcPr>
            <w:tcW w:w="2425" w:type="dxa"/>
            <w:vMerge w:val="restart"/>
          </w:tcPr>
          <w:p w14:paraId="3133343D"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1467C9BA"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2018</w:t>
            </w:r>
          </w:p>
        </w:tc>
        <w:tc>
          <w:tcPr>
            <w:tcW w:w="1385" w:type="dxa"/>
          </w:tcPr>
          <w:p w14:paraId="6CB29592"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2019</w:t>
            </w:r>
          </w:p>
        </w:tc>
        <w:tc>
          <w:tcPr>
            <w:tcW w:w="1385" w:type="dxa"/>
            <w:gridSpan w:val="2"/>
          </w:tcPr>
          <w:p w14:paraId="1A20FA4D"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2020</w:t>
            </w:r>
          </w:p>
        </w:tc>
        <w:tc>
          <w:tcPr>
            <w:tcW w:w="1385" w:type="dxa"/>
          </w:tcPr>
          <w:p w14:paraId="7E2F23FA" w14:textId="77777777" w:rsidR="00280E00" w:rsidRPr="00525D70" w:rsidRDefault="00280E00"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2021</w:t>
            </w:r>
          </w:p>
        </w:tc>
        <w:tc>
          <w:tcPr>
            <w:tcW w:w="1660" w:type="dxa"/>
          </w:tcPr>
          <w:p w14:paraId="71841D03" w14:textId="0BEF5D74" w:rsidR="00280E00" w:rsidRPr="00525D70" w:rsidRDefault="000C00AF" w:rsidP="00E90BA7">
            <w:pPr>
              <w:spacing w:before="20" w:after="20" w:line="240" w:lineRule="auto"/>
              <w:jc w:val="both"/>
              <w:rPr>
                <w:rFonts w:ascii="Segoe UI" w:hAnsi="Segoe UI" w:cs="Segoe UI"/>
                <w:b/>
                <w:bCs/>
                <w:sz w:val="18"/>
                <w:szCs w:val="18"/>
              </w:rPr>
            </w:pPr>
            <w:r w:rsidRPr="00525D70">
              <w:rPr>
                <w:rFonts w:ascii="Segoe UI" w:hAnsi="Segoe UI" w:cs="Segoe UI"/>
                <w:b/>
                <w:bCs/>
                <w:sz w:val="18"/>
                <w:szCs w:val="18"/>
              </w:rPr>
              <w:t>2022</w:t>
            </w:r>
          </w:p>
        </w:tc>
      </w:tr>
      <w:tr w:rsidR="00A2051E" w:rsidRPr="007669E1" w14:paraId="3C320527" w14:textId="77777777" w:rsidTr="54CC1EA1">
        <w:trPr>
          <w:trHeight w:val="91"/>
        </w:trPr>
        <w:tc>
          <w:tcPr>
            <w:tcW w:w="2425" w:type="dxa"/>
            <w:vMerge/>
          </w:tcPr>
          <w:p w14:paraId="38A1387B"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1C0093A3" w14:textId="500A1F75" w:rsidR="00280E00" w:rsidRPr="007669E1" w:rsidRDefault="008B7AB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5879F8" w:rsidRPr="007669E1">
              <w:rPr>
                <w:rFonts w:ascii="Segoe UI" w:hAnsi="Segoe UI" w:cs="Segoe UI"/>
                <w:sz w:val="18"/>
                <w:szCs w:val="18"/>
              </w:rPr>
              <w:t>.</w:t>
            </w:r>
          </w:p>
        </w:tc>
        <w:tc>
          <w:tcPr>
            <w:tcW w:w="1385" w:type="dxa"/>
          </w:tcPr>
          <w:p w14:paraId="5D2C9C98" w14:textId="485994FF"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w:t>
            </w:r>
            <w:r w:rsidR="0B005620" w:rsidRPr="007669E1">
              <w:rPr>
                <w:rFonts w:ascii="Segoe UI" w:hAnsi="Segoe UI" w:cs="Segoe UI"/>
                <w:sz w:val="18"/>
                <w:szCs w:val="18"/>
              </w:rPr>
              <w:t>00.0</w:t>
            </w:r>
          </w:p>
        </w:tc>
        <w:tc>
          <w:tcPr>
            <w:tcW w:w="1385" w:type="dxa"/>
            <w:gridSpan w:val="2"/>
          </w:tcPr>
          <w:p w14:paraId="13805EE5" w14:textId="030FE941"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w:t>
            </w:r>
            <w:r w:rsidR="3CC02AD4" w:rsidRPr="007669E1">
              <w:rPr>
                <w:rFonts w:ascii="Segoe UI" w:hAnsi="Segoe UI" w:cs="Segoe UI"/>
                <w:sz w:val="18"/>
                <w:szCs w:val="18"/>
              </w:rPr>
              <w:t>,</w:t>
            </w:r>
            <w:r w:rsidRPr="007669E1">
              <w:rPr>
                <w:rFonts w:ascii="Segoe UI" w:hAnsi="Segoe UI" w:cs="Segoe UI"/>
                <w:sz w:val="18"/>
                <w:szCs w:val="18"/>
              </w:rPr>
              <w:t>6</w:t>
            </w:r>
            <w:r w:rsidR="3CC02AD4" w:rsidRPr="007669E1">
              <w:rPr>
                <w:rFonts w:ascii="Segoe UI" w:hAnsi="Segoe UI" w:cs="Segoe UI"/>
                <w:sz w:val="18"/>
                <w:szCs w:val="18"/>
              </w:rPr>
              <w:t>00.0</w:t>
            </w:r>
          </w:p>
        </w:tc>
        <w:tc>
          <w:tcPr>
            <w:tcW w:w="1385" w:type="dxa"/>
          </w:tcPr>
          <w:p w14:paraId="3EC52B58" w14:textId="70ADA82E"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w:t>
            </w:r>
            <w:r w:rsidR="7EAC044C" w:rsidRPr="007669E1">
              <w:rPr>
                <w:rFonts w:ascii="Segoe UI" w:hAnsi="Segoe UI" w:cs="Segoe UI"/>
                <w:sz w:val="18"/>
                <w:szCs w:val="18"/>
              </w:rPr>
              <w:t>,</w:t>
            </w:r>
            <w:r w:rsidRPr="007669E1">
              <w:rPr>
                <w:rFonts w:ascii="Segoe UI" w:hAnsi="Segoe UI" w:cs="Segoe UI"/>
                <w:sz w:val="18"/>
                <w:szCs w:val="18"/>
              </w:rPr>
              <w:t>9</w:t>
            </w:r>
            <w:r w:rsidR="7EAC044C" w:rsidRPr="007669E1">
              <w:rPr>
                <w:rFonts w:ascii="Segoe UI" w:hAnsi="Segoe UI" w:cs="Segoe UI"/>
                <w:sz w:val="18"/>
                <w:szCs w:val="18"/>
              </w:rPr>
              <w:t>00.0</w:t>
            </w:r>
          </w:p>
        </w:tc>
        <w:tc>
          <w:tcPr>
            <w:tcW w:w="1660" w:type="dxa"/>
            <w:shd w:val="clear" w:color="auto" w:fill="E6E6E6"/>
          </w:tcPr>
          <w:p w14:paraId="2D1C92A1" w14:textId="594F860F" w:rsidR="006A4F57" w:rsidRPr="007669E1" w:rsidRDefault="007E477E"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9</w:t>
            </w:r>
            <w:r w:rsidR="428FC2DF" w:rsidRPr="007669E1">
              <w:rPr>
                <w:rFonts w:ascii="Segoe UI" w:hAnsi="Segoe UI" w:cs="Segoe UI"/>
                <w:i/>
                <w:sz w:val="18"/>
                <w:szCs w:val="18"/>
              </w:rPr>
              <w:t>,</w:t>
            </w:r>
            <w:r w:rsidR="314ABC21" w:rsidRPr="007669E1">
              <w:rPr>
                <w:rFonts w:ascii="Segoe UI" w:hAnsi="Segoe UI" w:cs="Segoe UI"/>
                <w:i/>
                <w:sz w:val="18"/>
                <w:szCs w:val="18"/>
              </w:rPr>
              <w:t>8</w:t>
            </w:r>
            <w:r w:rsidR="428FC2DF" w:rsidRPr="007669E1">
              <w:rPr>
                <w:rFonts w:ascii="Segoe UI" w:hAnsi="Segoe UI" w:cs="Segoe UI"/>
                <w:i/>
                <w:sz w:val="18"/>
                <w:szCs w:val="18"/>
              </w:rPr>
              <w:t>00.0</w:t>
            </w:r>
          </w:p>
        </w:tc>
      </w:tr>
    </w:tbl>
    <w:p w14:paraId="474AD29E" w14:textId="12BD2A55" w:rsidR="008B7AB7" w:rsidRPr="007669E1" w:rsidRDefault="008B7AB7"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from 2019 to 2021 are based on actual data</w:t>
      </w:r>
      <w:r w:rsidR="005879F8" w:rsidRPr="007669E1">
        <w:rPr>
          <w:rFonts w:ascii="Segoe UI" w:hAnsi="Segoe UI" w:cs="Segoe UI"/>
          <w:sz w:val="18"/>
          <w:szCs w:val="18"/>
        </w:rPr>
        <w:t>;</w:t>
      </w:r>
      <w:r w:rsidRPr="007669E1">
        <w:rPr>
          <w:rFonts w:ascii="Segoe UI" w:hAnsi="Segoe UI" w:cs="Segoe UI"/>
          <w:sz w:val="18"/>
          <w:szCs w:val="18"/>
        </w:rPr>
        <w:t xml:space="preserve"> 2022 </w:t>
      </w:r>
      <w:r w:rsidR="00854A4A" w:rsidRPr="007669E1">
        <w:rPr>
          <w:rFonts w:ascii="Segoe UI" w:hAnsi="Segoe UI" w:cs="Segoe UI"/>
          <w:sz w:val="18"/>
          <w:szCs w:val="18"/>
        </w:rPr>
        <w:t xml:space="preserve">is </w:t>
      </w:r>
      <w:r w:rsidRPr="007669E1">
        <w:rPr>
          <w:rFonts w:ascii="Segoe UI" w:hAnsi="Segoe UI" w:cs="Segoe UI"/>
          <w:sz w:val="18"/>
          <w:szCs w:val="18"/>
        </w:rPr>
        <w:t>projected based on 2021.</w:t>
      </w:r>
    </w:p>
    <w:p w14:paraId="4250E456" w14:textId="5E463ACE"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9332E" w14:paraId="29C1F626" w14:textId="77777777" w:rsidTr="0092285E">
        <w:tc>
          <w:tcPr>
            <w:tcW w:w="9625" w:type="dxa"/>
            <w:gridSpan w:val="7"/>
            <w:shd w:val="clear" w:color="auto" w:fill="D9D9D9" w:themeFill="background1" w:themeFillShade="D9"/>
          </w:tcPr>
          <w:p w14:paraId="345486BE" w14:textId="57BF64E0"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28. Major lifelong personal allowance in case of illness or disability</w:t>
            </w:r>
          </w:p>
        </w:tc>
      </w:tr>
      <w:tr w:rsidR="00002F93" w:rsidRPr="007669E1" w14:paraId="722A1AEB" w14:textId="77777777" w:rsidTr="0092285E">
        <w:tc>
          <w:tcPr>
            <w:tcW w:w="2425" w:type="dxa"/>
          </w:tcPr>
          <w:p w14:paraId="110CE274"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Description</w:t>
            </w:r>
          </w:p>
        </w:tc>
        <w:tc>
          <w:tcPr>
            <w:tcW w:w="7200" w:type="dxa"/>
            <w:gridSpan w:val="6"/>
          </w:tcPr>
          <w:p w14:paraId="36583D08" w14:textId="7D22AB90"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An allowance is applied in case of an illness, disability or for persons whose child or spouse died or was injured in defense of the state</w:t>
            </w:r>
            <w:r w:rsidR="00B52048" w:rsidRPr="007669E1">
              <w:rPr>
                <w:rFonts w:ascii="Segoe UI" w:hAnsi="Segoe UI" w:cs="Segoe UI"/>
                <w:sz w:val="18"/>
                <w:szCs w:val="18"/>
              </w:rPr>
              <w:t>. In 2019–2021 the allowance was 30,000 MDL; in 2022</w:t>
            </w:r>
            <w:r w:rsidR="00D90AC3" w:rsidRPr="007669E1">
              <w:rPr>
                <w:rFonts w:ascii="Segoe UI" w:hAnsi="Segoe UI" w:cs="Segoe UI"/>
                <w:sz w:val="18"/>
                <w:szCs w:val="18"/>
              </w:rPr>
              <w:t>–</w:t>
            </w:r>
            <w:r w:rsidR="00B52048" w:rsidRPr="007669E1">
              <w:rPr>
                <w:rFonts w:ascii="Segoe UI" w:hAnsi="Segoe UI" w:cs="Segoe UI"/>
                <w:sz w:val="18"/>
                <w:szCs w:val="18"/>
              </w:rPr>
              <w:t>31</w:t>
            </w:r>
            <w:r w:rsidR="00355EBD" w:rsidRPr="007669E1">
              <w:rPr>
                <w:rFonts w:ascii="Segoe UI" w:hAnsi="Segoe UI" w:cs="Segoe UI"/>
                <w:sz w:val="18"/>
                <w:szCs w:val="18"/>
              </w:rPr>
              <w:t>,</w:t>
            </w:r>
            <w:r w:rsidR="00B52048" w:rsidRPr="007669E1">
              <w:rPr>
                <w:rFonts w:ascii="Segoe UI" w:hAnsi="Segoe UI" w:cs="Segoe UI"/>
                <w:sz w:val="18"/>
                <w:szCs w:val="18"/>
              </w:rPr>
              <w:t>500 MDL</w:t>
            </w:r>
            <w:r w:rsidR="00355EBD" w:rsidRPr="007669E1">
              <w:rPr>
                <w:rFonts w:ascii="Segoe UI" w:hAnsi="Segoe UI" w:cs="Segoe UI"/>
                <w:sz w:val="18"/>
                <w:szCs w:val="18"/>
              </w:rPr>
              <w:t>.</w:t>
            </w:r>
          </w:p>
        </w:tc>
      </w:tr>
      <w:tr w:rsidR="00002F93" w:rsidRPr="007669E1" w14:paraId="2EB257BE" w14:textId="77777777" w:rsidTr="0092285E">
        <w:tc>
          <w:tcPr>
            <w:tcW w:w="2425" w:type="dxa"/>
          </w:tcPr>
          <w:p w14:paraId="5457A05B"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Tax Affected</w:t>
            </w:r>
          </w:p>
        </w:tc>
        <w:tc>
          <w:tcPr>
            <w:tcW w:w="7200" w:type="dxa"/>
            <w:gridSpan w:val="6"/>
          </w:tcPr>
          <w:p w14:paraId="40AFADF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ED3C09B" w14:textId="77777777" w:rsidTr="0092285E">
        <w:tc>
          <w:tcPr>
            <w:tcW w:w="2425" w:type="dxa"/>
          </w:tcPr>
          <w:p w14:paraId="0ADCDA89"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Beneficiaries</w:t>
            </w:r>
          </w:p>
        </w:tc>
        <w:tc>
          <w:tcPr>
            <w:tcW w:w="7200" w:type="dxa"/>
            <w:gridSpan w:val="6"/>
          </w:tcPr>
          <w:p w14:paraId="55B86A5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Taxpayers with disabilities as a result of defense</w:t>
            </w:r>
          </w:p>
        </w:tc>
      </w:tr>
      <w:tr w:rsidR="00002F93" w:rsidRPr="007669E1" w14:paraId="7CB908BD" w14:textId="77777777" w:rsidTr="0092285E">
        <w:tc>
          <w:tcPr>
            <w:tcW w:w="2425" w:type="dxa"/>
          </w:tcPr>
          <w:p w14:paraId="3C90B49A"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Measure</w:t>
            </w:r>
          </w:p>
        </w:tc>
        <w:tc>
          <w:tcPr>
            <w:tcW w:w="7200" w:type="dxa"/>
            <w:gridSpan w:val="6"/>
          </w:tcPr>
          <w:p w14:paraId="166D5DED" w14:textId="5846282D"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Deduction </w:t>
            </w:r>
            <w:r w:rsidR="00451CD8" w:rsidRPr="007669E1">
              <w:rPr>
                <w:rFonts w:ascii="Segoe UI" w:hAnsi="Segoe UI" w:cs="Segoe UI"/>
                <w:sz w:val="18"/>
                <w:szCs w:val="18"/>
              </w:rPr>
              <w:t xml:space="preserve">against </w:t>
            </w:r>
            <w:r w:rsidRPr="007669E1">
              <w:rPr>
                <w:rFonts w:ascii="Segoe UI" w:hAnsi="Segoe UI" w:cs="Segoe UI"/>
                <w:sz w:val="18"/>
                <w:szCs w:val="18"/>
              </w:rPr>
              <w:t>taxable income</w:t>
            </w:r>
          </w:p>
        </w:tc>
      </w:tr>
      <w:tr w:rsidR="00002F93" w:rsidRPr="007669E1" w14:paraId="12E71C72" w14:textId="77777777" w:rsidTr="0092285E">
        <w:tc>
          <w:tcPr>
            <w:tcW w:w="2425" w:type="dxa"/>
          </w:tcPr>
          <w:p w14:paraId="61912AFA"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Reason why this Measure is not part of the Benchmark Tax System</w:t>
            </w:r>
          </w:p>
        </w:tc>
        <w:tc>
          <w:tcPr>
            <w:tcW w:w="7200" w:type="dxa"/>
            <w:gridSpan w:val="6"/>
          </w:tcPr>
          <w:p w14:paraId="192A9D74" w14:textId="3024CE3A" w:rsidR="00280E00" w:rsidRPr="007669E1" w:rsidRDefault="00451C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w:t>
            </w:r>
            <w:r w:rsidR="00F819CA" w:rsidRPr="007669E1">
              <w:rPr>
                <w:rFonts w:ascii="Segoe UI" w:hAnsi="Segoe UI" w:cs="Segoe UI"/>
                <w:sz w:val="18"/>
                <w:szCs w:val="18"/>
              </w:rPr>
              <w:t xml:space="preserve"> percent</w:t>
            </w:r>
            <w:r w:rsidRPr="007669E1">
              <w:rPr>
                <w:rFonts w:ascii="Segoe UI" w:hAnsi="Segoe UI" w:cs="Segoe UI"/>
                <w:sz w:val="18"/>
                <w:szCs w:val="18"/>
              </w:rPr>
              <w:t xml:space="preserve"> if their combined income streams exceed the basic personal allowance of MDL 27,000 per year. A legislated lighter tax burden on income of persons with long-term illness or disability constitutes a tax expenditure.</w:t>
            </w:r>
          </w:p>
        </w:tc>
      </w:tr>
      <w:tr w:rsidR="00002F93" w:rsidRPr="007669E1" w14:paraId="09312ECF" w14:textId="77777777" w:rsidTr="0092285E">
        <w:tc>
          <w:tcPr>
            <w:tcW w:w="2425" w:type="dxa"/>
          </w:tcPr>
          <w:p w14:paraId="473B08D2"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Legal Reference</w:t>
            </w:r>
          </w:p>
        </w:tc>
        <w:tc>
          <w:tcPr>
            <w:tcW w:w="7200" w:type="dxa"/>
            <w:gridSpan w:val="6"/>
          </w:tcPr>
          <w:p w14:paraId="3ECE3E1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35 para (2) of the TC</w:t>
            </w:r>
          </w:p>
        </w:tc>
      </w:tr>
      <w:tr w:rsidR="00002F93" w:rsidRPr="007669E1" w14:paraId="2C01A133" w14:textId="77777777" w:rsidTr="0092285E">
        <w:trPr>
          <w:trHeight w:val="182"/>
        </w:trPr>
        <w:tc>
          <w:tcPr>
            <w:tcW w:w="2425" w:type="dxa"/>
            <w:vMerge w:val="restart"/>
          </w:tcPr>
          <w:p w14:paraId="3EDD79FD"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Implementation, Objectives, and History</w:t>
            </w:r>
          </w:p>
        </w:tc>
        <w:tc>
          <w:tcPr>
            <w:tcW w:w="7200" w:type="dxa"/>
            <w:gridSpan w:val="6"/>
          </w:tcPr>
          <w:p w14:paraId="519DC0FE"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2E7DBE77" w14:textId="77777777" w:rsidTr="0092285E">
        <w:trPr>
          <w:trHeight w:val="182"/>
        </w:trPr>
        <w:tc>
          <w:tcPr>
            <w:tcW w:w="2425" w:type="dxa"/>
            <w:vMerge/>
          </w:tcPr>
          <w:p w14:paraId="5591DB99" w14:textId="77777777" w:rsidR="00280E00" w:rsidRPr="0049332E" w:rsidRDefault="00280E00" w:rsidP="00E90BA7">
            <w:pPr>
              <w:spacing w:before="20" w:after="20" w:line="240" w:lineRule="auto"/>
              <w:jc w:val="both"/>
              <w:rPr>
                <w:rFonts w:ascii="Segoe UI" w:hAnsi="Segoe UI" w:cs="Segoe UI"/>
                <w:b/>
                <w:bCs/>
                <w:sz w:val="18"/>
                <w:szCs w:val="18"/>
              </w:rPr>
            </w:pPr>
          </w:p>
        </w:tc>
        <w:tc>
          <w:tcPr>
            <w:tcW w:w="3462" w:type="dxa"/>
            <w:gridSpan w:val="3"/>
          </w:tcPr>
          <w:p w14:paraId="57A24DA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0889EE0B" w14:textId="09AF6566"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48C8B2EF" w14:textId="77777777" w:rsidTr="0092285E">
        <w:tc>
          <w:tcPr>
            <w:tcW w:w="2425" w:type="dxa"/>
          </w:tcPr>
          <w:p w14:paraId="2900A3FD"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lastRenderedPageBreak/>
              <w:t>Source of Data</w:t>
            </w:r>
          </w:p>
        </w:tc>
        <w:tc>
          <w:tcPr>
            <w:tcW w:w="7200" w:type="dxa"/>
            <w:gridSpan w:val="6"/>
          </w:tcPr>
          <w:p w14:paraId="189FE2B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return</w:t>
            </w:r>
          </w:p>
        </w:tc>
      </w:tr>
      <w:tr w:rsidR="00002F93" w:rsidRPr="007669E1" w14:paraId="01253801" w14:textId="77777777" w:rsidTr="0092285E">
        <w:tc>
          <w:tcPr>
            <w:tcW w:w="2425" w:type="dxa"/>
          </w:tcPr>
          <w:p w14:paraId="568566B8"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Estimation Method</w:t>
            </w:r>
          </w:p>
        </w:tc>
        <w:tc>
          <w:tcPr>
            <w:tcW w:w="7200" w:type="dxa"/>
            <w:gridSpan w:val="6"/>
          </w:tcPr>
          <w:p w14:paraId="56C2904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w:t>
            </w:r>
          </w:p>
        </w:tc>
      </w:tr>
      <w:tr w:rsidR="00002F93" w:rsidRPr="007669E1" w14:paraId="3EC93657" w14:textId="77777777" w:rsidTr="0092285E">
        <w:tc>
          <w:tcPr>
            <w:tcW w:w="2425" w:type="dxa"/>
          </w:tcPr>
          <w:p w14:paraId="0BE233CA"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Number of Beneficiaries</w:t>
            </w:r>
          </w:p>
        </w:tc>
        <w:tc>
          <w:tcPr>
            <w:tcW w:w="7200" w:type="dxa"/>
            <w:gridSpan w:val="6"/>
          </w:tcPr>
          <w:p w14:paraId="7FE9936A"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2B8E7E94" w14:textId="77777777" w:rsidTr="0092285E">
        <w:tc>
          <w:tcPr>
            <w:tcW w:w="2425" w:type="dxa"/>
          </w:tcPr>
          <w:p w14:paraId="48368E55"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Revenue Cost Reporting</w:t>
            </w:r>
          </w:p>
        </w:tc>
        <w:tc>
          <w:tcPr>
            <w:tcW w:w="7200" w:type="dxa"/>
            <w:gridSpan w:val="6"/>
          </w:tcPr>
          <w:p w14:paraId="6FFF2DD7" w14:textId="7F3B27A4" w:rsidR="00280E00" w:rsidRPr="007669E1" w:rsidRDefault="2E01E87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6B748B63" w:rsidRPr="007669E1">
              <w:rPr>
                <w:rFonts w:ascii="Segoe UI" w:hAnsi="Segoe UI" w:cs="Segoe UI"/>
                <w:sz w:val="18"/>
                <w:szCs w:val="18"/>
              </w:rPr>
              <w:t xml:space="preserve"> </w:t>
            </w:r>
            <w:r w:rsidR="734C74B1" w:rsidRPr="007669E1">
              <w:rPr>
                <w:rFonts w:ascii="Segoe UI" w:hAnsi="Segoe UI" w:cs="Segoe UI"/>
                <w:sz w:val="18"/>
                <w:szCs w:val="18"/>
              </w:rPr>
              <w:t>MDL</w:t>
            </w:r>
          </w:p>
        </w:tc>
      </w:tr>
      <w:tr w:rsidR="00002F93" w:rsidRPr="007669E1" w14:paraId="67BF5B43" w14:textId="77777777" w:rsidTr="0092285E">
        <w:trPr>
          <w:trHeight w:val="91"/>
        </w:trPr>
        <w:tc>
          <w:tcPr>
            <w:tcW w:w="2425" w:type="dxa"/>
            <w:vMerge w:val="restart"/>
          </w:tcPr>
          <w:p w14:paraId="149AB5C8"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0E3C6E1C"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2018</w:t>
            </w:r>
          </w:p>
        </w:tc>
        <w:tc>
          <w:tcPr>
            <w:tcW w:w="1385" w:type="dxa"/>
          </w:tcPr>
          <w:p w14:paraId="3F58E158"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2019</w:t>
            </w:r>
          </w:p>
        </w:tc>
        <w:tc>
          <w:tcPr>
            <w:tcW w:w="1385" w:type="dxa"/>
            <w:gridSpan w:val="2"/>
          </w:tcPr>
          <w:p w14:paraId="4FC9B726"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2020</w:t>
            </w:r>
          </w:p>
        </w:tc>
        <w:tc>
          <w:tcPr>
            <w:tcW w:w="1385" w:type="dxa"/>
          </w:tcPr>
          <w:p w14:paraId="0883FFE7"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2021</w:t>
            </w:r>
          </w:p>
        </w:tc>
        <w:tc>
          <w:tcPr>
            <w:tcW w:w="1660" w:type="dxa"/>
          </w:tcPr>
          <w:p w14:paraId="4AFD0541" w14:textId="6844687D" w:rsidR="00280E00" w:rsidRPr="0049332E" w:rsidRDefault="000C00AF"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2022</w:t>
            </w:r>
          </w:p>
        </w:tc>
      </w:tr>
      <w:tr w:rsidR="00A2051E" w:rsidRPr="007669E1" w14:paraId="0411420E" w14:textId="77777777" w:rsidTr="73D5E053">
        <w:trPr>
          <w:trHeight w:val="91"/>
        </w:trPr>
        <w:tc>
          <w:tcPr>
            <w:tcW w:w="2425" w:type="dxa"/>
            <w:vMerge/>
          </w:tcPr>
          <w:p w14:paraId="331D1293"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7D5E6731" w14:textId="69375621" w:rsidR="00280E00" w:rsidRPr="007669E1" w:rsidRDefault="00AF0B4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tcPr>
          <w:p w14:paraId="29A9C22E" w14:textId="3AD1C0D8" w:rsidR="00280E00" w:rsidRPr="007669E1" w:rsidRDefault="00AF0B4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gridSpan w:val="2"/>
          </w:tcPr>
          <w:p w14:paraId="68626089" w14:textId="67570A86"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31</w:t>
            </w:r>
            <w:r w:rsidR="50B1A209" w:rsidRPr="007669E1">
              <w:rPr>
                <w:rFonts w:ascii="Segoe UI" w:hAnsi="Segoe UI" w:cs="Segoe UI"/>
                <w:sz w:val="18"/>
                <w:szCs w:val="18"/>
              </w:rPr>
              <w:t>,</w:t>
            </w:r>
            <w:r w:rsidRPr="007669E1">
              <w:rPr>
                <w:rFonts w:ascii="Segoe UI" w:hAnsi="Segoe UI" w:cs="Segoe UI"/>
                <w:sz w:val="18"/>
                <w:szCs w:val="18"/>
              </w:rPr>
              <w:t>2</w:t>
            </w:r>
            <w:r w:rsidR="50B1A209" w:rsidRPr="007669E1">
              <w:rPr>
                <w:rFonts w:ascii="Segoe UI" w:hAnsi="Segoe UI" w:cs="Segoe UI"/>
                <w:sz w:val="18"/>
                <w:szCs w:val="18"/>
              </w:rPr>
              <w:t>00.0</w:t>
            </w:r>
          </w:p>
        </w:tc>
        <w:tc>
          <w:tcPr>
            <w:tcW w:w="1385" w:type="dxa"/>
            <w:shd w:val="clear" w:color="auto" w:fill="E6E6E6"/>
          </w:tcPr>
          <w:p w14:paraId="211E6833" w14:textId="0479527F" w:rsidR="00280E00" w:rsidRPr="007669E1" w:rsidRDefault="009E6D99"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35</w:t>
            </w:r>
            <w:r w:rsidR="0232EACF" w:rsidRPr="007669E1">
              <w:rPr>
                <w:rFonts w:ascii="Segoe UI" w:hAnsi="Segoe UI" w:cs="Segoe UI"/>
                <w:i/>
                <w:sz w:val="18"/>
                <w:szCs w:val="18"/>
              </w:rPr>
              <w:t>,</w:t>
            </w:r>
            <w:r w:rsidR="24D46690" w:rsidRPr="007669E1">
              <w:rPr>
                <w:rFonts w:ascii="Segoe UI" w:hAnsi="Segoe UI" w:cs="Segoe UI"/>
                <w:i/>
                <w:sz w:val="18"/>
                <w:szCs w:val="18"/>
              </w:rPr>
              <w:t>3</w:t>
            </w:r>
            <w:r w:rsidR="0232EACF" w:rsidRPr="007669E1">
              <w:rPr>
                <w:rFonts w:ascii="Segoe UI" w:hAnsi="Segoe UI" w:cs="Segoe UI"/>
                <w:i/>
                <w:sz w:val="18"/>
                <w:szCs w:val="18"/>
              </w:rPr>
              <w:t>00.0</w:t>
            </w:r>
          </w:p>
        </w:tc>
        <w:tc>
          <w:tcPr>
            <w:tcW w:w="1660" w:type="dxa"/>
            <w:shd w:val="clear" w:color="auto" w:fill="E6E6E6"/>
          </w:tcPr>
          <w:p w14:paraId="26902CBE" w14:textId="6F497483" w:rsidR="00280E00" w:rsidRPr="007669E1" w:rsidRDefault="00A620CE"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w:t>
            </w:r>
            <w:r w:rsidR="00BF07FD" w:rsidRPr="007669E1">
              <w:rPr>
                <w:rFonts w:ascii="Segoe UI" w:hAnsi="Segoe UI" w:cs="Segoe UI"/>
                <w:i/>
                <w:sz w:val="18"/>
                <w:szCs w:val="18"/>
              </w:rPr>
              <w:t>8</w:t>
            </w:r>
            <w:r w:rsidR="5510CFC8" w:rsidRPr="007669E1">
              <w:rPr>
                <w:rFonts w:ascii="Segoe UI" w:hAnsi="Segoe UI" w:cs="Segoe UI"/>
                <w:i/>
                <w:sz w:val="18"/>
                <w:szCs w:val="18"/>
              </w:rPr>
              <w:t>,</w:t>
            </w:r>
            <w:r w:rsidR="0BF3462F" w:rsidRPr="007669E1">
              <w:rPr>
                <w:rFonts w:ascii="Segoe UI" w:hAnsi="Segoe UI" w:cs="Segoe UI"/>
                <w:i/>
                <w:sz w:val="18"/>
                <w:szCs w:val="18"/>
              </w:rPr>
              <w:t>8</w:t>
            </w:r>
            <w:r w:rsidR="5510CFC8" w:rsidRPr="007669E1">
              <w:rPr>
                <w:rFonts w:ascii="Segoe UI" w:hAnsi="Segoe UI" w:cs="Segoe UI"/>
                <w:i/>
                <w:sz w:val="18"/>
                <w:szCs w:val="18"/>
              </w:rPr>
              <w:t>00.0</w:t>
            </w:r>
          </w:p>
        </w:tc>
      </w:tr>
    </w:tbl>
    <w:p w14:paraId="45C6518E" w14:textId="19F178C3" w:rsidR="004468F6" w:rsidRPr="007669E1" w:rsidRDefault="004468F6"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2020 are based on actual data</w:t>
      </w:r>
      <w:r w:rsidR="00854A4A" w:rsidRPr="007669E1">
        <w:rPr>
          <w:rFonts w:ascii="Segoe UI" w:hAnsi="Segoe UI" w:cs="Segoe UI"/>
          <w:sz w:val="18"/>
          <w:szCs w:val="18"/>
        </w:rPr>
        <w:t>;</w:t>
      </w:r>
      <w:r w:rsidRPr="007669E1">
        <w:rPr>
          <w:rFonts w:ascii="Segoe UI" w:hAnsi="Segoe UI" w:cs="Segoe UI"/>
          <w:sz w:val="18"/>
          <w:szCs w:val="18"/>
        </w:rPr>
        <w:t xml:space="preserve"> 2021 and 2022 </w:t>
      </w:r>
      <w:r w:rsidR="00854A4A" w:rsidRPr="007669E1">
        <w:rPr>
          <w:rFonts w:ascii="Segoe UI" w:hAnsi="Segoe UI" w:cs="Segoe UI"/>
          <w:sz w:val="18"/>
          <w:szCs w:val="18"/>
        </w:rPr>
        <w:t>is</w:t>
      </w:r>
      <w:r w:rsidRPr="007669E1">
        <w:rPr>
          <w:rFonts w:ascii="Segoe UI" w:hAnsi="Segoe UI" w:cs="Segoe UI"/>
          <w:sz w:val="18"/>
          <w:szCs w:val="18"/>
        </w:rPr>
        <w:t xml:space="preserve"> projected based on 2020.</w:t>
      </w:r>
    </w:p>
    <w:p w14:paraId="4D7EE617"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9332E" w14:paraId="3233929A" w14:textId="77777777" w:rsidTr="0092285E">
        <w:tc>
          <w:tcPr>
            <w:tcW w:w="9625" w:type="dxa"/>
            <w:gridSpan w:val="7"/>
            <w:shd w:val="clear" w:color="auto" w:fill="D9D9D9" w:themeFill="background1" w:themeFillShade="D9"/>
          </w:tcPr>
          <w:p w14:paraId="7DE0C006" w14:textId="648DC7D4"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29. Spouse major allowance</w:t>
            </w:r>
          </w:p>
        </w:tc>
      </w:tr>
      <w:tr w:rsidR="00002F93" w:rsidRPr="007669E1" w14:paraId="6D85C006" w14:textId="77777777" w:rsidTr="0092285E">
        <w:tc>
          <w:tcPr>
            <w:tcW w:w="2425" w:type="dxa"/>
          </w:tcPr>
          <w:p w14:paraId="7F8BF17D"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Description</w:t>
            </w:r>
          </w:p>
        </w:tc>
        <w:tc>
          <w:tcPr>
            <w:tcW w:w="7200" w:type="dxa"/>
            <w:gridSpan w:val="6"/>
          </w:tcPr>
          <w:p w14:paraId="36BC368E" w14:textId="745966F6"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An allowance appli</w:t>
            </w:r>
            <w:r w:rsidR="00AD1DC8" w:rsidRPr="007669E1">
              <w:rPr>
                <w:rFonts w:ascii="Segoe UI" w:hAnsi="Segoe UI" w:cs="Segoe UI"/>
                <w:sz w:val="18"/>
                <w:szCs w:val="18"/>
              </w:rPr>
              <w:t xml:space="preserve">cable </w:t>
            </w:r>
            <w:r w:rsidRPr="007669E1">
              <w:rPr>
                <w:rFonts w:ascii="Segoe UI" w:hAnsi="Segoe UI" w:cs="Segoe UI"/>
                <w:sz w:val="18"/>
                <w:szCs w:val="18"/>
              </w:rPr>
              <w:t xml:space="preserve">in case of illness, disability, or for persons whose spouse died or was injured in defense of the state. </w:t>
            </w:r>
            <w:r w:rsidR="00AD1DC8" w:rsidRPr="007669E1">
              <w:rPr>
                <w:rFonts w:ascii="Segoe UI" w:hAnsi="Segoe UI" w:cs="Segoe UI"/>
                <w:sz w:val="18"/>
                <w:szCs w:val="18"/>
              </w:rPr>
              <w:t xml:space="preserve">In 2019-2020 the allowance was 18,000 MDL; in 2021 – 18,900 MDL, in 2022 – 19, 800 MDL). </w:t>
            </w:r>
            <w:r w:rsidRPr="007669E1">
              <w:rPr>
                <w:rFonts w:ascii="Segoe UI" w:hAnsi="Segoe UI" w:cs="Segoe UI"/>
                <w:sz w:val="18"/>
                <w:szCs w:val="18"/>
              </w:rPr>
              <w:t>Applies only if the spouse does not benefit from personal exemption</w:t>
            </w:r>
            <w:r w:rsidR="00AD1DC8" w:rsidRPr="007669E1">
              <w:rPr>
                <w:rFonts w:ascii="Segoe UI" w:hAnsi="Segoe UI" w:cs="Segoe UI"/>
                <w:sz w:val="18"/>
                <w:szCs w:val="18"/>
              </w:rPr>
              <w:t>.</w:t>
            </w:r>
          </w:p>
        </w:tc>
      </w:tr>
      <w:tr w:rsidR="00002F93" w:rsidRPr="007669E1" w14:paraId="74966217" w14:textId="77777777" w:rsidTr="0092285E">
        <w:tc>
          <w:tcPr>
            <w:tcW w:w="2425" w:type="dxa"/>
          </w:tcPr>
          <w:p w14:paraId="3F24893C"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Tax Affected</w:t>
            </w:r>
          </w:p>
        </w:tc>
        <w:tc>
          <w:tcPr>
            <w:tcW w:w="7200" w:type="dxa"/>
            <w:gridSpan w:val="6"/>
          </w:tcPr>
          <w:p w14:paraId="77B1A1B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1B83AD85" w14:textId="77777777" w:rsidTr="0092285E">
        <w:tc>
          <w:tcPr>
            <w:tcW w:w="2425" w:type="dxa"/>
          </w:tcPr>
          <w:p w14:paraId="483E0092"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Beneficiaries</w:t>
            </w:r>
          </w:p>
        </w:tc>
        <w:tc>
          <w:tcPr>
            <w:tcW w:w="7200" w:type="dxa"/>
            <w:gridSpan w:val="6"/>
          </w:tcPr>
          <w:p w14:paraId="0DA8B064"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6EEF9FBA" w14:textId="77777777" w:rsidTr="0092285E">
        <w:tc>
          <w:tcPr>
            <w:tcW w:w="2425" w:type="dxa"/>
          </w:tcPr>
          <w:p w14:paraId="25A47BD8"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Measure</w:t>
            </w:r>
          </w:p>
        </w:tc>
        <w:tc>
          <w:tcPr>
            <w:tcW w:w="7200" w:type="dxa"/>
            <w:gridSpan w:val="6"/>
          </w:tcPr>
          <w:p w14:paraId="322FCD9C"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Deduction of taxable income</w:t>
            </w:r>
          </w:p>
        </w:tc>
      </w:tr>
      <w:tr w:rsidR="00002F93" w:rsidRPr="007669E1" w14:paraId="77661F71" w14:textId="77777777" w:rsidTr="0092285E">
        <w:tc>
          <w:tcPr>
            <w:tcW w:w="2425" w:type="dxa"/>
          </w:tcPr>
          <w:p w14:paraId="79CF9C67"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Reason why this Measure is not part of the Benchmark Tax System</w:t>
            </w:r>
          </w:p>
        </w:tc>
        <w:tc>
          <w:tcPr>
            <w:tcW w:w="7200" w:type="dxa"/>
            <w:gridSpan w:val="6"/>
          </w:tcPr>
          <w:p w14:paraId="2CB002BF" w14:textId="399B36B9" w:rsidR="00851A19" w:rsidRPr="007669E1" w:rsidRDefault="00851A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generated income should attract PIT at the flat rate of 12% if their combined income streams exceed the basic personal allowance of MDL 27,000 per year. A legislated lighter tax burden for surviving spouses or spouses with illness and disability constitutes a tax expenditure.</w:t>
            </w:r>
          </w:p>
        </w:tc>
      </w:tr>
      <w:tr w:rsidR="00002F93" w:rsidRPr="007669E1" w14:paraId="0D5295F3" w14:textId="77777777" w:rsidTr="0092285E">
        <w:tc>
          <w:tcPr>
            <w:tcW w:w="2425" w:type="dxa"/>
          </w:tcPr>
          <w:p w14:paraId="23D12BE3"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Legal Reference</w:t>
            </w:r>
          </w:p>
        </w:tc>
        <w:tc>
          <w:tcPr>
            <w:tcW w:w="7200" w:type="dxa"/>
            <w:gridSpan w:val="6"/>
          </w:tcPr>
          <w:p w14:paraId="2A8D646E" w14:textId="77777777" w:rsidR="00851A19" w:rsidRPr="007669E1" w:rsidRDefault="00851A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34 para. 2 of the TC</w:t>
            </w:r>
          </w:p>
        </w:tc>
      </w:tr>
      <w:tr w:rsidR="00002F93" w:rsidRPr="007669E1" w14:paraId="536AAEDF" w14:textId="77777777" w:rsidTr="0092285E">
        <w:trPr>
          <w:trHeight w:val="182"/>
        </w:trPr>
        <w:tc>
          <w:tcPr>
            <w:tcW w:w="2425" w:type="dxa"/>
            <w:vMerge w:val="restart"/>
          </w:tcPr>
          <w:p w14:paraId="344F316B"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Implementation, Objectives, and History</w:t>
            </w:r>
          </w:p>
        </w:tc>
        <w:tc>
          <w:tcPr>
            <w:tcW w:w="7200" w:type="dxa"/>
            <w:gridSpan w:val="6"/>
          </w:tcPr>
          <w:p w14:paraId="5D279ACE" w14:textId="77777777" w:rsidR="00851A19" w:rsidRPr="007669E1" w:rsidRDefault="00851A19" w:rsidP="00E90BA7">
            <w:pPr>
              <w:spacing w:before="20" w:after="20" w:line="240" w:lineRule="auto"/>
              <w:jc w:val="both"/>
              <w:rPr>
                <w:rFonts w:ascii="Segoe UI" w:hAnsi="Segoe UI" w:cs="Segoe UI"/>
                <w:sz w:val="18"/>
                <w:szCs w:val="18"/>
              </w:rPr>
            </w:pPr>
          </w:p>
        </w:tc>
      </w:tr>
      <w:tr w:rsidR="00002F93" w:rsidRPr="007669E1" w14:paraId="7C645D99" w14:textId="77777777" w:rsidTr="0092285E">
        <w:trPr>
          <w:trHeight w:val="182"/>
        </w:trPr>
        <w:tc>
          <w:tcPr>
            <w:tcW w:w="2425" w:type="dxa"/>
            <w:vMerge/>
          </w:tcPr>
          <w:p w14:paraId="3EC37947" w14:textId="77777777" w:rsidR="00851A19" w:rsidRPr="0049332E" w:rsidRDefault="00851A19" w:rsidP="00E90BA7">
            <w:pPr>
              <w:spacing w:before="20" w:after="20" w:line="240" w:lineRule="auto"/>
              <w:jc w:val="both"/>
              <w:rPr>
                <w:rFonts w:ascii="Segoe UI" w:hAnsi="Segoe UI" w:cs="Segoe UI"/>
                <w:b/>
                <w:bCs/>
                <w:sz w:val="18"/>
                <w:szCs w:val="18"/>
              </w:rPr>
            </w:pPr>
          </w:p>
        </w:tc>
        <w:tc>
          <w:tcPr>
            <w:tcW w:w="3462" w:type="dxa"/>
            <w:gridSpan w:val="3"/>
          </w:tcPr>
          <w:p w14:paraId="6C107195" w14:textId="77777777" w:rsidR="00851A19" w:rsidRPr="007669E1" w:rsidRDefault="00851A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4DE24455" w14:textId="28D1B8B2" w:rsidR="00851A19"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134F2409" w14:textId="77777777" w:rsidTr="0092285E">
        <w:tc>
          <w:tcPr>
            <w:tcW w:w="2425" w:type="dxa"/>
          </w:tcPr>
          <w:p w14:paraId="3167A5ED"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Source of Data</w:t>
            </w:r>
          </w:p>
        </w:tc>
        <w:tc>
          <w:tcPr>
            <w:tcW w:w="7200" w:type="dxa"/>
            <w:gridSpan w:val="6"/>
          </w:tcPr>
          <w:p w14:paraId="70554BF0" w14:textId="77777777" w:rsidR="00851A19" w:rsidRPr="007669E1" w:rsidRDefault="00851A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return</w:t>
            </w:r>
          </w:p>
        </w:tc>
      </w:tr>
      <w:tr w:rsidR="00002F93" w:rsidRPr="007669E1" w14:paraId="52277DA8" w14:textId="77777777" w:rsidTr="0092285E">
        <w:tc>
          <w:tcPr>
            <w:tcW w:w="2425" w:type="dxa"/>
          </w:tcPr>
          <w:p w14:paraId="5E262BD5"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Estimation Method</w:t>
            </w:r>
          </w:p>
        </w:tc>
        <w:tc>
          <w:tcPr>
            <w:tcW w:w="7200" w:type="dxa"/>
            <w:gridSpan w:val="6"/>
          </w:tcPr>
          <w:p w14:paraId="796C7DEA" w14:textId="77777777" w:rsidR="00851A19" w:rsidRPr="007669E1" w:rsidRDefault="00851A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w:t>
            </w:r>
          </w:p>
        </w:tc>
      </w:tr>
      <w:tr w:rsidR="00002F93" w:rsidRPr="007669E1" w14:paraId="10EBA1E0" w14:textId="77777777" w:rsidTr="0092285E">
        <w:tc>
          <w:tcPr>
            <w:tcW w:w="2425" w:type="dxa"/>
          </w:tcPr>
          <w:p w14:paraId="500C756A"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Number of Beneficiaries</w:t>
            </w:r>
          </w:p>
        </w:tc>
        <w:tc>
          <w:tcPr>
            <w:tcW w:w="7200" w:type="dxa"/>
            <w:gridSpan w:val="6"/>
          </w:tcPr>
          <w:p w14:paraId="0901461E" w14:textId="77777777" w:rsidR="00851A19" w:rsidRPr="007669E1" w:rsidRDefault="00851A19" w:rsidP="00E90BA7">
            <w:pPr>
              <w:spacing w:before="20" w:after="20" w:line="240" w:lineRule="auto"/>
              <w:jc w:val="both"/>
              <w:rPr>
                <w:rFonts w:ascii="Segoe UI" w:hAnsi="Segoe UI" w:cs="Segoe UI"/>
                <w:sz w:val="18"/>
                <w:szCs w:val="18"/>
              </w:rPr>
            </w:pPr>
          </w:p>
        </w:tc>
      </w:tr>
      <w:tr w:rsidR="00002F93" w:rsidRPr="007669E1" w14:paraId="3128A188" w14:textId="77777777" w:rsidTr="0092285E">
        <w:tc>
          <w:tcPr>
            <w:tcW w:w="2425" w:type="dxa"/>
          </w:tcPr>
          <w:p w14:paraId="3AADD1F6"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Revenue Cost Reporting</w:t>
            </w:r>
          </w:p>
        </w:tc>
        <w:tc>
          <w:tcPr>
            <w:tcW w:w="7200" w:type="dxa"/>
            <w:gridSpan w:val="6"/>
          </w:tcPr>
          <w:p w14:paraId="395C9E10" w14:textId="1A835D5D" w:rsidR="00851A19" w:rsidRPr="007669E1" w:rsidRDefault="1F26623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851A19" w:rsidRPr="007669E1">
              <w:rPr>
                <w:rFonts w:ascii="Segoe UI" w:hAnsi="Segoe UI" w:cs="Segoe UI"/>
                <w:sz w:val="18"/>
                <w:szCs w:val="18"/>
              </w:rPr>
              <w:t xml:space="preserve"> MDL</w:t>
            </w:r>
          </w:p>
        </w:tc>
      </w:tr>
      <w:tr w:rsidR="00002F93" w:rsidRPr="007669E1" w14:paraId="6CC7D512" w14:textId="77777777" w:rsidTr="0092285E">
        <w:trPr>
          <w:trHeight w:val="91"/>
        </w:trPr>
        <w:tc>
          <w:tcPr>
            <w:tcW w:w="2425" w:type="dxa"/>
            <w:vMerge w:val="restart"/>
          </w:tcPr>
          <w:p w14:paraId="7EC9B073" w14:textId="77777777" w:rsidR="00851A19" w:rsidRPr="0049332E" w:rsidRDefault="00851A19" w:rsidP="00E90BA7">
            <w:pPr>
              <w:spacing w:before="20" w:after="20" w:line="240" w:lineRule="auto"/>
              <w:jc w:val="both"/>
              <w:rPr>
                <w:rFonts w:ascii="Segoe UI" w:hAnsi="Segoe UI" w:cs="Segoe UI"/>
                <w:b/>
                <w:bCs/>
                <w:sz w:val="18"/>
                <w:szCs w:val="18"/>
              </w:rPr>
            </w:pPr>
          </w:p>
        </w:tc>
        <w:tc>
          <w:tcPr>
            <w:tcW w:w="1385" w:type="dxa"/>
          </w:tcPr>
          <w:p w14:paraId="1A832803"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2018</w:t>
            </w:r>
          </w:p>
        </w:tc>
        <w:tc>
          <w:tcPr>
            <w:tcW w:w="1385" w:type="dxa"/>
          </w:tcPr>
          <w:p w14:paraId="34A2B4DC"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2019</w:t>
            </w:r>
          </w:p>
        </w:tc>
        <w:tc>
          <w:tcPr>
            <w:tcW w:w="1385" w:type="dxa"/>
            <w:gridSpan w:val="2"/>
          </w:tcPr>
          <w:p w14:paraId="6101377C"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2020</w:t>
            </w:r>
          </w:p>
        </w:tc>
        <w:tc>
          <w:tcPr>
            <w:tcW w:w="1385" w:type="dxa"/>
          </w:tcPr>
          <w:p w14:paraId="06BA688A" w14:textId="77777777" w:rsidR="00851A19" w:rsidRPr="0049332E" w:rsidRDefault="00851A19"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2021</w:t>
            </w:r>
          </w:p>
        </w:tc>
        <w:tc>
          <w:tcPr>
            <w:tcW w:w="1660" w:type="dxa"/>
          </w:tcPr>
          <w:p w14:paraId="38493D77" w14:textId="1D9B215F" w:rsidR="00851A19" w:rsidRPr="0049332E" w:rsidRDefault="000C00AF"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2022</w:t>
            </w:r>
          </w:p>
        </w:tc>
      </w:tr>
      <w:tr w:rsidR="00A2051E" w:rsidRPr="007669E1" w14:paraId="191BEE54" w14:textId="77777777" w:rsidTr="25EE63F0">
        <w:trPr>
          <w:trHeight w:val="91"/>
        </w:trPr>
        <w:tc>
          <w:tcPr>
            <w:tcW w:w="2425" w:type="dxa"/>
            <w:vMerge/>
          </w:tcPr>
          <w:p w14:paraId="49460162" w14:textId="77777777" w:rsidR="00851A19" w:rsidRPr="007669E1" w:rsidRDefault="00851A19" w:rsidP="00E90BA7">
            <w:pPr>
              <w:spacing w:before="20" w:after="20" w:line="240" w:lineRule="auto"/>
              <w:jc w:val="both"/>
              <w:rPr>
                <w:rFonts w:ascii="Segoe UI" w:hAnsi="Segoe UI" w:cs="Segoe UI"/>
                <w:sz w:val="18"/>
                <w:szCs w:val="18"/>
              </w:rPr>
            </w:pPr>
          </w:p>
        </w:tc>
        <w:tc>
          <w:tcPr>
            <w:tcW w:w="1385" w:type="dxa"/>
          </w:tcPr>
          <w:p w14:paraId="1DAFF188" w14:textId="7AE998FF" w:rsidR="00851A19" w:rsidRPr="007669E1" w:rsidRDefault="00D531F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tcPr>
          <w:p w14:paraId="01D1BB96" w14:textId="74A5A8D9" w:rsidR="00851A19" w:rsidRPr="007669E1" w:rsidRDefault="00D531F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gridSpan w:val="2"/>
          </w:tcPr>
          <w:p w14:paraId="16438192" w14:textId="4809B2CE" w:rsidR="00851A19" w:rsidRPr="007669E1" w:rsidRDefault="00851A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11</w:t>
            </w:r>
            <w:r w:rsidR="7657E81E" w:rsidRPr="007669E1">
              <w:rPr>
                <w:rFonts w:ascii="Segoe UI" w:hAnsi="Segoe UI" w:cs="Segoe UI"/>
                <w:sz w:val="18"/>
                <w:szCs w:val="18"/>
              </w:rPr>
              <w:t>,</w:t>
            </w:r>
            <w:r w:rsidR="23B174AD" w:rsidRPr="007669E1">
              <w:rPr>
                <w:rFonts w:ascii="Segoe UI" w:hAnsi="Segoe UI" w:cs="Segoe UI"/>
                <w:sz w:val="18"/>
                <w:szCs w:val="18"/>
              </w:rPr>
              <w:t>9</w:t>
            </w:r>
            <w:r w:rsidR="00C4B12F" w:rsidRPr="007669E1">
              <w:rPr>
                <w:rFonts w:ascii="Segoe UI" w:hAnsi="Segoe UI" w:cs="Segoe UI"/>
                <w:sz w:val="18"/>
                <w:szCs w:val="18"/>
              </w:rPr>
              <w:t>00.0</w:t>
            </w:r>
          </w:p>
        </w:tc>
        <w:tc>
          <w:tcPr>
            <w:tcW w:w="1385" w:type="dxa"/>
            <w:shd w:val="clear" w:color="auto" w:fill="E6E6E6"/>
          </w:tcPr>
          <w:p w14:paraId="36CE6E38" w14:textId="7D67E709" w:rsidR="00851A19" w:rsidRPr="007669E1" w:rsidRDefault="00851A19"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13</w:t>
            </w:r>
            <w:r w:rsidR="5F350E9A" w:rsidRPr="007669E1">
              <w:rPr>
                <w:rFonts w:ascii="Segoe UI" w:hAnsi="Segoe UI" w:cs="Segoe UI"/>
                <w:i/>
                <w:sz w:val="18"/>
                <w:szCs w:val="18"/>
              </w:rPr>
              <w:t>,</w:t>
            </w:r>
            <w:r w:rsidR="23B174AD" w:rsidRPr="007669E1">
              <w:rPr>
                <w:rFonts w:ascii="Segoe UI" w:hAnsi="Segoe UI" w:cs="Segoe UI"/>
                <w:i/>
                <w:sz w:val="18"/>
                <w:szCs w:val="18"/>
              </w:rPr>
              <w:t>5</w:t>
            </w:r>
            <w:r w:rsidR="5F350E9A" w:rsidRPr="007669E1">
              <w:rPr>
                <w:rFonts w:ascii="Segoe UI" w:hAnsi="Segoe UI" w:cs="Segoe UI"/>
                <w:i/>
                <w:sz w:val="18"/>
                <w:szCs w:val="18"/>
              </w:rPr>
              <w:t>00.0</w:t>
            </w:r>
          </w:p>
        </w:tc>
        <w:tc>
          <w:tcPr>
            <w:tcW w:w="1660" w:type="dxa"/>
            <w:shd w:val="clear" w:color="auto" w:fill="E6E6E6"/>
          </w:tcPr>
          <w:p w14:paraId="28672C51" w14:textId="4DEFAB40" w:rsidR="00851A19" w:rsidRPr="007669E1" w:rsidRDefault="00851A19"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14</w:t>
            </w:r>
            <w:r w:rsidR="76BE1AE6" w:rsidRPr="007669E1">
              <w:rPr>
                <w:rFonts w:ascii="Segoe UI" w:hAnsi="Segoe UI" w:cs="Segoe UI"/>
                <w:i/>
                <w:sz w:val="18"/>
                <w:szCs w:val="18"/>
              </w:rPr>
              <w:t>,</w:t>
            </w:r>
            <w:r w:rsidR="23B174AD" w:rsidRPr="007669E1">
              <w:rPr>
                <w:rFonts w:ascii="Segoe UI" w:hAnsi="Segoe UI" w:cs="Segoe UI"/>
                <w:i/>
                <w:sz w:val="18"/>
                <w:szCs w:val="18"/>
              </w:rPr>
              <w:t>8</w:t>
            </w:r>
            <w:r w:rsidR="76BE1AE6" w:rsidRPr="007669E1">
              <w:rPr>
                <w:rFonts w:ascii="Segoe UI" w:hAnsi="Segoe UI" w:cs="Segoe UI"/>
                <w:i/>
                <w:sz w:val="18"/>
                <w:szCs w:val="18"/>
              </w:rPr>
              <w:t>00.0</w:t>
            </w:r>
          </w:p>
        </w:tc>
      </w:tr>
    </w:tbl>
    <w:p w14:paraId="7BD88372" w14:textId="33F6EB69" w:rsidR="00D531F1" w:rsidRPr="007669E1" w:rsidRDefault="00D531F1"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2020 are based on actual data</w:t>
      </w:r>
      <w:r w:rsidR="00854A4A" w:rsidRPr="007669E1">
        <w:rPr>
          <w:rFonts w:ascii="Segoe UI" w:hAnsi="Segoe UI" w:cs="Segoe UI"/>
          <w:sz w:val="18"/>
          <w:szCs w:val="18"/>
        </w:rPr>
        <w:t>;</w:t>
      </w:r>
      <w:r w:rsidRPr="007669E1">
        <w:rPr>
          <w:rFonts w:ascii="Segoe UI" w:hAnsi="Segoe UI" w:cs="Segoe UI"/>
          <w:sz w:val="18"/>
          <w:szCs w:val="18"/>
        </w:rPr>
        <w:t xml:space="preserve"> figures for 2021 and 2022 are projected based on 2020.</w:t>
      </w:r>
    </w:p>
    <w:p w14:paraId="5F92CA41" w14:textId="77777777" w:rsidR="00280E00" w:rsidRPr="007669E1" w:rsidRDefault="00280E0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9332E" w14:paraId="5896E934" w14:textId="77777777" w:rsidTr="0092285E">
        <w:tc>
          <w:tcPr>
            <w:tcW w:w="9625" w:type="dxa"/>
            <w:gridSpan w:val="7"/>
            <w:shd w:val="clear" w:color="auto" w:fill="D9D9D9" w:themeFill="background1" w:themeFillShade="D9"/>
          </w:tcPr>
          <w:p w14:paraId="0D3580B2" w14:textId="2E3803C8"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30. Allowance for a child and other dependent</w:t>
            </w:r>
          </w:p>
        </w:tc>
      </w:tr>
      <w:tr w:rsidR="00002F93" w:rsidRPr="007669E1" w14:paraId="6CF9A4D6" w14:textId="77777777" w:rsidTr="0092285E">
        <w:tc>
          <w:tcPr>
            <w:tcW w:w="2425" w:type="dxa"/>
          </w:tcPr>
          <w:p w14:paraId="307D671A"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Description</w:t>
            </w:r>
          </w:p>
        </w:tc>
        <w:tc>
          <w:tcPr>
            <w:tcW w:w="7200" w:type="dxa"/>
            <w:gridSpan w:val="6"/>
          </w:tcPr>
          <w:p w14:paraId="55E929E9" w14:textId="427862E6" w:rsidR="00280E00" w:rsidRPr="007669E1" w:rsidRDefault="0038069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allowance is granted for each child and other dependents of the taxpayer. </w:t>
            </w:r>
            <w:r w:rsidR="00280E00" w:rsidRPr="007669E1">
              <w:rPr>
                <w:rFonts w:ascii="Segoe UI" w:hAnsi="Segoe UI" w:cs="Segoe UI"/>
                <w:sz w:val="18"/>
                <w:szCs w:val="18"/>
              </w:rPr>
              <w:t xml:space="preserve">An allowance </w:t>
            </w:r>
            <w:r w:rsidR="007D57C9" w:rsidRPr="007669E1">
              <w:rPr>
                <w:rFonts w:ascii="Segoe UI" w:hAnsi="Segoe UI" w:cs="Segoe UI"/>
                <w:sz w:val="18"/>
                <w:szCs w:val="18"/>
              </w:rPr>
              <w:t>wa</w:t>
            </w:r>
            <w:r w:rsidR="00280E00" w:rsidRPr="007669E1">
              <w:rPr>
                <w:rFonts w:ascii="Segoe UI" w:hAnsi="Segoe UI" w:cs="Segoe UI"/>
                <w:sz w:val="18"/>
                <w:szCs w:val="18"/>
              </w:rPr>
              <w:t>s 3</w:t>
            </w:r>
            <w:r w:rsidR="00EC6A78" w:rsidRPr="007669E1">
              <w:rPr>
                <w:rFonts w:ascii="Segoe UI" w:hAnsi="Segoe UI" w:cs="Segoe UI"/>
                <w:sz w:val="18"/>
                <w:szCs w:val="18"/>
              </w:rPr>
              <w:t>,</w:t>
            </w:r>
            <w:r w:rsidR="00280E00" w:rsidRPr="007669E1">
              <w:rPr>
                <w:rFonts w:ascii="Segoe UI" w:hAnsi="Segoe UI" w:cs="Segoe UI"/>
                <w:sz w:val="18"/>
                <w:szCs w:val="18"/>
              </w:rPr>
              <w:t xml:space="preserve">000 </w:t>
            </w:r>
            <w:r w:rsidR="00D51E9B" w:rsidRPr="007669E1">
              <w:rPr>
                <w:rFonts w:ascii="Segoe UI" w:hAnsi="Segoe UI" w:cs="Segoe UI"/>
                <w:sz w:val="18"/>
                <w:szCs w:val="18"/>
              </w:rPr>
              <w:t>MD</w:t>
            </w:r>
            <w:r w:rsidR="00330AAE" w:rsidRPr="007669E1">
              <w:rPr>
                <w:rFonts w:ascii="Segoe UI" w:hAnsi="Segoe UI" w:cs="Segoe UI"/>
                <w:sz w:val="18"/>
                <w:szCs w:val="18"/>
              </w:rPr>
              <w:t>L</w:t>
            </w:r>
            <w:r w:rsidR="00280E00" w:rsidRPr="007669E1">
              <w:rPr>
                <w:rFonts w:ascii="Segoe UI" w:hAnsi="Segoe UI" w:cs="Segoe UI"/>
                <w:sz w:val="18"/>
                <w:szCs w:val="18"/>
              </w:rPr>
              <w:t xml:space="preserve"> for period 2019-2020; in 2021 it was 4</w:t>
            </w:r>
            <w:r w:rsidR="00EC6A78" w:rsidRPr="007669E1">
              <w:rPr>
                <w:rFonts w:ascii="Segoe UI" w:hAnsi="Segoe UI" w:cs="Segoe UI"/>
                <w:sz w:val="18"/>
                <w:szCs w:val="18"/>
              </w:rPr>
              <w:t>,</w:t>
            </w:r>
            <w:r w:rsidR="00280E00" w:rsidRPr="007669E1">
              <w:rPr>
                <w:rFonts w:ascii="Segoe UI" w:hAnsi="Segoe UI" w:cs="Segoe UI"/>
                <w:sz w:val="18"/>
                <w:szCs w:val="18"/>
              </w:rPr>
              <w:t xml:space="preserve">500 </w:t>
            </w:r>
            <w:r w:rsidR="00D51E9B" w:rsidRPr="007669E1">
              <w:rPr>
                <w:rFonts w:ascii="Segoe UI" w:hAnsi="Segoe UI" w:cs="Segoe UI"/>
                <w:sz w:val="18"/>
                <w:szCs w:val="18"/>
              </w:rPr>
              <w:t>MD</w:t>
            </w:r>
            <w:r w:rsidR="00330AAE" w:rsidRPr="007669E1">
              <w:rPr>
                <w:rFonts w:ascii="Segoe UI" w:hAnsi="Segoe UI" w:cs="Segoe UI"/>
                <w:sz w:val="18"/>
                <w:szCs w:val="18"/>
              </w:rPr>
              <w:t>L</w:t>
            </w:r>
            <w:r w:rsidR="00280E00" w:rsidRPr="007669E1">
              <w:rPr>
                <w:rFonts w:ascii="Segoe UI" w:hAnsi="Segoe UI" w:cs="Segoe UI"/>
                <w:sz w:val="18"/>
                <w:szCs w:val="18"/>
              </w:rPr>
              <w:t xml:space="preserve">; </w:t>
            </w:r>
            <w:r w:rsidR="00EC6A78" w:rsidRPr="007669E1">
              <w:rPr>
                <w:rFonts w:ascii="Segoe UI" w:hAnsi="Segoe UI" w:cs="Segoe UI"/>
                <w:sz w:val="18"/>
                <w:szCs w:val="18"/>
              </w:rPr>
              <w:t xml:space="preserve">in </w:t>
            </w:r>
            <w:r w:rsidR="00280E00" w:rsidRPr="007669E1">
              <w:rPr>
                <w:rFonts w:ascii="Segoe UI" w:hAnsi="Segoe UI" w:cs="Segoe UI"/>
                <w:sz w:val="18"/>
                <w:szCs w:val="18"/>
              </w:rPr>
              <w:t>2022</w:t>
            </w:r>
            <w:r w:rsidR="009A127B" w:rsidRPr="007669E1">
              <w:rPr>
                <w:rFonts w:ascii="Segoe UI" w:hAnsi="Segoe UI" w:cs="Segoe UI"/>
                <w:sz w:val="18"/>
                <w:szCs w:val="18"/>
              </w:rPr>
              <w:t xml:space="preserve"> it was </w:t>
            </w:r>
            <w:r w:rsidR="00280E00" w:rsidRPr="007669E1">
              <w:rPr>
                <w:rFonts w:ascii="Segoe UI" w:hAnsi="Segoe UI" w:cs="Segoe UI"/>
                <w:sz w:val="18"/>
                <w:szCs w:val="18"/>
              </w:rPr>
              <w:t>9</w:t>
            </w:r>
            <w:r w:rsidR="00EC6A78" w:rsidRPr="007669E1">
              <w:rPr>
                <w:rFonts w:ascii="Segoe UI" w:hAnsi="Segoe UI" w:cs="Segoe UI"/>
                <w:sz w:val="18"/>
                <w:szCs w:val="18"/>
              </w:rPr>
              <w:t>,</w:t>
            </w:r>
            <w:r w:rsidR="00280E00" w:rsidRPr="007669E1">
              <w:rPr>
                <w:rFonts w:ascii="Segoe UI" w:hAnsi="Segoe UI" w:cs="Segoe UI"/>
                <w:sz w:val="18"/>
                <w:szCs w:val="18"/>
              </w:rPr>
              <w:t xml:space="preserve">000 </w:t>
            </w:r>
            <w:r w:rsidR="00D51E9B" w:rsidRPr="007669E1">
              <w:rPr>
                <w:rFonts w:ascii="Segoe UI" w:hAnsi="Segoe UI" w:cs="Segoe UI"/>
                <w:sz w:val="18"/>
                <w:szCs w:val="18"/>
              </w:rPr>
              <w:t>MD</w:t>
            </w:r>
            <w:r w:rsidR="00330AAE" w:rsidRPr="007669E1">
              <w:rPr>
                <w:rFonts w:ascii="Segoe UI" w:hAnsi="Segoe UI" w:cs="Segoe UI"/>
                <w:sz w:val="18"/>
                <w:szCs w:val="18"/>
              </w:rPr>
              <w:t>L</w:t>
            </w:r>
            <w:r w:rsidR="00F819CA" w:rsidRPr="007669E1">
              <w:rPr>
                <w:rFonts w:ascii="Segoe UI" w:hAnsi="Segoe UI" w:cs="Segoe UI"/>
                <w:sz w:val="18"/>
                <w:szCs w:val="18"/>
              </w:rPr>
              <w:t xml:space="preserve">. </w:t>
            </w:r>
          </w:p>
        </w:tc>
      </w:tr>
      <w:tr w:rsidR="00002F93" w:rsidRPr="007669E1" w14:paraId="382EFE74" w14:textId="77777777" w:rsidTr="0092285E">
        <w:tc>
          <w:tcPr>
            <w:tcW w:w="2425" w:type="dxa"/>
          </w:tcPr>
          <w:p w14:paraId="403593BD"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Tax Affected</w:t>
            </w:r>
          </w:p>
        </w:tc>
        <w:tc>
          <w:tcPr>
            <w:tcW w:w="7200" w:type="dxa"/>
            <w:gridSpan w:val="6"/>
          </w:tcPr>
          <w:p w14:paraId="6271860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384ECBC8" w14:textId="77777777" w:rsidTr="0092285E">
        <w:tc>
          <w:tcPr>
            <w:tcW w:w="2425" w:type="dxa"/>
          </w:tcPr>
          <w:p w14:paraId="7DE4680D"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Beneficiaries</w:t>
            </w:r>
          </w:p>
        </w:tc>
        <w:tc>
          <w:tcPr>
            <w:tcW w:w="7200" w:type="dxa"/>
            <w:gridSpan w:val="6"/>
          </w:tcPr>
          <w:p w14:paraId="3E78B89A"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Taxpayers with a child(ren) and dependents</w:t>
            </w:r>
          </w:p>
        </w:tc>
      </w:tr>
      <w:tr w:rsidR="00002F93" w:rsidRPr="007669E1" w14:paraId="72C030BF" w14:textId="77777777" w:rsidTr="0092285E">
        <w:tc>
          <w:tcPr>
            <w:tcW w:w="2425" w:type="dxa"/>
          </w:tcPr>
          <w:p w14:paraId="41EC7758"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Measure</w:t>
            </w:r>
          </w:p>
        </w:tc>
        <w:tc>
          <w:tcPr>
            <w:tcW w:w="7200" w:type="dxa"/>
            <w:gridSpan w:val="6"/>
          </w:tcPr>
          <w:p w14:paraId="27AB53F2"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Deduction of taxable income</w:t>
            </w:r>
          </w:p>
        </w:tc>
      </w:tr>
      <w:tr w:rsidR="00002F93" w:rsidRPr="007669E1" w14:paraId="1023951B" w14:textId="77777777" w:rsidTr="0092285E">
        <w:tc>
          <w:tcPr>
            <w:tcW w:w="2425" w:type="dxa"/>
          </w:tcPr>
          <w:p w14:paraId="521AF450"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Reason why this Measure is not part of the Benchmark Tax System</w:t>
            </w:r>
          </w:p>
        </w:tc>
        <w:tc>
          <w:tcPr>
            <w:tcW w:w="7200" w:type="dxa"/>
            <w:gridSpan w:val="6"/>
          </w:tcPr>
          <w:p w14:paraId="6F1B94AD" w14:textId="3510BD91"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Through accessing this additional allowance of a capped amount, an individual with children or dependents can reduce his/her tax liability, to a greater extent than taxpayers without children or dependents, translating into a lower tax burden than in the standard PIT regime</w:t>
            </w:r>
            <w:r w:rsidR="00851A19" w:rsidRPr="007669E1">
              <w:rPr>
                <w:rFonts w:ascii="Segoe UI" w:hAnsi="Segoe UI" w:cs="Segoe UI"/>
                <w:sz w:val="18"/>
                <w:szCs w:val="18"/>
              </w:rPr>
              <w:t xml:space="preserve">. This is a tax </w:t>
            </w:r>
            <w:r w:rsidR="001D20E0" w:rsidRPr="007669E1">
              <w:rPr>
                <w:rFonts w:ascii="Segoe UI" w:hAnsi="Segoe UI" w:cs="Segoe UI"/>
                <w:sz w:val="18"/>
                <w:szCs w:val="18"/>
              </w:rPr>
              <w:t>expenditure</w:t>
            </w:r>
            <w:r w:rsidR="00851A19" w:rsidRPr="007669E1">
              <w:rPr>
                <w:rFonts w:ascii="Segoe UI" w:hAnsi="Segoe UI" w:cs="Segoe UI"/>
                <w:sz w:val="18"/>
                <w:szCs w:val="18"/>
              </w:rPr>
              <w:t>.</w:t>
            </w:r>
          </w:p>
        </w:tc>
      </w:tr>
      <w:tr w:rsidR="00002F93" w:rsidRPr="007669E1" w14:paraId="2144D101" w14:textId="77777777" w:rsidTr="0092285E">
        <w:tc>
          <w:tcPr>
            <w:tcW w:w="2425" w:type="dxa"/>
          </w:tcPr>
          <w:p w14:paraId="401BE1C9"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Legal Reference</w:t>
            </w:r>
          </w:p>
        </w:tc>
        <w:tc>
          <w:tcPr>
            <w:tcW w:w="7200" w:type="dxa"/>
            <w:gridSpan w:val="6"/>
          </w:tcPr>
          <w:p w14:paraId="08B19F9C"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35 of the TC</w:t>
            </w:r>
          </w:p>
        </w:tc>
      </w:tr>
      <w:tr w:rsidR="00002F93" w:rsidRPr="007669E1" w14:paraId="527B6EB7" w14:textId="77777777" w:rsidTr="0092285E">
        <w:trPr>
          <w:trHeight w:val="182"/>
        </w:trPr>
        <w:tc>
          <w:tcPr>
            <w:tcW w:w="2425" w:type="dxa"/>
            <w:vMerge w:val="restart"/>
          </w:tcPr>
          <w:p w14:paraId="6812E914"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Implementation, Objectives, and History</w:t>
            </w:r>
          </w:p>
        </w:tc>
        <w:tc>
          <w:tcPr>
            <w:tcW w:w="7200" w:type="dxa"/>
            <w:gridSpan w:val="6"/>
          </w:tcPr>
          <w:p w14:paraId="38849CAD"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70F529D3" w14:textId="77777777" w:rsidTr="0092285E">
        <w:trPr>
          <w:trHeight w:val="182"/>
        </w:trPr>
        <w:tc>
          <w:tcPr>
            <w:tcW w:w="2425" w:type="dxa"/>
            <w:vMerge/>
          </w:tcPr>
          <w:p w14:paraId="64534276" w14:textId="77777777" w:rsidR="00280E00" w:rsidRPr="0049332E" w:rsidRDefault="00280E00" w:rsidP="00E90BA7">
            <w:pPr>
              <w:spacing w:before="20" w:after="20" w:line="240" w:lineRule="auto"/>
              <w:jc w:val="both"/>
              <w:rPr>
                <w:rFonts w:ascii="Segoe UI" w:hAnsi="Segoe UI" w:cs="Segoe UI"/>
                <w:b/>
                <w:bCs/>
                <w:sz w:val="18"/>
                <w:szCs w:val="18"/>
              </w:rPr>
            </w:pPr>
          </w:p>
        </w:tc>
        <w:tc>
          <w:tcPr>
            <w:tcW w:w="3462" w:type="dxa"/>
            <w:gridSpan w:val="3"/>
          </w:tcPr>
          <w:p w14:paraId="69299CDB"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7C735E4A" w14:textId="10A758D0"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10C5CC93" w14:textId="77777777" w:rsidTr="0092285E">
        <w:tc>
          <w:tcPr>
            <w:tcW w:w="2425" w:type="dxa"/>
          </w:tcPr>
          <w:p w14:paraId="0852880E"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lastRenderedPageBreak/>
              <w:t>Source of Data</w:t>
            </w:r>
          </w:p>
        </w:tc>
        <w:tc>
          <w:tcPr>
            <w:tcW w:w="7200" w:type="dxa"/>
            <w:gridSpan w:val="6"/>
          </w:tcPr>
          <w:p w14:paraId="613A3310"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return</w:t>
            </w:r>
          </w:p>
        </w:tc>
      </w:tr>
      <w:tr w:rsidR="00002F93" w:rsidRPr="007669E1" w14:paraId="416E54E1" w14:textId="77777777" w:rsidTr="0092285E">
        <w:tc>
          <w:tcPr>
            <w:tcW w:w="2425" w:type="dxa"/>
          </w:tcPr>
          <w:p w14:paraId="0F45DC20"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Estimation Method</w:t>
            </w:r>
          </w:p>
        </w:tc>
        <w:tc>
          <w:tcPr>
            <w:tcW w:w="7200" w:type="dxa"/>
            <w:gridSpan w:val="6"/>
          </w:tcPr>
          <w:p w14:paraId="061A7E5C"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w:t>
            </w:r>
          </w:p>
        </w:tc>
      </w:tr>
      <w:tr w:rsidR="00002F93" w:rsidRPr="007669E1" w14:paraId="44B56AC2" w14:textId="77777777" w:rsidTr="0092285E">
        <w:tc>
          <w:tcPr>
            <w:tcW w:w="2425" w:type="dxa"/>
          </w:tcPr>
          <w:p w14:paraId="40BB2430"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Number of Beneficiaries</w:t>
            </w:r>
          </w:p>
        </w:tc>
        <w:tc>
          <w:tcPr>
            <w:tcW w:w="7200" w:type="dxa"/>
            <w:gridSpan w:val="6"/>
          </w:tcPr>
          <w:p w14:paraId="66682738"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12E495EE" w14:textId="77777777" w:rsidTr="0092285E">
        <w:tc>
          <w:tcPr>
            <w:tcW w:w="2425" w:type="dxa"/>
          </w:tcPr>
          <w:p w14:paraId="7ECD5F07"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Revenue Cost Reporting</w:t>
            </w:r>
          </w:p>
        </w:tc>
        <w:tc>
          <w:tcPr>
            <w:tcW w:w="7200" w:type="dxa"/>
            <w:gridSpan w:val="6"/>
          </w:tcPr>
          <w:p w14:paraId="27C3857B" w14:textId="4E24F2AE" w:rsidR="00280E00" w:rsidRPr="007669E1" w:rsidRDefault="77233E4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002F93" w:rsidRPr="007669E1" w14:paraId="06671CFC" w14:textId="77777777" w:rsidTr="0092285E">
        <w:trPr>
          <w:trHeight w:val="91"/>
        </w:trPr>
        <w:tc>
          <w:tcPr>
            <w:tcW w:w="2425" w:type="dxa"/>
            <w:vMerge w:val="restart"/>
          </w:tcPr>
          <w:p w14:paraId="6658818F"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6C6F2A55"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2018</w:t>
            </w:r>
          </w:p>
        </w:tc>
        <w:tc>
          <w:tcPr>
            <w:tcW w:w="1385" w:type="dxa"/>
          </w:tcPr>
          <w:p w14:paraId="7FB7E17B"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2019</w:t>
            </w:r>
          </w:p>
        </w:tc>
        <w:tc>
          <w:tcPr>
            <w:tcW w:w="1385" w:type="dxa"/>
            <w:gridSpan w:val="2"/>
          </w:tcPr>
          <w:p w14:paraId="4C522D62"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2020</w:t>
            </w:r>
          </w:p>
        </w:tc>
        <w:tc>
          <w:tcPr>
            <w:tcW w:w="1385" w:type="dxa"/>
          </w:tcPr>
          <w:p w14:paraId="07A3F2A1"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2021</w:t>
            </w:r>
          </w:p>
        </w:tc>
        <w:tc>
          <w:tcPr>
            <w:tcW w:w="1660" w:type="dxa"/>
          </w:tcPr>
          <w:p w14:paraId="379FBECA" w14:textId="59FE27CE" w:rsidR="00280E00" w:rsidRPr="0049332E" w:rsidRDefault="000C00AF"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2022</w:t>
            </w:r>
          </w:p>
        </w:tc>
      </w:tr>
      <w:tr w:rsidR="00A2051E" w:rsidRPr="007669E1" w14:paraId="1CBB1857" w14:textId="77777777" w:rsidTr="3D665D41">
        <w:trPr>
          <w:trHeight w:val="91"/>
        </w:trPr>
        <w:tc>
          <w:tcPr>
            <w:tcW w:w="2425" w:type="dxa"/>
            <w:vMerge/>
          </w:tcPr>
          <w:p w14:paraId="3CCF9B9B"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03915BA9" w14:textId="76157388" w:rsidR="00280E00" w:rsidRPr="007669E1" w:rsidRDefault="00D41B5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tcPr>
          <w:p w14:paraId="7A760768" w14:textId="44C1D67C" w:rsidR="00280E00" w:rsidRPr="007669E1" w:rsidRDefault="00D41B5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gridSpan w:val="2"/>
          </w:tcPr>
          <w:p w14:paraId="1FECEE6F" w14:textId="532DFB86"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131</w:t>
            </w:r>
            <w:r w:rsidR="5BF434A9" w:rsidRPr="007669E1">
              <w:rPr>
                <w:rFonts w:ascii="Segoe UI" w:hAnsi="Segoe UI" w:cs="Segoe UI"/>
                <w:sz w:val="18"/>
                <w:szCs w:val="18"/>
              </w:rPr>
              <w:t>,</w:t>
            </w:r>
            <w:r w:rsidRPr="007669E1">
              <w:rPr>
                <w:rFonts w:ascii="Segoe UI" w:hAnsi="Segoe UI" w:cs="Segoe UI"/>
                <w:sz w:val="18"/>
                <w:szCs w:val="18"/>
              </w:rPr>
              <w:t>8</w:t>
            </w:r>
            <w:r w:rsidR="4F64166B" w:rsidRPr="007669E1">
              <w:rPr>
                <w:rFonts w:ascii="Segoe UI" w:hAnsi="Segoe UI" w:cs="Segoe UI"/>
                <w:sz w:val="18"/>
                <w:szCs w:val="18"/>
              </w:rPr>
              <w:t>00.0</w:t>
            </w:r>
          </w:p>
        </w:tc>
        <w:tc>
          <w:tcPr>
            <w:tcW w:w="1385" w:type="dxa"/>
            <w:shd w:val="clear" w:color="auto" w:fill="E6E6E6"/>
          </w:tcPr>
          <w:p w14:paraId="5F83D7C9" w14:textId="46B4748B" w:rsidR="009A2941" w:rsidRPr="007669E1" w:rsidRDefault="009A2941"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149</w:t>
            </w:r>
            <w:r w:rsidR="2B449813" w:rsidRPr="007669E1">
              <w:rPr>
                <w:rFonts w:ascii="Segoe UI" w:hAnsi="Segoe UI" w:cs="Segoe UI"/>
                <w:i/>
                <w:sz w:val="18"/>
                <w:szCs w:val="18"/>
              </w:rPr>
              <w:t>,</w:t>
            </w:r>
            <w:r w:rsidR="715AA79B" w:rsidRPr="007669E1">
              <w:rPr>
                <w:rFonts w:ascii="Segoe UI" w:hAnsi="Segoe UI" w:cs="Segoe UI"/>
                <w:i/>
                <w:sz w:val="18"/>
                <w:szCs w:val="18"/>
              </w:rPr>
              <w:t>2</w:t>
            </w:r>
            <w:r w:rsidR="2B449813" w:rsidRPr="007669E1">
              <w:rPr>
                <w:rFonts w:ascii="Segoe UI" w:hAnsi="Segoe UI" w:cs="Segoe UI"/>
                <w:i/>
                <w:sz w:val="18"/>
                <w:szCs w:val="18"/>
              </w:rPr>
              <w:t>00.0</w:t>
            </w:r>
          </w:p>
        </w:tc>
        <w:tc>
          <w:tcPr>
            <w:tcW w:w="1660" w:type="dxa"/>
            <w:shd w:val="clear" w:color="auto" w:fill="E6E6E6"/>
          </w:tcPr>
          <w:p w14:paraId="5FFA3473" w14:textId="296C7EF4" w:rsidR="00033B5A" w:rsidRPr="007669E1" w:rsidRDefault="0047738F"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163</w:t>
            </w:r>
            <w:r w:rsidR="5CECD048" w:rsidRPr="007669E1">
              <w:rPr>
                <w:rFonts w:ascii="Segoe UI" w:hAnsi="Segoe UI" w:cs="Segoe UI"/>
                <w:i/>
                <w:sz w:val="18"/>
                <w:szCs w:val="18"/>
              </w:rPr>
              <w:t>,</w:t>
            </w:r>
            <w:r w:rsidR="03793A26" w:rsidRPr="007669E1">
              <w:rPr>
                <w:rFonts w:ascii="Segoe UI" w:hAnsi="Segoe UI" w:cs="Segoe UI"/>
                <w:i/>
                <w:sz w:val="18"/>
                <w:szCs w:val="18"/>
              </w:rPr>
              <w:t>9</w:t>
            </w:r>
            <w:r w:rsidR="5CECD048" w:rsidRPr="007669E1">
              <w:rPr>
                <w:rFonts w:ascii="Segoe UI" w:hAnsi="Segoe UI" w:cs="Segoe UI"/>
                <w:i/>
                <w:sz w:val="18"/>
                <w:szCs w:val="18"/>
              </w:rPr>
              <w:t>00.0</w:t>
            </w:r>
          </w:p>
        </w:tc>
      </w:tr>
    </w:tbl>
    <w:p w14:paraId="75526C49" w14:textId="76275893" w:rsidR="00D41B50" w:rsidRPr="007669E1" w:rsidRDefault="00D41B50"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2020 are based on actual data</w:t>
      </w:r>
      <w:r w:rsidR="00105178" w:rsidRPr="007669E1">
        <w:rPr>
          <w:rFonts w:ascii="Segoe UI" w:hAnsi="Segoe UI" w:cs="Segoe UI"/>
          <w:sz w:val="18"/>
          <w:szCs w:val="18"/>
        </w:rPr>
        <w:t>;</w:t>
      </w:r>
      <w:r w:rsidRPr="007669E1">
        <w:rPr>
          <w:rFonts w:ascii="Segoe UI" w:hAnsi="Segoe UI" w:cs="Segoe UI"/>
          <w:sz w:val="18"/>
          <w:szCs w:val="18"/>
        </w:rPr>
        <w:t xml:space="preserve"> figures for 2021 and 2022 are projected based on 2020.</w:t>
      </w:r>
    </w:p>
    <w:p w14:paraId="366DDDA8" w14:textId="77777777" w:rsidR="001D20E0" w:rsidRPr="007669E1" w:rsidRDefault="001D20E0"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9332E" w14:paraId="6649FED1" w14:textId="77777777" w:rsidTr="0092285E">
        <w:tc>
          <w:tcPr>
            <w:tcW w:w="9625" w:type="dxa"/>
            <w:gridSpan w:val="7"/>
            <w:shd w:val="clear" w:color="auto" w:fill="D9D9D9" w:themeFill="background1" w:themeFillShade="D9"/>
          </w:tcPr>
          <w:bookmarkEnd w:id="49"/>
          <w:p w14:paraId="5E93C719" w14:textId="649D4B08"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31. Major allowance for a child and other dependent with disabilities</w:t>
            </w:r>
          </w:p>
        </w:tc>
      </w:tr>
      <w:tr w:rsidR="00002F93" w:rsidRPr="007669E1" w14:paraId="1B378801" w14:textId="77777777" w:rsidTr="0092285E">
        <w:tc>
          <w:tcPr>
            <w:tcW w:w="2425" w:type="dxa"/>
          </w:tcPr>
          <w:p w14:paraId="3FC197FB"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Description</w:t>
            </w:r>
          </w:p>
        </w:tc>
        <w:tc>
          <w:tcPr>
            <w:tcW w:w="7200" w:type="dxa"/>
            <w:gridSpan w:val="6"/>
          </w:tcPr>
          <w:p w14:paraId="00F03BEC" w14:textId="639F26CF" w:rsidR="00280E00" w:rsidRPr="007669E1" w:rsidRDefault="00280E0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An allowance is granted for each child and other dependents with disabilities due to a congenital or childhood illness, </w:t>
            </w:r>
            <w:r w:rsidR="002C28D7" w:rsidRPr="007669E1">
              <w:rPr>
                <w:rFonts w:ascii="Segoe UI" w:hAnsi="Segoe UI" w:cs="Segoe UI"/>
                <w:sz w:val="18"/>
                <w:szCs w:val="18"/>
              </w:rPr>
              <w:t xml:space="preserve">for </w:t>
            </w:r>
            <w:r w:rsidRPr="007669E1">
              <w:rPr>
                <w:rFonts w:ascii="Segoe UI" w:hAnsi="Segoe UI" w:cs="Segoe UI"/>
                <w:sz w:val="18"/>
                <w:szCs w:val="18"/>
              </w:rPr>
              <w:t>people with severe disabilities</w:t>
            </w:r>
            <w:r w:rsidR="00D51E9B" w:rsidRPr="007669E1">
              <w:rPr>
                <w:rFonts w:ascii="Segoe UI" w:hAnsi="Segoe UI" w:cs="Segoe UI"/>
                <w:sz w:val="18"/>
                <w:szCs w:val="18"/>
              </w:rPr>
              <w:t>.</w:t>
            </w:r>
            <w:r w:rsidR="006F43D7" w:rsidRPr="007669E1">
              <w:rPr>
                <w:rFonts w:ascii="Segoe UI" w:hAnsi="Segoe UI" w:cs="Segoe UI"/>
                <w:sz w:val="18"/>
                <w:szCs w:val="18"/>
              </w:rPr>
              <w:t xml:space="preserve"> In 2019-2020 the allowance was MDL 18,000; in 2021</w:t>
            </w:r>
            <w:r w:rsidR="00C06134" w:rsidRPr="007669E1">
              <w:rPr>
                <w:rFonts w:ascii="Segoe UI" w:hAnsi="Segoe UI" w:cs="Segoe UI"/>
                <w:sz w:val="18"/>
                <w:szCs w:val="18"/>
              </w:rPr>
              <w:t>—</w:t>
            </w:r>
            <w:r w:rsidR="006F43D7" w:rsidRPr="007669E1">
              <w:rPr>
                <w:rFonts w:ascii="Segoe UI" w:hAnsi="Segoe UI" w:cs="Segoe UI"/>
                <w:sz w:val="18"/>
                <w:szCs w:val="18"/>
              </w:rPr>
              <w:t>MDL 18,900; in 2022</w:t>
            </w:r>
            <w:r w:rsidR="00C06134" w:rsidRPr="007669E1">
              <w:rPr>
                <w:rFonts w:ascii="Segoe UI" w:hAnsi="Segoe UI" w:cs="Segoe UI"/>
                <w:sz w:val="18"/>
                <w:szCs w:val="18"/>
              </w:rPr>
              <w:t>—</w:t>
            </w:r>
            <w:r w:rsidR="006F43D7" w:rsidRPr="007669E1">
              <w:rPr>
                <w:rFonts w:ascii="Segoe UI" w:hAnsi="Segoe UI" w:cs="Segoe UI"/>
                <w:sz w:val="18"/>
                <w:szCs w:val="18"/>
              </w:rPr>
              <w:t>MDL 19,800)</w:t>
            </w:r>
          </w:p>
        </w:tc>
      </w:tr>
      <w:tr w:rsidR="00002F93" w:rsidRPr="007669E1" w14:paraId="47A8BDEE" w14:textId="77777777" w:rsidTr="0092285E">
        <w:tc>
          <w:tcPr>
            <w:tcW w:w="2425" w:type="dxa"/>
          </w:tcPr>
          <w:p w14:paraId="3C695BD7"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Tax Affected</w:t>
            </w:r>
          </w:p>
        </w:tc>
        <w:tc>
          <w:tcPr>
            <w:tcW w:w="7200" w:type="dxa"/>
            <w:gridSpan w:val="6"/>
          </w:tcPr>
          <w:p w14:paraId="30F5256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w:t>
            </w:r>
          </w:p>
        </w:tc>
      </w:tr>
      <w:tr w:rsidR="00002F93" w:rsidRPr="007669E1" w14:paraId="4BFDC8D3" w14:textId="77777777" w:rsidTr="0092285E">
        <w:tc>
          <w:tcPr>
            <w:tcW w:w="2425" w:type="dxa"/>
          </w:tcPr>
          <w:p w14:paraId="2F8B2150"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Beneficiaries</w:t>
            </w:r>
          </w:p>
        </w:tc>
        <w:tc>
          <w:tcPr>
            <w:tcW w:w="7200" w:type="dxa"/>
            <w:gridSpan w:val="6"/>
          </w:tcPr>
          <w:p w14:paraId="0789C95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Taxpayers with a child(ren) and dependents with disabilities</w:t>
            </w:r>
          </w:p>
        </w:tc>
      </w:tr>
      <w:tr w:rsidR="00002F93" w:rsidRPr="007669E1" w14:paraId="2DE5A043" w14:textId="77777777" w:rsidTr="0092285E">
        <w:tc>
          <w:tcPr>
            <w:tcW w:w="2425" w:type="dxa"/>
          </w:tcPr>
          <w:p w14:paraId="620E25A9"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Type of Measure</w:t>
            </w:r>
          </w:p>
        </w:tc>
        <w:tc>
          <w:tcPr>
            <w:tcW w:w="7200" w:type="dxa"/>
            <w:gridSpan w:val="6"/>
          </w:tcPr>
          <w:p w14:paraId="53C7AA85"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Deduction of taxable income</w:t>
            </w:r>
          </w:p>
        </w:tc>
      </w:tr>
      <w:tr w:rsidR="00002F93" w:rsidRPr="007669E1" w14:paraId="1B809A33" w14:textId="77777777" w:rsidTr="0092285E">
        <w:tc>
          <w:tcPr>
            <w:tcW w:w="2425" w:type="dxa"/>
          </w:tcPr>
          <w:p w14:paraId="5D41EC0D"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Reason why this Measure is not part of the Benchmark Tax System</w:t>
            </w:r>
          </w:p>
        </w:tc>
        <w:tc>
          <w:tcPr>
            <w:tcW w:w="7200" w:type="dxa"/>
            <w:gridSpan w:val="6"/>
          </w:tcPr>
          <w:p w14:paraId="45099407" w14:textId="4F989DFE"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Through accessing this additional allowance of a capped amount, an individual with children or dependents with disabilities can reduce his/her tax liability, to a greater extent than taxpayers without children or dependents with disabilities, translating into a lower tax burden than in the standard PIT regime</w:t>
            </w:r>
            <w:r w:rsidR="001D20E0" w:rsidRPr="007669E1">
              <w:rPr>
                <w:rFonts w:ascii="Segoe UI" w:hAnsi="Segoe UI" w:cs="Segoe UI"/>
                <w:sz w:val="18"/>
                <w:szCs w:val="18"/>
              </w:rPr>
              <w:t>. This is a tax expenditure.</w:t>
            </w:r>
          </w:p>
        </w:tc>
      </w:tr>
      <w:tr w:rsidR="00002F93" w:rsidRPr="007669E1" w14:paraId="232F73B8" w14:textId="77777777" w:rsidTr="0092285E">
        <w:tc>
          <w:tcPr>
            <w:tcW w:w="2425" w:type="dxa"/>
          </w:tcPr>
          <w:p w14:paraId="2FA85F36"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Legal Reference</w:t>
            </w:r>
          </w:p>
        </w:tc>
        <w:tc>
          <w:tcPr>
            <w:tcW w:w="7200" w:type="dxa"/>
            <w:gridSpan w:val="6"/>
          </w:tcPr>
          <w:p w14:paraId="6959556F"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35 of the TC</w:t>
            </w:r>
          </w:p>
        </w:tc>
      </w:tr>
      <w:tr w:rsidR="00002F93" w:rsidRPr="007669E1" w14:paraId="293B2A9B" w14:textId="77777777" w:rsidTr="0092285E">
        <w:trPr>
          <w:trHeight w:val="182"/>
        </w:trPr>
        <w:tc>
          <w:tcPr>
            <w:tcW w:w="2425" w:type="dxa"/>
            <w:vMerge w:val="restart"/>
          </w:tcPr>
          <w:p w14:paraId="6E771F00"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Implementation, Objectives, and History</w:t>
            </w:r>
          </w:p>
        </w:tc>
        <w:tc>
          <w:tcPr>
            <w:tcW w:w="7200" w:type="dxa"/>
            <w:gridSpan w:val="6"/>
          </w:tcPr>
          <w:p w14:paraId="6AED35F0"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7B8F18A5" w14:textId="77777777" w:rsidTr="0092285E">
        <w:trPr>
          <w:trHeight w:val="182"/>
        </w:trPr>
        <w:tc>
          <w:tcPr>
            <w:tcW w:w="2425" w:type="dxa"/>
            <w:vMerge/>
          </w:tcPr>
          <w:p w14:paraId="5DDE3DDF" w14:textId="77777777" w:rsidR="00280E00" w:rsidRPr="0049332E" w:rsidRDefault="00280E00" w:rsidP="00E90BA7">
            <w:pPr>
              <w:spacing w:before="20" w:after="20" w:line="240" w:lineRule="auto"/>
              <w:jc w:val="both"/>
              <w:rPr>
                <w:rFonts w:ascii="Segoe UI" w:hAnsi="Segoe UI" w:cs="Segoe UI"/>
                <w:b/>
                <w:bCs/>
                <w:sz w:val="18"/>
                <w:szCs w:val="18"/>
              </w:rPr>
            </w:pPr>
          </w:p>
        </w:tc>
        <w:tc>
          <w:tcPr>
            <w:tcW w:w="3462" w:type="dxa"/>
            <w:gridSpan w:val="3"/>
          </w:tcPr>
          <w:p w14:paraId="31F86B61"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223C3A23" w14:textId="7F06D65C" w:rsidR="00280E00"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002F93" w:rsidRPr="007669E1" w14:paraId="4005FFC9" w14:textId="77777777" w:rsidTr="0092285E">
        <w:tc>
          <w:tcPr>
            <w:tcW w:w="2425" w:type="dxa"/>
          </w:tcPr>
          <w:p w14:paraId="3BB15A2B"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Source of Data</w:t>
            </w:r>
          </w:p>
        </w:tc>
        <w:tc>
          <w:tcPr>
            <w:tcW w:w="7200" w:type="dxa"/>
            <w:gridSpan w:val="6"/>
          </w:tcPr>
          <w:p w14:paraId="1DDCF093"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return</w:t>
            </w:r>
          </w:p>
        </w:tc>
      </w:tr>
      <w:tr w:rsidR="00002F93" w:rsidRPr="007669E1" w14:paraId="71690290" w14:textId="77777777" w:rsidTr="0092285E">
        <w:tc>
          <w:tcPr>
            <w:tcW w:w="2425" w:type="dxa"/>
          </w:tcPr>
          <w:p w14:paraId="41328754"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Estimation Method</w:t>
            </w:r>
          </w:p>
        </w:tc>
        <w:tc>
          <w:tcPr>
            <w:tcW w:w="7200" w:type="dxa"/>
            <w:gridSpan w:val="6"/>
          </w:tcPr>
          <w:p w14:paraId="4A7E7C07" w14:textId="77777777"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w:t>
            </w:r>
          </w:p>
        </w:tc>
      </w:tr>
      <w:tr w:rsidR="00002F93" w:rsidRPr="007669E1" w14:paraId="31C5F30E" w14:textId="77777777" w:rsidTr="0092285E">
        <w:tc>
          <w:tcPr>
            <w:tcW w:w="2425" w:type="dxa"/>
          </w:tcPr>
          <w:p w14:paraId="64944F56"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Number of Beneficiaries</w:t>
            </w:r>
          </w:p>
        </w:tc>
        <w:tc>
          <w:tcPr>
            <w:tcW w:w="7200" w:type="dxa"/>
            <w:gridSpan w:val="6"/>
          </w:tcPr>
          <w:p w14:paraId="28B48E5B" w14:textId="77777777" w:rsidR="00280E00" w:rsidRPr="007669E1" w:rsidRDefault="00280E00" w:rsidP="00E90BA7">
            <w:pPr>
              <w:spacing w:before="20" w:after="20" w:line="240" w:lineRule="auto"/>
              <w:jc w:val="both"/>
              <w:rPr>
                <w:rFonts w:ascii="Segoe UI" w:hAnsi="Segoe UI" w:cs="Segoe UI"/>
                <w:sz w:val="18"/>
                <w:szCs w:val="18"/>
              </w:rPr>
            </w:pPr>
          </w:p>
        </w:tc>
      </w:tr>
      <w:tr w:rsidR="00002F93" w:rsidRPr="007669E1" w14:paraId="6FB023EA" w14:textId="77777777" w:rsidTr="0092285E">
        <w:tc>
          <w:tcPr>
            <w:tcW w:w="2425" w:type="dxa"/>
          </w:tcPr>
          <w:p w14:paraId="120A2A31"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Revenue Cost Reporting</w:t>
            </w:r>
          </w:p>
        </w:tc>
        <w:tc>
          <w:tcPr>
            <w:tcW w:w="7200" w:type="dxa"/>
            <w:gridSpan w:val="6"/>
          </w:tcPr>
          <w:p w14:paraId="2B0165EE" w14:textId="12EF0CEE" w:rsidR="00280E00" w:rsidRPr="007669E1" w:rsidRDefault="513B3B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002F93" w:rsidRPr="007669E1" w14:paraId="7087BFC7" w14:textId="77777777" w:rsidTr="0092285E">
        <w:trPr>
          <w:trHeight w:val="91"/>
        </w:trPr>
        <w:tc>
          <w:tcPr>
            <w:tcW w:w="2425" w:type="dxa"/>
            <w:vMerge w:val="restart"/>
          </w:tcPr>
          <w:p w14:paraId="535EBAA6"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742B48D8"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2018</w:t>
            </w:r>
          </w:p>
        </w:tc>
        <w:tc>
          <w:tcPr>
            <w:tcW w:w="1385" w:type="dxa"/>
          </w:tcPr>
          <w:p w14:paraId="3B967ECE"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2019</w:t>
            </w:r>
          </w:p>
        </w:tc>
        <w:tc>
          <w:tcPr>
            <w:tcW w:w="1385" w:type="dxa"/>
            <w:gridSpan w:val="2"/>
          </w:tcPr>
          <w:p w14:paraId="178B73E3"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2020</w:t>
            </w:r>
          </w:p>
        </w:tc>
        <w:tc>
          <w:tcPr>
            <w:tcW w:w="1385" w:type="dxa"/>
          </w:tcPr>
          <w:p w14:paraId="5BE99724" w14:textId="77777777" w:rsidR="00280E00" w:rsidRPr="0049332E" w:rsidRDefault="00280E00"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2021</w:t>
            </w:r>
          </w:p>
        </w:tc>
        <w:tc>
          <w:tcPr>
            <w:tcW w:w="1660" w:type="dxa"/>
          </w:tcPr>
          <w:p w14:paraId="2B582B74" w14:textId="3D11DECD" w:rsidR="00280E00" w:rsidRPr="0049332E" w:rsidRDefault="000C00AF" w:rsidP="00E90BA7">
            <w:pPr>
              <w:spacing w:before="20" w:after="20" w:line="240" w:lineRule="auto"/>
              <w:jc w:val="both"/>
              <w:rPr>
                <w:rFonts w:ascii="Segoe UI" w:hAnsi="Segoe UI" w:cs="Segoe UI"/>
                <w:b/>
                <w:bCs/>
                <w:sz w:val="18"/>
                <w:szCs w:val="18"/>
              </w:rPr>
            </w:pPr>
            <w:r w:rsidRPr="0049332E">
              <w:rPr>
                <w:rFonts w:ascii="Segoe UI" w:hAnsi="Segoe UI" w:cs="Segoe UI"/>
                <w:b/>
                <w:bCs/>
                <w:sz w:val="18"/>
                <w:szCs w:val="18"/>
              </w:rPr>
              <w:t>2022</w:t>
            </w:r>
          </w:p>
        </w:tc>
      </w:tr>
      <w:tr w:rsidR="00A2051E" w:rsidRPr="007669E1" w14:paraId="44E70595" w14:textId="77777777" w:rsidTr="3D665D41">
        <w:trPr>
          <w:trHeight w:val="91"/>
        </w:trPr>
        <w:tc>
          <w:tcPr>
            <w:tcW w:w="2425" w:type="dxa"/>
            <w:vMerge/>
          </w:tcPr>
          <w:p w14:paraId="22D52FCE" w14:textId="77777777" w:rsidR="00280E00" w:rsidRPr="007669E1" w:rsidRDefault="00280E00" w:rsidP="00E90BA7">
            <w:pPr>
              <w:spacing w:before="20" w:after="20" w:line="240" w:lineRule="auto"/>
              <w:jc w:val="both"/>
              <w:rPr>
                <w:rFonts w:ascii="Segoe UI" w:hAnsi="Segoe UI" w:cs="Segoe UI"/>
                <w:sz w:val="18"/>
                <w:szCs w:val="18"/>
              </w:rPr>
            </w:pPr>
          </w:p>
        </w:tc>
        <w:tc>
          <w:tcPr>
            <w:tcW w:w="1385" w:type="dxa"/>
          </w:tcPr>
          <w:p w14:paraId="6797A4B6" w14:textId="613C70B6" w:rsidR="00280E00" w:rsidRPr="007669E1" w:rsidRDefault="0077138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tcPr>
          <w:p w14:paraId="3F96C0C5" w14:textId="7925E643" w:rsidR="00280E00" w:rsidRPr="007669E1" w:rsidRDefault="0077138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854A4A" w:rsidRPr="007669E1">
              <w:rPr>
                <w:rFonts w:ascii="Segoe UI" w:hAnsi="Segoe UI" w:cs="Segoe UI"/>
                <w:sz w:val="18"/>
                <w:szCs w:val="18"/>
              </w:rPr>
              <w:t>.</w:t>
            </w:r>
          </w:p>
        </w:tc>
        <w:tc>
          <w:tcPr>
            <w:tcW w:w="1385" w:type="dxa"/>
            <w:gridSpan w:val="2"/>
          </w:tcPr>
          <w:p w14:paraId="539EBA0F" w14:textId="78572B96" w:rsidR="00280E00" w:rsidRPr="007669E1" w:rsidRDefault="00280E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w:t>
            </w:r>
            <w:r w:rsidR="5B528908" w:rsidRPr="007669E1">
              <w:rPr>
                <w:rFonts w:ascii="Segoe UI" w:hAnsi="Segoe UI" w:cs="Segoe UI"/>
                <w:sz w:val="18"/>
                <w:szCs w:val="18"/>
              </w:rPr>
              <w:t>,</w:t>
            </w:r>
            <w:r w:rsidRPr="007669E1">
              <w:rPr>
                <w:rFonts w:ascii="Segoe UI" w:hAnsi="Segoe UI" w:cs="Segoe UI"/>
                <w:sz w:val="18"/>
                <w:szCs w:val="18"/>
              </w:rPr>
              <w:t>6</w:t>
            </w:r>
            <w:r w:rsidR="5B528908" w:rsidRPr="007669E1">
              <w:rPr>
                <w:rFonts w:ascii="Segoe UI" w:hAnsi="Segoe UI" w:cs="Segoe UI"/>
                <w:sz w:val="18"/>
                <w:szCs w:val="18"/>
              </w:rPr>
              <w:t>00.0</w:t>
            </w:r>
          </w:p>
        </w:tc>
        <w:tc>
          <w:tcPr>
            <w:tcW w:w="1385" w:type="dxa"/>
            <w:shd w:val="clear" w:color="auto" w:fill="E6E6E6"/>
          </w:tcPr>
          <w:p w14:paraId="0B54A8D2" w14:textId="198D3181" w:rsidR="00280E00" w:rsidRPr="007669E1" w:rsidRDefault="00813A44"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18</w:t>
            </w:r>
            <w:r w:rsidR="4B556AB7" w:rsidRPr="007669E1">
              <w:rPr>
                <w:rFonts w:ascii="Segoe UI" w:hAnsi="Segoe UI" w:cs="Segoe UI"/>
                <w:i/>
                <w:sz w:val="18"/>
                <w:szCs w:val="18"/>
              </w:rPr>
              <w:t>,</w:t>
            </w:r>
            <w:r w:rsidR="04719D83" w:rsidRPr="007669E1">
              <w:rPr>
                <w:rFonts w:ascii="Segoe UI" w:hAnsi="Segoe UI" w:cs="Segoe UI"/>
                <w:i/>
                <w:sz w:val="18"/>
                <w:szCs w:val="18"/>
              </w:rPr>
              <w:t>8</w:t>
            </w:r>
            <w:r w:rsidR="4B556AB7" w:rsidRPr="007669E1">
              <w:rPr>
                <w:rFonts w:ascii="Segoe UI" w:hAnsi="Segoe UI" w:cs="Segoe UI"/>
                <w:i/>
                <w:sz w:val="18"/>
                <w:szCs w:val="18"/>
              </w:rPr>
              <w:t>00.0</w:t>
            </w:r>
          </w:p>
        </w:tc>
        <w:tc>
          <w:tcPr>
            <w:tcW w:w="1660" w:type="dxa"/>
            <w:shd w:val="clear" w:color="auto" w:fill="E6E6E6"/>
          </w:tcPr>
          <w:p w14:paraId="49DD2BD2" w14:textId="502E13A0" w:rsidR="0047738F" w:rsidRPr="007669E1" w:rsidRDefault="004A7794"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20</w:t>
            </w:r>
            <w:r w:rsidR="7C8858F5" w:rsidRPr="007669E1">
              <w:rPr>
                <w:rFonts w:ascii="Segoe UI" w:hAnsi="Segoe UI" w:cs="Segoe UI"/>
                <w:i/>
                <w:sz w:val="18"/>
                <w:szCs w:val="18"/>
              </w:rPr>
              <w:t>,</w:t>
            </w:r>
            <w:r w:rsidR="0122FEA2" w:rsidRPr="007669E1">
              <w:rPr>
                <w:rFonts w:ascii="Segoe UI" w:hAnsi="Segoe UI" w:cs="Segoe UI"/>
                <w:i/>
                <w:sz w:val="18"/>
                <w:szCs w:val="18"/>
              </w:rPr>
              <w:t>7</w:t>
            </w:r>
            <w:r w:rsidR="7C8858F5" w:rsidRPr="007669E1">
              <w:rPr>
                <w:rFonts w:ascii="Segoe UI" w:hAnsi="Segoe UI" w:cs="Segoe UI"/>
                <w:i/>
                <w:sz w:val="18"/>
                <w:szCs w:val="18"/>
              </w:rPr>
              <w:t>00.0</w:t>
            </w:r>
          </w:p>
        </w:tc>
      </w:tr>
    </w:tbl>
    <w:p w14:paraId="30B80D30" w14:textId="3DFF8A15" w:rsidR="0075075C" w:rsidRPr="007669E1" w:rsidRDefault="0075075C"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 xml:space="preserve">Note: Estimates for 2020 </w:t>
      </w:r>
      <w:r w:rsidR="00534A8C" w:rsidRPr="007669E1">
        <w:rPr>
          <w:rFonts w:ascii="Segoe UI" w:hAnsi="Segoe UI" w:cs="Segoe UI"/>
          <w:sz w:val="18"/>
          <w:szCs w:val="18"/>
        </w:rPr>
        <w:t xml:space="preserve">are based on actual data, figures </w:t>
      </w:r>
      <w:r w:rsidRPr="007669E1">
        <w:rPr>
          <w:rFonts w:ascii="Segoe UI" w:hAnsi="Segoe UI" w:cs="Segoe UI"/>
          <w:sz w:val="18"/>
          <w:szCs w:val="18"/>
        </w:rPr>
        <w:t>for 2021 and 2022 are projected based on 2020.</w:t>
      </w:r>
    </w:p>
    <w:p w14:paraId="6DCE0D5A" w14:textId="77777777" w:rsidR="00280E00" w:rsidRDefault="00280E0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E12448" w:rsidRPr="00DE06E8" w14:paraId="4D92885D" w14:textId="77777777" w:rsidTr="009D3DBC">
        <w:tc>
          <w:tcPr>
            <w:tcW w:w="9625" w:type="dxa"/>
            <w:gridSpan w:val="7"/>
            <w:shd w:val="clear" w:color="auto" w:fill="D9D9D9" w:themeFill="background1" w:themeFillShade="D9"/>
          </w:tcPr>
          <w:p w14:paraId="7AE5664D" w14:textId="24EE0E73" w:rsidR="00E12448" w:rsidRPr="00DE06E8" w:rsidRDefault="00E1244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32. Special tax regime for residents of IT park</w:t>
            </w:r>
          </w:p>
        </w:tc>
      </w:tr>
      <w:tr w:rsidR="00DE06E8" w:rsidRPr="00140C3E" w14:paraId="321E41B2" w14:textId="77777777" w:rsidTr="009D3DBC">
        <w:tc>
          <w:tcPr>
            <w:tcW w:w="2425" w:type="dxa"/>
          </w:tcPr>
          <w:p w14:paraId="09864350" w14:textId="1B6115BD"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Description</w:t>
            </w:r>
          </w:p>
        </w:tc>
        <w:tc>
          <w:tcPr>
            <w:tcW w:w="7200" w:type="dxa"/>
            <w:gridSpan w:val="6"/>
          </w:tcPr>
          <w:p w14:paraId="7ED0FA46" w14:textId="21943D1B" w:rsidR="00DE06E8" w:rsidRPr="00140C3E" w:rsidRDefault="00DE06E8"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For residents of IT </w:t>
            </w:r>
            <w:r w:rsidR="006177AB">
              <w:rPr>
                <w:rFonts w:ascii="Segoe UI" w:hAnsi="Segoe UI" w:cs="Segoe UI"/>
                <w:sz w:val="18"/>
                <w:szCs w:val="18"/>
              </w:rPr>
              <w:t>P</w:t>
            </w:r>
            <w:r w:rsidRPr="007669E1">
              <w:rPr>
                <w:rFonts w:ascii="Segoe UI" w:hAnsi="Segoe UI" w:cs="Segoe UI"/>
                <w:sz w:val="18"/>
                <w:szCs w:val="18"/>
              </w:rPr>
              <w:t xml:space="preserve">ark regime, tax liability is calculated as a single tax payment at a rate of 7 percent of turnover (to be not less than a minimum tax calculated as: 30 percent * average monthly salary in the economy * number of employees). 19.4 percent of the single unified tax payment substitutes income tax on salary. (See Box 1 for a detailed discussion of the IT Park regime). </w:t>
            </w:r>
          </w:p>
        </w:tc>
      </w:tr>
      <w:tr w:rsidR="00DE06E8" w:rsidRPr="00140C3E" w14:paraId="42557DF1" w14:textId="77777777" w:rsidTr="009D3DBC">
        <w:tc>
          <w:tcPr>
            <w:tcW w:w="2425" w:type="dxa"/>
          </w:tcPr>
          <w:p w14:paraId="4DCB23A7" w14:textId="6A4F3094"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Type of Tax Affected</w:t>
            </w:r>
          </w:p>
        </w:tc>
        <w:tc>
          <w:tcPr>
            <w:tcW w:w="7200" w:type="dxa"/>
            <w:gridSpan w:val="6"/>
          </w:tcPr>
          <w:p w14:paraId="05239D48" w14:textId="0731C118"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PIT (among other taxes)</w:t>
            </w:r>
          </w:p>
        </w:tc>
      </w:tr>
      <w:tr w:rsidR="00DE06E8" w:rsidRPr="00140C3E" w14:paraId="03F9153F" w14:textId="77777777" w:rsidTr="009D3DBC">
        <w:tc>
          <w:tcPr>
            <w:tcW w:w="2425" w:type="dxa"/>
          </w:tcPr>
          <w:p w14:paraId="64CD5586" w14:textId="6B026A45"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Beneficiaries</w:t>
            </w:r>
          </w:p>
        </w:tc>
        <w:tc>
          <w:tcPr>
            <w:tcW w:w="7200" w:type="dxa"/>
            <w:gridSpan w:val="6"/>
          </w:tcPr>
          <w:p w14:paraId="3456E0C1" w14:textId="3E3119AE"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Residents of IT Parks</w:t>
            </w:r>
          </w:p>
        </w:tc>
      </w:tr>
      <w:tr w:rsidR="00DE06E8" w:rsidRPr="00140C3E" w14:paraId="6853BC26" w14:textId="77777777" w:rsidTr="009D3DBC">
        <w:tc>
          <w:tcPr>
            <w:tcW w:w="2425" w:type="dxa"/>
          </w:tcPr>
          <w:p w14:paraId="05B0D028" w14:textId="47B236B7"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Type of Measure</w:t>
            </w:r>
          </w:p>
        </w:tc>
        <w:tc>
          <w:tcPr>
            <w:tcW w:w="7200" w:type="dxa"/>
            <w:gridSpan w:val="6"/>
          </w:tcPr>
          <w:p w14:paraId="6B2E3FD5" w14:textId="771B2428"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Special preferential tax regime </w:t>
            </w:r>
          </w:p>
        </w:tc>
      </w:tr>
      <w:tr w:rsidR="00DE06E8" w:rsidRPr="00140C3E" w14:paraId="5CF50485" w14:textId="77777777" w:rsidTr="009D3DBC">
        <w:tc>
          <w:tcPr>
            <w:tcW w:w="2425" w:type="dxa"/>
          </w:tcPr>
          <w:p w14:paraId="6F65DBB0" w14:textId="1C69F2A0"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Reason why this Measure is not part of the Benchmark Tax System</w:t>
            </w:r>
          </w:p>
        </w:tc>
        <w:tc>
          <w:tcPr>
            <w:tcW w:w="7200" w:type="dxa"/>
            <w:gridSpan w:val="6"/>
          </w:tcPr>
          <w:p w14:paraId="31A9DFA1" w14:textId="28F7B277"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unified tax regime replaces most other taxes levied by national and subnational level government in Moldova on the IT sector, translating into a sizable tax burden reduction across affected taxes. This is a tax expenditure: the regime represents a departure from the statutory 12% standard PIT rate.</w:t>
            </w:r>
          </w:p>
        </w:tc>
      </w:tr>
      <w:tr w:rsidR="00DE06E8" w:rsidRPr="00140C3E" w14:paraId="05B9E1B6" w14:textId="77777777" w:rsidTr="009D3DBC">
        <w:tc>
          <w:tcPr>
            <w:tcW w:w="2425" w:type="dxa"/>
          </w:tcPr>
          <w:p w14:paraId="3EBB44C6" w14:textId="7E2E9E6A"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Legal Reference</w:t>
            </w:r>
          </w:p>
        </w:tc>
        <w:tc>
          <w:tcPr>
            <w:tcW w:w="7200" w:type="dxa"/>
            <w:gridSpan w:val="6"/>
          </w:tcPr>
          <w:p w14:paraId="314A2D55" w14:textId="56A720A7"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Law no. 77 of 21.04.2016, Articles 367‐372</w:t>
            </w:r>
          </w:p>
        </w:tc>
      </w:tr>
      <w:tr w:rsidR="00DE06E8" w:rsidRPr="00140C3E" w14:paraId="02001448" w14:textId="77777777" w:rsidTr="009D3DBC">
        <w:trPr>
          <w:trHeight w:val="182"/>
        </w:trPr>
        <w:tc>
          <w:tcPr>
            <w:tcW w:w="2425" w:type="dxa"/>
            <w:vMerge w:val="restart"/>
          </w:tcPr>
          <w:p w14:paraId="46C9ABC4" w14:textId="77777777"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Implementation, Objectives, and History</w:t>
            </w:r>
          </w:p>
          <w:p w14:paraId="4714AFB3" w14:textId="03E01671" w:rsidR="00DE06E8" w:rsidRPr="00DE06E8" w:rsidRDefault="00DE06E8" w:rsidP="00E90BA7">
            <w:pPr>
              <w:spacing w:before="20" w:after="20" w:line="240" w:lineRule="auto"/>
              <w:jc w:val="both"/>
              <w:rPr>
                <w:rFonts w:ascii="Segoe UI" w:hAnsi="Segoe UI" w:cs="Segoe UI"/>
                <w:b/>
                <w:bCs/>
                <w:sz w:val="18"/>
                <w:szCs w:val="18"/>
              </w:rPr>
            </w:pPr>
          </w:p>
        </w:tc>
        <w:tc>
          <w:tcPr>
            <w:tcW w:w="7200" w:type="dxa"/>
            <w:gridSpan w:val="6"/>
          </w:tcPr>
          <w:p w14:paraId="7FA542C9" w14:textId="77777777" w:rsidR="00DE06E8" w:rsidRPr="00140C3E" w:rsidRDefault="00DE06E8" w:rsidP="00E90BA7">
            <w:pPr>
              <w:spacing w:before="20" w:after="20" w:line="240" w:lineRule="auto"/>
              <w:jc w:val="both"/>
              <w:rPr>
                <w:rFonts w:ascii="Segoe UI" w:hAnsi="Segoe UI" w:cs="Segoe UI"/>
                <w:sz w:val="18"/>
                <w:szCs w:val="18"/>
              </w:rPr>
            </w:pPr>
          </w:p>
        </w:tc>
      </w:tr>
      <w:tr w:rsidR="00DE06E8" w:rsidRPr="00140C3E" w14:paraId="39761788" w14:textId="77777777" w:rsidTr="009D3DBC">
        <w:trPr>
          <w:trHeight w:val="182"/>
        </w:trPr>
        <w:tc>
          <w:tcPr>
            <w:tcW w:w="2425" w:type="dxa"/>
            <w:vMerge/>
          </w:tcPr>
          <w:p w14:paraId="5816B9FD" w14:textId="77777777" w:rsidR="00DE06E8" w:rsidRPr="00DE06E8" w:rsidRDefault="00DE06E8" w:rsidP="00E90BA7">
            <w:pPr>
              <w:spacing w:before="20" w:after="20" w:line="240" w:lineRule="auto"/>
              <w:jc w:val="both"/>
              <w:rPr>
                <w:rFonts w:ascii="Segoe UI" w:hAnsi="Segoe UI" w:cs="Segoe UI"/>
                <w:b/>
                <w:bCs/>
                <w:sz w:val="18"/>
                <w:szCs w:val="18"/>
              </w:rPr>
            </w:pPr>
          </w:p>
        </w:tc>
        <w:tc>
          <w:tcPr>
            <w:tcW w:w="3462" w:type="dxa"/>
            <w:gridSpan w:val="3"/>
          </w:tcPr>
          <w:p w14:paraId="7AEA02B7" w14:textId="674D7B1B"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38" w:type="dxa"/>
            <w:gridSpan w:val="3"/>
          </w:tcPr>
          <w:p w14:paraId="7E771539" w14:textId="11586709"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r>
      <w:tr w:rsidR="00DE06E8" w:rsidRPr="00140C3E" w14:paraId="520651E4" w14:textId="77777777" w:rsidTr="009D3DBC">
        <w:tc>
          <w:tcPr>
            <w:tcW w:w="2425" w:type="dxa"/>
          </w:tcPr>
          <w:p w14:paraId="02717E92" w14:textId="4AA24D78"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lastRenderedPageBreak/>
              <w:t>Source of Data</w:t>
            </w:r>
          </w:p>
        </w:tc>
        <w:tc>
          <w:tcPr>
            <w:tcW w:w="7200" w:type="dxa"/>
            <w:gridSpan w:val="6"/>
          </w:tcPr>
          <w:p w14:paraId="5711696D" w14:textId="0A8BEC35"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return</w:t>
            </w:r>
          </w:p>
        </w:tc>
      </w:tr>
      <w:tr w:rsidR="00DE06E8" w:rsidRPr="00140C3E" w14:paraId="08E2B755" w14:textId="77777777" w:rsidTr="009D3DBC">
        <w:tc>
          <w:tcPr>
            <w:tcW w:w="2425" w:type="dxa"/>
          </w:tcPr>
          <w:p w14:paraId="578079C2" w14:textId="6924DF43"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Estimation Method</w:t>
            </w:r>
          </w:p>
        </w:tc>
        <w:tc>
          <w:tcPr>
            <w:tcW w:w="7200" w:type="dxa"/>
            <w:gridSpan w:val="6"/>
          </w:tcPr>
          <w:p w14:paraId="76CBF0D3" w14:textId="2CC50456"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DE06E8" w:rsidRPr="00140C3E" w14:paraId="59636819" w14:textId="77777777" w:rsidTr="009D3DBC">
        <w:tc>
          <w:tcPr>
            <w:tcW w:w="2425" w:type="dxa"/>
          </w:tcPr>
          <w:p w14:paraId="7C9FE1E9" w14:textId="003CFC9A"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Number of Beneficiaries</w:t>
            </w:r>
          </w:p>
        </w:tc>
        <w:tc>
          <w:tcPr>
            <w:tcW w:w="7200" w:type="dxa"/>
            <w:gridSpan w:val="6"/>
          </w:tcPr>
          <w:p w14:paraId="1CAAA407" w14:textId="77777777" w:rsidR="00DE06E8" w:rsidRPr="00140C3E" w:rsidRDefault="00DE06E8" w:rsidP="00E90BA7">
            <w:pPr>
              <w:spacing w:before="20" w:after="20" w:line="240" w:lineRule="auto"/>
              <w:jc w:val="both"/>
              <w:rPr>
                <w:rFonts w:ascii="Segoe UI" w:hAnsi="Segoe UI" w:cs="Segoe UI"/>
                <w:sz w:val="18"/>
                <w:szCs w:val="18"/>
              </w:rPr>
            </w:pPr>
          </w:p>
        </w:tc>
      </w:tr>
      <w:tr w:rsidR="00DE06E8" w:rsidRPr="00140C3E" w14:paraId="1EC4BE0B" w14:textId="77777777" w:rsidTr="009D3DBC">
        <w:tc>
          <w:tcPr>
            <w:tcW w:w="2425" w:type="dxa"/>
          </w:tcPr>
          <w:p w14:paraId="559D72D4" w14:textId="00A84702"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Revenue Cost Reporting</w:t>
            </w:r>
          </w:p>
        </w:tc>
        <w:tc>
          <w:tcPr>
            <w:tcW w:w="7200" w:type="dxa"/>
            <w:gridSpan w:val="6"/>
          </w:tcPr>
          <w:p w14:paraId="144B1080" w14:textId="5C01E577"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DE06E8" w:rsidRPr="00140C3E" w14:paraId="5C1C5C45" w14:textId="77777777" w:rsidTr="009D3DBC">
        <w:trPr>
          <w:trHeight w:val="91"/>
        </w:trPr>
        <w:tc>
          <w:tcPr>
            <w:tcW w:w="2425" w:type="dxa"/>
            <w:vMerge w:val="restart"/>
          </w:tcPr>
          <w:p w14:paraId="141C554D" w14:textId="77777777" w:rsidR="00DE06E8" w:rsidRPr="00140C3E" w:rsidRDefault="00DE06E8" w:rsidP="00E90BA7">
            <w:pPr>
              <w:spacing w:before="20" w:after="20" w:line="240" w:lineRule="auto"/>
              <w:jc w:val="both"/>
              <w:rPr>
                <w:rFonts w:ascii="Segoe UI" w:hAnsi="Segoe UI" w:cs="Segoe UI"/>
                <w:sz w:val="18"/>
                <w:szCs w:val="18"/>
              </w:rPr>
            </w:pPr>
          </w:p>
          <w:p w14:paraId="7CBB60AB" w14:textId="52B8BC4A" w:rsidR="00DE06E8" w:rsidRPr="00140C3E" w:rsidRDefault="00DE06E8" w:rsidP="00E90BA7">
            <w:pPr>
              <w:spacing w:before="20" w:after="20" w:line="240" w:lineRule="auto"/>
              <w:jc w:val="both"/>
              <w:rPr>
                <w:rFonts w:ascii="Segoe UI" w:hAnsi="Segoe UI" w:cs="Segoe UI"/>
                <w:sz w:val="18"/>
                <w:szCs w:val="18"/>
              </w:rPr>
            </w:pPr>
          </w:p>
        </w:tc>
        <w:tc>
          <w:tcPr>
            <w:tcW w:w="1385" w:type="dxa"/>
          </w:tcPr>
          <w:p w14:paraId="3B78748F" w14:textId="017AC731"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2018</w:t>
            </w:r>
          </w:p>
        </w:tc>
        <w:tc>
          <w:tcPr>
            <w:tcW w:w="1385" w:type="dxa"/>
          </w:tcPr>
          <w:p w14:paraId="171C7648" w14:textId="441782AD"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2018</w:t>
            </w:r>
          </w:p>
        </w:tc>
        <w:tc>
          <w:tcPr>
            <w:tcW w:w="1385" w:type="dxa"/>
            <w:gridSpan w:val="2"/>
          </w:tcPr>
          <w:p w14:paraId="39F263F3" w14:textId="6BB1B6E3"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2018</w:t>
            </w:r>
          </w:p>
        </w:tc>
        <w:tc>
          <w:tcPr>
            <w:tcW w:w="1385" w:type="dxa"/>
          </w:tcPr>
          <w:p w14:paraId="22F1392C" w14:textId="1E38C982"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2018</w:t>
            </w:r>
          </w:p>
        </w:tc>
        <w:tc>
          <w:tcPr>
            <w:tcW w:w="1660" w:type="dxa"/>
          </w:tcPr>
          <w:p w14:paraId="1B2B02EF" w14:textId="1F2696D2" w:rsidR="00DE06E8" w:rsidRPr="00DE06E8" w:rsidRDefault="00DE06E8" w:rsidP="00E90BA7">
            <w:pPr>
              <w:spacing w:before="20" w:after="20" w:line="240" w:lineRule="auto"/>
              <w:jc w:val="both"/>
              <w:rPr>
                <w:rFonts w:ascii="Segoe UI" w:hAnsi="Segoe UI" w:cs="Segoe UI"/>
                <w:b/>
                <w:bCs/>
                <w:sz w:val="18"/>
                <w:szCs w:val="18"/>
              </w:rPr>
            </w:pPr>
            <w:r w:rsidRPr="00DE06E8">
              <w:rPr>
                <w:rFonts w:ascii="Segoe UI" w:hAnsi="Segoe UI" w:cs="Segoe UI"/>
                <w:b/>
                <w:bCs/>
                <w:sz w:val="18"/>
                <w:szCs w:val="18"/>
              </w:rPr>
              <w:t>2018</w:t>
            </w:r>
          </w:p>
        </w:tc>
      </w:tr>
      <w:tr w:rsidR="00DE06E8" w:rsidRPr="00140C3E" w14:paraId="63793DF6" w14:textId="77777777" w:rsidTr="00DC0F13">
        <w:trPr>
          <w:trHeight w:val="91"/>
        </w:trPr>
        <w:tc>
          <w:tcPr>
            <w:tcW w:w="2425" w:type="dxa"/>
            <w:vMerge/>
          </w:tcPr>
          <w:p w14:paraId="470CADEA" w14:textId="77777777" w:rsidR="00DE06E8" w:rsidRPr="00140C3E" w:rsidRDefault="00DE06E8" w:rsidP="00E90BA7">
            <w:pPr>
              <w:spacing w:before="20" w:after="20" w:line="240" w:lineRule="auto"/>
              <w:jc w:val="both"/>
              <w:rPr>
                <w:rFonts w:ascii="Segoe UI" w:hAnsi="Segoe UI" w:cs="Segoe UI"/>
                <w:sz w:val="18"/>
                <w:szCs w:val="18"/>
              </w:rPr>
            </w:pPr>
          </w:p>
        </w:tc>
        <w:tc>
          <w:tcPr>
            <w:tcW w:w="1385" w:type="dxa"/>
          </w:tcPr>
          <w:p w14:paraId="4C78C498" w14:textId="2F36774A"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tcPr>
          <w:p w14:paraId="501AEC36" w14:textId="06D70B38" w:rsidR="00DE06E8" w:rsidRPr="00140C3E" w:rsidRDefault="00DE06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tcPr>
          <w:p w14:paraId="33E4AA29" w14:textId="009F2F79" w:rsidR="00DE06E8" w:rsidRPr="00DC0F13" w:rsidRDefault="00DE06E8" w:rsidP="00E90BA7">
            <w:pPr>
              <w:spacing w:before="20" w:after="20" w:line="240" w:lineRule="auto"/>
              <w:jc w:val="both"/>
              <w:rPr>
                <w:rFonts w:ascii="Segoe UI" w:hAnsi="Segoe UI" w:cs="Segoe UI"/>
                <w:sz w:val="18"/>
                <w:szCs w:val="18"/>
              </w:rPr>
            </w:pPr>
            <w:r w:rsidRPr="00DC0F13">
              <w:rPr>
                <w:rFonts w:ascii="Segoe UI" w:hAnsi="Segoe UI" w:cs="Segoe UI"/>
                <w:sz w:val="18"/>
                <w:szCs w:val="18"/>
              </w:rPr>
              <w:t>n.a.</w:t>
            </w:r>
          </w:p>
        </w:tc>
        <w:tc>
          <w:tcPr>
            <w:tcW w:w="1385" w:type="dxa"/>
            <w:shd w:val="clear" w:color="auto" w:fill="auto"/>
          </w:tcPr>
          <w:p w14:paraId="6660B8DD" w14:textId="5A3FD6B8" w:rsidR="00DE06E8" w:rsidRPr="00DC0F13" w:rsidRDefault="00DE06E8" w:rsidP="00E90BA7">
            <w:pPr>
              <w:spacing w:before="20" w:after="20" w:line="240" w:lineRule="auto"/>
              <w:jc w:val="both"/>
              <w:rPr>
                <w:rFonts w:ascii="Segoe UI" w:hAnsi="Segoe UI" w:cs="Segoe UI"/>
                <w:i/>
                <w:sz w:val="18"/>
                <w:szCs w:val="18"/>
              </w:rPr>
            </w:pPr>
            <w:r w:rsidRPr="00DC0F13">
              <w:rPr>
                <w:rFonts w:ascii="Segoe UI" w:hAnsi="Segoe UI" w:cs="Segoe UI"/>
                <w:sz w:val="18"/>
                <w:szCs w:val="18"/>
              </w:rPr>
              <w:t>n.a.</w:t>
            </w:r>
          </w:p>
        </w:tc>
        <w:tc>
          <w:tcPr>
            <w:tcW w:w="1660" w:type="dxa"/>
            <w:shd w:val="clear" w:color="auto" w:fill="auto"/>
          </w:tcPr>
          <w:p w14:paraId="27A0EB8D" w14:textId="64459A03" w:rsidR="00DE06E8" w:rsidRPr="00DC0F13" w:rsidRDefault="00DE06E8" w:rsidP="00E90BA7">
            <w:pPr>
              <w:spacing w:before="20" w:after="20" w:line="240" w:lineRule="auto"/>
              <w:jc w:val="both"/>
              <w:rPr>
                <w:rFonts w:ascii="Segoe UI" w:hAnsi="Segoe UI" w:cs="Segoe UI"/>
                <w:i/>
                <w:sz w:val="18"/>
                <w:szCs w:val="18"/>
              </w:rPr>
            </w:pPr>
            <w:r w:rsidRPr="00DC0F13">
              <w:rPr>
                <w:rFonts w:ascii="Segoe UI" w:hAnsi="Segoe UI" w:cs="Segoe UI"/>
                <w:sz w:val="18"/>
                <w:szCs w:val="18"/>
              </w:rPr>
              <w:t>n.a.</w:t>
            </w:r>
          </w:p>
        </w:tc>
      </w:tr>
    </w:tbl>
    <w:p w14:paraId="51E6B6D8" w14:textId="77777777" w:rsidR="00E12448" w:rsidRDefault="00E12448" w:rsidP="00E90BA7">
      <w:pPr>
        <w:spacing w:before="20" w:after="20" w:line="240" w:lineRule="auto"/>
        <w:jc w:val="both"/>
        <w:rPr>
          <w:rFonts w:ascii="Segoe UI" w:hAnsi="Segoe UI" w:cs="Segoe UI"/>
          <w:sz w:val="18"/>
          <w:szCs w:val="18"/>
        </w:rPr>
      </w:pPr>
    </w:p>
    <w:p w14:paraId="79D52CF1"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br w:type="page"/>
      </w:r>
    </w:p>
    <w:p w14:paraId="47A764F3" w14:textId="36ED2567" w:rsidR="007C2B84" w:rsidRPr="007669E1" w:rsidRDefault="007C2B84" w:rsidP="00E90BA7">
      <w:pPr>
        <w:pStyle w:val="Heading2"/>
        <w:spacing w:before="20" w:after="20" w:line="240" w:lineRule="auto"/>
        <w:jc w:val="both"/>
        <w:rPr>
          <w:rFonts w:ascii="Segoe UI" w:hAnsi="Segoe UI" w:cs="Segoe UI"/>
          <w:sz w:val="18"/>
          <w:szCs w:val="18"/>
        </w:rPr>
      </w:pPr>
      <w:bookmarkStart w:id="50" w:name="_Toc126555842"/>
      <w:r w:rsidRPr="007669E1">
        <w:rPr>
          <w:rFonts w:ascii="Segoe UI" w:hAnsi="Segoe UI" w:cs="Segoe UI"/>
          <w:sz w:val="18"/>
          <w:szCs w:val="18"/>
        </w:rPr>
        <w:lastRenderedPageBreak/>
        <w:t>Appendix 2:</w:t>
      </w:r>
      <w:r w:rsidRPr="007669E1">
        <w:rPr>
          <w:rFonts w:ascii="Segoe UI" w:hAnsi="Segoe UI" w:cs="Segoe UI"/>
          <w:sz w:val="18"/>
          <w:szCs w:val="18"/>
        </w:rPr>
        <w:tab/>
        <w:t>BIT Tax Expenditures Summary Sheets</w:t>
      </w:r>
      <w:bookmarkEnd w:id="50"/>
    </w:p>
    <w:p w14:paraId="7BD88ED2" w14:textId="77777777" w:rsidR="007C2B84" w:rsidRPr="007669E1" w:rsidRDefault="007C2B84"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E1485" w14:paraId="2578D823" w14:textId="77777777" w:rsidTr="00D75D26">
        <w:tc>
          <w:tcPr>
            <w:tcW w:w="9625" w:type="dxa"/>
            <w:gridSpan w:val="7"/>
            <w:shd w:val="clear" w:color="auto" w:fill="D9D9D9" w:themeFill="background1" w:themeFillShade="D9"/>
          </w:tcPr>
          <w:p w14:paraId="3DEC189B" w14:textId="073BA2E4"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 xml:space="preserve">1. </w:t>
            </w:r>
            <w:r w:rsidR="007A6DCA" w:rsidRPr="004E1485">
              <w:rPr>
                <w:rFonts w:ascii="Segoe UI" w:hAnsi="Segoe UI" w:cs="Segoe UI"/>
                <w:b/>
                <w:bCs/>
                <w:sz w:val="18"/>
                <w:szCs w:val="18"/>
              </w:rPr>
              <w:t>Tax exemption of private e</w:t>
            </w:r>
            <w:r w:rsidRPr="004E1485">
              <w:rPr>
                <w:rFonts w:ascii="Segoe UI" w:hAnsi="Segoe UI" w:cs="Segoe UI"/>
                <w:b/>
                <w:bCs/>
                <w:sz w:val="18"/>
                <w:szCs w:val="18"/>
              </w:rPr>
              <w:t>ducation authorities</w:t>
            </w:r>
          </w:p>
        </w:tc>
      </w:tr>
      <w:tr w:rsidR="007669E1" w:rsidRPr="007669E1" w14:paraId="0C0B08CA" w14:textId="77777777" w:rsidTr="00D75D26">
        <w:tc>
          <w:tcPr>
            <w:tcW w:w="2425" w:type="dxa"/>
          </w:tcPr>
          <w:p w14:paraId="28088AC9"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Description</w:t>
            </w:r>
          </w:p>
        </w:tc>
        <w:tc>
          <w:tcPr>
            <w:tcW w:w="7200" w:type="dxa"/>
            <w:gridSpan w:val="6"/>
          </w:tcPr>
          <w:p w14:paraId="6AC11337" w14:textId="1AC6DBDB"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income tax exemption for public education institutions is deemed benchmark treatment, notwithstanding the provisions of the Article 51, whereas the income tax exemption of private education institutions’ income derived from the</w:t>
            </w:r>
            <w:r w:rsidR="00C6348F" w:rsidRPr="007669E1">
              <w:rPr>
                <w:rFonts w:ascii="Segoe UI" w:hAnsi="Segoe UI" w:cs="Segoe UI"/>
                <w:sz w:val="18"/>
                <w:szCs w:val="18"/>
              </w:rPr>
              <w:t xml:space="preserve"> provision </w:t>
            </w:r>
            <w:r w:rsidR="00964E9B" w:rsidRPr="007669E1">
              <w:rPr>
                <w:rFonts w:ascii="Segoe UI" w:hAnsi="Segoe UI" w:cs="Segoe UI"/>
                <w:sz w:val="18"/>
                <w:szCs w:val="18"/>
              </w:rPr>
              <w:t>of education</w:t>
            </w:r>
            <w:r w:rsidRPr="007669E1">
              <w:rPr>
                <w:rFonts w:ascii="Segoe UI" w:hAnsi="Segoe UI" w:cs="Segoe UI"/>
                <w:sz w:val="18"/>
                <w:szCs w:val="18"/>
              </w:rPr>
              <w:t xml:space="preserve"> </w:t>
            </w:r>
            <w:r w:rsidR="002E5FFD" w:rsidRPr="007669E1">
              <w:rPr>
                <w:rFonts w:ascii="Segoe UI" w:hAnsi="Segoe UI" w:cs="Segoe UI"/>
                <w:sz w:val="18"/>
                <w:szCs w:val="18"/>
              </w:rPr>
              <w:t xml:space="preserve">services </w:t>
            </w:r>
            <w:r w:rsidRPr="007669E1">
              <w:rPr>
                <w:rFonts w:ascii="Segoe UI" w:hAnsi="Segoe UI" w:cs="Segoe UI"/>
                <w:sz w:val="18"/>
                <w:szCs w:val="18"/>
              </w:rPr>
              <w:t>in accordance with the Education Code is a tax expenditure.</w:t>
            </w:r>
          </w:p>
        </w:tc>
      </w:tr>
      <w:tr w:rsidR="007669E1" w:rsidRPr="007669E1" w14:paraId="3F33F0AC" w14:textId="77777777" w:rsidTr="00D75D26">
        <w:tc>
          <w:tcPr>
            <w:tcW w:w="2425" w:type="dxa"/>
          </w:tcPr>
          <w:p w14:paraId="1E5CDEC3"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Type of Tax Affected</w:t>
            </w:r>
          </w:p>
        </w:tc>
        <w:tc>
          <w:tcPr>
            <w:tcW w:w="7200" w:type="dxa"/>
            <w:gridSpan w:val="6"/>
          </w:tcPr>
          <w:p w14:paraId="6BDAAD3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6318C92F" w14:textId="77777777" w:rsidTr="00D75D26">
        <w:tc>
          <w:tcPr>
            <w:tcW w:w="2425" w:type="dxa"/>
          </w:tcPr>
          <w:p w14:paraId="46A4BA4B"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Beneficiaries</w:t>
            </w:r>
          </w:p>
        </w:tc>
        <w:tc>
          <w:tcPr>
            <w:tcW w:w="7200" w:type="dxa"/>
            <w:gridSpan w:val="6"/>
          </w:tcPr>
          <w:p w14:paraId="388BB7D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Privately run and managed education institutions.</w:t>
            </w:r>
          </w:p>
        </w:tc>
      </w:tr>
      <w:tr w:rsidR="007669E1" w:rsidRPr="007669E1" w14:paraId="52E6EF5A" w14:textId="77777777" w:rsidTr="00D75D26">
        <w:tc>
          <w:tcPr>
            <w:tcW w:w="2425" w:type="dxa"/>
          </w:tcPr>
          <w:p w14:paraId="48EB099C"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Type of Measure</w:t>
            </w:r>
          </w:p>
        </w:tc>
        <w:tc>
          <w:tcPr>
            <w:tcW w:w="7200" w:type="dxa"/>
            <w:gridSpan w:val="6"/>
          </w:tcPr>
          <w:p w14:paraId="7BDC70F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Income tax exemption</w:t>
            </w:r>
          </w:p>
        </w:tc>
      </w:tr>
      <w:tr w:rsidR="007669E1" w:rsidRPr="007669E1" w14:paraId="6AA2E810" w14:textId="77777777" w:rsidTr="00D75D26">
        <w:tc>
          <w:tcPr>
            <w:tcW w:w="2425" w:type="dxa"/>
          </w:tcPr>
          <w:p w14:paraId="007922F2"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Reason why this Measure is not part of the Benchmark Tax System</w:t>
            </w:r>
          </w:p>
        </w:tc>
        <w:tc>
          <w:tcPr>
            <w:tcW w:w="7200" w:type="dxa"/>
            <w:gridSpan w:val="6"/>
          </w:tcPr>
          <w:p w14:paraId="423E49D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legislated tax exemption is a departure from the benchmark tax treatment whereby taxable income attracts the 12% statutory BIT rate. The exemption is therefore a tax expenditure.</w:t>
            </w:r>
          </w:p>
        </w:tc>
      </w:tr>
      <w:tr w:rsidR="007669E1" w:rsidRPr="007669E1" w14:paraId="51144E57" w14:textId="77777777" w:rsidTr="00D75D26">
        <w:tc>
          <w:tcPr>
            <w:tcW w:w="2425" w:type="dxa"/>
          </w:tcPr>
          <w:p w14:paraId="06AD8CE6"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Legal Reference</w:t>
            </w:r>
          </w:p>
        </w:tc>
        <w:tc>
          <w:tcPr>
            <w:tcW w:w="7200" w:type="dxa"/>
            <w:gridSpan w:val="6"/>
          </w:tcPr>
          <w:p w14:paraId="4B031A4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51</w:t>
            </w:r>
            <w:r w:rsidRPr="007669E1">
              <w:rPr>
                <w:rFonts w:ascii="Segoe UI" w:hAnsi="Segoe UI" w:cs="Segoe UI"/>
                <w:sz w:val="18"/>
                <w:szCs w:val="18"/>
                <w:vertAlign w:val="superscript"/>
              </w:rPr>
              <w:t>3</w:t>
            </w:r>
          </w:p>
        </w:tc>
      </w:tr>
      <w:tr w:rsidR="00136C8F" w:rsidRPr="007669E1" w14:paraId="066C825F" w14:textId="77777777" w:rsidTr="00D75D26">
        <w:trPr>
          <w:trHeight w:val="182"/>
        </w:trPr>
        <w:tc>
          <w:tcPr>
            <w:tcW w:w="2425" w:type="dxa"/>
            <w:vMerge w:val="restart"/>
          </w:tcPr>
          <w:p w14:paraId="130E480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Implementation, Objectives, and History</w:t>
            </w:r>
          </w:p>
        </w:tc>
        <w:tc>
          <w:tcPr>
            <w:tcW w:w="3462" w:type="dxa"/>
            <w:gridSpan w:val="3"/>
          </w:tcPr>
          <w:p w14:paraId="25EF22DF"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62197A0F"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75C5C9C2" w14:textId="77777777" w:rsidTr="00D75D26">
        <w:trPr>
          <w:trHeight w:val="182"/>
        </w:trPr>
        <w:tc>
          <w:tcPr>
            <w:tcW w:w="2425" w:type="dxa"/>
            <w:vMerge/>
          </w:tcPr>
          <w:p w14:paraId="0BD21FBA" w14:textId="77777777" w:rsidR="007C2B84" w:rsidRPr="004E1485" w:rsidRDefault="007C2B84" w:rsidP="00E90BA7">
            <w:pPr>
              <w:spacing w:before="20" w:after="20" w:line="240" w:lineRule="auto"/>
              <w:jc w:val="both"/>
              <w:rPr>
                <w:rFonts w:ascii="Segoe UI" w:hAnsi="Segoe UI" w:cs="Segoe UI"/>
                <w:b/>
                <w:bCs/>
                <w:sz w:val="18"/>
                <w:szCs w:val="18"/>
              </w:rPr>
            </w:pPr>
          </w:p>
        </w:tc>
        <w:tc>
          <w:tcPr>
            <w:tcW w:w="3462" w:type="dxa"/>
            <w:gridSpan w:val="3"/>
          </w:tcPr>
          <w:p w14:paraId="1717D24D"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2012</w:t>
            </w:r>
          </w:p>
        </w:tc>
        <w:tc>
          <w:tcPr>
            <w:tcW w:w="3738" w:type="dxa"/>
            <w:gridSpan w:val="3"/>
          </w:tcPr>
          <w:p w14:paraId="07EBA280" w14:textId="445A8D78"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23D29C89" w14:textId="77777777" w:rsidTr="00D75D26">
        <w:tc>
          <w:tcPr>
            <w:tcW w:w="2425" w:type="dxa"/>
          </w:tcPr>
          <w:p w14:paraId="3FDA1FB2"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Source of Data</w:t>
            </w:r>
          </w:p>
        </w:tc>
        <w:tc>
          <w:tcPr>
            <w:tcW w:w="7200" w:type="dxa"/>
            <w:gridSpan w:val="6"/>
          </w:tcPr>
          <w:p w14:paraId="2DFED232" w14:textId="62EF725A" w:rsidR="007C2B84" w:rsidRPr="007669E1" w:rsidRDefault="0046770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39EB4ED2" w14:textId="77777777" w:rsidTr="00D75D26">
        <w:tc>
          <w:tcPr>
            <w:tcW w:w="2425" w:type="dxa"/>
          </w:tcPr>
          <w:p w14:paraId="61CBFB79"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Estimation Method</w:t>
            </w:r>
          </w:p>
        </w:tc>
        <w:tc>
          <w:tcPr>
            <w:tcW w:w="7200" w:type="dxa"/>
            <w:gridSpan w:val="6"/>
          </w:tcPr>
          <w:p w14:paraId="697B4AA3" w14:textId="05FFEE9D" w:rsidR="007C2B84" w:rsidRPr="007669E1" w:rsidRDefault="0046770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2C9FDF12" w14:textId="77777777" w:rsidTr="00D75D26">
        <w:tc>
          <w:tcPr>
            <w:tcW w:w="2425" w:type="dxa"/>
          </w:tcPr>
          <w:p w14:paraId="133B8E95"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Number of Beneficiaries</w:t>
            </w:r>
          </w:p>
        </w:tc>
        <w:tc>
          <w:tcPr>
            <w:tcW w:w="7200" w:type="dxa"/>
            <w:gridSpan w:val="6"/>
          </w:tcPr>
          <w:p w14:paraId="6ED997C2"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3245B876" w14:textId="77777777" w:rsidTr="00D75D26">
        <w:tc>
          <w:tcPr>
            <w:tcW w:w="2425" w:type="dxa"/>
          </w:tcPr>
          <w:p w14:paraId="0C3D771B"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Revenue Cost Reporting</w:t>
            </w:r>
          </w:p>
        </w:tc>
        <w:tc>
          <w:tcPr>
            <w:tcW w:w="7200" w:type="dxa"/>
            <w:gridSpan w:val="6"/>
          </w:tcPr>
          <w:p w14:paraId="2D0EF7D0" w14:textId="17DD1A01" w:rsidR="007C2B84" w:rsidRPr="007669E1" w:rsidRDefault="002E3F8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1E0B2502" w14:textId="77777777" w:rsidTr="00D75D26">
        <w:trPr>
          <w:trHeight w:val="91"/>
        </w:trPr>
        <w:tc>
          <w:tcPr>
            <w:tcW w:w="2425" w:type="dxa"/>
            <w:vMerge w:val="restart"/>
          </w:tcPr>
          <w:p w14:paraId="37C24ECD" w14:textId="77777777" w:rsidR="007C2B84" w:rsidRPr="004E1485" w:rsidRDefault="007C2B84" w:rsidP="00E90BA7">
            <w:pPr>
              <w:spacing w:before="20" w:after="20" w:line="240" w:lineRule="auto"/>
              <w:jc w:val="both"/>
              <w:rPr>
                <w:rFonts w:ascii="Segoe UI" w:hAnsi="Segoe UI" w:cs="Segoe UI"/>
                <w:b/>
                <w:bCs/>
                <w:sz w:val="18"/>
                <w:szCs w:val="18"/>
              </w:rPr>
            </w:pPr>
          </w:p>
        </w:tc>
        <w:tc>
          <w:tcPr>
            <w:tcW w:w="1385" w:type="dxa"/>
          </w:tcPr>
          <w:p w14:paraId="3455D056"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2018</w:t>
            </w:r>
          </w:p>
        </w:tc>
        <w:tc>
          <w:tcPr>
            <w:tcW w:w="1385" w:type="dxa"/>
          </w:tcPr>
          <w:p w14:paraId="5B26401E"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2019</w:t>
            </w:r>
          </w:p>
        </w:tc>
        <w:tc>
          <w:tcPr>
            <w:tcW w:w="1385" w:type="dxa"/>
            <w:gridSpan w:val="2"/>
          </w:tcPr>
          <w:p w14:paraId="6576A6AC"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2020</w:t>
            </w:r>
          </w:p>
        </w:tc>
        <w:tc>
          <w:tcPr>
            <w:tcW w:w="1385" w:type="dxa"/>
          </w:tcPr>
          <w:p w14:paraId="13E50448"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2021</w:t>
            </w:r>
          </w:p>
        </w:tc>
        <w:tc>
          <w:tcPr>
            <w:tcW w:w="1660" w:type="dxa"/>
          </w:tcPr>
          <w:p w14:paraId="53E1F1EE" w14:textId="37C28405" w:rsidR="007C2B84" w:rsidRPr="004E1485" w:rsidRDefault="000C00AF"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2022</w:t>
            </w:r>
          </w:p>
        </w:tc>
      </w:tr>
      <w:tr w:rsidR="007669E1" w:rsidRPr="007669E1" w14:paraId="53CCE271" w14:textId="77777777" w:rsidTr="008401C5">
        <w:trPr>
          <w:trHeight w:val="91"/>
        </w:trPr>
        <w:tc>
          <w:tcPr>
            <w:tcW w:w="2425" w:type="dxa"/>
            <w:vMerge/>
          </w:tcPr>
          <w:p w14:paraId="2C9786A2"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4C14C493" w14:textId="2A22F0E9" w:rsidR="007C2B84" w:rsidRPr="007669E1" w:rsidRDefault="0066685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33,067.8</w:t>
            </w:r>
          </w:p>
        </w:tc>
        <w:tc>
          <w:tcPr>
            <w:tcW w:w="1385" w:type="dxa"/>
            <w:shd w:val="clear" w:color="auto" w:fill="D9D9D9" w:themeFill="background1" w:themeFillShade="D9"/>
            <w:vAlign w:val="bottom"/>
          </w:tcPr>
          <w:p w14:paraId="53C61F6E" w14:textId="7E75E129" w:rsidR="007C2B84" w:rsidRPr="007669E1" w:rsidRDefault="0066685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33,117.1</w:t>
            </w:r>
          </w:p>
        </w:tc>
        <w:tc>
          <w:tcPr>
            <w:tcW w:w="1385" w:type="dxa"/>
            <w:gridSpan w:val="2"/>
            <w:shd w:val="clear" w:color="auto" w:fill="D9D9D9" w:themeFill="background1" w:themeFillShade="D9"/>
            <w:vAlign w:val="bottom"/>
          </w:tcPr>
          <w:p w14:paraId="72B0AB9B" w14:textId="7A66FCA7" w:rsidR="007C2B84" w:rsidRPr="007669E1" w:rsidRDefault="0066685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31,623.3</w:t>
            </w:r>
          </w:p>
        </w:tc>
        <w:tc>
          <w:tcPr>
            <w:tcW w:w="1385" w:type="dxa"/>
            <w:shd w:val="clear" w:color="auto" w:fill="D9D9D9" w:themeFill="background1" w:themeFillShade="D9"/>
            <w:vAlign w:val="bottom"/>
          </w:tcPr>
          <w:p w14:paraId="7EB441AE" w14:textId="45655457" w:rsidR="007C2B84" w:rsidRPr="007669E1" w:rsidRDefault="0066685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36,499.8</w:t>
            </w:r>
          </w:p>
        </w:tc>
        <w:tc>
          <w:tcPr>
            <w:tcW w:w="1660" w:type="dxa"/>
            <w:shd w:val="clear" w:color="auto" w:fill="D9D9D9" w:themeFill="background1" w:themeFillShade="D9"/>
            <w:vAlign w:val="bottom"/>
          </w:tcPr>
          <w:p w14:paraId="6448B176" w14:textId="42BBF2BC" w:rsidR="007C2B84" w:rsidRPr="007669E1" w:rsidRDefault="0066685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40,678.8</w:t>
            </w:r>
          </w:p>
        </w:tc>
      </w:tr>
    </w:tbl>
    <w:p w14:paraId="7617FC70" w14:textId="1CAA7F05"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Note</w:t>
      </w:r>
      <w:r w:rsidR="0031201A" w:rsidRPr="007669E1">
        <w:rPr>
          <w:rFonts w:ascii="Segoe UI" w:hAnsi="Segoe UI" w:cs="Segoe UI"/>
          <w:sz w:val="18"/>
          <w:szCs w:val="18"/>
        </w:rPr>
        <w:t xml:space="preserve"> (1)</w:t>
      </w:r>
      <w:r w:rsidRPr="007669E1">
        <w:rPr>
          <w:rFonts w:ascii="Segoe UI" w:hAnsi="Segoe UI" w:cs="Segoe UI"/>
          <w:sz w:val="18"/>
          <w:szCs w:val="18"/>
        </w:rPr>
        <w:t>: The income tax exemption of public authorities and public institutions, as stipulated in Art 51 of the Tax Code (BIT), is an element of the BIT benchmark system.</w:t>
      </w:r>
    </w:p>
    <w:p w14:paraId="614A857E" w14:textId="7906E147" w:rsidR="0031201A" w:rsidRPr="007669E1" w:rsidRDefault="0031201A"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(2): Estimates for 2018 are based on actual data, figures fr</w:t>
      </w:r>
      <w:r w:rsidR="005D682D" w:rsidRPr="007669E1">
        <w:rPr>
          <w:rFonts w:ascii="Segoe UI" w:hAnsi="Segoe UI" w:cs="Segoe UI"/>
          <w:sz w:val="18"/>
          <w:szCs w:val="18"/>
        </w:rPr>
        <w:t>om</w:t>
      </w:r>
      <w:r w:rsidRPr="007669E1">
        <w:rPr>
          <w:rFonts w:ascii="Segoe UI" w:hAnsi="Segoe UI" w:cs="Segoe UI"/>
          <w:sz w:val="18"/>
          <w:szCs w:val="18"/>
        </w:rPr>
        <w:t xml:space="preserve"> 20</w:t>
      </w:r>
      <w:r w:rsidR="005D682D" w:rsidRPr="007669E1">
        <w:rPr>
          <w:rFonts w:ascii="Segoe UI" w:hAnsi="Segoe UI" w:cs="Segoe UI"/>
          <w:sz w:val="18"/>
          <w:szCs w:val="18"/>
        </w:rPr>
        <w:t>19 to</w:t>
      </w:r>
      <w:r w:rsidRPr="007669E1">
        <w:rPr>
          <w:rFonts w:ascii="Segoe UI" w:hAnsi="Segoe UI" w:cs="Segoe UI"/>
          <w:sz w:val="18"/>
          <w:szCs w:val="18"/>
        </w:rPr>
        <w:t xml:space="preserve"> 2022 are projected based on 20</w:t>
      </w:r>
      <w:r w:rsidR="005D682D" w:rsidRPr="007669E1">
        <w:rPr>
          <w:rFonts w:ascii="Segoe UI" w:hAnsi="Segoe UI" w:cs="Segoe UI"/>
          <w:sz w:val="18"/>
          <w:szCs w:val="18"/>
        </w:rPr>
        <w:t>18</w:t>
      </w:r>
      <w:r w:rsidRPr="007669E1">
        <w:rPr>
          <w:rFonts w:ascii="Segoe UI" w:hAnsi="Segoe UI" w:cs="Segoe UI"/>
          <w:sz w:val="18"/>
          <w:szCs w:val="18"/>
        </w:rPr>
        <w:t>.</w:t>
      </w:r>
    </w:p>
    <w:p w14:paraId="113C4A67" w14:textId="77777777" w:rsidR="007C2B84" w:rsidRPr="007669E1" w:rsidRDefault="007C2B84"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E1485" w14:paraId="647C7F11" w14:textId="77777777" w:rsidTr="00D75D26">
        <w:tc>
          <w:tcPr>
            <w:tcW w:w="9625" w:type="dxa"/>
            <w:gridSpan w:val="7"/>
            <w:shd w:val="clear" w:color="auto" w:fill="D9D9D9" w:themeFill="background1" w:themeFillShade="D9"/>
          </w:tcPr>
          <w:p w14:paraId="50FF12AE" w14:textId="7BA629D5"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 xml:space="preserve">2. Tax exemption of the </w:t>
            </w:r>
            <w:r w:rsidR="2AB354A0" w:rsidRPr="004E1485">
              <w:rPr>
                <w:rFonts w:ascii="Segoe UI" w:hAnsi="Segoe UI" w:cs="Segoe UI"/>
                <w:b/>
                <w:bCs/>
                <w:sz w:val="18"/>
                <w:szCs w:val="18"/>
              </w:rPr>
              <w:t>a</w:t>
            </w:r>
            <w:r w:rsidRPr="004E1485">
              <w:rPr>
                <w:rFonts w:ascii="Segoe UI" w:hAnsi="Segoe UI" w:cs="Segoe UI"/>
                <w:b/>
                <w:bCs/>
                <w:sz w:val="18"/>
                <w:szCs w:val="18"/>
              </w:rPr>
              <w:t>dministration of a Free Economic Zone (FEZ)</w:t>
            </w:r>
          </w:p>
        </w:tc>
      </w:tr>
      <w:tr w:rsidR="007669E1" w:rsidRPr="007669E1" w14:paraId="263A3C8D" w14:textId="77777777" w:rsidTr="00D75D26">
        <w:tc>
          <w:tcPr>
            <w:tcW w:w="2425" w:type="dxa"/>
          </w:tcPr>
          <w:p w14:paraId="1723918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Description</w:t>
            </w:r>
          </w:p>
        </w:tc>
        <w:tc>
          <w:tcPr>
            <w:tcW w:w="7200" w:type="dxa"/>
            <w:gridSpan w:val="6"/>
          </w:tcPr>
          <w:p w14:paraId="4A93E162" w14:textId="44BE6D5A"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Financial sources of the administration of the FEZ as stipulated in Article 5 para. (4) of Law No. 440-XV dated July 27th, 2001</w:t>
            </w:r>
            <w:r w:rsidR="00411708" w:rsidRPr="007669E1">
              <w:rPr>
                <w:rFonts w:ascii="Segoe UI" w:hAnsi="Segoe UI" w:cs="Segoe UI"/>
                <w:sz w:val="18"/>
                <w:szCs w:val="18"/>
              </w:rPr>
              <w:t>,</w:t>
            </w:r>
            <w:r w:rsidRPr="007669E1">
              <w:rPr>
                <w:rFonts w:ascii="Segoe UI" w:hAnsi="Segoe UI" w:cs="Segoe UI"/>
                <w:sz w:val="18"/>
                <w:szCs w:val="18"/>
              </w:rPr>
              <w:t xml:space="preserve"> concerning FEZs shall be exempt from tax.</w:t>
            </w:r>
          </w:p>
        </w:tc>
      </w:tr>
      <w:tr w:rsidR="007669E1" w:rsidRPr="007669E1" w14:paraId="4422890B" w14:textId="77777777" w:rsidTr="00D75D26">
        <w:tc>
          <w:tcPr>
            <w:tcW w:w="2425" w:type="dxa"/>
          </w:tcPr>
          <w:p w14:paraId="2331BFCC"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Type of Tax Affected</w:t>
            </w:r>
          </w:p>
        </w:tc>
        <w:tc>
          <w:tcPr>
            <w:tcW w:w="7200" w:type="dxa"/>
            <w:gridSpan w:val="6"/>
          </w:tcPr>
          <w:p w14:paraId="4697AF0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6EC1A50A" w14:textId="77777777" w:rsidTr="00D75D26">
        <w:tc>
          <w:tcPr>
            <w:tcW w:w="2425" w:type="dxa"/>
          </w:tcPr>
          <w:p w14:paraId="7BF03B3E"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Beneficiaries</w:t>
            </w:r>
          </w:p>
        </w:tc>
        <w:tc>
          <w:tcPr>
            <w:tcW w:w="7200" w:type="dxa"/>
            <w:gridSpan w:val="6"/>
          </w:tcPr>
          <w:p w14:paraId="4A1DA7F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administration of the free economic zone</w:t>
            </w:r>
          </w:p>
        </w:tc>
      </w:tr>
      <w:tr w:rsidR="007669E1" w:rsidRPr="007669E1" w14:paraId="0049C340" w14:textId="77777777" w:rsidTr="00D75D26">
        <w:tc>
          <w:tcPr>
            <w:tcW w:w="2425" w:type="dxa"/>
          </w:tcPr>
          <w:p w14:paraId="15E56992"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Type of Measure</w:t>
            </w:r>
          </w:p>
        </w:tc>
        <w:tc>
          <w:tcPr>
            <w:tcW w:w="7200" w:type="dxa"/>
            <w:gridSpan w:val="6"/>
          </w:tcPr>
          <w:p w14:paraId="1D0FC01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Income tax exemption.</w:t>
            </w:r>
          </w:p>
        </w:tc>
      </w:tr>
      <w:tr w:rsidR="007669E1" w:rsidRPr="007669E1" w14:paraId="4798F652" w14:textId="77777777" w:rsidTr="00D75D26">
        <w:tc>
          <w:tcPr>
            <w:tcW w:w="2425" w:type="dxa"/>
          </w:tcPr>
          <w:p w14:paraId="28D40FE5"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Reason why this Measure is not part of the Benchmark Tax System</w:t>
            </w:r>
          </w:p>
        </w:tc>
        <w:tc>
          <w:tcPr>
            <w:tcW w:w="7200" w:type="dxa"/>
            <w:gridSpan w:val="6"/>
          </w:tcPr>
          <w:p w14:paraId="6A728D0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legislated tax exemption is a departure from the benchmark tax treatment whereby taxable income attracts the 12% statutory BIT rate. The exemption is therefore a tax expenditure.</w:t>
            </w:r>
          </w:p>
        </w:tc>
      </w:tr>
      <w:tr w:rsidR="007669E1" w:rsidRPr="007669E1" w14:paraId="4319B966" w14:textId="77777777" w:rsidTr="00D75D26">
        <w:tc>
          <w:tcPr>
            <w:tcW w:w="2425" w:type="dxa"/>
          </w:tcPr>
          <w:p w14:paraId="522E8B25"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Legal Reference</w:t>
            </w:r>
          </w:p>
        </w:tc>
        <w:tc>
          <w:tcPr>
            <w:tcW w:w="7200" w:type="dxa"/>
            <w:gridSpan w:val="6"/>
          </w:tcPr>
          <w:p w14:paraId="5E9CDEB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51</w:t>
            </w:r>
            <w:r w:rsidRPr="007669E1">
              <w:rPr>
                <w:rFonts w:ascii="Segoe UI" w:hAnsi="Segoe UI" w:cs="Segoe UI"/>
                <w:sz w:val="18"/>
                <w:szCs w:val="18"/>
                <w:vertAlign w:val="superscript"/>
              </w:rPr>
              <w:t>2</w:t>
            </w:r>
          </w:p>
        </w:tc>
      </w:tr>
      <w:tr w:rsidR="00136C8F" w:rsidRPr="007669E1" w14:paraId="2FA0D496" w14:textId="77777777" w:rsidTr="00D75D26">
        <w:trPr>
          <w:trHeight w:val="182"/>
        </w:trPr>
        <w:tc>
          <w:tcPr>
            <w:tcW w:w="2425" w:type="dxa"/>
            <w:vMerge w:val="restart"/>
          </w:tcPr>
          <w:p w14:paraId="4CEA557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Implementation, Objectives, and History</w:t>
            </w:r>
          </w:p>
        </w:tc>
        <w:tc>
          <w:tcPr>
            <w:tcW w:w="3462" w:type="dxa"/>
            <w:gridSpan w:val="3"/>
          </w:tcPr>
          <w:p w14:paraId="54DEC200"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00C5642D"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570A7EEF" w14:textId="77777777" w:rsidTr="00D75D26">
        <w:trPr>
          <w:trHeight w:val="182"/>
        </w:trPr>
        <w:tc>
          <w:tcPr>
            <w:tcW w:w="2425" w:type="dxa"/>
            <w:vMerge/>
          </w:tcPr>
          <w:p w14:paraId="480847D9" w14:textId="77777777" w:rsidR="007C2B84" w:rsidRPr="004E1485" w:rsidRDefault="007C2B84" w:rsidP="00E90BA7">
            <w:pPr>
              <w:spacing w:before="20" w:after="20" w:line="240" w:lineRule="auto"/>
              <w:jc w:val="both"/>
              <w:rPr>
                <w:rFonts w:ascii="Segoe UI" w:hAnsi="Segoe UI" w:cs="Segoe UI"/>
                <w:b/>
                <w:bCs/>
                <w:sz w:val="18"/>
                <w:szCs w:val="18"/>
              </w:rPr>
            </w:pPr>
          </w:p>
        </w:tc>
        <w:tc>
          <w:tcPr>
            <w:tcW w:w="3462" w:type="dxa"/>
            <w:gridSpan w:val="3"/>
          </w:tcPr>
          <w:p w14:paraId="00B92E8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2012</w:t>
            </w:r>
          </w:p>
        </w:tc>
        <w:tc>
          <w:tcPr>
            <w:tcW w:w="3738" w:type="dxa"/>
            <w:gridSpan w:val="3"/>
          </w:tcPr>
          <w:p w14:paraId="5B39E4C7" w14:textId="60F20CC8"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24D2924B" w14:textId="77777777" w:rsidTr="00D75D26">
        <w:tc>
          <w:tcPr>
            <w:tcW w:w="2425" w:type="dxa"/>
          </w:tcPr>
          <w:p w14:paraId="48B4778E" w14:textId="77777777" w:rsidR="00467703" w:rsidRPr="004E1485" w:rsidRDefault="00467703"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Source of Data</w:t>
            </w:r>
          </w:p>
        </w:tc>
        <w:tc>
          <w:tcPr>
            <w:tcW w:w="7200" w:type="dxa"/>
            <w:gridSpan w:val="6"/>
          </w:tcPr>
          <w:p w14:paraId="4E5B6F88" w14:textId="74237518" w:rsidR="00467703" w:rsidRPr="007669E1" w:rsidRDefault="0046770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717125C7" w14:textId="77777777" w:rsidTr="00D75D26">
        <w:tc>
          <w:tcPr>
            <w:tcW w:w="2425" w:type="dxa"/>
          </w:tcPr>
          <w:p w14:paraId="3D431193" w14:textId="77777777" w:rsidR="00467703" w:rsidRPr="004E1485" w:rsidRDefault="00467703"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Estimation Method</w:t>
            </w:r>
          </w:p>
        </w:tc>
        <w:tc>
          <w:tcPr>
            <w:tcW w:w="7200" w:type="dxa"/>
            <w:gridSpan w:val="6"/>
          </w:tcPr>
          <w:p w14:paraId="5106156F" w14:textId="0C44C3D6" w:rsidR="00467703" w:rsidRPr="007669E1" w:rsidRDefault="0046770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6914849B" w14:textId="77777777" w:rsidTr="00D75D26">
        <w:tc>
          <w:tcPr>
            <w:tcW w:w="2425" w:type="dxa"/>
          </w:tcPr>
          <w:p w14:paraId="1CC3370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Number of Beneficiaries</w:t>
            </w:r>
          </w:p>
        </w:tc>
        <w:tc>
          <w:tcPr>
            <w:tcW w:w="7200" w:type="dxa"/>
            <w:gridSpan w:val="6"/>
          </w:tcPr>
          <w:p w14:paraId="0824065B"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17562A7B" w14:textId="77777777" w:rsidTr="00D75D26">
        <w:tc>
          <w:tcPr>
            <w:tcW w:w="2425" w:type="dxa"/>
          </w:tcPr>
          <w:p w14:paraId="53302D50"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Revenue Cost Reporting</w:t>
            </w:r>
          </w:p>
        </w:tc>
        <w:tc>
          <w:tcPr>
            <w:tcW w:w="7200" w:type="dxa"/>
            <w:gridSpan w:val="6"/>
          </w:tcPr>
          <w:p w14:paraId="7A472B54" w14:textId="55050B15" w:rsidR="007C2B84" w:rsidRPr="007669E1" w:rsidRDefault="0066685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7C2B84" w:rsidRPr="007669E1">
              <w:rPr>
                <w:rFonts w:ascii="Segoe UI" w:hAnsi="Segoe UI" w:cs="Segoe UI"/>
                <w:sz w:val="18"/>
                <w:szCs w:val="18"/>
              </w:rPr>
              <w:t>MDL</w:t>
            </w:r>
          </w:p>
        </w:tc>
      </w:tr>
      <w:tr w:rsidR="00136C8F" w:rsidRPr="007669E1" w14:paraId="327BCB31" w14:textId="77777777" w:rsidTr="00D75D26">
        <w:trPr>
          <w:trHeight w:val="91"/>
        </w:trPr>
        <w:tc>
          <w:tcPr>
            <w:tcW w:w="2425" w:type="dxa"/>
            <w:vMerge w:val="restart"/>
          </w:tcPr>
          <w:p w14:paraId="5FA878FD" w14:textId="77777777" w:rsidR="007C2B84" w:rsidRPr="004E1485" w:rsidRDefault="007C2B84" w:rsidP="00E90BA7">
            <w:pPr>
              <w:spacing w:before="20" w:after="20" w:line="240" w:lineRule="auto"/>
              <w:jc w:val="both"/>
              <w:rPr>
                <w:rFonts w:ascii="Segoe UI" w:hAnsi="Segoe UI" w:cs="Segoe UI"/>
                <w:b/>
                <w:bCs/>
                <w:sz w:val="18"/>
                <w:szCs w:val="18"/>
              </w:rPr>
            </w:pPr>
          </w:p>
        </w:tc>
        <w:tc>
          <w:tcPr>
            <w:tcW w:w="1385" w:type="dxa"/>
          </w:tcPr>
          <w:p w14:paraId="5D36669D"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2018</w:t>
            </w:r>
          </w:p>
        </w:tc>
        <w:tc>
          <w:tcPr>
            <w:tcW w:w="1385" w:type="dxa"/>
          </w:tcPr>
          <w:p w14:paraId="0B0B73AC"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2019</w:t>
            </w:r>
          </w:p>
        </w:tc>
        <w:tc>
          <w:tcPr>
            <w:tcW w:w="1385" w:type="dxa"/>
            <w:gridSpan w:val="2"/>
          </w:tcPr>
          <w:p w14:paraId="516150C5"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2020</w:t>
            </w:r>
          </w:p>
        </w:tc>
        <w:tc>
          <w:tcPr>
            <w:tcW w:w="1385" w:type="dxa"/>
          </w:tcPr>
          <w:p w14:paraId="1D6473C1"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2021</w:t>
            </w:r>
          </w:p>
        </w:tc>
        <w:tc>
          <w:tcPr>
            <w:tcW w:w="1660" w:type="dxa"/>
          </w:tcPr>
          <w:p w14:paraId="31B972F4" w14:textId="5173494A" w:rsidR="007C2B84" w:rsidRPr="004E1485" w:rsidRDefault="000C00AF"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2022</w:t>
            </w:r>
          </w:p>
        </w:tc>
      </w:tr>
      <w:tr w:rsidR="007669E1" w:rsidRPr="007669E1" w14:paraId="4992CE08" w14:textId="77777777" w:rsidTr="008401C5">
        <w:trPr>
          <w:trHeight w:val="91"/>
        </w:trPr>
        <w:tc>
          <w:tcPr>
            <w:tcW w:w="2425" w:type="dxa"/>
            <w:vMerge/>
          </w:tcPr>
          <w:p w14:paraId="522ED464"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6996E601" w14:textId="74D2EC25" w:rsidR="007C2B84" w:rsidRPr="007669E1" w:rsidRDefault="00FB21B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648.0</w:t>
            </w:r>
          </w:p>
        </w:tc>
        <w:tc>
          <w:tcPr>
            <w:tcW w:w="1385" w:type="dxa"/>
            <w:shd w:val="clear" w:color="auto" w:fill="D9D9D9" w:themeFill="background1" w:themeFillShade="D9"/>
            <w:vAlign w:val="bottom"/>
          </w:tcPr>
          <w:p w14:paraId="5D02A0DC" w14:textId="5ABA33A3" w:rsidR="007C2B84" w:rsidRPr="007669E1" w:rsidRDefault="00FB21B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649.0</w:t>
            </w:r>
          </w:p>
        </w:tc>
        <w:tc>
          <w:tcPr>
            <w:tcW w:w="1385" w:type="dxa"/>
            <w:gridSpan w:val="2"/>
            <w:shd w:val="clear" w:color="auto" w:fill="D9D9D9" w:themeFill="background1" w:themeFillShade="D9"/>
            <w:vAlign w:val="bottom"/>
          </w:tcPr>
          <w:p w14:paraId="48E1F25C" w14:textId="345BD925" w:rsidR="007C2B84" w:rsidRPr="007669E1" w:rsidRDefault="00FB21B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619.7</w:t>
            </w:r>
          </w:p>
        </w:tc>
        <w:tc>
          <w:tcPr>
            <w:tcW w:w="1385" w:type="dxa"/>
            <w:shd w:val="clear" w:color="auto" w:fill="D9D9D9" w:themeFill="background1" w:themeFillShade="D9"/>
            <w:vAlign w:val="bottom"/>
          </w:tcPr>
          <w:p w14:paraId="1F1B967B" w14:textId="42A62D9E" w:rsidR="007C2B84" w:rsidRPr="007669E1" w:rsidRDefault="00FB21B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715.3</w:t>
            </w:r>
          </w:p>
        </w:tc>
        <w:tc>
          <w:tcPr>
            <w:tcW w:w="1660" w:type="dxa"/>
            <w:shd w:val="clear" w:color="auto" w:fill="D9D9D9" w:themeFill="background1" w:themeFillShade="D9"/>
            <w:vAlign w:val="bottom"/>
          </w:tcPr>
          <w:p w14:paraId="0068A51C" w14:textId="7C30E3AE" w:rsidR="007C2B84" w:rsidRPr="007669E1" w:rsidRDefault="00FB21B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797.2</w:t>
            </w:r>
          </w:p>
        </w:tc>
      </w:tr>
    </w:tbl>
    <w:p w14:paraId="0D1F2EF4" w14:textId="6EE94385" w:rsidR="002268CE" w:rsidRPr="007669E1" w:rsidRDefault="002268CE"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 figures from 2019 to 2022 are projected based on 2018.</w:t>
      </w:r>
    </w:p>
    <w:p w14:paraId="1FF6DEDA"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E1485" w14:paraId="4E0EAD60" w14:textId="77777777" w:rsidTr="00D75D26">
        <w:tc>
          <w:tcPr>
            <w:tcW w:w="9625" w:type="dxa"/>
            <w:gridSpan w:val="7"/>
            <w:shd w:val="clear" w:color="auto" w:fill="D9D9D9" w:themeFill="background1" w:themeFillShade="D9"/>
          </w:tcPr>
          <w:p w14:paraId="37E101CB" w14:textId="3271EAD8"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lastRenderedPageBreak/>
              <w:t xml:space="preserve">3. Tax </w:t>
            </w:r>
            <w:r w:rsidR="6E66B20E" w:rsidRPr="004E1485">
              <w:rPr>
                <w:rFonts w:ascii="Segoe UI" w:hAnsi="Segoe UI" w:cs="Segoe UI"/>
                <w:b/>
                <w:bCs/>
                <w:sz w:val="18"/>
                <w:szCs w:val="18"/>
              </w:rPr>
              <w:t xml:space="preserve">exemption </w:t>
            </w:r>
            <w:r w:rsidRPr="004E1485">
              <w:rPr>
                <w:rFonts w:ascii="Segoe UI" w:hAnsi="Segoe UI" w:cs="Segoe UI"/>
                <w:b/>
                <w:bCs/>
                <w:sz w:val="18"/>
                <w:szCs w:val="18"/>
              </w:rPr>
              <w:t>of Administration of IT park</w:t>
            </w:r>
          </w:p>
        </w:tc>
      </w:tr>
      <w:tr w:rsidR="007669E1" w:rsidRPr="007669E1" w14:paraId="300AB5BB" w14:textId="77777777" w:rsidTr="00D75D26">
        <w:tc>
          <w:tcPr>
            <w:tcW w:w="2425" w:type="dxa"/>
          </w:tcPr>
          <w:p w14:paraId="241E138B"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Description</w:t>
            </w:r>
          </w:p>
        </w:tc>
        <w:tc>
          <w:tcPr>
            <w:tcW w:w="7200" w:type="dxa"/>
            <w:gridSpan w:val="6"/>
          </w:tcPr>
          <w:p w14:paraId="30E082E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sources of income of the park administration for information technology provided in art. 6 paragraph (3) of Law no. 77/2016 on parks for information technology are exempt from income tax.</w:t>
            </w:r>
          </w:p>
        </w:tc>
      </w:tr>
      <w:tr w:rsidR="007669E1" w:rsidRPr="007669E1" w14:paraId="6AF4DF22" w14:textId="77777777" w:rsidTr="00D75D26">
        <w:tc>
          <w:tcPr>
            <w:tcW w:w="2425" w:type="dxa"/>
          </w:tcPr>
          <w:p w14:paraId="25EA8A4C"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Type of Tax Affected</w:t>
            </w:r>
          </w:p>
        </w:tc>
        <w:tc>
          <w:tcPr>
            <w:tcW w:w="7200" w:type="dxa"/>
            <w:gridSpan w:val="6"/>
          </w:tcPr>
          <w:p w14:paraId="31C8446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7A61CC60" w14:textId="77777777" w:rsidTr="00D75D26">
        <w:tc>
          <w:tcPr>
            <w:tcW w:w="2425" w:type="dxa"/>
          </w:tcPr>
          <w:p w14:paraId="4F2112A3"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Beneficiaries</w:t>
            </w:r>
          </w:p>
        </w:tc>
        <w:tc>
          <w:tcPr>
            <w:tcW w:w="7200" w:type="dxa"/>
            <w:gridSpan w:val="6"/>
          </w:tcPr>
          <w:p w14:paraId="42D4D7A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Administration of an IT park.</w:t>
            </w:r>
          </w:p>
        </w:tc>
      </w:tr>
      <w:tr w:rsidR="007669E1" w:rsidRPr="007669E1" w14:paraId="103C8579" w14:textId="77777777" w:rsidTr="00D75D26">
        <w:tc>
          <w:tcPr>
            <w:tcW w:w="2425" w:type="dxa"/>
          </w:tcPr>
          <w:p w14:paraId="14EA6D3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Type of Measure</w:t>
            </w:r>
          </w:p>
        </w:tc>
        <w:tc>
          <w:tcPr>
            <w:tcW w:w="7200" w:type="dxa"/>
            <w:gridSpan w:val="6"/>
          </w:tcPr>
          <w:p w14:paraId="006DD2C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legislated tax exemption.</w:t>
            </w:r>
          </w:p>
        </w:tc>
      </w:tr>
      <w:tr w:rsidR="007669E1" w:rsidRPr="007669E1" w14:paraId="1CA62A58" w14:textId="77777777" w:rsidTr="00D75D26">
        <w:tc>
          <w:tcPr>
            <w:tcW w:w="2425" w:type="dxa"/>
          </w:tcPr>
          <w:p w14:paraId="7CD9309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Reason why this Measure is not part of the Benchmark Tax System</w:t>
            </w:r>
          </w:p>
        </w:tc>
        <w:tc>
          <w:tcPr>
            <w:tcW w:w="7200" w:type="dxa"/>
            <w:gridSpan w:val="6"/>
          </w:tcPr>
          <w:p w14:paraId="332B3BE9" w14:textId="41BF49AA"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tax exemption is a departure from the benchmark tax treatment, providing that taxable income attracts the 12% statutory BIT rate. The exemption is therefore a tax expenditure.</w:t>
            </w:r>
          </w:p>
        </w:tc>
      </w:tr>
      <w:tr w:rsidR="007669E1" w:rsidRPr="007669E1" w14:paraId="6A7AE448" w14:textId="77777777" w:rsidTr="00D75D26">
        <w:tc>
          <w:tcPr>
            <w:tcW w:w="2425" w:type="dxa"/>
          </w:tcPr>
          <w:p w14:paraId="2DB33D7F"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Legal Reference</w:t>
            </w:r>
          </w:p>
        </w:tc>
        <w:tc>
          <w:tcPr>
            <w:tcW w:w="7200" w:type="dxa"/>
            <w:gridSpan w:val="6"/>
          </w:tcPr>
          <w:p w14:paraId="504B0E9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51</w:t>
            </w:r>
            <w:r w:rsidRPr="007669E1">
              <w:rPr>
                <w:rFonts w:ascii="Segoe UI" w:hAnsi="Segoe UI" w:cs="Segoe UI"/>
                <w:sz w:val="18"/>
                <w:szCs w:val="18"/>
                <w:vertAlign w:val="superscript"/>
              </w:rPr>
              <w:t>4</w:t>
            </w:r>
          </w:p>
        </w:tc>
      </w:tr>
      <w:tr w:rsidR="00136C8F" w:rsidRPr="007669E1" w14:paraId="51FD41F5" w14:textId="77777777" w:rsidTr="00D75D26">
        <w:trPr>
          <w:trHeight w:val="182"/>
        </w:trPr>
        <w:tc>
          <w:tcPr>
            <w:tcW w:w="2425" w:type="dxa"/>
            <w:vMerge w:val="restart"/>
          </w:tcPr>
          <w:p w14:paraId="079497EB"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Implementation, Objectives, and History</w:t>
            </w:r>
          </w:p>
        </w:tc>
        <w:tc>
          <w:tcPr>
            <w:tcW w:w="3462" w:type="dxa"/>
            <w:gridSpan w:val="3"/>
          </w:tcPr>
          <w:p w14:paraId="6A94CC37"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696B3C82"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08BB7792" w14:textId="77777777" w:rsidTr="00D75D26">
        <w:trPr>
          <w:trHeight w:val="182"/>
        </w:trPr>
        <w:tc>
          <w:tcPr>
            <w:tcW w:w="2425" w:type="dxa"/>
            <w:vMerge/>
          </w:tcPr>
          <w:p w14:paraId="7BD84212" w14:textId="77777777" w:rsidR="007C2B84" w:rsidRPr="004E1485" w:rsidRDefault="007C2B84" w:rsidP="00E90BA7">
            <w:pPr>
              <w:spacing w:before="20" w:after="20" w:line="240" w:lineRule="auto"/>
              <w:jc w:val="both"/>
              <w:rPr>
                <w:rFonts w:ascii="Segoe UI" w:hAnsi="Segoe UI" w:cs="Segoe UI"/>
                <w:b/>
                <w:bCs/>
                <w:sz w:val="18"/>
                <w:szCs w:val="18"/>
              </w:rPr>
            </w:pPr>
          </w:p>
        </w:tc>
        <w:tc>
          <w:tcPr>
            <w:tcW w:w="3462" w:type="dxa"/>
            <w:gridSpan w:val="3"/>
          </w:tcPr>
          <w:p w14:paraId="326BA63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2022</w:t>
            </w:r>
          </w:p>
        </w:tc>
        <w:tc>
          <w:tcPr>
            <w:tcW w:w="3738" w:type="dxa"/>
            <w:gridSpan w:val="3"/>
          </w:tcPr>
          <w:p w14:paraId="66D4B1F2" w14:textId="40E14CD7"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2A49AC0B" w14:textId="77777777" w:rsidTr="00D75D26">
        <w:tc>
          <w:tcPr>
            <w:tcW w:w="2425" w:type="dxa"/>
          </w:tcPr>
          <w:p w14:paraId="1AE6C9AC" w14:textId="77777777" w:rsidR="00467703" w:rsidRPr="004E1485" w:rsidRDefault="00467703"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Source of Data</w:t>
            </w:r>
          </w:p>
        </w:tc>
        <w:tc>
          <w:tcPr>
            <w:tcW w:w="7200" w:type="dxa"/>
            <w:gridSpan w:val="6"/>
          </w:tcPr>
          <w:p w14:paraId="22D396B7" w14:textId="590E0AC0" w:rsidR="00467703" w:rsidRPr="007669E1" w:rsidRDefault="0046770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45FE9F81" w14:textId="77777777" w:rsidTr="00D75D26">
        <w:tc>
          <w:tcPr>
            <w:tcW w:w="2425" w:type="dxa"/>
          </w:tcPr>
          <w:p w14:paraId="6759F95C" w14:textId="77777777" w:rsidR="00467703" w:rsidRPr="004E1485" w:rsidRDefault="00467703"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Estimation Method</w:t>
            </w:r>
          </w:p>
        </w:tc>
        <w:tc>
          <w:tcPr>
            <w:tcW w:w="7200" w:type="dxa"/>
            <w:gridSpan w:val="6"/>
          </w:tcPr>
          <w:p w14:paraId="01C036B0" w14:textId="686916D3" w:rsidR="00467703" w:rsidRPr="007669E1" w:rsidRDefault="0046770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50531A81" w14:textId="77777777" w:rsidTr="00D75D26">
        <w:tc>
          <w:tcPr>
            <w:tcW w:w="2425" w:type="dxa"/>
          </w:tcPr>
          <w:p w14:paraId="543A0017"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Number of Beneficiaries</w:t>
            </w:r>
          </w:p>
        </w:tc>
        <w:tc>
          <w:tcPr>
            <w:tcW w:w="7200" w:type="dxa"/>
            <w:gridSpan w:val="6"/>
          </w:tcPr>
          <w:p w14:paraId="5022563C"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206D5CF7" w14:textId="77777777" w:rsidTr="00D75D26">
        <w:tc>
          <w:tcPr>
            <w:tcW w:w="2425" w:type="dxa"/>
          </w:tcPr>
          <w:p w14:paraId="1F2CB77C"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Revenue Cost Reporting</w:t>
            </w:r>
          </w:p>
        </w:tc>
        <w:tc>
          <w:tcPr>
            <w:tcW w:w="7200" w:type="dxa"/>
            <w:gridSpan w:val="6"/>
          </w:tcPr>
          <w:p w14:paraId="1187C3C0" w14:textId="3CC82FFE" w:rsidR="007C2B84" w:rsidRPr="007669E1" w:rsidRDefault="006F1E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7E127D2A" w14:textId="77777777" w:rsidTr="00D75D26">
        <w:trPr>
          <w:trHeight w:val="91"/>
        </w:trPr>
        <w:tc>
          <w:tcPr>
            <w:tcW w:w="2425" w:type="dxa"/>
            <w:vMerge w:val="restart"/>
          </w:tcPr>
          <w:p w14:paraId="1E943CC2"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37EBADD4"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2018</w:t>
            </w:r>
          </w:p>
        </w:tc>
        <w:tc>
          <w:tcPr>
            <w:tcW w:w="1385" w:type="dxa"/>
          </w:tcPr>
          <w:p w14:paraId="67785F33"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2019</w:t>
            </w:r>
          </w:p>
        </w:tc>
        <w:tc>
          <w:tcPr>
            <w:tcW w:w="1385" w:type="dxa"/>
            <w:gridSpan w:val="2"/>
          </w:tcPr>
          <w:p w14:paraId="0FE928C8"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2020</w:t>
            </w:r>
          </w:p>
        </w:tc>
        <w:tc>
          <w:tcPr>
            <w:tcW w:w="1385" w:type="dxa"/>
          </w:tcPr>
          <w:p w14:paraId="7ECE40CB" w14:textId="77777777" w:rsidR="007C2B84" w:rsidRPr="004E1485" w:rsidRDefault="007C2B84"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2021</w:t>
            </w:r>
          </w:p>
        </w:tc>
        <w:tc>
          <w:tcPr>
            <w:tcW w:w="1660" w:type="dxa"/>
          </w:tcPr>
          <w:p w14:paraId="4998982B" w14:textId="0B53A44F" w:rsidR="007C2B84" w:rsidRPr="004E1485" w:rsidRDefault="000C00AF" w:rsidP="00E90BA7">
            <w:pPr>
              <w:spacing w:before="20" w:after="20" w:line="240" w:lineRule="auto"/>
              <w:jc w:val="both"/>
              <w:rPr>
                <w:rFonts w:ascii="Segoe UI" w:hAnsi="Segoe UI" w:cs="Segoe UI"/>
                <w:b/>
                <w:bCs/>
                <w:sz w:val="18"/>
                <w:szCs w:val="18"/>
              </w:rPr>
            </w:pPr>
            <w:r w:rsidRPr="004E1485">
              <w:rPr>
                <w:rFonts w:ascii="Segoe UI" w:hAnsi="Segoe UI" w:cs="Segoe UI"/>
                <w:b/>
                <w:bCs/>
                <w:sz w:val="18"/>
                <w:szCs w:val="18"/>
              </w:rPr>
              <w:t>2022</w:t>
            </w:r>
          </w:p>
        </w:tc>
      </w:tr>
      <w:tr w:rsidR="00D40A8C" w:rsidRPr="007669E1" w14:paraId="78AE285B" w14:textId="77777777" w:rsidTr="00AA68AB">
        <w:trPr>
          <w:trHeight w:val="91"/>
        </w:trPr>
        <w:tc>
          <w:tcPr>
            <w:tcW w:w="2425" w:type="dxa"/>
            <w:vMerge/>
          </w:tcPr>
          <w:p w14:paraId="2658A268"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315B23DC" w14:textId="49C0E6F5" w:rsidR="007C2B84" w:rsidRPr="007669E1" w:rsidRDefault="00FE2F4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w:t>
            </w:r>
            <w:r w:rsidR="00620B0E" w:rsidRPr="007669E1">
              <w:rPr>
                <w:rFonts w:ascii="Segoe UI" w:hAnsi="Segoe UI" w:cs="Segoe UI"/>
                <w:sz w:val="18"/>
                <w:szCs w:val="18"/>
              </w:rPr>
              <w:t>a.</w:t>
            </w:r>
          </w:p>
        </w:tc>
        <w:tc>
          <w:tcPr>
            <w:tcW w:w="1385" w:type="dxa"/>
            <w:shd w:val="clear" w:color="auto" w:fill="auto"/>
          </w:tcPr>
          <w:p w14:paraId="107B6B9E" w14:textId="0869151B" w:rsidR="007C2B84" w:rsidRPr="007669E1" w:rsidRDefault="00FE2F48"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n.</w:t>
            </w:r>
            <w:r w:rsidR="00620B0E" w:rsidRPr="007669E1">
              <w:rPr>
                <w:rFonts w:ascii="Segoe UI" w:hAnsi="Segoe UI" w:cs="Segoe UI"/>
                <w:color w:val="000000"/>
                <w:sz w:val="18"/>
                <w:szCs w:val="18"/>
              </w:rPr>
              <w:t>a.</w:t>
            </w:r>
          </w:p>
        </w:tc>
        <w:tc>
          <w:tcPr>
            <w:tcW w:w="1385" w:type="dxa"/>
            <w:gridSpan w:val="2"/>
            <w:shd w:val="clear" w:color="auto" w:fill="auto"/>
          </w:tcPr>
          <w:p w14:paraId="69DC44D1" w14:textId="425B726B" w:rsidR="007C2B84" w:rsidRPr="007669E1" w:rsidRDefault="00FE2F4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w:t>
            </w:r>
            <w:r w:rsidR="00620B0E" w:rsidRPr="007669E1">
              <w:rPr>
                <w:rFonts w:ascii="Segoe UI" w:hAnsi="Segoe UI" w:cs="Segoe UI"/>
                <w:color w:val="000000"/>
                <w:sz w:val="18"/>
                <w:szCs w:val="18"/>
              </w:rPr>
              <w:t>a.</w:t>
            </w:r>
          </w:p>
        </w:tc>
        <w:tc>
          <w:tcPr>
            <w:tcW w:w="1385" w:type="dxa"/>
            <w:shd w:val="clear" w:color="auto" w:fill="auto"/>
          </w:tcPr>
          <w:p w14:paraId="4248FD83" w14:textId="494142E5" w:rsidR="007C2B84" w:rsidRPr="007669E1" w:rsidRDefault="00FE2F4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w:t>
            </w:r>
            <w:r w:rsidR="00620B0E" w:rsidRPr="007669E1">
              <w:rPr>
                <w:rFonts w:ascii="Segoe UI" w:hAnsi="Segoe UI" w:cs="Segoe UI"/>
                <w:color w:val="000000"/>
                <w:sz w:val="18"/>
                <w:szCs w:val="18"/>
              </w:rPr>
              <w:t>a.</w:t>
            </w:r>
          </w:p>
        </w:tc>
        <w:tc>
          <w:tcPr>
            <w:tcW w:w="1660" w:type="dxa"/>
            <w:shd w:val="clear" w:color="auto" w:fill="auto"/>
          </w:tcPr>
          <w:p w14:paraId="05326089" w14:textId="67B024BB" w:rsidR="007C2B84" w:rsidRPr="007669E1" w:rsidRDefault="00FE2F4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w:t>
            </w:r>
            <w:r w:rsidR="00620B0E" w:rsidRPr="007669E1">
              <w:rPr>
                <w:rFonts w:ascii="Segoe UI" w:hAnsi="Segoe UI" w:cs="Segoe UI"/>
                <w:color w:val="000000"/>
                <w:sz w:val="18"/>
                <w:szCs w:val="18"/>
              </w:rPr>
              <w:t>a.</w:t>
            </w:r>
          </w:p>
        </w:tc>
      </w:tr>
    </w:tbl>
    <w:p w14:paraId="31ADB2E3" w14:textId="77777777" w:rsidR="00AA68AB" w:rsidRPr="00B61E49" w:rsidRDefault="00AA68AB"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B61E49" w14:paraId="60F7AF2F" w14:textId="77777777" w:rsidTr="00B61E49">
        <w:tc>
          <w:tcPr>
            <w:tcW w:w="9625" w:type="dxa"/>
            <w:gridSpan w:val="7"/>
            <w:shd w:val="clear" w:color="auto" w:fill="D9D9D9" w:themeFill="background1" w:themeFillShade="D9"/>
          </w:tcPr>
          <w:p w14:paraId="11C8D748" w14:textId="6AE1A5FA" w:rsidR="007C2B84" w:rsidRPr="00B61E49" w:rsidRDefault="007C2B84" w:rsidP="00E90BA7">
            <w:pPr>
              <w:spacing w:before="20" w:after="20" w:line="240" w:lineRule="auto"/>
              <w:jc w:val="both"/>
              <w:rPr>
                <w:rFonts w:ascii="Segoe UI" w:hAnsi="Segoe UI" w:cs="Segoe UI"/>
                <w:b/>
                <w:bCs/>
                <w:sz w:val="18"/>
                <w:szCs w:val="18"/>
              </w:rPr>
            </w:pPr>
            <w:r w:rsidRPr="00B61E49">
              <w:rPr>
                <w:rFonts w:ascii="Segoe UI" w:hAnsi="Segoe UI" w:cs="Segoe UI"/>
                <w:b/>
                <w:bCs/>
                <w:sz w:val="18"/>
                <w:szCs w:val="18"/>
              </w:rPr>
              <w:t xml:space="preserve">4. Tax </w:t>
            </w:r>
            <w:r w:rsidR="00B84EE2" w:rsidRPr="00B61E49">
              <w:rPr>
                <w:rFonts w:ascii="Segoe UI" w:hAnsi="Segoe UI" w:cs="Segoe UI"/>
                <w:b/>
                <w:bCs/>
                <w:sz w:val="18"/>
                <w:szCs w:val="18"/>
              </w:rPr>
              <w:t xml:space="preserve">exemption </w:t>
            </w:r>
            <w:r w:rsidRPr="00B61E49">
              <w:rPr>
                <w:rFonts w:ascii="Segoe UI" w:hAnsi="Segoe UI" w:cs="Segoe UI"/>
                <w:b/>
                <w:bCs/>
                <w:sz w:val="18"/>
                <w:szCs w:val="18"/>
              </w:rPr>
              <w:t xml:space="preserve">for non-commercial organizations (NCOs) </w:t>
            </w:r>
          </w:p>
        </w:tc>
      </w:tr>
      <w:tr w:rsidR="007C2B84" w:rsidRPr="007669E1" w14:paraId="1C909127" w14:textId="77777777" w:rsidTr="00593D5B">
        <w:tc>
          <w:tcPr>
            <w:tcW w:w="2425" w:type="dxa"/>
            <w:tcBorders>
              <w:right w:val="single" w:sz="4" w:space="0" w:color="auto"/>
            </w:tcBorders>
          </w:tcPr>
          <w:p w14:paraId="19088999"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Description</w:t>
            </w:r>
          </w:p>
        </w:tc>
        <w:tc>
          <w:tcPr>
            <w:tcW w:w="7200" w:type="dxa"/>
            <w:gridSpan w:val="6"/>
            <w:tcBorders>
              <w:left w:val="single" w:sz="4" w:space="0" w:color="auto"/>
            </w:tcBorders>
          </w:tcPr>
          <w:p w14:paraId="77937F2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Non-commercial organizations (non-profit organizations) shall be exempt from the income tax if they meet the following requirements: </w:t>
            </w:r>
          </w:p>
          <w:p w14:paraId="708213CB"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 are registered or established in accordance with the law and carry out activity in accordance with the purposes set out in the statute, regulation or other constituent document; </w:t>
            </w:r>
          </w:p>
          <w:p w14:paraId="493E531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a¹) the economic activity provided by the statute, regulation or other constituent document corresponds to the objectives and purposes provided for in the statute, regulation or other constituent document and results directly therefrom; </w:t>
            </w:r>
          </w:p>
          <w:p w14:paraId="7706C5C3"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 the statute, regulation or other constituent document indicates the prohibition on the distribution of special purpose funds, other means and income resulting from the statutory activity or property between the founders and members of the organization or among its employees, including in the reorganization process and liquidation of the non-profit organization;</w:t>
            </w:r>
          </w:p>
          <w:p w14:paraId="59DDC851" w14:textId="1481BD1A"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c) special purpose funds, other funds and income derived from the statutory activity, property of the organization are used as provided by the statute, regulation or other constituent document; </w:t>
            </w:r>
          </w:p>
          <w:p w14:paraId="2C5ABCA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d) do not use the special-purpose funds, other funds and income derived from the statutory activity or the property in the interest of a founder or member of the organization or in the interest of an employee, except for the salary payments or other payments regulated by the Labor law, directed in its favor; </w:t>
            </w:r>
          </w:p>
          <w:p w14:paraId="3003CB0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 do not support the political parties, electoral blocks or candidates for public authorities and do not use the special-purpose means, other means and income derived from the statutory or property activity for their financing.</w:t>
            </w:r>
          </w:p>
        </w:tc>
      </w:tr>
      <w:tr w:rsidR="007C2B84" w:rsidRPr="007669E1" w14:paraId="537E6FD7" w14:textId="77777777" w:rsidTr="00593D5B">
        <w:tc>
          <w:tcPr>
            <w:tcW w:w="2425" w:type="dxa"/>
            <w:tcBorders>
              <w:right w:val="single" w:sz="4" w:space="0" w:color="auto"/>
            </w:tcBorders>
          </w:tcPr>
          <w:p w14:paraId="711D5530"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Type of Tax Affected</w:t>
            </w:r>
          </w:p>
        </w:tc>
        <w:tc>
          <w:tcPr>
            <w:tcW w:w="7200" w:type="dxa"/>
            <w:gridSpan w:val="6"/>
            <w:tcBorders>
              <w:left w:val="single" w:sz="4" w:space="0" w:color="auto"/>
            </w:tcBorders>
          </w:tcPr>
          <w:p w14:paraId="0D5A125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C2B84" w:rsidRPr="007669E1" w14:paraId="33A67551" w14:textId="77777777" w:rsidTr="00593D5B">
        <w:tc>
          <w:tcPr>
            <w:tcW w:w="2425" w:type="dxa"/>
            <w:tcBorders>
              <w:right w:val="single" w:sz="4" w:space="0" w:color="auto"/>
            </w:tcBorders>
          </w:tcPr>
          <w:p w14:paraId="34957BF3"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Beneficiaries</w:t>
            </w:r>
          </w:p>
        </w:tc>
        <w:tc>
          <w:tcPr>
            <w:tcW w:w="7200" w:type="dxa"/>
            <w:gridSpan w:val="6"/>
            <w:tcBorders>
              <w:left w:val="single" w:sz="4" w:space="0" w:color="auto"/>
            </w:tcBorders>
          </w:tcPr>
          <w:p w14:paraId="65C0E1E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Non-commercial organizations</w:t>
            </w:r>
          </w:p>
        </w:tc>
      </w:tr>
      <w:tr w:rsidR="007C2B84" w:rsidRPr="007669E1" w14:paraId="22EA5D53" w14:textId="77777777" w:rsidTr="00593D5B">
        <w:tc>
          <w:tcPr>
            <w:tcW w:w="2425" w:type="dxa"/>
            <w:tcBorders>
              <w:right w:val="single" w:sz="4" w:space="0" w:color="auto"/>
            </w:tcBorders>
          </w:tcPr>
          <w:p w14:paraId="13EF7294"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Type of Measure</w:t>
            </w:r>
          </w:p>
        </w:tc>
        <w:tc>
          <w:tcPr>
            <w:tcW w:w="7200" w:type="dxa"/>
            <w:gridSpan w:val="6"/>
            <w:tcBorders>
              <w:left w:val="single" w:sz="4" w:space="0" w:color="auto"/>
            </w:tcBorders>
          </w:tcPr>
          <w:p w14:paraId="640B5C8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income tax exemption</w:t>
            </w:r>
          </w:p>
        </w:tc>
      </w:tr>
      <w:tr w:rsidR="007C2B84" w:rsidRPr="007669E1" w14:paraId="2AB5048E" w14:textId="77777777" w:rsidTr="00593D5B">
        <w:tc>
          <w:tcPr>
            <w:tcW w:w="2425" w:type="dxa"/>
            <w:tcBorders>
              <w:right w:val="single" w:sz="4" w:space="0" w:color="auto"/>
            </w:tcBorders>
          </w:tcPr>
          <w:p w14:paraId="140AF34D"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lastRenderedPageBreak/>
              <w:t>Reason why this Measure is not part of the Benchmark Tax System</w:t>
            </w:r>
          </w:p>
        </w:tc>
        <w:tc>
          <w:tcPr>
            <w:tcW w:w="7200" w:type="dxa"/>
            <w:gridSpan w:val="6"/>
            <w:tcBorders>
              <w:left w:val="single" w:sz="4" w:space="0" w:color="auto"/>
            </w:tcBorders>
          </w:tcPr>
          <w:p w14:paraId="032482A7" w14:textId="6279E269"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tax exemption is a departure from the benchmark tax treatment, providing that taxable income attracts the 12% statutory BIT rate. The exemption is therefore a tax expenditure.</w:t>
            </w:r>
          </w:p>
        </w:tc>
      </w:tr>
      <w:tr w:rsidR="007C2B84" w:rsidRPr="007669E1" w14:paraId="56ACFD19" w14:textId="77777777" w:rsidTr="00593D5B">
        <w:tc>
          <w:tcPr>
            <w:tcW w:w="2425" w:type="dxa"/>
            <w:tcBorders>
              <w:right w:val="single" w:sz="4" w:space="0" w:color="auto"/>
            </w:tcBorders>
          </w:tcPr>
          <w:p w14:paraId="7D7C84CA"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Legal Reference</w:t>
            </w:r>
          </w:p>
        </w:tc>
        <w:tc>
          <w:tcPr>
            <w:tcW w:w="7200" w:type="dxa"/>
            <w:gridSpan w:val="6"/>
            <w:tcBorders>
              <w:left w:val="single" w:sz="4" w:space="0" w:color="auto"/>
            </w:tcBorders>
          </w:tcPr>
          <w:p w14:paraId="2CFF3BF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52</w:t>
            </w:r>
          </w:p>
        </w:tc>
      </w:tr>
      <w:tr w:rsidR="007C2B84" w:rsidRPr="007669E1" w14:paraId="414BA13F" w14:textId="77777777" w:rsidTr="00593D5B">
        <w:trPr>
          <w:trHeight w:val="182"/>
        </w:trPr>
        <w:tc>
          <w:tcPr>
            <w:tcW w:w="2425" w:type="dxa"/>
            <w:vMerge w:val="restart"/>
            <w:tcBorders>
              <w:right w:val="single" w:sz="4" w:space="0" w:color="auto"/>
            </w:tcBorders>
          </w:tcPr>
          <w:p w14:paraId="45769E05"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Implementation, Objectives, and History</w:t>
            </w:r>
          </w:p>
        </w:tc>
        <w:tc>
          <w:tcPr>
            <w:tcW w:w="3462" w:type="dxa"/>
            <w:gridSpan w:val="3"/>
            <w:tcBorders>
              <w:left w:val="single" w:sz="4" w:space="0" w:color="auto"/>
            </w:tcBorders>
          </w:tcPr>
          <w:p w14:paraId="7298FBE8"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Borders>
              <w:bottom w:val="single" w:sz="4" w:space="0" w:color="auto"/>
            </w:tcBorders>
          </w:tcPr>
          <w:p w14:paraId="7204E82B" w14:textId="77777777" w:rsidR="007C2B84" w:rsidRPr="007669E1" w:rsidRDefault="007C2B84" w:rsidP="00E90BA7">
            <w:pPr>
              <w:spacing w:before="20" w:after="20" w:line="240" w:lineRule="auto"/>
              <w:jc w:val="both"/>
              <w:rPr>
                <w:rFonts w:ascii="Segoe UI" w:hAnsi="Segoe UI" w:cs="Segoe UI"/>
                <w:sz w:val="18"/>
                <w:szCs w:val="18"/>
              </w:rPr>
            </w:pPr>
          </w:p>
        </w:tc>
      </w:tr>
      <w:tr w:rsidR="007C2B84" w:rsidRPr="007669E1" w14:paraId="58034835" w14:textId="77777777" w:rsidTr="00593D5B">
        <w:trPr>
          <w:trHeight w:val="182"/>
        </w:trPr>
        <w:tc>
          <w:tcPr>
            <w:tcW w:w="2425" w:type="dxa"/>
            <w:vMerge/>
            <w:tcBorders>
              <w:right w:val="single" w:sz="4" w:space="0" w:color="auto"/>
            </w:tcBorders>
          </w:tcPr>
          <w:p w14:paraId="0D75CFD2" w14:textId="77777777" w:rsidR="007C2B84" w:rsidRPr="00593D5B" w:rsidRDefault="007C2B84" w:rsidP="00E90BA7">
            <w:pPr>
              <w:spacing w:before="20" w:after="20" w:line="240" w:lineRule="auto"/>
              <w:jc w:val="both"/>
              <w:rPr>
                <w:rFonts w:ascii="Segoe UI" w:hAnsi="Segoe UI" w:cs="Segoe UI"/>
                <w:b/>
                <w:bCs/>
                <w:sz w:val="18"/>
                <w:szCs w:val="18"/>
              </w:rPr>
            </w:pPr>
          </w:p>
        </w:tc>
        <w:tc>
          <w:tcPr>
            <w:tcW w:w="3462" w:type="dxa"/>
            <w:gridSpan w:val="3"/>
            <w:tcBorders>
              <w:left w:val="single" w:sz="4" w:space="0" w:color="auto"/>
              <w:right w:val="single" w:sz="4" w:space="0" w:color="auto"/>
            </w:tcBorders>
          </w:tcPr>
          <w:p w14:paraId="7BB26E4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Borders>
              <w:left w:val="single" w:sz="4" w:space="0" w:color="auto"/>
            </w:tcBorders>
          </w:tcPr>
          <w:p w14:paraId="073D5C1C" w14:textId="1E4DBB6F"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B83C12" w:rsidRPr="007669E1" w14:paraId="1A4A0A4C" w14:textId="77777777" w:rsidTr="00593D5B">
        <w:tc>
          <w:tcPr>
            <w:tcW w:w="2425" w:type="dxa"/>
            <w:tcBorders>
              <w:right w:val="single" w:sz="4" w:space="0" w:color="auto"/>
            </w:tcBorders>
          </w:tcPr>
          <w:p w14:paraId="10F5EF46" w14:textId="77777777" w:rsidR="00B83C12" w:rsidRPr="00593D5B" w:rsidRDefault="00B83C12"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Source of Data</w:t>
            </w:r>
          </w:p>
        </w:tc>
        <w:tc>
          <w:tcPr>
            <w:tcW w:w="7200" w:type="dxa"/>
            <w:gridSpan w:val="6"/>
            <w:tcBorders>
              <w:left w:val="single" w:sz="4" w:space="0" w:color="auto"/>
            </w:tcBorders>
          </w:tcPr>
          <w:p w14:paraId="45E917FC" w14:textId="24BA1385" w:rsidR="00B83C12" w:rsidRPr="007669E1" w:rsidRDefault="00B83C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ONG17 tax data (2018)</w:t>
            </w:r>
          </w:p>
        </w:tc>
      </w:tr>
      <w:tr w:rsidR="00B83C12" w:rsidRPr="007669E1" w14:paraId="15844DFF" w14:textId="77777777" w:rsidTr="00593D5B">
        <w:tc>
          <w:tcPr>
            <w:tcW w:w="2425" w:type="dxa"/>
            <w:tcBorders>
              <w:right w:val="single" w:sz="4" w:space="0" w:color="auto"/>
            </w:tcBorders>
          </w:tcPr>
          <w:p w14:paraId="2579C0BB" w14:textId="77777777" w:rsidR="00B83C12" w:rsidRPr="00593D5B" w:rsidRDefault="00B83C12"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Estimation Method</w:t>
            </w:r>
          </w:p>
        </w:tc>
        <w:tc>
          <w:tcPr>
            <w:tcW w:w="7200" w:type="dxa"/>
            <w:gridSpan w:val="6"/>
            <w:tcBorders>
              <w:left w:val="single" w:sz="4" w:space="0" w:color="auto"/>
            </w:tcBorders>
          </w:tcPr>
          <w:p w14:paraId="4AE38579" w14:textId="0C4875CB" w:rsidR="00B83C12" w:rsidRPr="007669E1" w:rsidRDefault="00B83C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C2B84" w:rsidRPr="007669E1" w14:paraId="2EAB1ED5" w14:textId="77777777" w:rsidTr="00593D5B">
        <w:tc>
          <w:tcPr>
            <w:tcW w:w="2425" w:type="dxa"/>
            <w:tcBorders>
              <w:right w:val="single" w:sz="4" w:space="0" w:color="auto"/>
            </w:tcBorders>
          </w:tcPr>
          <w:p w14:paraId="0FB0FDB7"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Number of Beneficiaries</w:t>
            </w:r>
          </w:p>
        </w:tc>
        <w:tc>
          <w:tcPr>
            <w:tcW w:w="7200" w:type="dxa"/>
            <w:gridSpan w:val="6"/>
            <w:tcBorders>
              <w:left w:val="single" w:sz="4" w:space="0" w:color="auto"/>
            </w:tcBorders>
          </w:tcPr>
          <w:p w14:paraId="1402134D" w14:textId="77777777" w:rsidR="007C2B84" w:rsidRPr="007669E1" w:rsidRDefault="007C2B84" w:rsidP="00E90BA7">
            <w:pPr>
              <w:spacing w:before="20" w:after="20" w:line="240" w:lineRule="auto"/>
              <w:jc w:val="both"/>
              <w:rPr>
                <w:rFonts w:ascii="Segoe UI" w:hAnsi="Segoe UI" w:cs="Segoe UI"/>
                <w:sz w:val="18"/>
                <w:szCs w:val="18"/>
              </w:rPr>
            </w:pPr>
          </w:p>
        </w:tc>
      </w:tr>
      <w:tr w:rsidR="007C2B84" w:rsidRPr="007669E1" w14:paraId="6B6C4AC9" w14:textId="77777777" w:rsidTr="00593D5B">
        <w:tc>
          <w:tcPr>
            <w:tcW w:w="2425" w:type="dxa"/>
            <w:tcBorders>
              <w:right w:val="single" w:sz="4" w:space="0" w:color="auto"/>
            </w:tcBorders>
          </w:tcPr>
          <w:p w14:paraId="75CA8B25"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Revenue Cost Reporting</w:t>
            </w:r>
          </w:p>
        </w:tc>
        <w:tc>
          <w:tcPr>
            <w:tcW w:w="7200" w:type="dxa"/>
            <w:gridSpan w:val="6"/>
            <w:tcBorders>
              <w:left w:val="single" w:sz="4" w:space="0" w:color="auto"/>
            </w:tcBorders>
          </w:tcPr>
          <w:p w14:paraId="76490C5D" w14:textId="366AC1F3" w:rsidR="007C2B84" w:rsidRPr="007669E1" w:rsidRDefault="00A7350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7C2B84" w:rsidRPr="007669E1" w14:paraId="2B45B074" w14:textId="77777777" w:rsidTr="00593D5B">
        <w:trPr>
          <w:trHeight w:val="91"/>
        </w:trPr>
        <w:tc>
          <w:tcPr>
            <w:tcW w:w="2425" w:type="dxa"/>
            <w:vMerge w:val="restart"/>
            <w:tcBorders>
              <w:right w:val="single" w:sz="4" w:space="0" w:color="auto"/>
            </w:tcBorders>
          </w:tcPr>
          <w:p w14:paraId="347DFCBA" w14:textId="77777777" w:rsidR="007C2B84" w:rsidRPr="00593D5B" w:rsidRDefault="007C2B84" w:rsidP="00E90BA7">
            <w:pPr>
              <w:spacing w:before="20" w:after="20" w:line="240" w:lineRule="auto"/>
              <w:jc w:val="both"/>
              <w:rPr>
                <w:rFonts w:ascii="Segoe UI" w:hAnsi="Segoe UI" w:cs="Segoe UI"/>
                <w:b/>
                <w:bCs/>
                <w:sz w:val="18"/>
                <w:szCs w:val="18"/>
              </w:rPr>
            </w:pPr>
          </w:p>
        </w:tc>
        <w:tc>
          <w:tcPr>
            <w:tcW w:w="1385" w:type="dxa"/>
            <w:tcBorders>
              <w:left w:val="single" w:sz="4" w:space="0" w:color="auto"/>
              <w:right w:val="single" w:sz="4" w:space="0" w:color="auto"/>
            </w:tcBorders>
          </w:tcPr>
          <w:p w14:paraId="60554136"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2018</w:t>
            </w:r>
          </w:p>
        </w:tc>
        <w:tc>
          <w:tcPr>
            <w:tcW w:w="1385" w:type="dxa"/>
            <w:tcBorders>
              <w:left w:val="single" w:sz="4" w:space="0" w:color="auto"/>
              <w:right w:val="single" w:sz="4" w:space="0" w:color="auto"/>
            </w:tcBorders>
          </w:tcPr>
          <w:p w14:paraId="41B3A60F"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2019</w:t>
            </w:r>
          </w:p>
        </w:tc>
        <w:tc>
          <w:tcPr>
            <w:tcW w:w="1385" w:type="dxa"/>
            <w:gridSpan w:val="2"/>
            <w:tcBorders>
              <w:left w:val="single" w:sz="4" w:space="0" w:color="auto"/>
              <w:right w:val="single" w:sz="4" w:space="0" w:color="auto"/>
            </w:tcBorders>
          </w:tcPr>
          <w:p w14:paraId="23F66771"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2020</w:t>
            </w:r>
          </w:p>
        </w:tc>
        <w:tc>
          <w:tcPr>
            <w:tcW w:w="1385" w:type="dxa"/>
            <w:tcBorders>
              <w:left w:val="single" w:sz="4" w:space="0" w:color="auto"/>
              <w:right w:val="single" w:sz="4" w:space="0" w:color="auto"/>
            </w:tcBorders>
          </w:tcPr>
          <w:p w14:paraId="3EEB134C" w14:textId="77777777" w:rsidR="007C2B84" w:rsidRPr="00593D5B" w:rsidRDefault="007C2B84"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2021</w:t>
            </w:r>
          </w:p>
        </w:tc>
        <w:tc>
          <w:tcPr>
            <w:tcW w:w="1660" w:type="dxa"/>
            <w:tcBorders>
              <w:left w:val="single" w:sz="4" w:space="0" w:color="auto"/>
            </w:tcBorders>
          </w:tcPr>
          <w:p w14:paraId="5B501BC1" w14:textId="18E5EE43" w:rsidR="007C2B84" w:rsidRPr="00593D5B" w:rsidRDefault="000C00AF" w:rsidP="00E90BA7">
            <w:pPr>
              <w:spacing w:before="20" w:after="20" w:line="240" w:lineRule="auto"/>
              <w:jc w:val="both"/>
              <w:rPr>
                <w:rFonts w:ascii="Segoe UI" w:hAnsi="Segoe UI" w:cs="Segoe UI"/>
                <w:b/>
                <w:bCs/>
                <w:sz w:val="18"/>
                <w:szCs w:val="18"/>
              </w:rPr>
            </w:pPr>
            <w:r w:rsidRPr="00593D5B">
              <w:rPr>
                <w:rFonts w:ascii="Segoe UI" w:hAnsi="Segoe UI" w:cs="Segoe UI"/>
                <w:b/>
                <w:bCs/>
                <w:sz w:val="18"/>
                <w:szCs w:val="18"/>
              </w:rPr>
              <w:t>2022</w:t>
            </w:r>
          </w:p>
        </w:tc>
      </w:tr>
      <w:tr w:rsidR="00C943A7" w:rsidRPr="007669E1" w14:paraId="65A54BDA" w14:textId="77777777" w:rsidTr="00593D5B">
        <w:trPr>
          <w:trHeight w:val="91"/>
        </w:trPr>
        <w:tc>
          <w:tcPr>
            <w:tcW w:w="2425" w:type="dxa"/>
            <w:vMerge/>
            <w:tcBorders>
              <w:right w:val="single" w:sz="4" w:space="0" w:color="auto"/>
            </w:tcBorders>
          </w:tcPr>
          <w:p w14:paraId="2B8F16DA"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Borders>
              <w:left w:val="single" w:sz="4" w:space="0" w:color="auto"/>
              <w:right w:val="single" w:sz="4" w:space="0" w:color="auto"/>
            </w:tcBorders>
            <w:vAlign w:val="bottom"/>
          </w:tcPr>
          <w:p w14:paraId="2B6C7254" w14:textId="79A79E3C" w:rsidR="007C2B84" w:rsidRPr="007669E1" w:rsidRDefault="00A7350A"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648.3</w:t>
            </w:r>
          </w:p>
        </w:tc>
        <w:tc>
          <w:tcPr>
            <w:tcW w:w="1385" w:type="dxa"/>
            <w:tcBorders>
              <w:left w:val="single" w:sz="4" w:space="0" w:color="auto"/>
              <w:right w:val="single" w:sz="4" w:space="0" w:color="auto"/>
            </w:tcBorders>
            <w:shd w:val="clear" w:color="auto" w:fill="D9D9D9" w:themeFill="background1" w:themeFillShade="D9"/>
            <w:vAlign w:val="bottom"/>
          </w:tcPr>
          <w:p w14:paraId="7A6ABEC7" w14:textId="2E6E4CFF" w:rsidR="007C2B84" w:rsidRPr="007669E1" w:rsidRDefault="00A7350A"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649.3</w:t>
            </w:r>
          </w:p>
        </w:tc>
        <w:tc>
          <w:tcPr>
            <w:tcW w:w="1385" w:type="dxa"/>
            <w:gridSpan w:val="2"/>
            <w:tcBorders>
              <w:left w:val="single" w:sz="4" w:space="0" w:color="auto"/>
              <w:right w:val="single" w:sz="4" w:space="0" w:color="auto"/>
            </w:tcBorders>
            <w:shd w:val="clear" w:color="auto" w:fill="D9D9D9" w:themeFill="background1" w:themeFillShade="D9"/>
            <w:vAlign w:val="bottom"/>
          </w:tcPr>
          <w:p w14:paraId="6C25D652" w14:textId="588CAD60" w:rsidR="007C2B84" w:rsidRPr="007669E1" w:rsidRDefault="00A7350A"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620.0</w:t>
            </w:r>
          </w:p>
        </w:tc>
        <w:tc>
          <w:tcPr>
            <w:tcW w:w="1385" w:type="dxa"/>
            <w:tcBorders>
              <w:left w:val="single" w:sz="4" w:space="0" w:color="auto"/>
              <w:right w:val="single" w:sz="4" w:space="0" w:color="auto"/>
            </w:tcBorders>
            <w:shd w:val="clear" w:color="auto" w:fill="D9D9D9" w:themeFill="background1" w:themeFillShade="D9"/>
            <w:vAlign w:val="bottom"/>
          </w:tcPr>
          <w:p w14:paraId="029BF5B7" w14:textId="27E41471" w:rsidR="007C2B84" w:rsidRPr="007669E1" w:rsidRDefault="00A7350A"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715.6</w:t>
            </w:r>
          </w:p>
        </w:tc>
        <w:tc>
          <w:tcPr>
            <w:tcW w:w="1660" w:type="dxa"/>
            <w:tcBorders>
              <w:left w:val="single" w:sz="4" w:space="0" w:color="auto"/>
            </w:tcBorders>
            <w:shd w:val="clear" w:color="auto" w:fill="D9D9D9" w:themeFill="background1" w:themeFillShade="D9"/>
            <w:vAlign w:val="bottom"/>
          </w:tcPr>
          <w:p w14:paraId="342E0C94" w14:textId="73F10159" w:rsidR="007C2B84" w:rsidRPr="007669E1" w:rsidRDefault="00A7350A"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797.6</w:t>
            </w:r>
          </w:p>
        </w:tc>
      </w:tr>
    </w:tbl>
    <w:p w14:paraId="1AA2BE13" w14:textId="221BF03C" w:rsidR="00D4511A" w:rsidRPr="007669E1" w:rsidRDefault="00D4511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Note: Estimates </w:t>
      </w:r>
      <w:r w:rsidR="00951FDF" w:rsidRPr="007669E1">
        <w:rPr>
          <w:rFonts w:ascii="Segoe UI" w:hAnsi="Segoe UI" w:cs="Segoe UI"/>
          <w:sz w:val="18"/>
          <w:szCs w:val="18"/>
        </w:rPr>
        <w:t xml:space="preserve">for 2018 </w:t>
      </w:r>
      <w:r w:rsidR="00534A8C" w:rsidRPr="007669E1">
        <w:rPr>
          <w:rFonts w:ascii="Segoe UI" w:hAnsi="Segoe UI" w:cs="Segoe UI"/>
          <w:sz w:val="18"/>
          <w:szCs w:val="18"/>
        </w:rPr>
        <w:t xml:space="preserve">are based on actual data, figures </w:t>
      </w:r>
      <w:r w:rsidR="00951FDF" w:rsidRPr="007669E1">
        <w:rPr>
          <w:rFonts w:ascii="Segoe UI" w:hAnsi="Segoe UI" w:cs="Segoe UI"/>
          <w:sz w:val="18"/>
          <w:szCs w:val="18"/>
        </w:rPr>
        <w:t>from 2019 to 2022 are projected based on 2018</w:t>
      </w:r>
      <w:r w:rsidRPr="007669E1">
        <w:rPr>
          <w:rFonts w:ascii="Segoe UI" w:hAnsi="Segoe UI" w:cs="Segoe UI"/>
          <w:sz w:val="18"/>
          <w:szCs w:val="18"/>
        </w:rPr>
        <w:t>.</w:t>
      </w:r>
    </w:p>
    <w:p w14:paraId="115BE2FC"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0DEBF1CA" w14:textId="77777777" w:rsidTr="00D75D26">
        <w:tc>
          <w:tcPr>
            <w:tcW w:w="9625" w:type="dxa"/>
            <w:gridSpan w:val="7"/>
            <w:shd w:val="clear" w:color="auto" w:fill="D9D9D9" w:themeFill="background1" w:themeFillShade="D9"/>
          </w:tcPr>
          <w:p w14:paraId="0D1F8989"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 xml:space="preserve">5. Tax exemption of income from non-commercial organizations and religious cults </w:t>
            </w:r>
          </w:p>
        </w:tc>
      </w:tr>
      <w:tr w:rsidR="007669E1" w:rsidRPr="007669E1" w14:paraId="275EFDB3" w14:textId="77777777" w:rsidTr="00D75D26">
        <w:tc>
          <w:tcPr>
            <w:tcW w:w="2425" w:type="dxa"/>
          </w:tcPr>
          <w:p w14:paraId="2FA77B85"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Description</w:t>
            </w:r>
          </w:p>
        </w:tc>
        <w:tc>
          <w:tcPr>
            <w:tcW w:w="7200" w:type="dxa"/>
            <w:gridSpan w:val="6"/>
          </w:tcPr>
          <w:p w14:paraId="473A6C71"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a tax exemption for incomes received by non-commercial organizations, religious cults, and their constituent parts according to the law as a result of percentage designation.</w:t>
            </w:r>
          </w:p>
        </w:tc>
      </w:tr>
      <w:tr w:rsidR="007669E1" w:rsidRPr="007669E1" w14:paraId="52286097" w14:textId="77777777" w:rsidTr="00D75D26">
        <w:tc>
          <w:tcPr>
            <w:tcW w:w="2425" w:type="dxa"/>
          </w:tcPr>
          <w:p w14:paraId="02377CEB"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Type of Tax Affected</w:t>
            </w:r>
          </w:p>
        </w:tc>
        <w:tc>
          <w:tcPr>
            <w:tcW w:w="7200" w:type="dxa"/>
            <w:gridSpan w:val="6"/>
          </w:tcPr>
          <w:p w14:paraId="25C00263"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0930B032" w14:textId="77777777" w:rsidTr="00D75D26">
        <w:tc>
          <w:tcPr>
            <w:tcW w:w="2425" w:type="dxa"/>
          </w:tcPr>
          <w:p w14:paraId="720E5C6A"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Beneficiaries</w:t>
            </w:r>
          </w:p>
        </w:tc>
        <w:tc>
          <w:tcPr>
            <w:tcW w:w="7200" w:type="dxa"/>
            <w:gridSpan w:val="6"/>
          </w:tcPr>
          <w:p w14:paraId="2BFC4D5D"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Non-commercial and belief organizations.</w:t>
            </w:r>
          </w:p>
        </w:tc>
      </w:tr>
      <w:tr w:rsidR="007669E1" w:rsidRPr="007669E1" w14:paraId="5AB8F6D8" w14:textId="77777777" w:rsidTr="00D75D26">
        <w:tc>
          <w:tcPr>
            <w:tcW w:w="2425" w:type="dxa"/>
          </w:tcPr>
          <w:p w14:paraId="2BE4259D"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Type of Measure</w:t>
            </w:r>
          </w:p>
        </w:tc>
        <w:tc>
          <w:tcPr>
            <w:tcW w:w="7200" w:type="dxa"/>
            <w:gridSpan w:val="6"/>
          </w:tcPr>
          <w:p w14:paraId="6A83BB6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7669E1" w:rsidRPr="007669E1" w14:paraId="06E763E1" w14:textId="77777777" w:rsidTr="00D75D26">
        <w:tc>
          <w:tcPr>
            <w:tcW w:w="2425" w:type="dxa"/>
          </w:tcPr>
          <w:p w14:paraId="04E29E8E"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Reason why this Measure is not part of the Benchmark Tax System</w:t>
            </w:r>
          </w:p>
        </w:tc>
        <w:tc>
          <w:tcPr>
            <w:tcW w:w="7200" w:type="dxa"/>
            <w:gridSpan w:val="6"/>
          </w:tcPr>
          <w:p w14:paraId="04E95826" w14:textId="3663E7DC"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the comprehensive income concept, accretion of income from whatever source should attract BIT at the rate of 12%. The non-taxation of these income accretions constitutes a tax expenditure.</w:t>
            </w:r>
          </w:p>
        </w:tc>
      </w:tr>
      <w:tr w:rsidR="007669E1" w:rsidRPr="007669E1" w14:paraId="1E25DFED" w14:textId="77777777" w:rsidTr="00D75D26">
        <w:tc>
          <w:tcPr>
            <w:tcW w:w="2425" w:type="dxa"/>
          </w:tcPr>
          <w:p w14:paraId="75EF5972"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Legal Reference</w:t>
            </w:r>
          </w:p>
        </w:tc>
        <w:tc>
          <w:tcPr>
            <w:tcW w:w="7200" w:type="dxa"/>
            <w:gridSpan w:val="6"/>
          </w:tcPr>
          <w:p w14:paraId="7A4758C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20(z</w:t>
            </w:r>
            <w:r w:rsidRPr="007669E1">
              <w:rPr>
                <w:rFonts w:ascii="Segoe UI" w:hAnsi="Segoe UI" w:cs="Segoe UI"/>
                <w:sz w:val="18"/>
                <w:szCs w:val="18"/>
                <w:vertAlign w:val="superscript"/>
              </w:rPr>
              <w:t>13</w:t>
            </w:r>
            <w:r w:rsidRPr="007669E1">
              <w:rPr>
                <w:rFonts w:ascii="Segoe UI" w:hAnsi="Segoe UI" w:cs="Segoe UI"/>
                <w:sz w:val="18"/>
                <w:szCs w:val="18"/>
              </w:rPr>
              <w:t>) of the TC</w:t>
            </w:r>
          </w:p>
        </w:tc>
      </w:tr>
      <w:tr w:rsidR="00136C8F" w:rsidRPr="007669E1" w14:paraId="6B526BF6" w14:textId="77777777" w:rsidTr="00D75D26">
        <w:trPr>
          <w:trHeight w:val="182"/>
        </w:trPr>
        <w:tc>
          <w:tcPr>
            <w:tcW w:w="2425" w:type="dxa"/>
            <w:vMerge w:val="restart"/>
          </w:tcPr>
          <w:p w14:paraId="2E0C56E6"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Implementation, Objectives, and History</w:t>
            </w:r>
          </w:p>
        </w:tc>
        <w:tc>
          <w:tcPr>
            <w:tcW w:w="7200" w:type="dxa"/>
            <w:gridSpan w:val="6"/>
          </w:tcPr>
          <w:p w14:paraId="2A6E7A31"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462BBEC4" w14:textId="77777777" w:rsidTr="00D75D26">
        <w:trPr>
          <w:trHeight w:val="182"/>
        </w:trPr>
        <w:tc>
          <w:tcPr>
            <w:tcW w:w="2425" w:type="dxa"/>
            <w:vMerge/>
          </w:tcPr>
          <w:p w14:paraId="5404A51E" w14:textId="77777777" w:rsidR="007C2B84" w:rsidRPr="000A2324" w:rsidRDefault="007C2B84" w:rsidP="00E90BA7">
            <w:pPr>
              <w:spacing w:before="20" w:after="20" w:line="240" w:lineRule="auto"/>
              <w:jc w:val="both"/>
              <w:rPr>
                <w:rFonts w:ascii="Segoe UI" w:hAnsi="Segoe UI" w:cs="Segoe UI"/>
                <w:b/>
                <w:bCs/>
                <w:sz w:val="18"/>
                <w:szCs w:val="18"/>
              </w:rPr>
            </w:pPr>
          </w:p>
        </w:tc>
        <w:tc>
          <w:tcPr>
            <w:tcW w:w="3462" w:type="dxa"/>
            <w:gridSpan w:val="3"/>
          </w:tcPr>
          <w:p w14:paraId="513F475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03A0AD79" w14:textId="271C574F"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1DC7A7F9" w14:textId="77777777" w:rsidTr="00D75D26">
        <w:tc>
          <w:tcPr>
            <w:tcW w:w="2425" w:type="dxa"/>
          </w:tcPr>
          <w:p w14:paraId="17424DCE" w14:textId="77777777" w:rsidR="00B83C12" w:rsidRPr="000A2324" w:rsidRDefault="00B83C12"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Source of Data</w:t>
            </w:r>
          </w:p>
        </w:tc>
        <w:tc>
          <w:tcPr>
            <w:tcW w:w="7200" w:type="dxa"/>
            <w:gridSpan w:val="6"/>
          </w:tcPr>
          <w:p w14:paraId="65AFA130" w14:textId="6FA9C14D" w:rsidR="00B83C12" w:rsidRPr="007669E1" w:rsidRDefault="00B83C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ONG17 tax data (2018)</w:t>
            </w:r>
          </w:p>
        </w:tc>
      </w:tr>
      <w:tr w:rsidR="007669E1" w:rsidRPr="007669E1" w14:paraId="6727E2C1" w14:textId="77777777" w:rsidTr="00D75D26">
        <w:tc>
          <w:tcPr>
            <w:tcW w:w="2425" w:type="dxa"/>
          </w:tcPr>
          <w:p w14:paraId="0F83C6C3" w14:textId="77777777" w:rsidR="00B83C12" w:rsidRPr="000A2324" w:rsidRDefault="00B83C12"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Estimation Method</w:t>
            </w:r>
          </w:p>
        </w:tc>
        <w:tc>
          <w:tcPr>
            <w:tcW w:w="7200" w:type="dxa"/>
            <w:gridSpan w:val="6"/>
          </w:tcPr>
          <w:p w14:paraId="4D6CEF5F" w14:textId="77C03A3C" w:rsidR="00B83C12" w:rsidRPr="007669E1" w:rsidRDefault="00B83C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73358883" w14:textId="77777777" w:rsidTr="00D75D26">
        <w:tc>
          <w:tcPr>
            <w:tcW w:w="2425" w:type="dxa"/>
          </w:tcPr>
          <w:p w14:paraId="0032FEC1"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Number of Beneficiaries</w:t>
            </w:r>
          </w:p>
        </w:tc>
        <w:tc>
          <w:tcPr>
            <w:tcW w:w="7200" w:type="dxa"/>
            <w:gridSpan w:val="6"/>
          </w:tcPr>
          <w:p w14:paraId="3F63D029"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05C42F53" w14:textId="77777777" w:rsidTr="00D75D26">
        <w:tc>
          <w:tcPr>
            <w:tcW w:w="2425" w:type="dxa"/>
          </w:tcPr>
          <w:p w14:paraId="67C30D16"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Revenue Cost Reporting</w:t>
            </w:r>
          </w:p>
        </w:tc>
        <w:tc>
          <w:tcPr>
            <w:tcW w:w="7200" w:type="dxa"/>
            <w:gridSpan w:val="6"/>
          </w:tcPr>
          <w:p w14:paraId="40D9FCCE" w14:textId="4B7A3625" w:rsidR="007C2B84" w:rsidRPr="007669E1" w:rsidRDefault="00B665A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5F47AF83" w14:textId="77777777" w:rsidTr="00D75D26">
        <w:trPr>
          <w:trHeight w:val="91"/>
        </w:trPr>
        <w:tc>
          <w:tcPr>
            <w:tcW w:w="2425" w:type="dxa"/>
            <w:vMerge w:val="restart"/>
          </w:tcPr>
          <w:p w14:paraId="52583760"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1D514EDF"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2018</w:t>
            </w:r>
          </w:p>
        </w:tc>
        <w:tc>
          <w:tcPr>
            <w:tcW w:w="1385" w:type="dxa"/>
          </w:tcPr>
          <w:p w14:paraId="534B7131"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2019</w:t>
            </w:r>
          </w:p>
        </w:tc>
        <w:tc>
          <w:tcPr>
            <w:tcW w:w="1385" w:type="dxa"/>
            <w:gridSpan w:val="2"/>
          </w:tcPr>
          <w:p w14:paraId="104236C7"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2020</w:t>
            </w:r>
          </w:p>
        </w:tc>
        <w:tc>
          <w:tcPr>
            <w:tcW w:w="1385" w:type="dxa"/>
          </w:tcPr>
          <w:p w14:paraId="573C18D4"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2021</w:t>
            </w:r>
          </w:p>
        </w:tc>
        <w:tc>
          <w:tcPr>
            <w:tcW w:w="1660" w:type="dxa"/>
          </w:tcPr>
          <w:p w14:paraId="3791611F" w14:textId="34D9C6A5" w:rsidR="007C2B84" w:rsidRPr="000A2324" w:rsidRDefault="000C00AF"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2022</w:t>
            </w:r>
          </w:p>
        </w:tc>
      </w:tr>
      <w:tr w:rsidR="007669E1" w:rsidRPr="007669E1" w14:paraId="429AE633" w14:textId="77777777" w:rsidTr="008401C5">
        <w:trPr>
          <w:trHeight w:val="91"/>
        </w:trPr>
        <w:tc>
          <w:tcPr>
            <w:tcW w:w="2425" w:type="dxa"/>
            <w:vMerge/>
          </w:tcPr>
          <w:p w14:paraId="5C2518D8"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1636F1A9" w14:textId="144BBFC9" w:rsidR="007C2B84" w:rsidRPr="007669E1" w:rsidRDefault="00B665A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 xml:space="preserve">283.1 </w:t>
            </w:r>
          </w:p>
        </w:tc>
        <w:tc>
          <w:tcPr>
            <w:tcW w:w="1385" w:type="dxa"/>
            <w:shd w:val="clear" w:color="auto" w:fill="D9D9D9" w:themeFill="background1" w:themeFillShade="D9"/>
            <w:vAlign w:val="bottom"/>
          </w:tcPr>
          <w:p w14:paraId="54E1960B" w14:textId="7A180A08" w:rsidR="007C2B84" w:rsidRPr="007669E1" w:rsidRDefault="00B665A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 xml:space="preserve">283.6 </w:t>
            </w:r>
          </w:p>
        </w:tc>
        <w:tc>
          <w:tcPr>
            <w:tcW w:w="1385" w:type="dxa"/>
            <w:gridSpan w:val="2"/>
            <w:shd w:val="clear" w:color="auto" w:fill="D9D9D9" w:themeFill="background1" w:themeFillShade="D9"/>
            <w:vAlign w:val="bottom"/>
          </w:tcPr>
          <w:p w14:paraId="6D45FFEE" w14:textId="6083EBFA" w:rsidR="007C2B84" w:rsidRPr="007669E1" w:rsidRDefault="00B665A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 xml:space="preserve">270.8 </w:t>
            </w:r>
          </w:p>
        </w:tc>
        <w:tc>
          <w:tcPr>
            <w:tcW w:w="1385" w:type="dxa"/>
            <w:shd w:val="clear" w:color="auto" w:fill="D9D9D9" w:themeFill="background1" w:themeFillShade="D9"/>
            <w:vAlign w:val="bottom"/>
          </w:tcPr>
          <w:p w14:paraId="317848CB" w14:textId="3D0B30D8" w:rsidR="007C2B84" w:rsidRPr="007669E1" w:rsidRDefault="00B665A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 xml:space="preserve">312.5 </w:t>
            </w:r>
          </w:p>
        </w:tc>
        <w:tc>
          <w:tcPr>
            <w:tcW w:w="1660" w:type="dxa"/>
            <w:shd w:val="clear" w:color="auto" w:fill="D9D9D9" w:themeFill="background1" w:themeFillShade="D9"/>
            <w:vAlign w:val="bottom"/>
          </w:tcPr>
          <w:p w14:paraId="6E8D6CFC" w14:textId="3C027776" w:rsidR="007C2B84" w:rsidRPr="007669E1" w:rsidRDefault="00B665A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 xml:space="preserve">348.3 </w:t>
            </w:r>
          </w:p>
        </w:tc>
      </w:tr>
    </w:tbl>
    <w:p w14:paraId="1E34B51B" w14:textId="67CB52E2" w:rsidR="00E4756B" w:rsidRPr="007669E1" w:rsidRDefault="00E4756B"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 figures from 2019 to 2022 are projected based on 2018.</w:t>
      </w:r>
    </w:p>
    <w:p w14:paraId="4B7E06AC"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A2324" w14:paraId="7E2838FC" w14:textId="77777777" w:rsidTr="00D75D26">
        <w:tc>
          <w:tcPr>
            <w:tcW w:w="9625" w:type="dxa"/>
            <w:gridSpan w:val="7"/>
            <w:shd w:val="clear" w:color="auto" w:fill="D9D9D9" w:themeFill="background1" w:themeFillShade="D9"/>
          </w:tcPr>
          <w:p w14:paraId="3CD2CDA6"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6. Tax exemption of income generated by societies of blind, deaf and disabled persons</w:t>
            </w:r>
          </w:p>
        </w:tc>
      </w:tr>
      <w:tr w:rsidR="007669E1" w:rsidRPr="007669E1" w14:paraId="19AA9324" w14:textId="77777777" w:rsidTr="00D75D26">
        <w:tc>
          <w:tcPr>
            <w:tcW w:w="2425" w:type="dxa"/>
          </w:tcPr>
          <w:p w14:paraId="681F1A06"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Description</w:t>
            </w:r>
          </w:p>
        </w:tc>
        <w:tc>
          <w:tcPr>
            <w:tcW w:w="7200" w:type="dxa"/>
            <w:gridSpan w:val="6"/>
          </w:tcPr>
          <w:p w14:paraId="0C364966" w14:textId="60B7FB11"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enterprises created with a view to the achievement of the statutory goals of the societies of blind, deaf and disabled persons shall be exempt from </w:t>
            </w:r>
            <w:r w:rsidR="00411708" w:rsidRPr="007669E1">
              <w:rPr>
                <w:rFonts w:ascii="Segoe UI" w:hAnsi="Segoe UI" w:cs="Segoe UI"/>
                <w:sz w:val="18"/>
                <w:szCs w:val="18"/>
              </w:rPr>
              <w:t xml:space="preserve">income </w:t>
            </w:r>
            <w:r w:rsidRPr="007669E1">
              <w:rPr>
                <w:rFonts w:ascii="Segoe UI" w:hAnsi="Segoe UI" w:cs="Segoe UI"/>
                <w:sz w:val="18"/>
                <w:szCs w:val="18"/>
              </w:rPr>
              <w:t>tax.</w:t>
            </w:r>
          </w:p>
        </w:tc>
      </w:tr>
      <w:tr w:rsidR="007669E1" w:rsidRPr="007669E1" w14:paraId="35D9A2E8" w14:textId="77777777" w:rsidTr="00D75D26">
        <w:tc>
          <w:tcPr>
            <w:tcW w:w="2425" w:type="dxa"/>
          </w:tcPr>
          <w:p w14:paraId="3FDB91B0"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Type of Tax Affected</w:t>
            </w:r>
          </w:p>
        </w:tc>
        <w:tc>
          <w:tcPr>
            <w:tcW w:w="7200" w:type="dxa"/>
            <w:gridSpan w:val="6"/>
          </w:tcPr>
          <w:p w14:paraId="6570DCF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5E6C92E6" w14:textId="77777777" w:rsidTr="00D75D26">
        <w:tc>
          <w:tcPr>
            <w:tcW w:w="2425" w:type="dxa"/>
          </w:tcPr>
          <w:p w14:paraId="794B7A71"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Beneficiaries</w:t>
            </w:r>
          </w:p>
        </w:tc>
        <w:tc>
          <w:tcPr>
            <w:tcW w:w="7200" w:type="dxa"/>
            <w:gridSpan w:val="6"/>
          </w:tcPr>
          <w:p w14:paraId="5FA52AE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Enterprises created by the societies of blind, deaf and disabled persons</w:t>
            </w:r>
          </w:p>
        </w:tc>
      </w:tr>
      <w:tr w:rsidR="007669E1" w:rsidRPr="007669E1" w14:paraId="60315801" w14:textId="77777777" w:rsidTr="00D75D26">
        <w:tc>
          <w:tcPr>
            <w:tcW w:w="2425" w:type="dxa"/>
          </w:tcPr>
          <w:p w14:paraId="064C625E"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Type of Measure</w:t>
            </w:r>
          </w:p>
        </w:tc>
        <w:tc>
          <w:tcPr>
            <w:tcW w:w="7200" w:type="dxa"/>
            <w:gridSpan w:val="6"/>
          </w:tcPr>
          <w:p w14:paraId="3B66575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Income tax exemption</w:t>
            </w:r>
          </w:p>
        </w:tc>
      </w:tr>
      <w:tr w:rsidR="007669E1" w:rsidRPr="007669E1" w14:paraId="55F70BCE" w14:textId="77777777" w:rsidTr="00D75D26">
        <w:tc>
          <w:tcPr>
            <w:tcW w:w="2425" w:type="dxa"/>
          </w:tcPr>
          <w:p w14:paraId="600A0F6E"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Reason why this Measure is not part of the Benchmark Tax System</w:t>
            </w:r>
          </w:p>
        </w:tc>
        <w:tc>
          <w:tcPr>
            <w:tcW w:w="7200" w:type="dxa"/>
            <w:gridSpan w:val="6"/>
          </w:tcPr>
          <w:p w14:paraId="7CFECC7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legislated tax exemption is a departure from the benchmark tax treatment, providing that taxable income attracts the 12% statutory BIT rate. The exemption is therefore a tax expenditure.</w:t>
            </w:r>
          </w:p>
        </w:tc>
      </w:tr>
      <w:tr w:rsidR="007669E1" w:rsidRPr="007669E1" w14:paraId="1A505C09" w14:textId="77777777" w:rsidTr="00D75D26">
        <w:tc>
          <w:tcPr>
            <w:tcW w:w="2425" w:type="dxa"/>
          </w:tcPr>
          <w:p w14:paraId="018CD38D"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Legal Reference</w:t>
            </w:r>
          </w:p>
        </w:tc>
        <w:tc>
          <w:tcPr>
            <w:tcW w:w="7200" w:type="dxa"/>
            <w:gridSpan w:val="6"/>
          </w:tcPr>
          <w:p w14:paraId="129C896A"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53</w:t>
            </w:r>
            <w:r w:rsidRPr="007669E1">
              <w:rPr>
                <w:rFonts w:ascii="Segoe UI" w:hAnsi="Segoe UI" w:cs="Segoe UI"/>
                <w:sz w:val="18"/>
                <w:szCs w:val="18"/>
                <w:vertAlign w:val="superscript"/>
              </w:rPr>
              <w:t>1</w:t>
            </w:r>
          </w:p>
        </w:tc>
      </w:tr>
      <w:tr w:rsidR="00136C8F" w:rsidRPr="007669E1" w14:paraId="0517D8BA" w14:textId="77777777" w:rsidTr="00D75D26">
        <w:trPr>
          <w:trHeight w:val="182"/>
        </w:trPr>
        <w:tc>
          <w:tcPr>
            <w:tcW w:w="2425" w:type="dxa"/>
            <w:vMerge w:val="restart"/>
          </w:tcPr>
          <w:p w14:paraId="17E790EA"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Implementation, Objectives, and History</w:t>
            </w:r>
          </w:p>
        </w:tc>
        <w:tc>
          <w:tcPr>
            <w:tcW w:w="3462" w:type="dxa"/>
            <w:gridSpan w:val="3"/>
          </w:tcPr>
          <w:p w14:paraId="29AF0F5A"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3BECC394"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459865BF" w14:textId="77777777" w:rsidTr="00D75D26">
        <w:trPr>
          <w:trHeight w:val="182"/>
        </w:trPr>
        <w:tc>
          <w:tcPr>
            <w:tcW w:w="2425" w:type="dxa"/>
            <w:vMerge/>
          </w:tcPr>
          <w:p w14:paraId="7EE20C2B" w14:textId="77777777" w:rsidR="007C2B84" w:rsidRPr="000A2324" w:rsidRDefault="007C2B84" w:rsidP="00E90BA7">
            <w:pPr>
              <w:spacing w:before="20" w:after="20" w:line="240" w:lineRule="auto"/>
              <w:jc w:val="both"/>
              <w:rPr>
                <w:rFonts w:ascii="Segoe UI" w:hAnsi="Segoe UI" w:cs="Segoe UI"/>
                <w:b/>
                <w:bCs/>
                <w:sz w:val="18"/>
                <w:szCs w:val="18"/>
              </w:rPr>
            </w:pPr>
          </w:p>
        </w:tc>
        <w:tc>
          <w:tcPr>
            <w:tcW w:w="3462" w:type="dxa"/>
            <w:gridSpan w:val="3"/>
          </w:tcPr>
          <w:p w14:paraId="40F9BB1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2004</w:t>
            </w:r>
          </w:p>
        </w:tc>
        <w:tc>
          <w:tcPr>
            <w:tcW w:w="3738" w:type="dxa"/>
            <w:gridSpan w:val="3"/>
          </w:tcPr>
          <w:p w14:paraId="478B49BB" w14:textId="054E3E34"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42F3F61B" w14:textId="77777777" w:rsidTr="00D75D26">
        <w:tc>
          <w:tcPr>
            <w:tcW w:w="2425" w:type="dxa"/>
          </w:tcPr>
          <w:p w14:paraId="02842FED" w14:textId="77777777" w:rsidR="00B83C12" w:rsidRPr="000A2324" w:rsidRDefault="00B83C12"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lastRenderedPageBreak/>
              <w:t>Source of Data</w:t>
            </w:r>
          </w:p>
        </w:tc>
        <w:tc>
          <w:tcPr>
            <w:tcW w:w="7200" w:type="dxa"/>
            <w:gridSpan w:val="6"/>
          </w:tcPr>
          <w:p w14:paraId="242F3AEA" w14:textId="688320C1" w:rsidR="00B83C12" w:rsidRPr="007669E1" w:rsidRDefault="00B83C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6AF27E05" w14:textId="77777777" w:rsidTr="00D75D26">
        <w:tc>
          <w:tcPr>
            <w:tcW w:w="2425" w:type="dxa"/>
          </w:tcPr>
          <w:p w14:paraId="24354526" w14:textId="77777777" w:rsidR="00B83C12" w:rsidRPr="000A2324" w:rsidRDefault="00B83C12"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Estimation Method</w:t>
            </w:r>
          </w:p>
        </w:tc>
        <w:tc>
          <w:tcPr>
            <w:tcW w:w="7200" w:type="dxa"/>
            <w:gridSpan w:val="6"/>
          </w:tcPr>
          <w:p w14:paraId="2AAA8664" w14:textId="098C76AA" w:rsidR="00B83C12" w:rsidRPr="007669E1" w:rsidRDefault="00B83C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492AB7E3" w14:textId="77777777" w:rsidTr="00D75D26">
        <w:tc>
          <w:tcPr>
            <w:tcW w:w="2425" w:type="dxa"/>
          </w:tcPr>
          <w:p w14:paraId="73D981E5"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Number of Beneficiaries</w:t>
            </w:r>
          </w:p>
        </w:tc>
        <w:tc>
          <w:tcPr>
            <w:tcW w:w="7200" w:type="dxa"/>
            <w:gridSpan w:val="6"/>
          </w:tcPr>
          <w:p w14:paraId="7A592699"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1C290DE0" w14:textId="77777777" w:rsidTr="00D75D26">
        <w:tc>
          <w:tcPr>
            <w:tcW w:w="2425" w:type="dxa"/>
          </w:tcPr>
          <w:p w14:paraId="06DD667F"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Revenue Cost Reporting</w:t>
            </w:r>
          </w:p>
        </w:tc>
        <w:tc>
          <w:tcPr>
            <w:tcW w:w="7200" w:type="dxa"/>
            <w:gridSpan w:val="6"/>
          </w:tcPr>
          <w:p w14:paraId="76B1C03E" w14:textId="3AA702BD" w:rsidR="007C2B84" w:rsidRPr="007669E1" w:rsidRDefault="005A50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37D74DD5" w14:textId="77777777" w:rsidTr="00D75D26">
        <w:trPr>
          <w:trHeight w:val="91"/>
        </w:trPr>
        <w:tc>
          <w:tcPr>
            <w:tcW w:w="2425" w:type="dxa"/>
            <w:vMerge w:val="restart"/>
          </w:tcPr>
          <w:p w14:paraId="6E060DE2"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794F8A30"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2018</w:t>
            </w:r>
          </w:p>
        </w:tc>
        <w:tc>
          <w:tcPr>
            <w:tcW w:w="1385" w:type="dxa"/>
          </w:tcPr>
          <w:p w14:paraId="7B7553A3"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2019</w:t>
            </w:r>
          </w:p>
        </w:tc>
        <w:tc>
          <w:tcPr>
            <w:tcW w:w="1385" w:type="dxa"/>
            <w:gridSpan w:val="2"/>
          </w:tcPr>
          <w:p w14:paraId="5F168C53"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2020</w:t>
            </w:r>
          </w:p>
        </w:tc>
        <w:tc>
          <w:tcPr>
            <w:tcW w:w="1385" w:type="dxa"/>
          </w:tcPr>
          <w:p w14:paraId="7F122C95" w14:textId="77777777" w:rsidR="007C2B84" w:rsidRPr="000A2324" w:rsidRDefault="007C2B84"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2021</w:t>
            </w:r>
          </w:p>
        </w:tc>
        <w:tc>
          <w:tcPr>
            <w:tcW w:w="1660" w:type="dxa"/>
          </w:tcPr>
          <w:p w14:paraId="77454790" w14:textId="0C859F0E" w:rsidR="007C2B84" w:rsidRPr="000A2324" w:rsidRDefault="000C00AF" w:rsidP="00E90BA7">
            <w:pPr>
              <w:spacing w:before="20" w:after="20" w:line="240" w:lineRule="auto"/>
              <w:jc w:val="both"/>
              <w:rPr>
                <w:rFonts w:ascii="Segoe UI" w:hAnsi="Segoe UI" w:cs="Segoe UI"/>
                <w:b/>
                <w:bCs/>
                <w:sz w:val="18"/>
                <w:szCs w:val="18"/>
              </w:rPr>
            </w:pPr>
            <w:r w:rsidRPr="000A2324">
              <w:rPr>
                <w:rFonts w:ascii="Segoe UI" w:hAnsi="Segoe UI" w:cs="Segoe UI"/>
                <w:b/>
                <w:bCs/>
                <w:sz w:val="18"/>
                <w:szCs w:val="18"/>
              </w:rPr>
              <w:t>2022</w:t>
            </w:r>
          </w:p>
        </w:tc>
      </w:tr>
      <w:tr w:rsidR="007669E1" w:rsidRPr="007669E1" w14:paraId="13B615B0" w14:textId="77777777" w:rsidTr="008401C5">
        <w:trPr>
          <w:trHeight w:val="91"/>
        </w:trPr>
        <w:tc>
          <w:tcPr>
            <w:tcW w:w="2425" w:type="dxa"/>
            <w:vMerge/>
          </w:tcPr>
          <w:p w14:paraId="59D1BB38"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5E084130" w14:textId="4C7E0FFD" w:rsidR="007C2B84" w:rsidRPr="007669E1" w:rsidRDefault="005A509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80.6</w:t>
            </w:r>
          </w:p>
        </w:tc>
        <w:tc>
          <w:tcPr>
            <w:tcW w:w="1385" w:type="dxa"/>
            <w:shd w:val="clear" w:color="auto" w:fill="D9D9D9" w:themeFill="background1" w:themeFillShade="D9"/>
            <w:vAlign w:val="bottom"/>
          </w:tcPr>
          <w:p w14:paraId="7DB9B336" w14:textId="1B384969" w:rsidR="007C2B84" w:rsidRPr="007669E1" w:rsidRDefault="005A509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80.7</w:t>
            </w:r>
          </w:p>
        </w:tc>
        <w:tc>
          <w:tcPr>
            <w:tcW w:w="1385" w:type="dxa"/>
            <w:gridSpan w:val="2"/>
            <w:shd w:val="clear" w:color="auto" w:fill="D9D9D9" w:themeFill="background1" w:themeFillShade="D9"/>
            <w:vAlign w:val="bottom"/>
          </w:tcPr>
          <w:p w14:paraId="581D2A95" w14:textId="5964F538" w:rsidR="007C2B84" w:rsidRPr="007669E1" w:rsidRDefault="005A509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77.1</w:t>
            </w:r>
          </w:p>
        </w:tc>
        <w:tc>
          <w:tcPr>
            <w:tcW w:w="1385" w:type="dxa"/>
            <w:shd w:val="clear" w:color="auto" w:fill="D9D9D9" w:themeFill="background1" w:themeFillShade="D9"/>
            <w:vAlign w:val="bottom"/>
          </w:tcPr>
          <w:p w14:paraId="71F77BA7" w14:textId="11204867" w:rsidR="007C2B84" w:rsidRPr="007669E1" w:rsidRDefault="005A509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89.0</w:t>
            </w:r>
          </w:p>
        </w:tc>
        <w:tc>
          <w:tcPr>
            <w:tcW w:w="1660" w:type="dxa"/>
            <w:shd w:val="clear" w:color="auto" w:fill="D9D9D9" w:themeFill="background1" w:themeFillShade="D9"/>
            <w:vAlign w:val="bottom"/>
          </w:tcPr>
          <w:p w14:paraId="3E4FBA97" w14:textId="1E864FD7" w:rsidR="007C2B84" w:rsidRPr="007669E1" w:rsidRDefault="005A509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99.2</w:t>
            </w:r>
          </w:p>
        </w:tc>
      </w:tr>
    </w:tbl>
    <w:p w14:paraId="7EE6432C" w14:textId="58031885" w:rsidR="00865FCD" w:rsidRPr="007669E1" w:rsidRDefault="00865FCD"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 figures from 2019 to 2022 are projected based on 2018.</w:t>
      </w:r>
    </w:p>
    <w:p w14:paraId="4B6ACAD1"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A10B0" w14:paraId="4D222368" w14:textId="77777777" w:rsidTr="00D75D26">
        <w:tc>
          <w:tcPr>
            <w:tcW w:w="9625" w:type="dxa"/>
            <w:gridSpan w:val="7"/>
            <w:shd w:val="clear" w:color="auto" w:fill="D9D9D9" w:themeFill="background1" w:themeFillShade="D9"/>
          </w:tcPr>
          <w:p w14:paraId="5AF39183"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7. Tax relief for savings and loan associations</w:t>
            </w:r>
          </w:p>
        </w:tc>
      </w:tr>
      <w:tr w:rsidR="007669E1" w:rsidRPr="007669E1" w14:paraId="251EF82A" w14:textId="77777777" w:rsidTr="00D75D26">
        <w:tc>
          <w:tcPr>
            <w:tcW w:w="2425" w:type="dxa"/>
          </w:tcPr>
          <w:p w14:paraId="31B53E4C"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Description</w:t>
            </w:r>
          </w:p>
        </w:tc>
        <w:tc>
          <w:tcPr>
            <w:tcW w:w="7200" w:type="dxa"/>
            <w:gridSpan w:val="6"/>
          </w:tcPr>
          <w:p w14:paraId="1123CA9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Savings and Loan Associations shall be exempt from income tax.</w:t>
            </w:r>
          </w:p>
        </w:tc>
      </w:tr>
      <w:tr w:rsidR="007669E1" w:rsidRPr="007669E1" w14:paraId="67BA10A3" w14:textId="77777777" w:rsidTr="00D75D26">
        <w:tc>
          <w:tcPr>
            <w:tcW w:w="2425" w:type="dxa"/>
          </w:tcPr>
          <w:p w14:paraId="302334C8"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Type of Tax Affected</w:t>
            </w:r>
          </w:p>
        </w:tc>
        <w:tc>
          <w:tcPr>
            <w:tcW w:w="7200" w:type="dxa"/>
            <w:gridSpan w:val="6"/>
          </w:tcPr>
          <w:p w14:paraId="51ACA81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4A80DE89" w14:textId="77777777" w:rsidTr="00D75D26">
        <w:tc>
          <w:tcPr>
            <w:tcW w:w="2425" w:type="dxa"/>
          </w:tcPr>
          <w:p w14:paraId="681D2E94"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Beneficiaries</w:t>
            </w:r>
          </w:p>
        </w:tc>
        <w:tc>
          <w:tcPr>
            <w:tcW w:w="7200" w:type="dxa"/>
            <w:gridSpan w:val="6"/>
          </w:tcPr>
          <w:p w14:paraId="4290DD2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Savings and Loan Associations</w:t>
            </w:r>
          </w:p>
        </w:tc>
      </w:tr>
      <w:tr w:rsidR="007669E1" w:rsidRPr="007669E1" w14:paraId="242AA597" w14:textId="77777777" w:rsidTr="00D75D26">
        <w:tc>
          <w:tcPr>
            <w:tcW w:w="2425" w:type="dxa"/>
          </w:tcPr>
          <w:p w14:paraId="4CE5FE8B"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Type of Measure</w:t>
            </w:r>
          </w:p>
        </w:tc>
        <w:tc>
          <w:tcPr>
            <w:tcW w:w="7200" w:type="dxa"/>
            <w:gridSpan w:val="6"/>
          </w:tcPr>
          <w:p w14:paraId="2E62ECFE"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Income tax exemption</w:t>
            </w:r>
          </w:p>
        </w:tc>
      </w:tr>
      <w:tr w:rsidR="007669E1" w:rsidRPr="007669E1" w14:paraId="0B99F0C0" w14:textId="77777777" w:rsidTr="00D75D26">
        <w:tc>
          <w:tcPr>
            <w:tcW w:w="2425" w:type="dxa"/>
          </w:tcPr>
          <w:p w14:paraId="131F591E"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Reason why this Measure is not part of the Benchmark Tax System</w:t>
            </w:r>
          </w:p>
        </w:tc>
        <w:tc>
          <w:tcPr>
            <w:tcW w:w="7200" w:type="dxa"/>
            <w:gridSpan w:val="6"/>
          </w:tcPr>
          <w:p w14:paraId="34AA7D6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legislated tax exemption is a departure from the benchmark tax treatment, providing that taxable income attracts the 12% statutory BIT rate. </w:t>
            </w:r>
          </w:p>
        </w:tc>
      </w:tr>
      <w:tr w:rsidR="007669E1" w:rsidRPr="007669E1" w14:paraId="66748FFF" w14:textId="77777777" w:rsidTr="00D75D26">
        <w:tc>
          <w:tcPr>
            <w:tcW w:w="2425" w:type="dxa"/>
          </w:tcPr>
          <w:p w14:paraId="2BB5B3CB"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Legal Reference</w:t>
            </w:r>
          </w:p>
        </w:tc>
        <w:tc>
          <w:tcPr>
            <w:tcW w:w="7200" w:type="dxa"/>
            <w:gridSpan w:val="6"/>
          </w:tcPr>
          <w:p w14:paraId="74BF3581"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53</w:t>
            </w:r>
            <w:r w:rsidRPr="007669E1">
              <w:rPr>
                <w:rFonts w:ascii="Segoe UI" w:hAnsi="Segoe UI" w:cs="Segoe UI"/>
                <w:sz w:val="18"/>
                <w:szCs w:val="18"/>
                <w:vertAlign w:val="superscript"/>
              </w:rPr>
              <w:t>2</w:t>
            </w:r>
          </w:p>
        </w:tc>
      </w:tr>
      <w:tr w:rsidR="00136C8F" w:rsidRPr="007669E1" w14:paraId="7E382517" w14:textId="77777777" w:rsidTr="00D75D26">
        <w:trPr>
          <w:trHeight w:val="182"/>
        </w:trPr>
        <w:tc>
          <w:tcPr>
            <w:tcW w:w="2425" w:type="dxa"/>
            <w:vMerge w:val="restart"/>
          </w:tcPr>
          <w:p w14:paraId="20C5067A"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Implementation, Objectives, and History</w:t>
            </w:r>
          </w:p>
        </w:tc>
        <w:tc>
          <w:tcPr>
            <w:tcW w:w="3462" w:type="dxa"/>
            <w:gridSpan w:val="3"/>
          </w:tcPr>
          <w:p w14:paraId="41962BD2"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391BE54A"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45E58B3A" w14:textId="77777777" w:rsidTr="00D75D26">
        <w:trPr>
          <w:trHeight w:val="182"/>
        </w:trPr>
        <w:tc>
          <w:tcPr>
            <w:tcW w:w="2425" w:type="dxa"/>
            <w:vMerge/>
          </w:tcPr>
          <w:p w14:paraId="4AF3E20F" w14:textId="77777777" w:rsidR="007C2B84" w:rsidRPr="00BA10B0" w:rsidRDefault="007C2B84" w:rsidP="00E90BA7">
            <w:pPr>
              <w:spacing w:before="20" w:after="20" w:line="240" w:lineRule="auto"/>
              <w:jc w:val="both"/>
              <w:rPr>
                <w:rFonts w:ascii="Segoe UI" w:hAnsi="Segoe UI" w:cs="Segoe UI"/>
                <w:b/>
                <w:bCs/>
                <w:sz w:val="18"/>
                <w:szCs w:val="18"/>
              </w:rPr>
            </w:pPr>
          </w:p>
        </w:tc>
        <w:tc>
          <w:tcPr>
            <w:tcW w:w="3462" w:type="dxa"/>
            <w:gridSpan w:val="3"/>
          </w:tcPr>
          <w:p w14:paraId="09343949" w14:textId="578AE358" w:rsidR="007C2B84" w:rsidRPr="007669E1" w:rsidRDefault="00AB7D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7C2B84" w:rsidRPr="007669E1">
              <w:rPr>
                <w:rFonts w:ascii="Segoe UI" w:hAnsi="Segoe UI" w:cs="Segoe UI"/>
                <w:sz w:val="18"/>
                <w:szCs w:val="18"/>
              </w:rPr>
              <w:t xml:space="preserve"> 2005</w:t>
            </w:r>
          </w:p>
        </w:tc>
        <w:tc>
          <w:tcPr>
            <w:tcW w:w="3738" w:type="dxa"/>
            <w:gridSpan w:val="3"/>
          </w:tcPr>
          <w:p w14:paraId="33866536" w14:textId="25B515D4"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E9AB106" w14:textId="77777777" w:rsidTr="00D75D26">
        <w:tc>
          <w:tcPr>
            <w:tcW w:w="2425" w:type="dxa"/>
          </w:tcPr>
          <w:p w14:paraId="121B1C45" w14:textId="77777777" w:rsidR="00FB087B" w:rsidRPr="00BA10B0" w:rsidRDefault="00FB087B"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Source of Data</w:t>
            </w:r>
          </w:p>
        </w:tc>
        <w:tc>
          <w:tcPr>
            <w:tcW w:w="7200" w:type="dxa"/>
            <w:gridSpan w:val="6"/>
          </w:tcPr>
          <w:p w14:paraId="351841A2" w14:textId="7A80D33C"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2AEA25A9" w14:textId="77777777" w:rsidTr="00D75D26">
        <w:tc>
          <w:tcPr>
            <w:tcW w:w="2425" w:type="dxa"/>
          </w:tcPr>
          <w:p w14:paraId="0F8636D5" w14:textId="77777777" w:rsidR="00FB087B" w:rsidRPr="00BA10B0" w:rsidRDefault="00FB087B"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Estimation Method</w:t>
            </w:r>
          </w:p>
        </w:tc>
        <w:tc>
          <w:tcPr>
            <w:tcW w:w="7200" w:type="dxa"/>
            <w:gridSpan w:val="6"/>
          </w:tcPr>
          <w:p w14:paraId="2AF24267" w14:textId="3B349CD5"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21F25BF3" w14:textId="77777777" w:rsidTr="00D75D26">
        <w:tc>
          <w:tcPr>
            <w:tcW w:w="2425" w:type="dxa"/>
          </w:tcPr>
          <w:p w14:paraId="73B39FBB"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Number of Beneficiaries</w:t>
            </w:r>
          </w:p>
        </w:tc>
        <w:tc>
          <w:tcPr>
            <w:tcW w:w="7200" w:type="dxa"/>
            <w:gridSpan w:val="6"/>
          </w:tcPr>
          <w:p w14:paraId="4D03B2E2"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5A375D16" w14:textId="77777777" w:rsidTr="00D75D26">
        <w:tc>
          <w:tcPr>
            <w:tcW w:w="2425" w:type="dxa"/>
          </w:tcPr>
          <w:p w14:paraId="69BE3691"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Revenue Cost Reporting</w:t>
            </w:r>
          </w:p>
        </w:tc>
        <w:tc>
          <w:tcPr>
            <w:tcW w:w="7200" w:type="dxa"/>
            <w:gridSpan w:val="6"/>
          </w:tcPr>
          <w:p w14:paraId="414048D8" w14:textId="487923D4" w:rsidR="007C2B84" w:rsidRPr="007669E1" w:rsidRDefault="00FC697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0D5DB966" w14:textId="77777777" w:rsidTr="00D75D26">
        <w:trPr>
          <w:trHeight w:val="91"/>
        </w:trPr>
        <w:tc>
          <w:tcPr>
            <w:tcW w:w="2425" w:type="dxa"/>
            <w:vMerge w:val="restart"/>
          </w:tcPr>
          <w:p w14:paraId="18FAEDEF"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6D86B49A"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2018</w:t>
            </w:r>
          </w:p>
        </w:tc>
        <w:tc>
          <w:tcPr>
            <w:tcW w:w="1385" w:type="dxa"/>
          </w:tcPr>
          <w:p w14:paraId="63CB5C6C"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2019</w:t>
            </w:r>
          </w:p>
        </w:tc>
        <w:tc>
          <w:tcPr>
            <w:tcW w:w="1385" w:type="dxa"/>
            <w:gridSpan w:val="2"/>
          </w:tcPr>
          <w:p w14:paraId="0BA58B68"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2020</w:t>
            </w:r>
          </w:p>
        </w:tc>
        <w:tc>
          <w:tcPr>
            <w:tcW w:w="1385" w:type="dxa"/>
          </w:tcPr>
          <w:p w14:paraId="68E1C508"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2021</w:t>
            </w:r>
          </w:p>
        </w:tc>
        <w:tc>
          <w:tcPr>
            <w:tcW w:w="1660" w:type="dxa"/>
          </w:tcPr>
          <w:p w14:paraId="3850C336" w14:textId="3EBE117C" w:rsidR="007C2B84" w:rsidRPr="00BA10B0" w:rsidRDefault="000C00AF"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2022</w:t>
            </w:r>
          </w:p>
        </w:tc>
      </w:tr>
      <w:tr w:rsidR="007669E1" w:rsidRPr="007669E1" w14:paraId="483BC83E" w14:textId="77777777" w:rsidTr="008401C5">
        <w:trPr>
          <w:trHeight w:val="91"/>
        </w:trPr>
        <w:tc>
          <w:tcPr>
            <w:tcW w:w="2425" w:type="dxa"/>
            <w:vMerge/>
          </w:tcPr>
          <w:p w14:paraId="5F9E3C2B"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54772DB7" w14:textId="75B2B6D5" w:rsidR="007C2B84" w:rsidRPr="007669E1" w:rsidRDefault="00FC697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8,747.2</w:t>
            </w:r>
          </w:p>
        </w:tc>
        <w:tc>
          <w:tcPr>
            <w:tcW w:w="1385" w:type="dxa"/>
            <w:shd w:val="clear" w:color="auto" w:fill="D9D9D9" w:themeFill="background1" w:themeFillShade="D9"/>
            <w:vAlign w:val="bottom"/>
          </w:tcPr>
          <w:p w14:paraId="7B219520" w14:textId="641CF2CD" w:rsidR="007C2B84" w:rsidRPr="007669E1" w:rsidRDefault="00FC697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8,760.3</w:t>
            </w:r>
          </w:p>
        </w:tc>
        <w:tc>
          <w:tcPr>
            <w:tcW w:w="1385" w:type="dxa"/>
            <w:gridSpan w:val="2"/>
            <w:shd w:val="clear" w:color="auto" w:fill="D9D9D9" w:themeFill="background1" w:themeFillShade="D9"/>
            <w:vAlign w:val="bottom"/>
          </w:tcPr>
          <w:p w14:paraId="5262F00C" w14:textId="459B9231" w:rsidR="007C2B84" w:rsidRPr="007669E1" w:rsidRDefault="00FC697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8,365.1</w:t>
            </w:r>
          </w:p>
        </w:tc>
        <w:tc>
          <w:tcPr>
            <w:tcW w:w="1385" w:type="dxa"/>
            <w:shd w:val="clear" w:color="auto" w:fill="D9D9D9" w:themeFill="background1" w:themeFillShade="D9"/>
            <w:vAlign w:val="bottom"/>
          </w:tcPr>
          <w:p w14:paraId="389FED47" w14:textId="7C4434F8" w:rsidR="007C2B84" w:rsidRPr="007669E1" w:rsidRDefault="00FC697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9,655.3</w:t>
            </w:r>
          </w:p>
        </w:tc>
        <w:tc>
          <w:tcPr>
            <w:tcW w:w="1660" w:type="dxa"/>
            <w:shd w:val="clear" w:color="auto" w:fill="D9D9D9" w:themeFill="background1" w:themeFillShade="D9"/>
            <w:vAlign w:val="bottom"/>
          </w:tcPr>
          <w:p w14:paraId="6A5E8C5D" w14:textId="5FB0FFC2" w:rsidR="007C2B84" w:rsidRPr="007669E1" w:rsidRDefault="00FC697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10,760.2</w:t>
            </w:r>
          </w:p>
        </w:tc>
      </w:tr>
    </w:tbl>
    <w:p w14:paraId="74ED9F29" w14:textId="170BD65B" w:rsidR="00865FCD" w:rsidRPr="007669E1" w:rsidRDefault="00865FCD"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 figures from 2019 to 2022 are projected based on 2018.</w:t>
      </w:r>
    </w:p>
    <w:p w14:paraId="387DC10D"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A10B0" w14:paraId="4F553567" w14:textId="77777777" w:rsidTr="00D75D26">
        <w:tc>
          <w:tcPr>
            <w:tcW w:w="9625" w:type="dxa"/>
            <w:gridSpan w:val="7"/>
            <w:shd w:val="clear" w:color="auto" w:fill="D9D9D9" w:themeFill="background1" w:themeFillShade="D9"/>
          </w:tcPr>
          <w:p w14:paraId="4B63D0FC"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8. Tax incentive to encourage participation in non-state pension funds</w:t>
            </w:r>
          </w:p>
        </w:tc>
      </w:tr>
      <w:tr w:rsidR="007669E1" w:rsidRPr="007669E1" w14:paraId="5BCAFC3A" w14:textId="77777777" w:rsidTr="00D75D26">
        <w:tc>
          <w:tcPr>
            <w:tcW w:w="2425" w:type="dxa"/>
          </w:tcPr>
          <w:p w14:paraId="12EE92CD"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Description</w:t>
            </w:r>
          </w:p>
        </w:tc>
        <w:tc>
          <w:tcPr>
            <w:tcW w:w="7200" w:type="dxa"/>
            <w:gridSpan w:val="6"/>
          </w:tcPr>
          <w:p w14:paraId="658288E7" w14:textId="77777777" w:rsidR="007C2B84" w:rsidRPr="007669E1" w:rsidRDefault="007C2B84" w:rsidP="00E90BA7">
            <w:pPr>
              <w:pStyle w:val="Default"/>
              <w:spacing w:before="20" w:after="20"/>
              <w:jc w:val="both"/>
              <w:rPr>
                <w:rFonts w:ascii="Segoe UI" w:hAnsi="Segoe UI" w:cs="Segoe UI"/>
                <w:color w:val="auto"/>
                <w:sz w:val="18"/>
                <w:szCs w:val="18"/>
              </w:rPr>
            </w:pPr>
            <w:r w:rsidRPr="007669E1">
              <w:rPr>
                <w:rFonts w:ascii="Segoe UI" w:hAnsi="Segoe UI" w:cs="Segoe UI"/>
                <w:color w:val="auto"/>
                <w:sz w:val="18"/>
                <w:szCs w:val="18"/>
              </w:rPr>
              <w:t>The income of the non-state pension fund shall not be taxed, but any payments (i.e., early withdrawals or annuities) made from this fund shall be included in the gross income of the beneficiary.</w:t>
            </w:r>
          </w:p>
        </w:tc>
      </w:tr>
      <w:tr w:rsidR="007669E1" w:rsidRPr="007669E1" w14:paraId="0A203772" w14:textId="77777777" w:rsidTr="00D75D26">
        <w:tc>
          <w:tcPr>
            <w:tcW w:w="2425" w:type="dxa"/>
          </w:tcPr>
          <w:p w14:paraId="153B3602"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Type of Tax Affected</w:t>
            </w:r>
          </w:p>
        </w:tc>
        <w:tc>
          <w:tcPr>
            <w:tcW w:w="7200" w:type="dxa"/>
            <w:gridSpan w:val="6"/>
          </w:tcPr>
          <w:p w14:paraId="1B93A4A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0307BCE3" w14:textId="77777777" w:rsidTr="00D75D26">
        <w:tc>
          <w:tcPr>
            <w:tcW w:w="2425" w:type="dxa"/>
          </w:tcPr>
          <w:p w14:paraId="10FBBA4D"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Beneficiaries</w:t>
            </w:r>
          </w:p>
        </w:tc>
        <w:tc>
          <w:tcPr>
            <w:tcW w:w="7200" w:type="dxa"/>
            <w:gridSpan w:val="6"/>
          </w:tcPr>
          <w:p w14:paraId="2426E40E"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Non-state pension fund</w:t>
            </w:r>
          </w:p>
        </w:tc>
      </w:tr>
      <w:tr w:rsidR="007669E1" w:rsidRPr="007669E1" w14:paraId="50226210" w14:textId="77777777" w:rsidTr="00D75D26">
        <w:tc>
          <w:tcPr>
            <w:tcW w:w="2425" w:type="dxa"/>
          </w:tcPr>
          <w:p w14:paraId="5AE61519"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Type of Measure</w:t>
            </w:r>
          </w:p>
        </w:tc>
        <w:tc>
          <w:tcPr>
            <w:tcW w:w="7200" w:type="dxa"/>
            <w:gridSpan w:val="6"/>
          </w:tcPr>
          <w:p w14:paraId="47C4489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Income tax exemption</w:t>
            </w:r>
          </w:p>
        </w:tc>
      </w:tr>
      <w:tr w:rsidR="007669E1" w:rsidRPr="007669E1" w14:paraId="05FE9EF2" w14:textId="77777777" w:rsidTr="00D75D26">
        <w:tc>
          <w:tcPr>
            <w:tcW w:w="2425" w:type="dxa"/>
          </w:tcPr>
          <w:p w14:paraId="5218CE09"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Reason why this Measure is not part of the Benchmark Tax System</w:t>
            </w:r>
          </w:p>
        </w:tc>
        <w:tc>
          <w:tcPr>
            <w:tcW w:w="7200" w:type="dxa"/>
            <w:gridSpan w:val="6"/>
          </w:tcPr>
          <w:p w14:paraId="1CA52163"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Contributions to a qualified non-governmental pension fund are not taxed, but deferred tax will be collected in the future when the contributions and investment income earned on them are withdrawn.  So, the tax expenditure is equal to the applicable tax rate multiplied by the net present value of the payments by way of an annuity that an individual will receive based on the value of the contributions they made.</w:t>
            </w:r>
          </w:p>
        </w:tc>
      </w:tr>
      <w:tr w:rsidR="007669E1" w:rsidRPr="007669E1" w14:paraId="1ECB961D" w14:textId="77777777" w:rsidTr="00D75D26">
        <w:tc>
          <w:tcPr>
            <w:tcW w:w="2425" w:type="dxa"/>
          </w:tcPr>
          <w:p w14:paraId="14246470"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Legal Reference</w:t>
            </w:r>
          </w:p>
        </w:tc>
        <w:tc>
          <w:tcPr>
            <w:tcW w:w="7200" w:type="dxa"/>
            <w:gridSpan w:val="6"/>
          </w:tcPr>
          <w:p w14:paraId="532DCAD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68 of the TC</w:t>
            </w:r>
          </w:p>
        </w:tc>
      </w:tr>
      <w:tr w:rsidR="00136C8F" w:rsidRPr="007669E1" w14:paraId="15D40C89" w14:textId="77777777" w:rsidTr="00D75D26">
        <w:trPr>
          <w:trHeight w:val="182"/>
        </w:trPr>
        <w:tc>
          <w:tcPr>
            <w:tcW w:w="2425" w:type="dxa"/>
            <w:vMerge w:val="restart"/>
          </w:tcPr>
          <w:p w14:paraId="034AA19E"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Implementation, Objectives, and History</w:t>
            </w:r>
          </w:p>
        </w:tc>
        <w:tc>
          <w:tcPr>
            <w:tcW w:w="3462" w:type="dxa"/>
            <w:gridSpan w:val="3"/>
          </w:tcPr>
          <w:p w14:paraId="6126DE06"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2B206BCB"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6B5090B4" w14:textId="77777777" w:rsidTr="00D75D26">
        <w:trPr>
          <w:trHeight w:val="182"/>
        </w:trPr>
        <w:tc>
          <w:tcPr>
            <w:tcW w:w="2425" w:type="dxa"/>
            <w:vMerge/>
          </w:tcPr>
          <w:p w14:paraId="02F1A9AF" w14:textId="77777777" w:rsidR="007C2B84" w:rsidRPr="00BA10B0" w:rsidRDefault="007C2B84" w:rsidP="00E90BA7">
            <w:pPr>
              <w:spacing w:before="20" w:after="20" w:line="240" w:lineRule="auto"/>
              <w:jc w:val="both"/>
              <w:rPr>
                <w:rFonts w:ascii="Segoe UI" w:hAnsi="Segoe UI" w:cs="Segoe UI"/>
                <w:b/>
                <w:bCs/>
                <w:sz w:val="18"/>
                <w:szCs w:val="18"/>
              </w:rPr>
            </w:pPr>
          </w:p>
        </w:tc>
        <w:tc>
          <w:tcPr>
            <w:tcW w:w="3462" w:type="dxa"/>
            <w:gridSpan w:val="3"/>
          </w:tcPr>
          <w:p w14:paraId="0C073DBF" w14:textId="726F654D" w:rsidR="007C2B84" w:rsidRPr="007669E1" w:rsidRDefault="004A458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r w:rsidR="007C2B84" w:rsidRPr="007669E1">
              <w:rPr>
                <w:rFonts w:ascii="Segoe UI" w:hAnsi="Segoe UI" w:cs="Segoe UI"/>
                <w:sz w:val="18"/>
                <w:szCs w:val="18"/>
              </w:rPr>
              <w:t>1998</w:t>
            </w:r>
          </w:p>
        </w:tc>
        <w:tc>
          <w:tcPr>
            <w:tcW w:w="3738" w:type="dxa"/>
            <w:gridSpan w:val="3"/>
          </w:tcPr>
          <w:p w14:paraId="0CD89173" w14:textId="2F131DB0"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2178378" w14:textId="77777777" w:rsidTr="00D75D26">
        <w:tc>
          <w:tcPr>
            <w:tcW w:w="2425" w:type="dxa"/>
          </w:tcPr>
          <w:p w14:paraId="0CCC3339" w14:textId="77777777" w:rsidR="00FB087B" w:rsidRPr="00BA10B0" w:rsidRDefault="00FB087B"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Source of Data</w:t>
            </w:r>
          </w:p>
        </w:tc>
        <w:tc>
          <w:tcPr>
            <w:tcW w:w="7200" w:type="dxa"/>
            <w:gridSpan w:val="6"/>
          </w:tcPr>
          <w:p w14:paraId="10D5B899" w14:textId="22967AB5"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2D05BCF3" w14:textId="77777777" w:rsidTr="00D75D26">
        <w:tc>
          <w:tcPr>
            <w:tcW w:w="2425" w:type="dxa"/>
          </w:tcPr>
          <w:p w14:paraId="0B1B9426" w14:textId="77777777" w:rsidR="00FB087B" w:rsidRPr="00BA10B0" w:rsidRDefault="00FB087B"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Estimation Method</w:t>
            </w:r>
          </w:p>
        </w:tc>
        <w:tc>
          <w:tcPr>
            <w:tcW w:w="7200" w:type="dxa"/>
            <w:gridSpan w:val="6"/>
          </w:tcPr>
          <w:p w14:paraId="3C0F2B87" w14:textId="2802FB03"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162A378D" w14:textId="77777777" w:rsidTr="00D75D26">
        <w:tc>
          <w:tcPr>
            <w:tcW w:w="2425" w:type="dxa"/>
          </w:tcPr>
          <w:p w14:paraId="502E8720"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lastRenderedPageBreak/>
              <w:t>Number of Beneficiaries</w:t>
            </w:r>
          </w:p>
        </w:tc>
        <w:tc>
          <w:tcPr>
            <w:tcW w:w="7200" w:type="dxa"/>
            <w:gridSpan w:val="6"/>
          </w:tcPr>
          <w:p w14:paraId="2402B017"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6CC20C14" w14:textId="77777777" w:rsidTr="00D75D26">
        <w:tc>
          <w:tcPr>
            <w:tcW w:w="2425" w:type="dxa"/>
          </w:tcPr>
          <w:p w14:paraId="6CA1E3DA"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Revenue Cost Reporting</w:t>
            </w:r>
          </w:p>
        </w:tc>
        <w:tc>
          <w:tcPr>
            <w:tcW w:w="7200" w:type="dxa"/>
            <w:gridSpan w:val="6"/>
          </w:tcPr>
          <w:p w14:paraId="19AF14EA" w14:textId="762A4DFE" w:rsidR="007C2B84" w:rsidRPr="007669E1" w:rsidRDefault="00907F7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4763C0DA" w14:textId="77777777" w:rsidTr="00D75D26">
        <w:trPr>
          <w:trHeight w:val="91"/>
        </w:trPr>
        <w:tc>
          <w:tcPr>
            <w:tcW w:w="2425" w:type="dxa"/>
            <w:vMerge w:val="restart"/>
          </w:tcPr>
          <w:p w14:paraId="6B564882"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68289D22"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2018</w:t>
            </w:r>
          </w:p>
        </w:tc>
        <w:tc>
          <w:tcPr>
            <w:tcW w:w="1385" w:type="dxa"/>
          </w:tcPr>
          <w:p w14:paraId="79210F91"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2019</w:t>
            </w:r>
          </w:p>
        </w:tc>
        <w:tc>
          <w:tcPr>
            <w:tcW w:w="1385" w:type="dxa"/>
            <w:gridSpan w:val="2"/>
          </w:tcPr>
          <w:p w14:paraId="045F354D"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2020</w:t>
            </w:r>
          </w:p>
        </w:tc>
        <w:tc>
          <w:tcPr>
            <w:tcW w:w="1385" w:type="dxa"/>
          </w:tcPr>
          <w:p w14:paraId="538C75C1"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2021</w:t>
            </w:r>
          </w:p>
        </w:tc>
        <w:tc>
          <w:tcPr>
            <w:tcW w:w="1660" w:type="dxa"/>
          </w:tcPr>
          <w:p w14:paraId="4E8E6273" w14:textId="6351B52C" w:rsidR="007C2B84" w:rsidRPr="00BA10B0" w:rsidRDefault="000C00AF"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2022</w:t>
            </w:r>
          </w:p>
        </w:tc>
      </w:tr>
      <w:tr w:rsidR="007669E1" w:rsidRPr="007669E1" w14:paraId="0564B3AF" w14:textId="77777777" w:rsidTr="00BD2375">
        <w:trPr>
          <w:trHeight w:val="91"/>
        </w:trPr>
        <w:tc>
          <w:tcPr>
            <w:tcW w:w="2425" w:type="dxa"/>
            <w:vMerge/>
          </w:tcPr>
          <w:p w14:paraId="58EA3453"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2BE638C8" w14:textId="2450A473" w:rsidR="007C2B84" w:rsidRPr="007669E1" w:rsidRDefault="00D52DC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1,970.0</w:t>
            </w:r>
          </w:p>
        </w:tc>
        <w:tc>
          <w:tcPr>
            <w:tcW w:w="1385" w:type="dxa"/>
            <w:shd w:val="clear" w:color="auto" w:fill="D9D9D9" w:themeFill="background1" w:themeFillShade="D9"/>
            <w:vAlign w:val="bottom"/>
          </w:tcPr>
          <w:p w14:paraId="3A1D2853" w14:textId="44C183A1" w:rsidR="007C2B84" w:rsidRPr="007669E1" w:rsidRDefault="00D52DC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1,973.0</w:t>
            </w:r>
          </w:p>
        </w:tc>
        <w:tc>
          <w:tcPr>
            <w:tcW w:w="1385" w:type="dxa"/>
            <w:gridSpan w:val="2"/>
            <w:shd w:val="clear" w:color="auto" w:fill="D9D9D9" w:themeFill="background1" w:themeFillShade="D9"/>
            <w:vAlign w:val="bottom"/>
          </w:tcPr>
          <w:p w14:paraId="0BA0BF90" w14:textId="4EE385A3" w:rsidR="007C2B84" w:rsidRPr="007669E1" w:rsidRDefault="00D52DC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1,884.0</w:t>
            </w:r>
          </w:p>
        </w:tc>
        <w:tc>
          <w:tcPr>
            <w:tcW w:w="1385" w:type="dxa"/>
            <w:shd w:val="clear" w:color="auto" w:fill="D9D9D9" w:themeFill="background1" w:themeFillShade="D9"/>
            <w:vAlign w:val="bottom"/>
          </w:tcPr>
          <w:p w14:paraId="30E1AEC3" w14:textId="098AA95E" w:rsidR="007C2B84" w:rsidRPr="007669E1" w:rsidRDefault="00D52DC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2,174.5</w:t>
            </w:r>
          </w:p>
        </w:tc>
        <w:tc>
          <w:tcPr>
            <w:tcW w:w="1660" w:type="dxa"/>
            <w:shd w:val="clear" w:color="auto" w:fill="D9D9D9" w:themeFill="background1" w:themeFillShade="D9"/>
            <w:vAlign w:val="bottom"/>
          </w:tcPr>
          <w:p w14:paraId="5CFA3233" w14:textId="279024E3" w:rsidR="007C2B84" w:rsidRPr="007669E1" w:rsidRDefault="00D52DC8"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2,423.5</w:t>
            </w:r>
          </w:p>
        </w:tc>
      </w:tr>
    </w:tbl>
    <w:p w14:paraId="16A9A128" w14:textId="368E2020" w:rsidR="00865FCD" w:rsidRPr="007669E1" w:rsidRDefault="00865FCD"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034DFC4C"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A10B0" w14:paraId="342B440F" w14:textId="77777777" w:rsidTr="00D75D26">
        <w:tc>
          <w:tcPr>
            <w:tcW w:w="9625" w:type="dxa"/>
            <w:gridSpan w:val="7"/>
            <w:shd w:val="clear" w:color="auto" w:fill="D9D9D9" w:themeFill="background1" w:themeFillShade="D9"/>
          </w:tcPr>
          <w:p w14:paraId="61D49A2B" w14:textId="7CAD144D"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9. T</w:t>
            </w:r>
            <w:r w:rsidR="27B3DC28" w:rsidRPr="00BA10B0">
              <w:rPr>
                <w:rFonts w:ascii="Segoe UI" w:hAnsi="Segoe UI" w:cs="Segoe UI"/>
                <w:b/>
                <w:bCs/>
                <w:sz w:val="18"/>
                <w:szCs w:val="18"/>
              </w:rPr>
              <w:t>ax exemption for t</w:t>
            </w:r>
            <w:r w:rsidRPr="00BA10B0">
              <w:rPr>
                <w:rFonts w:ascii="Segoe UI" w:hAnsi="Segoe UI" w:cs="Segoe UI"/>
                <w:b/>
                <w:bCs/>
                <w:sz w:val="18"/>
                <w:szCs w:val="18"/>
              </w:rPr>
              <w:t xml:space="preserve">rade </w:t>
            </w:r>
            <w:r w:rsidR="25DFCBAA" w:rsidRPr="00BA10B0">
              <w:rPr>
                <w:rFonts w:ascii="Segoe UI" w:hAnsi="Segoe UI" w:cs="Segoe UI"/>
                <w:b/>
                <w:bCs/>
                <w:sz w:val="18"/>
                <w:szCs w:val="18"/>
              </w:rPr>
              <w:t>u</w:t>
            </w:r>
            <w:r w:rsidRPr="00BA10B0">
              <w:rPr>
                <w:rFonts w:ascii="Segoe UI" w:hAnsi="Segoe UI" w:cs="Segoe UI"/>
                <w:b/>
                <w:bCs/>
                <w:sz w:val="18"/>
                <w:szCs w:val="18"/>
              </w:rPr>
              <w:t xml:space="preserve">nions and </w:t>
            </w:r>
            <w:r w:rsidR="02EA2CEC" w:rsidRPr="00BA10B0">
              <w:rPr>
                <w:rFonts w:ascii="Segoe UI" w:hAnsi="Segoe UI" w:cs="Segoe UI"/>
                <w:b/>
                <w:bCs/>
                <w:sz w:val="18"/>
                <w:szCs w:val="18"/>
              </w:rPr>
              <w:t>e</w:t>
            </w:r>
            <w:r w:rsidRPr="00BA10B0">
              <w:rPr>
                <w:rFonts w:ascii="Segoe UI" w:hAnsi="Segoe UI" w:cs="Segoe UI"/>
                <w:b/>
                <w:bCs/>
                <w:sz w:val="18"/>
                <w:szCs w:val="18"/>
              </w:rPr>
              <w:t xml:space="preserve">mployers’ </w:t>
            </w:r>
            <w:r w:rsidR="4C466934" w:rsidRPr="00BA10B0">
              <w:rPr>
                <w:rFonts w:ascii="Segoe UI" w:hAnsi="Segoe UI" w:cs="Segoe UI"/>
                <w:b/>
                <w:bCs/>
                <w:sz w:val="18"/>
                <w:szCs w:val="18"/>
              </w:rPr>
              <w:t>a</w:t>
            </w:r>
            <w:r w:rsidRPr="00BA10B0">
              <w:rPr>
                <w:rFonts w:ascii="Segoe UI" w:hAnsi="Segoe UI" w:cs="Segoe UI"/>
                <w:b/>
                <w:bCs/>
                <w:sz w:val="18"/>
                <w:szCs w:val="18"/>
              </w:rPr>
              <w:t>ssociations</w:t>
            </w:r>
          </w:p>
        </w:tc>
      </w:tr>
      <w:tr w:rsidR="007669E1" w:rsidRPr="007669E1" w14:paraId="33F82D2F" w14:textId="77777777" w:rsidTr="00D75D26">
        <w:tc>
          <w:tcPr>
            <w:tcW w:w="2425" w:type="dxa"/>
          </w:tcPr>
          <w:p w14:paraId="7ADEB528"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Description</w:t>
            </w:r>
          </w:p>
        </w:tc>
        <w:tc>
          <w:tcPr>
            <w:tcW w:w="7200" w:type="dxa"/>
            <w:gridSpan w:val="6"/>
          </w:tcPr>
          <w:p w14:paraId="4CD8CB32" w14:textId="156471F8"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Trade </w:t>
            </w:r>
            <w:r w:rsidR="00411708" w:rsidRPr="007669E1">
              <w:rPr>
                <w:rFonts w:ascii="Segoe UI" w:hAnsi="Segoe UI" w:cs="Segoe UI"/>
                <w:sz w:val="18"/>
                <w:szCs w:val="18"/>
              </w:rPr>
              <w:t xml:space="preserve">Unions </w:t>
            </w:r>
            <w:r w:rsidRPr="007669E1">
              <w:rPr>
                <w:rFonts w:ascii="Segoe UI" w:hAnsi="Segoe UI" w:cs="Segoe UI"/>
                <w:sz w:val="18"/>
                <w:szCs w:val="18"/>
              </w:rPr>
              <w:t>and Employers’ Associations shall be exempt from the income tax.</w:t>
            </w:r>
          </w:p>
        </w:tc>
      </w:tr>
      <w:tr w:rsidR="007669E1" w:rsidRPr="007669E1" w14:paraId="7E0E32A3" w14:textId="77777777" w:rsidTr="00D75D26">
        <w:tc>
          <w:tcPr>
            <w:tcW w:w="2425" w:type="dxa"/>
          </w:tcPr>
          <w:p w14:paraId="52EA2CC1"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Type of Tax Affected</w:t>
            </w:r>
          </w:p>
        </w:tc>
        <w:tc>
          <w:tcPr>
            <w:tcW w:w="7200" w:type="dxa"/>
            <w:gridSpan w:val="6"/>
          </w:tcPr>
          <w:p w14:paraId="7CC3C94B"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614424EF" w14:textId="77777777" w:rsidTr="00D75D26">
        <w:tc>
          <w:tcPr>
            <w:tcW w:w="2425" w:type="dxa"/>
          </w:tcPr>
          <w:p w14:paraId="01B982BE"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Beneficiaries</w:t>
            </w:r>
          </w:p>
        </w:tc>
        <w:tc>
          <w:tcPr>
            <w:tcW w:w="7200" w:type="dxa"/>
            <w:gridSpan w:val="6"/>
          </w:tcPr>
          <w:p w14:paraId="44D95950" w14:textId="4974F356"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Trade </w:t>
            </w:r>
            <w:r w:rsidR="00411708" w:rsidRPr="007669E1">
              <w:rPr>
                <w:rFonts w:ascii="Segoe UI" w:hAnsi="Segoe UI" w:cs="Segoe UI"/>
                <w:sz w:val="18"/>
                <w:szCs w:val="18"/>
              </w:rPr>
              <w:t xml:space="preserve">Unions </w:t>
            </w:r>
            <w:r w:rsidRPr="007669E1">
              <w:rPr>
                <w:rFonts w:ascii="Segoe UI" w:hAnsi="Segoe UI" w:cs="Segoe UI"/>
                <w:sz w:val="18"/>
                <w:szCs w:val="18"/>
              </w:rPr>
              <w:t>and Employers’ Associations</w:t>
            </w:r>
          </w:p>
        </w:tc>
      </w:tr>
      <w:tr w:rsidR="007669E1" w:rsidRPr="007669E1" w14:paraId="0DEB68B1" w14:textId="77777777" w:rsidTr="00D75D26">
        <w:tc>
          <w:tcPr>
            <w:tcW w:w="2425" w:type="dxa"/>
          </w:tcPr>
          <w:p w14:paraId="0E49D1A0"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Type of Measure</w:t>
            </w:r>
          </w:p>
        </w:tc>
        <w:tc>
          <w:tcPr>
            <w:tcW w:w="7200" w:type="dxa"/>
            <w:gridSpan w:val="6"/>
          </w:tcPr>
          <w:p w14:paraId="40FB90B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Income tax exemption</w:t>
            </w:r>
          </w:p>
        </w:tc>
      </w:tr>
      <w:tr w:rsidR="007669E1" w:rsidRPr="007669E1" w14:paraId="0E426FB8" w14:textId="77777777" w:rsidTr="00D75D26">
        <w:tc>
          <w:tcPr>
            <w:tcW w:w="2425" w:type="dxa"/>
          </w:tcPr>
          <w:p w14:paraId="1B1C0839"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Reason why this Measure is not part of the Benchmark Tax System</w:t>
            </w:r>
          </w:p>
        </w:tc>
        <w:tc>
          <w:tcPr>
            <w:tcW w:w="7200" w:type="dxa"/>
            <w:gridSpan w:val="6"/>
          </w:tcPr>
          <w:p w14:paraId="1D7435D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Since individual employees and employers can deduct 0.15% of their wage or remuneration fund / payroll for income tax purposes, the symmetry principle indicates that the party receiving the contribution should be taxed on that income. However, the non-taxation of these membership contributions in the hands of trade unions and employer associations makes this a tax expenditure.</w:t>
            </w:r>
          </w:p>
        </w:tc>
      </w:tr>
      <w:tr w:rsidR="007669E1" w:rsidRPr="007669E1" w14:paraId="16343831" w14:textId="77777777" w:rsidTr="00D75D26">
        <w:tc>
          <w:tcPr>
            <w:tcW w:w="2425" w:type="dxa"/>
          </w:tcPr>
          <w:p w14:paraId="25C4ADED"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Legal Reference</w:t>
            </w:r>
          </w:p>
        </w:tc>
        <w:tc>
          <w:tcPr>
            <w:tcW w:w="7200" w:type="dxa"/>
            <w:gridSpan w:val="6"/>
          </w:tcPr>
          <w:p w14:paraId="05512CE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53</w:t>
            </w:r>
            <w:r w:rsidRPr="007669E1">
              <w:rPr>
                <w:rFonts w:ascii="Segoe UI" w:hAnsi="Segoe UI" w:cs="Segoe UI"/>
                <w:sz w:val="18"/>
                <w:szCs w:val="18"/>
                <w:vertAlign w:val="superscript"/>
              </w:rPr>
              <w:t>3</w:t>
            </w:r>
            <w:r w:rsidRPr="007669E1">
              <w:rPr>
                <w:rFonts w:ascii="Segoe UI" w:hAnsi="Segoe UI" w:cs="Segoe UI"/>
                <w:sz w:val="18"/>
                <w:szCs w:val="18"/>
              </w:rPr>
              <w:t xml:space="preserve"> TC</w:t>
            </w:r>
          </w:p>
        </w:tc>
      </w:tr>
      <w:tr w:rsidR="00136C8F" w:rsidRPr="007669E1" w14:paraId="4F82CB78" w14:textId="77777777" w:rsidTr="00D75D26">
        <w:trPr>
          <w:trHeight w:val="182"/>
        </w:trPr>
        <w:tc>
          <w:tcPr>
            <w:tcW w:w="2425" w:type="dxa"/>
            <w:vMerge w:val="restart"/>
          </w:tcPr>
          <w:p w14:paraId="6C5C71F6"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Implementation, Objectives, and History</w:t>
            </w:r>
          </w:p>
        </w:tc>
        <w:tc>
          <w:tcPr>
            <w:tcW w:w="3462" w:type="dxa"/>
            <w:gridSpan w:val="3"/>
          </w:tcPr>
          <w:p w14:paraId="318CD31E"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028BFD58"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09E5228F" w14:textId="77777777" w:rsidTr="00D75D26">
        <w:trPr>
          <w:trHeight w:val="182"/>
        </w:trPr>
        <w:tc>
          <w:tcPr>
            <w:tcW w:w="2425" w:type="dxa"/>
            <w:vMerge/>
          </w:tcPr>
          <w:p w14:paraId="67C4A4C4" w14:textId="77777777" w:rsidR="007C2B84" w:rsidRPr="00BA10B0" w:rsidRDefault="007C2B84" w:rsidP="00E90BA7">
            <w:pPr>
              <w:spacing w:before="20" w:after="20" w:line="240" w:lineRule="auto"/>
              <w:jc w:val="both"/>
              <w:rPr>
                <w:rFonts w:ascii="Segoe UI" w:hAnsi="Segoe UI" w:cs="Segoe UI"/>
                <w:b/>
                <w:bCs/>
                <w:sz w:val="18"/>
                <w:szCs w:val="18"/>
              </w:rPr>
            </w:pPr>
          </w:p>
        </w:tc>
        <w:tc>
          <w:tcPr>
            <w:tcW w:w="3462" w:type="dxa"/>
            <w:gridSpan w:val="3"/>
          </w:tcPr>
          <w:p w14:paraId="7DF1F2CD" w14:textId="462AA5A2" w:rsidR="007C2B84" w:rsidRPr="007669E1" w:rsidRDefault="00D8414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r w:rsidR="007C2B84" w:rsidRPr="007669E1">
              <w:rPr>
                <w:rFonts w:ascii="Segoe UI" w:hAnsi="Segoe UI" w:cs="Segoe UI"/>
                <w:sz w:val="18"/>
                <w:szCs w:val="18"/>
              </w:rPr>
              <w:t>2007</w:t>
            </w:r>
          </w:p>
        </w:tc>
        <w:tc>
          <w:tcPr>
            <w:tcW w:w="3738" w:type="dxa"/>
            <w:gridSpan w:val="3"/>
          </w:tcPr>
          <w:p w14:paraId="45FCAF7D" w14:textId="0B66C135"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41313571" w14:textId="77777777" w:rsidTr="00D75D26">
        <w:tc>
          <w:tcPr>
            <w:tcW w:w="2425" w:type="dxa"/>
          </w:tcPr>
          <w:p w14:paraId="366B7AC0" w14:textId="77777777" w:rsidR="00FB087B" w:rsidRPr="00BA10B0" w:rsidRDefault="00FB087B"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Source of Data</w:t>
            </w:r>
          </w:p>
        </w:tc>
        <w:tc>
          <w:tcPr>
            <w:tcW w:w="7200" w:type="dxa"/>
            <w:gridSpan w:val="6"/>
          </w:tcPr>
          <w:p w14:paraId="5450F76F" w14:textId="4D2A62A6"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32FEEAC2" w14:textId="77777777" w:rsidTr="00D75D26">
        <w:tc>
          <w:tcPr>
            <w:tcW w:w="2425" w:type="dxa"/>
          </w:tcPr>
          <w:p w14:paraId="17DBFAE8" w14:textId="77777777" w:rsidR="00FB087B" w:rsidRPr="00BA10B0" w:rsidRDefault="00FB087B"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Estimation Method</w:t>
            </w:r>
          </w:p>
        </w:tc>
        <w:tc>
          <w:tcPr>
            <w:tcW w:w="7200" w:type="dxa"/>
            <w:gridSpan w:val="6"/>
          </w:tcPr>
          <w:p w14:paraId="6D355B5D" w14:textId="6E176141"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06AEB1B0" w14:textId="77777777" w:rsidTr="00D75D26">
        <w:tc>
          <w:tcPr>
            <w:tcW w:w="2425" w:type="dxa"/>
          </w:tcPr>
          <w:p w14:paraId="7880E492"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Number of Beneficiaries</w:t>
            </w:r>
          </w:p>
        </w:tc>
        <w:tc>
          <w:tcPr>
            <w:tcW w:w="7200" w:type="dxa"/>
            <w:gridSpan w:val="6"/>
          </w:tcPr>
          <w:p w14:paraId="03CDBBEA"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63DC183B" w14:textId="77777777" w:rsidTr="00D75D26">
        <w:tc>
          <w:tcPr>
            <w:tcW w:w="2425" w:type="dxa"/>
          </w:tcPr>
          <w:p w14:paraId="76E370D2"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Revenue Cost Reporting</w:t>
            </w:r>
          </w:p>
        </w:tc>
        <w:tc>
          <w:tcPr>
            <w:tcW w:w="7200" w:type="dxa"/>
            <w:gridSpan w:val="6"/>
          </w:tcPr>
          <w:p w14:paraId="0E6C17DC" w14:textId="4162BF14" w:rsidR="007C2B84" w:rsidRPr="007669E1" w:rsidRDefault="00BA65F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492191F4" w14:textId="77777777" w:rsidTr="00D75D26">
        <w:trPr>
          <w:trHeight w:val="91"/>
        </w:trPr>
        <w:tc>
          <w:tcPr>
            <w:tcW w:w="2425" w:type="dxa"/>
            <w:vMerge w:val="restart"/>
          </w:tcPr>
          <w:p w14:paraId="0D9A69F3"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77DF52EF"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2018</w:t>
            </w:r>
          </w:p>
        </w:tc>
        <w:tc>
          <w:tcPr>
            <w:tcW w:w="1385" w:type="dxa"/>
          </w:tcPr>
          <w:p w14:paraId="4D7D9BDA"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2019</w:t>
            </w:r>
          </w:p>
        </w:tc>
        <w:tc>
          <w:tcPr>
            <w:tcW w:w="1385" w:type="dxa"/>
            <w:gridSpan w:val="2"/>
          </w:tcPr>
          <w:p w14:paraId="66D0CBF1"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2020</w:t>
            </w:r>
          </w:p>
        </w:tc>
        <w:tc>
          <w:tcPr>
            <w:tcW w:w="1385" w:type="dxa"/>
          </w:tcPr>
          <w:p w14:paraId="732CBCE8" w14:textId="77777777" w:rsidR="007C2B84" w:rsidRPr="00BA10B0" w:rsidRDefault="007C2B84"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2021</w:t>
            </w:r>
          </w:p>
        </w:tc>
        <w:tc>
          <w:tcPr>
            <w:tcW w:w="1660" w:type="dxa"/>
          </w:tcPr>
          <w:p w14:paraId="165800C0" w14:textId="2E90C5E4" w:rsidR="007C2B84" w:rsidRPr="00BA10B0" w:rsidRDefault="000C00AF" w:rsidP="00E90BA7">
            <w:pPr>
              <w:spacing w:before="20" w:after="20" w:line="240" w:lineRule="auto"/>
              <w:jc w:val="both"/>
              <w:rPr>
                <w:rFonts w:ascii="Segoe UI" w:hAnsi="Segoe UI" w:cs="Segoe UI"/>
                <w:b/>
                <w:bCs/>
                <w:sz w:val="18"/>
                <w:szCs w:val="18"/>
              </w:rPr>
            </w:pPr>
            <w:r w:rsidRPr="00BA10B0">
              <w:rPr>
                <w:rFonts w:ascii="Segoe UI" w:hAnsi="Segoe UI" w:cs="Segoe UI"/>
                <w:b/>
                <w:bCs/>
                <w:sz w:val="18"/>
                <w:szCs w:val="18"/>
              </w:rPr>
              <w:t>2022</w:t>
            </w:r>
          </w:p>
        </w:tc>
      </w:tr>
      <w:tr w:rsidR="007669E1" w:rsidRPr="007669E1" w14:paraId="574CEDC9" w14:textId="77777777" w:rsidTr="00BD2375">
        <w:trPr>
          <w:trHeight w:val="91"/>
        </w:trPr>
        <w:tc>
          <w:tcPr>
            <w:tcW w:w="2425" w:type="dxa"/>
            <w:vMerge/>
          </w:tcPr>
          <w:p w14:paraId="27E90D11"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32A70D55" w14:textId="5FE3D29C" w:rsidR="007C2B84" w:rsidRPr="007669E1" w:rsidRDefault="001664E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964.2</w:t>
            </w:r>
          </w:p>
        </w:tc>
        <w:tc>
          <w:tcPr>
            <w:tcW w:w="1385" w:type="dxa"/>
            <w:shd w:val="clear" w:color="auto" w:fill="D9D9D9" w:themeFill="background1" w:themeFillShade="D9"/>
            <w:vAlign w:val="bottom"/>
          </w:tcPr>
          <w:p w14:paraId="4DB74CA5" w14:textId="421382B6" w:rsidR="007C2B84" w:rsidRPr="007669E1" w:rsidRDefault="001664EE"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965.6</w:t>
            </w:r>
          </w:p>
        </w:tc>
        <w:tc>
          <w:tcPr>
            <w:tcW w:w="1385" w:type="dxa"/>
            <w:gridSpan w:val="2"/>
            <w:shd w:val="clear" w:color="auto" w:fill="D9D9D9" w:themeFill="background1" w:themeFillShade="D9"/>
            <w:vAlign w:val="bottom"/>
          </w:tcPr>
          <w:p w14:paraId="0C043CD2" w14:textId="018A6A5F" w:rsidR="007C2B84" w:rsidRPr="007669E1" w:rsidRDefault="001664EE"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922.0</w:t>
            </w:r>
          </w:p>
        </w:tc>
        <w:tc>
          <w:tcPr>
            <w:tcW w:w="1385" w:type="dxa"/>
            <w:shd w:val="clear" w:color="auto" w:fill="D9D9D9" w:themeFill="background1" w:themeFillShade="D9"/>
            <w:vAlign w:val="bottom"/>
          </w:tcPr>
          <w:p w14:paraId="199E06D4" w14:textId="361F615B" w:rsidR="007C2B84" w:rsidRPr="007669E1" w:rsidRDefault="001664EE"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1,065.9</w:t>
            </w:r>
          </w:p>
        </w:tc>
        <w:tc>
          <w:tcPr>
            <w:tcW w:w="1660" w:type="dxa"/>
            <w:shd w:val="clear" w:color="auto" w:fill="D9D9D9" w:themeFill="background1" w:themeFillShade="D9"/>
            <w:vAlign w:val="bottom"/>
          </w:tcPr>
          <w:p w14:paraId="5E78B1E1" w14:textId="6CE6A54B" w:rsidR="007C2B84" w:rsidRPr="007669E1" w:rsidRDefault="001664EE"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1,182.3</w:t>
            </w:r>
          </w:p>
        </w:tc>
      </w:tr>
    </w:tbl>
    <w:p w14:paraId="02E2CB72" w14:textId="6D211F2D" w:rsidR="00D57771" w:rsidRPr="007669E1" w:rsidRDefault="00D57771"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3D4B2B2F"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2121" w14:paraId="1A10CDA8" w14:textId="77777777" w:rsidTr="00D75D26">
        <w:tc>
          <w:tcPr>
            <w:tcW w:w="9625" w:type="dxa"/>
            <w:gridSpan w:val="7"/>
            <w:shd w:val="clear" w:color="auto" w:fill="D9D9D9" w:themeFill="background1" w:themeFillShade="D9"/>
          </w:tcPr>
          <w:p w14:paraId="07C48AE3" w14:textId="0266BCF3"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10. Allowance for encouraging businesses to grow their payroll</w:t>
            </w:r>
          </w:p>
        </w:tc>
      </w:tr>
      <w:tr w:rsidR="007669E1" w:rsidRPr="007669E1" w14:paraId="5385640D" w14:textId="77777777" w:rsidTr="00D75D26">
        <w:tc>
          <w:tcPr>
            <w:tcW w:w="2425" w:type="dxa"/>
          </w:tcPr>
          <w:p w14:paraId="11AE596F"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Description</w:t>
            </w:r>
          </w:p>
        </w:tc>
        <w:tc>
          <w:tcPr>
            <w:tcW w:w="7200" w:type="dxa"/>
            <w:gridSpan w:val="6"/>
          </w:tcPr>
          <w:p w14:paraId="68A9C207" w14:textId="2AB5EDB2"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Deduction of amount calculated by multiplying the average annual salary at country level from the tax period by the increase in the average number of employees in the tax year compared to the previous year. The amount of the deduction cannot exceed the taxable income</w:t>
            </w:r>
            <w:r w:rsidR="00635B01" w:rsidRPr="007669E1">
              <w:rPr>
                <w:rFonts w:ascii="Segoe UI" w:hAnsi="Segoe UI" w:cs="Segoe UI"/>
                <w:sz w:val="18"/>
                <w:szCs w:val="18"/>
              </w:rPr>
              <w:t>.</w:t>
            </w:r>
          </w:p>
        </w:tc>
      </w:tr>
      <w:tr w:rsidR="007669E1" w:rsidRPr="007669E1" w14:paraId="55760773" w14:textId="77777777" w:rsidTr="00D75D26">
        <w:tc>
          <w:tcPr>
            <w:tcW w:w="2425" w:type="dxa"/>
          </w:tcPr>
          <w:p w14:paraId="3F5C3AF0"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Type of Tax Affected</w:t>
            </w:r>
          </w:p>
        </w:tc>
        <w:tc>
          <w:tcPr>
            <w:tcW w:w="7200" w:type="dxa"/>
            <w:gridSpan w:val="6"/>
          </w:tcPr>
          <w:p w14:paraId="504DD876" w14:textId="11924F2A"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6C0BD962" w14:textId="77777777" w:rsidTr="00D75D26">
        <w:tc>
          <w:tcPr>
            <w:tcW w:w="2425" w:type="dxa"/>
          </w:tcPr>
          <w:p w14:paraId="2C08A5CA"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Beneficiaries</w:t>
            </w:r>
          </w:p>
        </w:tc>
        <w:tc>
          <w:tcPr>
            <w:tcW w:w="7200" w:type="dxa"/>
            <w:gridSpan w:val="6"/>
          </w:tcPr>
          <w:p w14:paraId="62CCF625" w14:textId="2D50FB08" w:rsidR="007C2B84" w:rsidRPr="007669E1" w:rsidRDefault="008D502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Legal entities</w:t>
            </w:r>
          </w:p>
        </w:tc>
      </w:tr>
      <w:tr w:rsidR="007669E1" w:rsidRPr="007669E1" w14:paraId="444397B1" w14:textId="77777777" w:rsidTr="00D75D26">
        <w:tc>
          <w:tcPr>
            <w:tcW w:w="2425" w:type="dxa"/>
          </w:tcPr>
          <w:p w14:paraId="1D9F6CAE"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Type of Measure</w:t>
            </w:r>
          </w:p>
        </w:tc>
        <w:tc>
          <w:tcPr>
            <w:tcW w:w="7200" w:type="dxa"/>
            <w:gridSpan w:val="6"/>
          </w:tcPr>
          <w:p w14:paraId="08190E3B" w14:textId="3BB61642" w:rsidR="007C2B84" w:rsidRPr="007669E1" w:rsidRDefault="008D502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Reduction of taxable income</w:t>
            </w:r>
          </w:p>
        </w:tc>
      </w:tr>
      <w:tr w:rsidR="007669E1" w:rsidRPr="007669E1" w14:paraId="7795DF5C" w14:textId="77777777" w:rsidTr="00D75D26">
        <w:tc>
          <w:tcPr>
            <w:tcW w:w="2425" w:type="dxa"/>
          </w:tcPr>
          <w:p w14:paraId="701F4C39"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Reason why this Measure is not part of the Benchmark Tax System</w:t>
            </w:r>
          </w:p>
        </w:tc>
        <w:tc>
          <w:tcPr>
            <w:tcW w:w="7200" w:type="dxa"/>
            <w:gridSpan w:val="6"/>
          </w:tcPr>
          <w:p w14:paraId="7BBC0843"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6021A62B" w14:textId="77777777" w:rsidTr="00D75D26">
        <w:tc>
          <w:tcPr>
            <w:tcW w:w="2425" w:type="dxa"/>
          </w:tcPr>
          <w:p w14:paraId="4BA6B15A"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Legal Reference</w:t>
            </w:r>
          </w:p>
        </w:tc>
        <w:tc>
          <w:tcPr>
            <w:tcW w:w="7200" w:type="dxa"/>
            <w:gridSpan w:val="6"/>
          </w:tcPr>
          <w:p w14:paraId="54EE96F2" w14:textId="4C1FE8DA" w:rsidR="007C2B84" w:rsidRPr="007669E1" w:rsidRDefault="008D5022"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Law no.1164/1997, art.24 para (16)</w:t>
            </w:r>
          </w:p>
        </w:tc>
      </w:tr>
      <w:tr w:rsidR="00136C8F" w:rsidRPr="007669E1" w14:paraId="2B640EA2" w14:textId="77777777" w:rsidTr="00D75D26">
        <w:trPr>
          <w:trHeight w:val="182"/>
        </w:trPr>
        <w:tc>
          <w:tcPr>
            <w:tcW w:w="2425" w:type="dxa"/>
            <w:vMerge w:val="restart"/>
          </w:tcPr>
          <w:p w14:paraId="05F09AD0"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Implementation, Objectives, and History</w:t>
            </w:r>
          </w:p>
        </w:tc>
        <w:tc>
          <w:tcPr>
            <w:tcW w:w="3462" w:type="dxa"/>
            <w:gridSpan w:val="3"/>
          </w:tcPr>
          <w:p w14:paraId="7A6FD335"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2F069A8E"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04C32E13" w14:textId="77777777" w:rsidTr="00D75D26">
        <w:trPr>
          <w:trHeight w:val="182"/>
        </w:trPr>
        <w:tc>
          <w:tcPr>
            <w:tcW w:w="2425" w:type="dxa"/>
            <w:vMerge/>
          </w:tcPr>
          <w:p w14:paraId="3892168C" w14:textId="77777777" w:rsidR="007C2B84" w:rsidRPr="00B62121" w:rsidRDefault="007C2B84" w:rsidP="00E90BA7">
            <w:pPr>
              <w:spacing w:before="20" w:after="20" w:line="240" w:lineRule="auto"/>
              <w:jc w:val="both"/>
              <w:rPr>
                <w:rFonts w:ascii="Segoe UI" w:hAnsi="Segoe UI" w:cs="Segoe UI"/>
                <w:b/>
                <w:bCs/>
                <w:sz w:val="18"/>
                <w:szCs w:val="18"/>
              </w:rPr>
            </w:pPr>
          </w:p>
        </w:tc>
        <w:tc>
          <w:tcPr>
            <w:tcW w:w="3462" w:type="dxa"/>
            <w:gridSpan w:val="3"/>
          </w:tcPr>
          <w:p w14:paraId="5777CD74" w14:textId="3A6B66AF"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r w:rsidR="00097E71" w:rsidRPr="007669E1">
              <w:rPr>
                <w:rFonts w:ascii="Segoe UI" w:hAnsi="Segoe UI" w:cs="Segoe UI"/>
                <w:sz w:val="18"/>
                <w:szCs w:val="18"/>
              </w:rPr>
              <w:t>2005</w:t>
            </w:r>
          </w:p>
        </w:tc>
        <w:tc>
          <w:tcPr>
            <w:tcW w:w="3738" w:type="dxa"/>
            <w:gridSpan w:val="3"/>
          </w:tcPr>
          <w:p w14:paraId="2A11B7C1" w14:textId="000EC0AF"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32B92D45" w14:textId="77777777" w:rsidTr="00D75D26">
        <w:tc>
          <w:tcPr>
            <w:tcW w:w="2425" w:type="dxa"/>
          </w:tcPr>
          <w:p w14:paraId="4ECB42E7" w14:textId="77777777" w:rsidR="00FB087B" w:rsidRPr="00B62121" w:rsidRDefault="00FB087B"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Source of Data</w:t>
            </w:r>
          </w:p>
        </w:tc>
        <w:tc>
          <w:tcPr>
            <w:tcW w:w="7200" w:type="dxa"/>
            <w:gridSpan w:val="6"/>
          </w:tcPr>
          <w:p w14:paraId="66D27401" w14:textId="2011AC0B"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4E017926" w14:textId="77777777" w:rsidTr="00D75D26">
        <w:tc>
          <w:tcPr>
            <w:tcW w:w="2425" w:type="dxa"/>
          </w:tcPr>
          <w:p w14:paraId="050A80EB" w14:textId="77777777" w:rsidR="00FB087B" w:rsidRPr="00B62121" w:rsidRDefault="00FB087B"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Estimation Method</w:t>
            </w:r>
          </w:p>
        </w:tc>
        <w:tc>
          <w:tcPr>
            <w:tcW w:w="7200" w:type="dxa"/>
            <w:gridSpan w:val="6"/>
          </w:tcPr>
          <w:p w14:paraId="7F006A78" w14:textId="22EDC083" w:rsidR="00FB087B" w:rsidRPr="007669E1" w:rsidRDefault="00FB087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676B0DE7" w14:textId="77777777" w:rsidTr="00D75D26">
        <w:tc>
          <w:tcPr>
            <w:tcW w:w="2425" w:type="dxa"/>
          </w:tcPr>
          <w:p w14:paraId="299194E0"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Number of Beneficiaries</w:t>
            </w:r>
          </w:p>
        </w:tc>
        <w:tc>
          <w:tcPr>
            <w:tcW w:w="7200" w:type="dxa"/>
            <w:gridSpan w:val="6"/>
          </w:tcPr>
          <w:p w14:paraId="510928B2"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6489CA7F" w14:textId="77777777" w:rsidTr="00D75D26">
        <w:tc>
          <w:tcPr>
            <w:tcW w:w="2425" w:type="dxa"/>
          </w:tcPr>
          <w:p w14:paraId="11013D93"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Revenue Cost Reporting</w:t>
            </w:r>
          </w:p>
        </w:tc>
        <w:tc>
          <w:tcPr>
            <w:tcW w:w="7200" w:type="dxa"/>
            <w:gridSpan w:val="6"/>
          </w:tcPr>
          <w:p w14:paraId="77A3DE08" w14:textId="046CE2A6" w:rsidR="007C2B84" w:rsidRPr="007669E1" w:rsidRDefault="00BA65F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0050C893" w14:textId="77777777" w:rsidTr="00D75D26">
        <w:trPr>
          <w:trHeight w:val="91"/>
        </w:trPr>
        <w:tc>
          <w:tcPr>
            <w:tcW w:w="2425" w:type="dxa"/>
            <w:vMerge w:val="restart"/>
          </w:tcPr>
          <w:p w14:paraId="152A5211" w14:textId="77777777" w:rsidR="007C2B84" w:rsidRPr="00B62121" w:rsidRDefault="007C2B84" w:rsidP="00E90BA7">
            <w:pPr>
              <w:spacing w:before="20" w:after="20" w:line="240" w:lineRule="auto"/>
              <w:jc w:val="both"/>
              <w:rPr>
                <w:rFonts w:ascii="Segoe UI" w:hAnsi="Segoe UI" w:cs="Segoe UI"/>
                <w:b/>
                <w:bCs/>
                <w:sz w:val="18"/>
                <w:szCs w:val="18"/>
              </w:rPr>
            </w:pPr>
          </w:p>
        </w:tc>
        <w:tc>
          <w:tcPr>
            <w:tcW w:w="1385" w:type="dxa"/>
          </w:tcPr>
          <w:p w14:paraId="139B072F"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2018</w:t>
            </w:r>
          </w:p>
        </w:tc>
        <w:tc>
          <w:tcPr>
            <w:tcW w:w="1385" w:type="dxa"/>
          </w:tcPr>
          <w:p w14:paraId="3D6F419C"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2019</w:t>
            </w:r>
          </w:p>
        </w:tc>
        <w:tc>
          <w:tcPr>
            <w:tcW w:w="1385" w:type="dxa"/>
            <w:gridSpan w:val="2"/>
          </w:tcPr>
          <w:p w14:paraId="7034C59A"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2020</w:t>
            </w:r>
          </w:p>
        </w:tc>
        <w:tc>
          <w:tcPr>
            <w:tcW w:w="1385" w:type="dxa"/>
          </w:tcPr>
          <w:p w14:paraId="338D8D2C"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2021</w:t>
            </w:r>
          </w:p>
        </w:tc>
        <w:tc>
          <w:tcPr>
            <w:tcW w:w="1660" w:type="dxa"/>
          </w:tcPr>
          <w:p w14:paraId="586D9DEF" w14:textId="620591C2" w:rsidR="007C2B84" w:rsidRPr="00B62121" w:rsidRDefault="000C00AF"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2022</w:t>
            </w:r>
          </w:p>
        </w:tc>
      </w:tr>
      <w:tr w:rsidR="007669E1" w:rsidRPr="007669E1" w14:paraId="1DB75CBF" w14:textId="77777777" w:rsidTr="00BD2375">
        <w:trPr>
          <w:trHeight w:val="91"/>
        </w:trPr>
        <w:tc>
          <w:tcPr>
            <w:tcW w:w="2425" w:type="dxa"/>
            <w:vMerge/>
          </w:tcPr>
          <w:p w14:paraId="362B4E59"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366986D9" w14:textId="163E80BF" w:rsidR="007C2B84" w:rsidRPr="007669E1" w:rsidRDefault="001F2AD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2,108.4</w:t>
            </w:r>
          </w:p>
        </w:tc>
        <w:tc>
          <w:tcPr>
            <w:tcW w:w="1385" w:type="dxa"/>
            <w:shd w:val="clear" w:color="auto" w:fill="D9D9D9" w:themeFill="background1" w:themeFillShade="D9"/>
            <w:vAlign w:val="bottom"/>
          </w:tcPr>
          <w:p w14:paraId="096704E2" w14:textId="76DDDC4D" w:rsidR="007C2B84" w:rsidRPr="007669E1" w:rsidRDefault="001F2AD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2,111.6</w:t>
            </w:r>
          </w:p>
        </w:tc>
        <w:tc>
          <w:tcPr>
            <w:tcW w:w="1385" w:type="dxa"/>
            <w:gridSpan w:val="2"/>
            <w:shd w:val="clear" w:color="auto" w:fill="D9D9D9" w:themeFill="background1" w:themeFillShade="D9"/>
            <w:vAlign w:val="bottom"/>
          </w:tcPr>
          <w:p w14:paraId="5033019B" w14:textId="385969AA" w:rsidR="007C2B84" w:rsidRPr="007669E1" w:rsidRDefault="001F2AD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2,016.0</w:t>
            </w:r>
          </w:p>
        </w:tc>
        <w:tc>
          <w:tcPr>
            <w:tcW w:w="1385" w:type="dxa"/>
            <w:shd w:val="clear" w:color="auto" w:fill="D9D9D9" w:themeFill="background1" w:themeFillShade="D9"/>
            <w:vAlign w:val="bottom"/>
          </w:tcPr>
          <w:p w14:paraId="4FD1774B" w14:textId="5937639E" w:rsidR="007C2B84" w:rsidRPr="007669E1" w:rsidRDefault="001F2AD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2,338.0</w:t>
            </w:r>
          </w:p>
        </w:tc>
        <w:tc>
          <w:tcPr>
            <w:tcW w:w="1660" w:type="dxa"/>
            <w:shd w:val="clear" w:color="auto" w:fill="D9D9D9" w:themeFill="background1" w:themeFillShade="D9"/>
            <w:vAlign w:val="bottom"/>
          </w:tcPr>
          <w:p w14:paraId="31DA45DF" w14:textId="3CF57B77" w:rsidR="007C2B84" w:rsidRPr="007669E1" w:rsidRDefault="001F2AD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2,568.9</w:t>
            </w:r>
          </w:p>
        </w:tc>
      </w:tr>
    </w:tbl>
    <w:p w14:paraId="7AA88716" w14:textId="206C9251" w:rsidR="00460B84" w:rsidRPr="007669E1" w:rsidRDefault="00460B84"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lastRenderedPageBreak/>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1E6DD1F9"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2121" w14:paraId="46628FF9" w14:textId="77777777" w:rsidTr="00D75D26">
        <w:tc>
          <w:tcPr>
            <w:tcW w:w="9625" w:type="dxa"/>
            <w:gridSpan w:val="7"/>
            <w:shd w:val="clear" w:color="auto" w:fill="D9D9D9" w:themeFill="background1" w:themeFillShade="D9"/>
          </w:tcPr>
          <w:p w14:paraId="35A99915" w14:textId="7616E7E4"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 xml:space="preserve">11. </w:t>
            </w:r>
            <w:r w:rsidR="004C5BB2" w:rsidRPr="00B62121">
              <w:rPr>
                <w:rFonts w:ascii="Segoe UI" w:hAnsi="Segoe UI" w:cs="Segoe UI"/>
                <w:b/>
                <w:bCs/>
                <w:sz w:val="18"/>
                <w:szCs w:val="18"/>
              </w:rPr>
              <w:t>Allowance for</w:t>
            </w:r>
            <w:r w:rsidRPr="00B62121">
              <w:rPr>
                <w:rFonts w:ascii="Segoe UI" w:hAnsi="Segoe UI" w:cs="Segoe UI"/>
                <w:b/>
                <w:bCs/>
                <w:sz w:val="18"/>
                <w:szCs w:val="18"/>
              </w:rPr>
              <w:t xml:space="preserve"> charitable and sponsorship donations</w:t>
            </w:r>
          </w:p>
        </w:tc>
      </w:tr>
      <w:tr w:rsidR="007669E1" w:rsidRPr="007669E1" w14:paraId="731D15C6" w14:textId="77777777" w:rsidTr="00D75D26">
        <w:tc>
          <w:tcPr>
            <w:tcW w:w="2425" w:type="dxa"/>
          </w:tcPr>
          <w:p w14:paraId="4E3A1906"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Description</w:t>
            </w:r>
          </w:p>
        </w:tc>
        <w:tc>
          <w:tcPr>
            <w:tcW w:w="7200" w:type="dxa"/>
            <w:gridSpan w:val="6"/>
          </w:tcPr>
          <w:p w14:paraId="25DEE5A8" w14:textId="0E719312"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color w:val="000000"/>
                <w:sz w:val="18"/>
                <w:szCs w:val="18"/>
              </w:rPr>
              <w:t xml:space="preserve">Any resident business is entitled to deduct any donations made during the tax period for philanthropic or sponsorship purposes, but not more than 5% of the taxable income.  Only donations made for philanthropic or sponsorship purposes in favor of public authorities and public institutions specified in Article 51, of non-commercial organizations specified in Article 52 (1), may be deducted, in accordance with paragraph (1) of this article, as well as in favor of family-type orphanages.  Donations for philanthropic or sponsorship purposes will be deducted only if confirmed in the manner established by the Government. </w:t>
            </w:r>
            <w:r w:rsidRPr="007669E1">
              <w:rPr>
                <w:rFonts w:ascii="Segoe UI" w:hAnsi="Segoe UI" w:cs="Segoe UI"/>
                <w:sz w:val="18"/>
                <w:szCs w:val="18"/>
              </w:rPr>
              <w:t>Donations to non-profits organizations are deductible up to 5 percent of the taxable income. The granted allowance is non-structural</w:t>
            </w:r>
          </w:p>
        </w:tc>
      </w:tr>
      <w:tr w:rsidR="007669E1" w:rsidRPr="007669E1" w14:paraId="0D92DE92" w14:textId="77777777" w:rsidTr="00D75D26">
        <w:tc>
          <w:tcPr>
            <w:tcW w:w="2425" w:type="dxa"/>
          </w:tcPr>
          <w:p w14:paraId="3DD95287"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Type of Tax Affected</w:t>
            </w:r>
          </w:p>
        </w:tc>
        <w:tc>
          <w:tcPr>
            <w:tcW w:w="7200" w:type="dxa"/>
            <w:gridSpan w:val="6"/>
          </w:tcPr>
          <w:p w14:paraId="553FD9C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26ACFE1E" w14:textId="77777777" w:rsidTr="00D75D26">
        <w:tc>
          <w:tcPr>
            <w:tcW w:w="2425" w:type="dxa"/>
          </w:tcPr>
          <w:p w14:paraId="567145C1"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Beneficiaries</w:t>
            </w:r>
          </w:p>
        </w:tc>
        <w:tc>
          <w:tcPr>
            <w:tcW w:w="7200" w:type="dxa"/>
            <w:gridSpan w:val="6"/>
          </w:tcPr>
          <w:p w14:paraId="528DD83A" w14:textId="3B755A69" w:rsidR="007C2B84" w:rsidRPr="007669E1" w:rsidRDefault="00580D5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Doners to charitable causes, </w:t>
            </w:r>
            <w:r w:rsidR="00725366" w:rsidRPr="007669E1">
              <w:rPr>
                <w:rFonts w:ascii="Segoe UI" w:hAnsi="Segoe UI" w:cs="Segoe UI"/>
                <w:sz w:val="18"/>
                <w:szCs w:val="18"/>
              </w:rPr>
              <w:t>sponsorships,</w:t>
            </w:r>
            <w:r w:rsidRPr="007669E1">
              <w:rPr>
                <w:rFonts w:ascii="Segoe UI" w:hAnsi="Segoe UI" w:cs="Segoe UI"/>
                <w:sz w:val="18"/>
                <w:szCs w:val="18"/>
              </w:rPr>
              <w:t xml:space="preserve"> and charitable donees.</w:t>
            </w:r>
          </w:p>
        </w:tc>
      </w:tr>
      <w:tr w:rsidR="007669E1" w:rsidRPr="007669E1" w14:paraId="40CB452D" w14:textId="77777777" w:rsidTr="00D75D26">
        <w:tc>
          <w:tcPr>
            <w:tcW w:w="2425" w:type="dxa"/>
          </w:tcPr>
          <w:p w14:paraId="559D7E98"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Type of Measure</w:t>
            </w:r>
          </w:p>
        </w:tc>
        <w:tc>
          <w:tcPr>
            <w:tcW w:w="7200" w:type="dxa"/>
            <w:gridSpan w:val="6"/>
          </w:tcPr>
          <w:p w14:paraId="160E61D1" w14:textId="0FAD42D6"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Allowance</w:t>
            </w:r>
          </w:p>
        </w:tc>
      </w:tr>
      <w:tr w:rsidR="007669E1" w:rsidRPr="007669E1" w14:paraId="6EF2971D" w14:textId="77777777" w:rsidTr="00D75D26">
        <w:tc>
          <w:tcPr>
            <w:tcW w:w="2425" w:type="dxa"/>
          </w:tcPr>
          <w:p w14:paraId="5129964E"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Reason why this Measure is not part of the Benchmark Tax System</w:t>
            </w:r>
          </w:p>
        </w:tc>
        <w:tc>
          <w:tcPr>
            <w:tcW w:w="7200" w:type="dxa"/>
            <w:gridSpan w:val="6"/>
          </w:tcPr>
          <w:p w14:paraId="437808B3"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 order to support public benefit outreach by non-governmental organizations governments allow their funding through tax-preferential treatment of contributions and/or donations. The donor (a business) can deduct these transfers up to a capped amount even though they are not legitimate business expenses incurred in the production of taxable income.</w:t>
            </w:r>
          </w:p>
        </w:tc>
      </w:tr>
      <w:tr w:rsidR="007669E1" w:rsidRPr="007669E1" w14:paraId="0322FA19" w14:textId="77777777" w:rsidTr="00D75D26">
        <w:tc>
          <w:tcPr>
            <w:tcW w:w="2425" w:type="dxa"/>
          </w:tcPr>
          <w:p w14:paraId="6B9C1670"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Legal Reference</w:t>
            </w:r>
          </w:p>
        </w:tc>
        <w:tc>
          <w:tcPr>
            <w:tcW w:w="7200" w:type="dxa"/>
            <w:gridSpan w:val="6"/>
          </w:tcPr>
          <w:p w14:paraId="5E15BDE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36</w:t>
            </w:r>
          </w:p>
        </w:tc>
      </w:tr>
      <w:tr w:rsidR="00136C8F" w:rsidRPr="007669E1" w14:paraId="22B078FA" w14:textId="77777777" w:rsidTr="00D75D26">
        <w:trPr>
          <w:trHeight w:val="182"/>
        </w:trPr>
        <w:tc>
          <w:tcPr>
            <w:tcW w:w="2425" w:type="dxa"/>
            <w:vMerge w:val="restart"/>
          </w:tcPr>
          <w:p w14:paraId="6FE146E1"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Implementation, Objectives, and History</w:t>
            </w:r>
          </w:p>
        </w:tc>
        <w:tc>
          <w:tcPr>
            <w:tcW w:w="3462" w:type="dxa"/>
            <w:gridSpan w:val="3"/>
          </w:tcPr>
          <w:p w14:paraId="30690F9E"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4988DDC4"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239B1B09" w14:textId="77777777" w:rsidTr="00D75D26">
        <w:trPr>
          <w:trHeight w:val="182"/>
        </w:trPr>
        <w:tc>
          <w:tcPr>
            <w:tcW w:w="2425" w:type="dxa"/>
            <w:vMerge/>
          </w:tcPr>
          <w:p w14:paraId="671DE150" w14:textId="77777777" w:rsidR="007C2B84" w:rsidRPr="00B62121" w:rsidRDefault="007C2B84" w:rsidP="00E90BA7">
            <w:pPr>
              <w:spacing w:before="20" w:after="20" w:line="240" w:lineRule="auto"/>
              <w:jc w:val="both"/>
              <w:rPr>
                <w:rFonts w:ascii="Segoe UI" w:hAnsi="Segoe UI" w:cs="Segoe UI"/>
                <w:b/>
                <w:bCs/>
                <w:sz w:val="18"/>
                <w:szCs w:val="18"/>
              </w:rPr>
            </w:pPr>
          </w:p>
        </w:tc>
        <w:tc>
          <w:tcPr>
            <w:tcW w:w="3462" w:type="dxa"/>
            <w:gridSpan w:val="3"/>
          </w:tcPr>
          <w:p w14:paraId="0059B9BF" w14:textId="18E40874"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2012</w:t>
            </w:r>
          </w:p>
        </w:tc>
        <w:tc>
          <w:tcPr>
            <w:tcW w:w="3738" w:type="dxa"/>
            <w:gridSpan w:val="3"/>
          </w:tcPr>
          <w:p w14:paraId="0D377549" w14:textId="5102B66A"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1FAA7B5F" w14:textId="77777777" w:rsidTr="00D75D26">
        <w:tc>
          <w:tcPr>
            <w:tcW w:w="2425" w:type="dxa"/>
          </w:tcPr>
          <w:p w14:paraId="1068DBE4" w14:textId="77777777" w:rsidR="00655B30" w:rsidRPr="00B62121" w:rsidRDefault="00655B30"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Source of Data</w:t>
            </w:r>
          </w:p>
        </w:tc>
        <w:tc>
          <w:tcPr>
            <w:tcW w:w="7200" w:type="dxa"/>
            <w:gridSpan w:val="6"/>
          </w:tcPr>
          <w:p w14:paraId="21C863D4" w14:textId="42D768AF" w:rsidR="00655B30" w:rsidRPr="007669E1" w:rsidRDefault="00655B3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3335812A" w14:textId="77777777" w:rsidTr="00D75D26">
        <w:tc>
          <w:tcPr>
            <w:tcW w:w="2425" w:type="dxa"/>
          </w:tcPr>
          <w:p w14:paraId="6A4BA1F2" w14:textId="77777777" w:rsidR="00655B30" w:rsidRPr="00B62121" w:rsidRDefault="00655B30"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Estimation Method</w:t>
            </w:r>
          </w:p>
        </w:tc>
        <w:tc>
          <w:tcPr>
            <w:tcW w:w="7200" w:type="dxa"/>
            <w:gridSpan w:val="6"/>
          </w:tcPr>
          <w:p w14:paraId="7290AC79" w14:textId="6009432E" w:rsidR="00655B30" w:rsidRPr="007669E1" w:rsidRDefault="00655B3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05371BEF" w14:textId="77777777" w:rsidTr="00D75D26">
        <w:tc>
          <w:tcPr>
            <w:tcW w:w="2425" w:type="dxa"/>
          </w:tcPr>
          <w:p w14:paraId="26A8EE9E"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Number of Beneficiaries</w:t>
            </w:r>
          </w:p>
        </w:tc>
        <w:tc>
          <w:tcPr>
            <w:tcW w:w="7200" w:type="dxa"/>
            <w:gridSpan w:val="6"/>
          </w:tcPr>
          <w:p w14:paraId="39D6EC61"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037F4E7B" w14:textId="77777777" w:rsidTr="00D75D26">
        <w:tc>
          <w:tcPr>
            <w:tcW w:w="2425" w:type="dxa"/>
          </w:tcPr>
          <w:p w14:paraId="2E37595F"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Revenue Cost Reporting</w:t>
            </w:r>
          </w:p>
        </w:tc>
        <w:tc>
          <w:tcPr>
            <w:tcW w:w="7200" w:type="dxa"/>
            <w:gridSpan w:val="6"/>
          </w:tcPr>
          <w:p w14:paraId="1C6C582C" w14:textId="4744A389" w:rsidR="007C2B84" w:rsidRPr="007669E1" w:rsidRDefault="001F2AD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277EBC10" w14:textId="77777777" w:rsidTr="00D75D26">
        <w:trPr>
          <w:trHeight w:val="91"/>
        </w:trPr>
        <w:tc>
          <w:tcPr>
            <w:tcW w:w="2425" w:type="dxa"/>
            <w:vMerge w:val="restart"/>
          </w:tcPr>
          <w:p w14:paraId="45F26487"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7F077072"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2018</w:t>
            </w:r>
          </w:p>
        </w:tc>
        <w:tc>
          <w:tcPr>
            <w:tcW w:w="1385" w:type="dxa"/>
          </w:tcPr>
          <w:p w14:paraId="5B71CAB6"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2019</w:t>
            </w:r>
          </w:p>
        </w:tc>
        <w:tc>
          <w:tcPr>
            <w:tcW w:w="1385" w:type="dxa"/>
            <w:gridSpan w:val="2"/>
          </w:tcPr>
          <w:p w14:paraId="377A875A"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2020</w:t>
            </w:r>
          </w:p>
        </w:tc>
        <w:tc>
          <w:tcPr>
            <w:tcW w:w="1385" w:type="dxa"/>
          </w:tcPr>
          <w:p w14:paraId="72A75C5D" w14:textId="77777777" w:rsidR="007C2B84" w:rsidRPr="00B62121" w:rsidRDefault="007C2B84"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2021</w:t>
            </w:r>
          </w:p>
        </w:tc>
        <w:tc>
          <w:tcPr>
            <w:tcW w:w="1660" w:type="dxa"/>
          </w:tcPr>
          <w:p w14:paraId="198F3F5E" w14:textId="74855890" w:rsidR="007C2B84" w:rsidRPr="00B62121" w:rsidRDefault="000C00AF" w:rsidP="00E90BA7">
            <w:pPr>
              <w:spacing w:before="20" w:after="20" w:line="240" w:lineRule="auto"/>
              <w:jc w:val="both"/>
              <w:rPr>
                <w:rFonts w:ascii="Segoe UI" w:hAnsi="Segoe UI" w:cs="Segoe UI"/>
                <w:b/>
                <w:bCs/>
                <w:sz w:val="18"/>
                <w:szCs w:val="18"/>
              </w:rPr>
            </w:pPr>
            <w:r w:rsidRPr="00B62121">
              <w:rPr>
                <w:rFonts w:ascii="Segoe UI" w:hAnsi="Segoe UI" w:cs="Segoe UI"/>
                <w:b/>
                <w:bCs/>
                <w:sz w:val="18"/>
                <w:szCs w:val="18"/>
              </w:rPr>
              <w:t>2022</w:t>
            </w:r>
          </w:p>
        </w:tc>
      </w:tr>
      <w:tr w:rsidR="007669E1" w:rsidRPr="007669E1" w14:paraId="08A954FE" w14:textId="77777777" w:rsidTr="00BD2375">
        <w:trPr>
          <w:trHeight w:val="91"/>
        </w:trPr>
        <w:tc>
          <w:tcPr>
            <w:tcW w:w="2425" w:type="dxa"/>
            <w:vMerge/>
          </w:tcPr>
          <w:p w14:paraId="44016D28"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05C56BFB" w14:textId="308E609E" w:rsidR="007C2B84" w:rsidRPr="007669E1" w:rsidRDefault="00F27F6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11,224.6</w:t>
            </w:r>
          </w:p>
        </w:tc>
        <w:tc>
          <w:tcPr>
            <w:tcW w:w="1385" w:type="dxa"/>
            <w:shd w:val="clear" w:color="auto" w:fill="D9D9D9" w:themeFill="background1" w:themeFillShade="D9"/>
            <w:vAlign w:val="bottom"/>
          </w:tcPr>
          <w:p w14:paraId="01CC2480" w14:textId="611D65D0" w:rsidR="007C2B84" w:rsidRPr="007669E1" w:rsidRDefault="00F27F6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11,241.4</w:t>
            </w:r>
          </w:p>
        </w:tc>
        <w:tc>
          <w:tcPr>
            <w:tcW w:w="1385" w:type="dxa"/>
            <w:gridSpan w:val="2"/>
            <w:shd w:val="clear" w:color="auto" w:fill="D9D9D9" w:themeFill="background1" w:themeFillShade="D9"/>
            <w:vAlign w:val="bottom"/>
          </w:tcPr>
          <w:p w14:paraId="0FA0EB57" w14:textId="3FD7C34A" w:rsidR="007C2B84" w:rsidRPr="007669E1" w:rsidRDefault="00F27F6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10,794.3</w:t>
            </w:r>
          </w:p>
        </w:tc>
        <w:tc>
          <w:tcPr>
            <w:tcW w:w="1385" w:type="dxa"/>
            <w:shd w:val="clear" w:color="auto" w:fill="D9D9D9" w:themeFill="background1" w:themeFillShade="D9"/>
            <w:vAlign w:val="bottom"/>
          </w:tcPr>
          <w:p w14:paraId="2B711BDC" w14:textId="536BC8D8" w:rsidR="007C2B84" w:rsidRPr="007669E1" w:rsidRDefault="00F27F6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12,389.6</w:t>
            </w:r>
          </w:p>
        </w:tc>
        <w:tc>
          <w:tcPr>
            <w:tcW w:w="1660" w:type="dxa"/>
            <w:shd w:val="clear" w:color="auto" w:fill="D9D9D9" w:themeFill="background1" w:themeFillShade="D9"/>
            <w:vAlign w:val="bottom"/>
          </w:tcPr>
          <w:p w14:paraId="2D469AB1" w14:textId="6904F3F0" w:rsidR="007C2B84" w:rsidRPr="007669E1" w:rsidRDefault="00F27F6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13,808.2</w:t>
            </w:r>
          </w:p>
        </w:tc>
      </w:tr>
    </w:tbl>
    <w:p w14:paraId="747B4AE3" w14:textId="0036004D" w:rsidR="00460B84" w:rsidRPr="007669E1" w:rsidRDefault="00460B84"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632E3BD5"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CB2B47" w14:paraId="2AA7DE03" w14:textId="77777777" w:rsidTr="00D75D26">
        <w:trPr>
          <w:trHeight w:val="260"/>
        </w:trPr>
        <w:tc>
          <w:tcPr>
            <w:tcW w:w="9625" w:type="dxa"/>
            <w:gridSpan w:val="7"/>
            <w:shd w:val="clear" w:color="auto" w:fill="D9D9D9" w:themeFill="background1" w:themeFillShade="D9"/>
          </w:tcPr>
          <w:p w14:paraId="7FBA56FB" w14:textId="1A2D54AC"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 xml:space="preserve">12. </w:t>
            </w:r>
            <w:r w:rsidR="004C5BB2" w:rsidRPr="00CB2B47">
              <w:rPr>
                <w:rFonts w:ascii="Segoe UI" w:hAnsi="Segoe UI" w:cs="Segoe UI"/>
                <w:b/>
                <w:bCs/>
                <w:sz w:val="18"/>
                <w:szCs w:val="18"/>
              </w:rPr>
              <w:t>Reduced BIT rate of 7% for farmers</w:t>
            </w:r>
          </w:p>
        </w:tc>
      </w:tr>
      <w:tr w:rsidR="007669E1" w:rsidRPr="007669E1" w14:paraId="156EA76A" w14:textId="77777777" w:rsidTr="00D75D26">
        <w:tc>
          <w:tcPr>
            <w:tcW w:w="2425" w:type="dxa"/>
          </w:tcPr>
          <w:p w14:paraId="04FCD244"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Description</w:t>
            </w:r>
          </w:p>
        </w:tc>
        <w:tc>
          <w:tcPr>
            <w:tcW w:w="7200" w:type="dxa"/>
            <w:gridSpan w:val="6"/>
          </w:tcPr>
          <w:p w14:paraId="721B1E84"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tax burden on agriculture – non-structural relief measure – as other businesses such as individual entrepreneurs, family doctors and all legal persons pay BIT at 12% on taxable income</w:t>
            </w:r>
          </w:p>
        </w:tc>
      </w:tr>
      <w:tr w:rsidR="007669E1" w:rsidRPr="007669E1" w14:paraId="69D01A05" w14:textId="77777777" w:rsidTr="00D75D26">
        <w:tc>
          <w:tcPr>
            <w:tcW w:w="2425" w:type="dxa"/>
          </w:tcPr>
          <w:p w14:paraId="511951EB"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Type of Tax Affected</w:t>
            </w:r>
          </w:p>
        </w:tc>
        <w:tc>
          <w:tcPr>
            <w:tcW w:w="7200" w:type="dxa"/>
            <w:gridSpan w:val="6"/>
          </w:tcPr>
          <w:p w14:paraId="536877FD"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0F053F3C" w14:textId="77777777" w:rsidTr="00D75D26">
        <w:tc>
          <w:tcPr>
            <w:tcW w:w="2425" w:type="dxa"/>
          </w:tcPr>
          <w:p w14:paraId="6F832E58"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Beneficiaries</w:t>
            </w:r>
          </w:p>
        </w:tc>
        <w:tc>
          <w:tcPr>
            <w:tcW w:w="7200" w:type="dxa"/>
            <w:gridSpan w:val="6"/>
          </w:tcPr>
          <w:p w14:paraId="1695E1D4" w14:textId="2E8BE6D4" w:rsidR="007C2B84" w:rsidRPr="007669E1" w:rsidRDefault="00D2742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Farming households</w:t>
            </w:r>
          </w:p>
        </w:tc>
      </w:tr>
      <w:tr w:rsidR="007669E1" w:rsidRPr="007669E1" w14:paraId="5EAC716B" w14:textId="77777777" w:rsidTr="00D75D26">
        <w:tc>
          <w:tcPr>
            <w:tcW w:w="2425" w:type="dxa"/>
          </w:tcPr>
          <w:p w14:paraId="5757A3A2"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Type of Measure</w:t>
            </w:r>
          </w:p>
        </w:tc>
        <w:tc>
          <w:tcPr>
            <w:tcW w:w="7200" w:type="dxa"/>
            <w:gridSpan w:val="6"/>
          </w:tcPr>
          <w:p w14:paraId="582D589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rate relief—reduced rate of 7% vs standard BIT rate of 12%.</w:t>
            </w:r>
          </w:p>
        </w:tc>
      </w:tr>
      <w:tr w:rsidR="007669E1" w:rsidRPr="007669E1" w14:paraId="11CB35A2" w14:textId="77777777" w:rsidTr="00D75D26">
        <w:tc>
          <w:tcPr>
            <w:tcW w:w="2425" w:type="dxa"/>
          </w:tcPr>
          <w:p w14:paraId="18880A8A"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Reason why this Measure is not part of the Benchmark Tax System</w:t>
            </w:r>
          </w:p>
        </w:tc>
        <w:tc>
          <w:tcPr>
            <w:tcW w:w="7200" w:type="dxa"/>
            <w:gridSpan w:val="6"/>
          </w:tcPr>
          <w:p w14:paraId="3608FC7E"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Reduced tax burden on agriculture of 7% is a tax relief measure not available to other businesses such as individual entrepreneurs, family doctors, and all legal persons that pay BIT at 12% on taxable income. </w:t>
            </w:r>
          </w:p>
        </w:tc>
      </w:tr>
      <w:tr w:rsidR="007669E1" w:rsidRPr="007669E1" w14:paraId="49F41901" w14:textId="77777777" w:rsidTr="00D75D26">
        <w:tc>
          <w:tcPr>
            <w:tcW w:w="2425" w:type="dxa"/>
          </w:tcPr>
          <w:p w14:paraId="3BD542BF"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Legal Reference</w:t>
            </w:r>
          </w:p>
        </w:tc>
        <w:tc>
          <w:tcPr>
            <w:tcW w:w="7200" w:type="dxa"/>
            <w:gridSpan w:val="6"/>
          </w:tcPr>
          <w:p w14:paraId="7F6E6A61"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15</w:t>
            </w:r>
          </w:p>
        </w:tc>
      </w:tr>
      <w:tr w:rsidR="00136C8F" w:rsidRPr="007669E1" w14:paraId="1F8462BE" w14:textId="77777777" w:rsidTr="00D75D26">
        <w:trPr>
          <w:trHeight w:val="182"/>
        </w:trPr>
        <w:tc>
          <w:tcPr>
            <w:tcW w:w="2425" w:type="dxa"/>
            <w:vMerge w:val="restart"/>
          </w:tcPr>
          <w:p w14:paraId="34700851"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Implementation, Objectives, and History</w:t>
            </w:r>
          </w:p>
        </w:tc>
        <w:tc>
          <w:tcPr>
            <w:tcW w:w="3462" w:type="dxa"/>
            <w:gridSpan w:val="3"/>
          </w:tcPr>
          <w:p w14:paraId="48FBD3CE"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7FF97181"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3D24C7E6" w14:textId="77777777" w:rsidTr="00D75D26">
        <w:trPr>
          <w:trHeight w:val="182"/>
        </w:trPr>
        <w:tc>
          <w:tcPr>
            <w:tcW w:w="2425" w:type="dxa"/>
            <w:vMerge/>
          </w:tcPr>
          <w:p w14:paraId="34CCD6AF" w14:textId="77777777" w:rsidR="007C2B84" w:rsidRPr="00CB2B47" w:rsidRDefault="007C2B84" w:rsidP="00E90BA7">
            <w:pPr>
              <w:spacing w:before="20" w:after="20" w:line="240" w:lineRule="auto"/>
              <w:jc w:val="both"/>
              <w:rPr>
                <w:rFonts w:ascii="Segoe UI" w:hAnsi="Segoe UI" w:cs="Segoe UI"/>
                <w:b/>
                <w:bCs/>
                <w:sz w:val="18"/>
                <w:szCs w:val="18"/>
              </w:rPr>
            </w:pPr>
          </w:p>
        </w:tc>
        <w:tc>
          <w:tcPr>
            <w:tcW w:w="3462" w:type="dxa"/>
            <w:gridSpan w:val="3"/>
          </w:tcPr>
          <w:p w14:paraId="3154D23D"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1E123FC2" w14:textId="701CED3A"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2F1C8C1C" w14:textId="77777777" w:rsidTr="00D75D26">
        <w:tc>
          <w:tcPr>
            <w:tcW w:w="2425" w:type="dxa"/>
          </w:tcPr>
          <w:p w14:paraId="471594E7" w14:textId="77777777" w:rsidR="00655B30" w:rsidRPr="00CB2B47" w:rsidRDefault="00655B30"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Source of Data</w:t>
            </w:r>
          </w:p>
        </w:tc>
        <w:tc>
          <w:tcPr>
            <w:tcW w:w="7200" w:type="dxa"/>
            <w:gridSpan w:val="6"/>
          </w:tcPr>
          <w:p w14:paraId="21FE2D4C" w14:textId="277FF2E9" w:rsidR="00655B30" w:rsidRPr="007669E1" w:rsidRDefault="00655B3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and UNIF18 tax data (2018)</w:t>
            </w:r>
          </w:p>
        </w:tc>
      </w:tr>
      <w:tr w:rsidR="007669E1" w:rsidRPr="007669E1" w14:paraId="34EBC7F1" w14:textId="77777777" w:rsidTr="00D75D26">
        <w:tc>
          <w:tcPr>
            <w:tcW w:w="2425" w:type="dxa"/>
          </w:tcPr>
          <w:p w14:paraId="7537DD4B" w14:textId="77777777" w:rsidR="00655B30" w:rsidRPr="00CB2B47" w:rsidRDefault="00655B30"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Estimation Method</w:t>
            </w:r>
          </w:p>
        </w:tc>
        <w:tc>
          <w:tcPr>
            <w:tcW w:w="7200" w:type="dxa"/>
            <w:gridSpan w:val="6"/>
          </w:tcPr>
          <w:p w14:paraId="7B317F41" w14:textId="3DF3C7AC" w:rsidR="00655B30" w:rsidRPr="007669E1" w:rsidRDefault="00655B3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65FD4E41" w14:textId="77777777" w:rsidTr="00D75D26">
        <w:tc>
          <w:tcPr>
            <w:tcW w:w="2425" w:type="dxa"/>
          </w:tcPr>
          <w:p w14:paraId="54622E9C"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lastRenderedPageBreak/>
              <w:t>Number of Beneficiaries</w:t>
            </w:r>
          </w:p>
        </w:tc>
        <w:tc>
          <w:tcPr>
            <w:tcW w:w="7200" w:type="dxa"/>
            <w:gridSpan w:val="6"/>
          </w:tcPr>
          <w:p w14:paraId="55A2EA24"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7F97DC47" w14:textId="77777777" w:rsidTr="00D75D26">
        <w:tc>
          <w:tcPr>
            <w:tcW w:w="2425" w:type="dxa"/>
          </w:tcPr>
          <w:p w14:paraId="41AFF206" w14:textId="77777777" w:rsidR="007C2B84" w:rsidRPr="00CB2B47" w:rsidRDefault="007C2B84" w:rsidP="00E90BA7">
            <w:pPr>
              <w:keepNext/>
              <w:keepLines/>
              <w:spacing w:before="20" w:after="20" w:line="240" w:lineRule="auto"/>
              <w:jc w:val="both"/>
              <w:rPr>
                <w:rFonts w:ascii="Segoe UI" w:hAnsi="Segoe UI" w:cs="Segoe UI"/>
                <w:b/>
                <w:bCs/>
                <w:sz w:val="18"/>
                <w:szCs w:val="18"/>
              </w:rPr>
            </w:pPr>
            <w:r w:rsidRPr="00CB2B47">
              <w:rPr>
                <w:rFonts w:ascii="Segoe UI" w:hAnsi="Segoe UI" w:cs="Segoe UI"/>
                <w:b/>
                <w:bCs/>
                <w:sz w:val="18"/>
                <w:szCs w:val="18"/>
              </w:rPr>
              <w:t>Revenue Cost Reporting</w:t>
            </w:r>
          </w:p>
        </w:tc>
        <w:tc>
          <w:tcPr>
            <w:tcW w:w="7200" w:type="dxa"/>
            <w:gridSpan w:val="6"/>
          </w:tcPr>
          <w:p w14:paraId="15E4A4ED" w14:textId="0FCED73D" w:rsidR="007C2B84" w:rsidRPr="007669E1" w:rsidRDefault="00F27F64"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2F64F998" w14:textId="77777777" w:rsidTr="00D75D26">
        <w:trPr>
          <w:trHeight w:val="91"/>
        </w:trPr>
        <w:tc>
          <w:tcPr>
            <w:tcW w:w="2425" w:type="dxa"/>
            <w:vMerge w:val="restart"/>
          </w:tcPr>
          <w:p w14:paraId="7FEA9B3B" w14:textId="77777777" w:rsidR="007C2B84" w:rsidRPr="007669E1" w:rsidRDefault="007C2B84" w:rsidP="00E90BA7">
            <w:pPr>
              <w:keepNext/>
              <w:keepLines/>
              <w:spacing w:before="20" w:after="20" w:line="240" w:lineRule="auto"/>
              <w:jc w:val="both"/>
              <w:rPr>
                <w:rFonts w:ascii="Segoe UI" w:hAnsi="Segoe UI" w:cs="Segoe UI"/>
                <w:sz w:val="18"/>
                <w:szCs w:val="18"/>
              </w:rPr>
            </w:pPr>
          </w:p>
        </w:tc>
        <w:tc>
          <w:tcPr>
            <w:tcW w:w="1385" w:type="dxa"/>
          </w:tcPr>
          <w:p w14:paraId="665227FC" w14:textId="77777777" w:rsidR="007C2B84" w:rsidRPr="00CB2B47" w:rsidRDefault="007C2B84" w:rsidP="00E90BA7">
            <w:pPr>
              <w:keepNext/>
              <w:keepLines/>
              <w:spacing w:before="20" w:after="20" w:line="240" w:lineRule="auto"/>
              <w:jc w:val="both"/>
              <w:rPr>
                <w:rFonts w:ascii="Segoe UI" w:hAnsi="Segoe UI" w:cs="Segoe UI"/>
                <w:b/>
                <w:bCs/>
                <w:sz w:val="18"/>
                <w:szCs w:val="18"/>
              </w:rPr>
            </w:pPr>
            <w:r w:rsidRPr="00CB2B47">
              <w:rPr>
                <w:rFonts w:ascii="Segoe UI" w:hAnsi="Segoe UI" w:cs="Segoe UI"/>
                <w:b/>
                <w:bCs/>
                <w:sz w:val="18"/>
                <w:szCs w:val="18"/>
              </w:rPr>
              <w:t>2018</w:t>
            </w:r>
          </w:p>
        </w:tc>
        <w:tc>
          <w:tcPr>
            <w:tcW w:w="1385" w:type="dxa"/>
          </w:tcPr>
          <w:p w14:paraId="78D4CAA1" w14:textId="77777777" w:rsidR="007C2B84" w:rsidRPr="00CB2B47" w:rsidRDefault="007C2B84" w:rsidP="00E90BA7">
            <w:pPr>
              <w:keepNext/>
              <w:keepLines/>
              <w:spacing w:before="20" w:after="20" w:line="240" w:lineRule="auto"/>
              <w:jc w:val="both"/>
              <w:rPr>
                <w:rFonts w:ascii="Segoe UI" w:hAnsi="Segoe UI" w:cs="Segoe UI"/>
                <w:b/>
                <w:bCs/>
                <w:sz w:val="18"/>
                <w:szCs w:val="18"/>
              </w:rPr>
            </w:pPr>
            <w:r w:rsidRPr="00CB2B47">
              <w:rPr>
                <w:rFonts w:ascii="Segoe UI" w:hAnsi="Segoe UI" w:cs="Segoe UI"/>
                <w:b/>
                <w:bCs/>
                <w:sz w:val="18"/>
                <w:szCs w:val="18"/>
              </w:rPr>
              <w:t>2019</w:t>
            </w:r>
          </w:p>
        </w:tc>
        <w:tc>
          <w:tcPr>
            <w:tcW w:w="1385" w:type="dxa"/>
            <w:gridSpan w:val="2"/>
          </w:tcPr>
          <w:p w14:paraId="166E8BC3" w14:textId="77777777" w:rsidR="007C2B84" w:rsidRPr="00CB2B47" w:rsidRDefault="007C2B84" w:rsidP="00E90BA7">
            <w:pPr>
              <w:keepNext/>
              <w:keepLines/>
              <w:spacing w:before="20" w:after="20" w:line="240" w:lineRule="auto"/>
              <w:jc w:val="both"/>
              <w:rPr>
                <w:rFonts w:ascii="Segoe UI" w:hAnsi="Segoe UI" w:cs="Segoe UI"/>
                <w:b/>
                <w:bCs/>
                <w:sz w:val="18"/>
                <w:szCs w:val="18"/>
              </w:rPr>
            </w:pPr>
            <w:r w:rsidRPr="00CB2B47">
              <w:rPr>
                <w:rFonts w:ascii="Segoe UI" w:hAnsi="Segoe UI" w:cs="Segoe UI"/>
                <w:b/>
                <w:bCs/>
                <w:sz w:val="18"/>
                <w:szCs w:val="18"/>
              </w:rPr>
              <w:t>2020</w:t>
            </w:r>
          </w:p>
        </w:tc>
        <w:tc>
          <w:tcPr>
            <w:tcW w:w="1385" w:type="dxa"/>
          </w:tcPr>
          <w:p w14:paraId="29F46253" w14:textId="77777777" w:rsidR="007C2B84" w:rsidRPr="00CB2B47" w:rsidRDefault="007C2B84" w:rsidP="00E90BA7">
            <w:pPr>
              <w:keepNext/>
              <w:keepLines/>
              <w:spacing w:before="20" w:after="20" w:line="240" w:lineRule="auto"/>
              <w:jc w:val="both"/>
              <w:rPr>
                <w:rFonts w:ascii="Segoe UI" w:hAnsi="Segoe UI" w:cs="Segoe UI"/>
                <w:b/>
                <w:bCs/>
                <w:sz w:val="18"/>
                <w:szCs w:val="18"/>
              </w:rPr>
            </w:pPr>
            <w:r w:rsidRPr="00CB2B47">
              <w:rPr>
                <w:rFonts w:ascii="Segoe UI" w:hAnsi="Segoe UI" w:cs="Segoe UI"/>
                <w:b/>
                <w:bCs/>
                <w:sz w:val="18"/>
                <w:szCs w:val="18"/>
              </w:rPr>
              <w:t>2021</w:t>
            </w:r>
          </w:p>
        </w:tc>
        <w:tc>
          <w:tcPr>
            <w:tcW w:w="1660" w:type="dxa"/>
          </w:tcPr>
          <w:p w14:paraId="1F6CE39E" w14:textId="2D612C26" w:rsidR="007C2B84" w:rsidRPr="00CB2B47" w:rsidRDefault="000C00AF" w:rsidP="00E90BA7">
            <w:pPr>
              <w:keepNext/>
              <w:keepLines/>
              <w:spacing w:before="20" w:after="20" w:line="240" w:lineRule="auto"/>
              <w:jc w:val="both"/>
              <w:rPr>
                <w:rFonts w:ascii="Segoe UI" w:hAnsi="Segoe UI" w:cs="Segoe UI"/>
                <w:b/>
                <w:bCs/>
                <w:sz w:val="18"/>
                <w:szCs w:val="18"/>
              </w:rPr>
            </w:pPr>
            <w:r w:rsidRPr="00CB2B47">
              <w:rPr>
                <w:rFonts w:ascii="Segoe UI" w:hAnsi="Segoe UI" w:cs="Segoe UI"/>
                <w:b/>
                <w:bCs/>
                <w:sz w:val="18"/>
                <w:szCs w:val="18"/>
              </w:rPr>
              <w:t>2022</w:t>
            </w:r>
          </w:p>
        </w:tc>
      </w:tr>
      <w:tr w:rsidR="007669E1" w:rsidRPr="007669E1" w14:paraId="1D61FA2E" w14:textId="77777777" w:rsidTr="00BD2375">
        <w:trPr>
          <w:trHeight w:val="91"/>
        </w:trPr>
        <w:tc>
          <w:tcPr>
            <w:tcW w:w="2425" w:type="dxa"/>
            <w:vMerge/>
          </w:tcPr>
          <w:p w14:paraId="4FC803D9" w14:textId="77777777" w:rsidR="007C2B84" w:rsidRPr="007669E1" w:rsidRDefault="007C2B84" w:rsidP="00E90BA7">
            <w:pPr>
              <w:keepNext/>
              <w:keepLines/>
              <w:spacing w:before="20" w:after="20" w:line="240" w:lineRule="auto"/>
              <w:jc w:val="both"/>
              <w:rPr>
                <w:rFonts w:ascii="Segoe UI" w:hAnsi="Segoe UI" w:cs="Segoe UI"/>
                <w:sz w:val="18"/>
                <w:szCs w:val="18"/>
              </w:rPr>
            </w:pPr>
          </w:p>
        </w:tc>
        <w:tc>
          <w:tcPr>
            <w:tcW w:w="1385" w:type="dxa"/>
            <w:vAlign w:val="bottom"/>
          </w:tcPr>
          <w:p w14:paraId="47488E8C" w14:textId="7223D935" w:rsidR="007C2B84" w:rsidRPr="007669E1" w:rsidRDefault="006F3FBB" w:rsidP="00E90BA7">
            <w:pPr>
              <w:keepNext/>
              <w:keepLines/>
              <w:spacing w:before="20" w:after="20" w:line="240" w:lineRule="auto"/>
              <w:jc w:val="both"/>
              <w:rPr>
                <w:rFonts w:ascii="Segoe UI" w:hAnsi="Segoe UI" w:cs="Segoe UI"/>
                <w:sz w:val="18"/>
                <w:szCs w:val="18"/>
                <w:highlight w:val="yellow"/>
              </w:rPr>
            </w:pPr>
            <w:r w:rsidRPr="007669E1">
              <w:rPr>
                <w:rFonts w:ascii="Segoe UI" w:hAnsi="Segoe UI" w:cs="Segoe UI"/>
                <w:color w:val="000000"/>
                <w:sz w:val="18"/>
                <w:szCs w:val="18"/>
              </w:rPr>
              <w:t>20,386.0</w:t>
            </w:r>
          </w:p>
        </w:tc>
        <w:tc>
          <w:tcPr>
            <w:tcW w:w="1385" w:type="dxa"/>
            <w:shd w:val="clear" w:color="auto" w:fill="D9D9D9" w:themeFill="background1" w:themeFillShade="D9"/>
            <w:vAlign w:val="bottom"/>
          </w:tcPr>
          <w:p w14:paraId="45916E38" w14:textId="6450BA51" w:rsidR="007C2B84" w:rsidRPr="007669E1" w:rsidRDefault="006F3FBB" w:rsidP="00E90BA7">
            <w:pPr>
              <w:keepNext/>
              <w:keepLines/>
              <w:spacing w:before="20" w:after="20" w:line="240" w:lineRule="auto"/>
              <w:jc w:val="both"/>
              <w:rPr>
                <w:rFonts w:ascii="Segoe UI" w:hAnsi="Segoe UI" w:cs="Segoe UI"/>
                <w:i/>
                <w:sz w:val="18"/>
                <w:szCs w:val="18"/>
                <w:highlight w:val="yellow"/>
              </w:rPr>
            </w:pPr>
            <w:r w:rsidRPr="007669E1">
              <w:rPr>
                <w:rFonts w:ascii="Segoe UI" w:hAnsi="Segoe UI" w:cs="Segoe UI"/>
                <w:i/>
                <w:color w:val="000000"/>
                <w:sz w:val="18"/>
                <w:szCs w:val="18"/>
              </w:rPr>
              <w:t>20,416.5</w:t>
            </w:r>
          </w:p>
        </w:tc>
        <w:tc>
          <w:tcPr>
            <w:tcW w:w="1385" w:type="dxa"/>
            <w:gridSpan w:val="2"/>
            <w:shd w:val="clear" w:color="auto" w:fill="D9D9D9" w:themeFill="background1" w:themeFillShade="D9"/>
            <w:vAlign w:val="bottom"/>
          </w:tcPr>
          <w:p w14:paraId="773E409E" w14:textId="08089D35" w:rsidR="007C2B84" w:rsidRPr="007669E1" w:rsidRDefault="006F3FBB" w:rsidP="00E90BA7">
            <w:pPr>
              <w:keepNext/>
              <w:keepLines/>
              <w:spacing w:before="20" w:after="20" w:line="240" w:lineRule="auto"/>
              <w:jc w:val="both"/>
              <w:rPr>
                <w:rFonts w:ascii="Segoe UI" w:hAnsi="Segoe UI" w:cs="Segoe UI"/>
                <w:i/>
                <w:sz w:val="18"/>
                <w:szCs w:val="18"/>
                <w:highlight w:val="yellow"/>
              </w:rPr>
            </w:pPr>
            <w:r w:rsidRPr="007669E1">
              <w:rPr>
                <w:rFonts w:ascii="Segoe UI" w:hAnsi="Segoe UI" w:cs="Segoe UI"/>
                <w:i/>
                <w:color w:val="000000"/>
                <w:sz w:val="18"/>
                <w:szCs w:val="18"/>
              </w:rPr>
              <w:t>19,495.5</w:t>
            </w:r>
          </w:p>
        </w:tc>
        <w:tc>
          <w:tcPr>
            <w:tcW w:w="1385" w:type="dxa"/>
            <w:shd w:val="clear" w:color="auto" w:fill="D9D9D9" w:themeFill="background1" w:themeFillShade="D9"/>
            <w:vAlign w:val="bottom"/>
          </w:tcPr>
          <w:p w14:paraId="2A41EB48" w14:textId="4D839D52" w:rsidR="007C2B84" w:rsidRPr="007669E1" w:rsidRDefault="006F3FBB" w:rsidP="00E90BA7">
            <w:pPr>
              <w:keepNext/>
              <w:keepLines/>
              <w:spacing w:before="20" w:after="20" w:line="240" w:lineRule="auto"/>
              <w:jc w:val="both"/>
              <w:rPr>
                <w:rFonts w:ascii="Segoe UI" w:hAnsi="Segoe UI" w:cs="Segoe UI"/>
                <w:i/>
                <w:sz w:val="18"/>
                <w:szCs w:val="18"/>
                <w:highlight w:val="yellow"/>
              </w:rPr>
            </w:pPr>
            <w:r w:rsidRPr="007669E1">
              <w:rPr>
                <w:rFonts w:ascii="Segoe UI" w:hAnsi="Segoe UI" w:cs="Segoe UI"/>
                <w:i/>
                <w:color w:val="000000"/>
                <w:sz w:val="18"/>
                <w:szCs w:val="18"/>
              </w:rPr>
              <w:t>22,501.9</w:t>
            </w:r>
          </w:p>
        </w:tc>
        <w:tc>
          <w:tcPr>
            <w:tcW w:w="1660" w:type="dxa"/>
            <w:shd w:val="clear" w:color="auto" w:fill="D9D9D9" w:themeFill="background1" w:themeFillShade="D9"/>
            <w:vAlign w:val="bottom"/>
          </w:tcPr>
          <w:p w14:paraId="3DEBE2A0" w14:textId="4D372CED" w:rsidR="007C2B84" w:rsidRPr="007669E1" w:rsidRDefault="006F3FBB" w:rsidP="00E90BA7">
            <w:pPr>
              <w:keepNext/>
              <w:keepLines/>
              <w:spacing w:before="20" w:after="20" w:line="240" w:lineRule="auto"/>
              <w:jc w:val="both"/>
              <w:rPr>
                <w:rFonts w:ascii="Segoe UI" w:hAnsi="Segoe UI" w:cs="Segoe UI"/>
                <w:i/>
                <w:sz w:val="18"/>
                <w:szCs w:val="18"/>
                <w:highlight w:val="yellow"/>
              </w:rPr>
            </w:pPr>
            <w:r w:rsidRPr="007669E1">
              <w:rPr>
                <w:rFonts w:ascii="Segoe UI" w:hAnsi="Segoe UI" w:cs="Segoe UI"/>
                <w:i/>
                <w:color w:val="000000"/>
                <w:sz w:val="18"/>
                <w:szCs w:val="18"/>
              </w:rPr>
              <w:t>25,078.2</w:t>
            </w:r>
          </w:p>
        </w:tc>
      </w:tr>
    </w:tbl>
    <w:p w14:paraId="08F04889" w14:textId="32B63967" w:rsidR="00460B84" w:rsidRPr="007669E1" w:rsidRDefault="00460B84"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52C77952" w14:textId="4A551DAB"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CB2B47" w14:paraId="3B2BEA7A" w14:textId="77777777" w:rsidTr="00D75D26">
        <w:tc>
          <w:tcPr>
            <w:tcW w:w="9625" w:type="dxa"/>
            <w:gridSpan w:val="7"/>
            <w:shd w:val="clear" w:color="auto" w:fill="D9D9D9" w:themeFill="background1" w:themeFillShade="D9"/>
          </w:tcPr>
          <w:p w14:paraId="49862AFC" w14:textId="6799D8EA"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 xml:space="preserve">13. </w:t>
            </w:r>
            <w:r w:rsidR="005C0711" w:rsidRPr="00CB2B47">
              <w:rPr>
                <w:rFonts w:ascii="Segoe UI" w:hAnsi="Segoe UI" w:cs="Segoe UI"/>
                <w:b/>
                <w:bCs/>
                <w:sz w:val="18"/>
                <w:szCs w:val="18"/>
              </w:rPr>
              <w:t xml:space="preserve">Special </w:t>
            </w:r>
            <w:r w:rsidR="005F3F45" w:rsidRPr="00CB2B47">
              <w:rPr>
                <w:rFonts w:ascii="Segoe UI" w:hAnsi="Segoe UI" w:cs="Segoe UI"/>
                <w:b/>
                <w:bCs/>
                <w:sz w:val="18"/>
                <w:szCs w:val="18"/>
              </w:rPr>
              <w:t>tax regime for residents of IT parks</w:t>
            </w:r>
          </w:p>
        </w:tc>
      </w:tr>
      <w:tr w:rsidR="007669E1" w:rsidRPr="007669E1" w14:paraId="50E30622" w14:textId="77777777" w:rsidTr="00D75D26">
        <w:tc>
          <w:tcPr>
            <w:tcW w:w="2425" w:type="dxa"/>
          </w:tcPr>
          <w:p w14:paraId="1ECF1780"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Description</w:t>
            </w:r>
          </w:p>
        </w:tc>
        <w:tc>
          <w:tcPr>
            <w:tcW w:w="7200" w:type="dxa"/>
            <w:gridSpan w:val="6"/>
          </w:tcPr>
          <w:p w14:paraId="6F454E8A" w14:textId="4A74846B" w:rsidR="007C2B84" w:rsidRPr="007669E1" w:rsidRDefault="00CA6A03" w:rsidP="00E90BA7">
            <w:pPr>
              <w:keepNext/>
              <w:keepLines/>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For residents of IT park regime, tax liability is calculated as a single tax payment at a rate of 7 percent of turnover (to be not less than a minimum tax calculated as: 30 percent * average monthly salary in the economy * number of employees). 10 percent of the single unified tax payment substitutes </w:t>
            </w:r>
            <w:r w:rsidR="00683F02" w:rsidRPr="007669E1">
              <w:rPr>
                <w:rFonts w:ascii="Segoe UI" w:hAnsi="Segoe UI" w:cs="Segoe UI"/>
                <w:sz w:val="18"/>
                <w:szCs w:val="18"/>
              </w:rPr>
              <w:t xml:space="preserve">business </w:t>
            </w:r>
            <w:r w:rsidRPr="007669E1">
              <w:rPr>
                <w:rFonts w:ascii="Segoe UI" w:hAnsi="Segoe UI" w:cs="Segoe UI"/>
                <w:sz w:val="18"/>
                <w:szCs w:val="18"/>
              </w:rPr>
              <w:t>income tax. (See Box 1 for a detailed discussion of the IT Park regime).</w:t>
            </w:r>
          </w:p>
        </w:tc>
      </w:tr>
      <w:tr w:rsidR="007669E1" w:rsidRPr="007669E1" w14:paraId="1E4F700A" w14:textId="77777777" w:rsidTr="00D75D26">
        <w:tc>
          <w:tcPr>
            <w:tcW w:w="2425" w:type="dxa"/>
          </w:tcPr>
          <w:p w14:paraId="306F25E3"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Type of Tax Affected</w:t>
            </w:r>
          </w:p>
        </w:tc>
        <w:tc>
          <w:tcPr>
            <w:tcW w:w="7200" w:type="dxa"/>
            <w:gridSpan w:val="6"/>
          </w:tcPr>
          <w:p w14:paraId="330D3FA5" w14:textId="0809025C" w:rsidR="007C2B84" w:rsidRPr="007669E1" w:rsidRDefault="0004278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w:t>
            </w:r>
            <w:r w:rsidR="00EF1745" w:rsidRPr="007669E1">
              <w:rPr>
                <w:rFonts w:ascii="Segoe UI" w:hAnsi="Segoe UI" w:cs="Segoe UI"/>
                <w:sz w:val="18"/>
                <w:szCs w:val="18"/>
              </w:rPr>
              <w:t>IT</w:t>
            </w:r>
            <w:r w:rsidR="00FD5409" w:rsidRPr="007669E1">
              <w:rPr>
                <w:rFonts w:ascii="Segoe UI" w:hAnsi="Segoe UI" w:cs="Segoe UI"/>
                <w:sz w:val="18"/>
                <w:szCs w:val="18"/>
              </w:rPr>
              <w:t xml:space="preserve"> (among other taxes)</w:t>
            </w:r>
          </w:p>
        </w:tc>
      </w:tr>
      <w:tr w:rsidR="007669E1" w:rsidRPr="007669E1" w14:paraId="208A9B42" w14:textId="77777777" w:rsidTr="00D75D26">
        <w:tc>
          <w:tcPr>
            <w:tcW w:w="2425" w:type="dxa"/>
          </w:tcPr>
          <w:p w14:paraId="6889F3F7"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Beneficiaries</w:t>
            </w:r>
          </w:p>
        </w:tc>
        <w:tc>
          <w:tcPr>
            <w:tcW w:w="7200" w:type="dxa"/>
            <w:gridSpan w:val="6"/>
          </w:tcPr>
          <w:p w14:paraId="0F613DC0"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Residents of IT Parks</w:t>
            </w:r>
          </w:p>
        </w:tc>
      </w:tr>
      <w:tr w:rsidR="007669E1" w:rsidRPr="007669E1" w14:paraId="02B493E2" w14:textId="77777777" w:rsidTr="00D75D26">
        <w:tc>
          <w:tcPr>
            <w:tcW w:w="2425" w:type="dxa"/>
          </w:tcPr>
          <w:p w14:paraId="007308C6"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Type of Measure</w:t>
            </w:r>
          </w:p>
        </w:tc>
        <w:tc>
          <w:tcPr>
            <w:tcW w:w="7200" w:type="dxa"/>
            <w:gridSpan w:val="6"/>
          </w:tcPr>
          <w:p w14:paraId="58244694" w14:textId="144EDA34" w:rsidR="007C2B84" w:rsidRPr="007669E1" w:rsidRDefault="0005458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Special preferential tax regime</w:t>
            </w:r>
          </w:p>
        </w:tc>
      </w:tr>
      <w:tr w:rsidR="007669E1" w:rsidRPr="007669E1" w14:paraId="2ED991D2" w14:textId="77777777" w:rsidTr="00D75D26">
        <w:tc>
          <w:tcPr>
            <w:tcW w:w="2425" w:type="dxa"/>
          </w:tcPr>
          <w:p w14:paraId="6499E432"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Reason why this Measure is not part of the Benchmark Tax System</w:t>
            </w:r>
          </w:p>
        </w:tc>
        <w:tc>
          <w:tcPr>
            <w:tcW w:w="7200" w:type="dxa"/>
            <w:gridSpan w:val="6"/>
          </w:tcPr>
          <w:p w14:paraId="7ED43A9D" w14:textId="00D34708"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unified tax regime replaces most other taxes levied by national and subnational level government in Moldova on the IT sector, translating into a sizable tax burden reduction across affected taxes. </w:t>
            </w:r>
            <w:r w:rsidR="00054586" w:rsidRPr="007669E1">
              <w:rPr>
                <w:rFonts w:ascii="Segoe UI" w:hAnsi="Segoe UI" w:cs="Segoe UI"/>
                <w:sz w:val="18"/>
                <w:szCs w:val="18"/>
              </w:rPr>
              <w:t xml:space="preserve">This is a tax expenditure: the regime represents a departure from the statutory 12% standard </w:t>
            </w:r>
            <w:r w:rsidR="00116D1D" w:rsidRPr="007669E1">
              <w:rPr>
                <w:rFonts w:ascii="Segoe UI" w:hAnsi="Segoe UI" w:cs="Segoe UI"/>
                <w:sz w:val="18"/>
                <w:szCs w:val="18"/>
              </w:rPr>
              <w:t>C</w:t>
            </w:r>
            <w:r w:rsidR="00054586" w:rsidRPr="007669E1">
              <w:rPr>
                <w:rFonts w:ascii="Segoe UI" w:hAnsi="Segoe UI" w:cs="Segoe UI"/>
                <w:sz w:val="18"/>
                <w:szCs w:val="18"/>
              </w:rPr>
              <w:t>IT rate.</w:t>
            </w:r>
          </w:p>
        </w:tc>
      </w:tr>
      <w:tr w:rsidR="007669E1" w:rsidRPr="007669E1" w14:paraId="22E8DDDF" w14:textId="77777777" w:rsidTr="00D75D26">
        <w:tc>
          <w:tcPr>
            <w:tcW w:w="2425" w:type="dxa"/>
          </w:tcPr>
          <w:p w14:paraId="6BBBF7A2"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Legal Reference</w:t>
            </w:r>
          </w:p>
        </w:tc>
        <w:tc>
          <w:tcPr>
            <w:tcW w:w="7200" w:type="dxa"/>
            <w:gridSpan w:val="6"/>
          </w:tcPr>
          <w:p w14:paraId="2517F398" w14:textId="77777777"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Law no. 77 of 21.04.2016, Articles 367‐372</w:t>
            </w:r>
          </w:p>
        </w:tc>
      </w:tr>
      <w:tr w:rsidR="00136C8F" w:rsidRPr="007669E1" w14:paraId="41C561C3" w14:textId="77777777" w:rsidTr="00D75D26">
        <w:trPr>
          <w:trHeight w:val="182"/>
        </w:trPr>
        <w:tc>
          <w:tcPr>
            <w:tcW w:w="2425" w:type="dxa"/>
            <w:vMerge w:val="restart"/>
          </w:tcPr>
          <w:p w14:paraId="5A946AB5"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Implementation, Objectives, and History</w:t>
            </w:r>
          </w:p>
        </w:tc>
        <w:tc>
          <w:tcPr>
            <w:tcW w:w="3462" w:type="dxa"/>
            <w:gridSpan w:val="3"/>
          </w:tcPr>
          <w:p w14:paraId="0ACE9286"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31D7E051"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732E495A" w14:textId="77777777" w:rsidTr="00D75D26">
        <w:trPr>
          <w:trHeight w:val="182"/>
        </w:trPr>
        <w:tc>
          <w:tcPr>
            <w:tcW w:w="2425" w:type="dxa"/>
            <w:vMerge/>
          </w:tcPr>
          <w:p w14:paraId="4C44439D" w14:textId="77777777" w:rsidR="007C2B84" w:rsidRPr="00CB2B47" w:rsidRDefault="007C2B84" w:rsidP="00E90BA7">
            <w:pPr>
              <w:spacing w:before="20" w:after="20" w:line="240" w:lineRule="auto"/>
              <w:jc w:val="both"/>
              <w:rPr>
                <w:rFonts w:ascii="Segoe UI" w:hAnsi="Segoe UI" w:cs="Segoe UI"/>
                <w:b/>
                <w:bCs/>
                <w:sz w:val="18"/>
                <w:szCs w:val="18"/>
              </w:rPr>
            </w:pPr>
          </w:p>
        </w:tc>
        <w:tc>
          <w:tcPr>
            <w:tcW w:w="3462" w:type="dxa"/>
            <w:gridSpan w:val="3"/>
          </w:tcPr>
          <w:p w14:paraId="71E2CCB4"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38" w:type="dxa"/>
            <w:gridSpan w:val="3"/>
          </w:tcPr>
          <w:p w14:paraId="24D3FA19" w14:textId="20C5C70E"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75F01" w:rsidRPr="007669E1" w14:paraId="449B171D" w14:textId="77777777" w:rsidTr="00BD2375">
        <w:tc>
          <w:tcPr>
            <w:tcW w:w="2425" w:type="dxa"/>
          </w:tcPr>
          <w:p w14:paraId="51C0EB58" w14:textId="77777777" w:rsidR="0055651E" w:rsidRPr="00CB2B47" w:rsidRDefault="0055651E"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Source of Data</w:t>
            </w:r>
          </w:p>
        </w:tc>
        <w:tc>
          <w:tcPr>
            <w:tcW w:w="7200" w:type="dxa"/>
            <w:gridSpan w:val="6"/>
            <w:shd w:val="clear" w:color="auto" w:fill="auto"/>
          </w:tcPr>
          <w:p w14:paraId="71116D4D" w14:textId="3CF687C1"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IU17 tax data (2018)</w:t>
            </w:r>
            <w:r w:rsidR="0062031E" w:rsidRPr="007669E1">
              <w:rPr>
                <w:rFonts w:ascii="Segoe UI" w:hAnsi="Segoe UI" w:cs="Segoe UI"/>
                <w:sz w:val="18"/>
                <w:szCs w:val="18"/>
              </w:rPr>
              <w:t xml:space="preserve"> and</w:t>
            </w:r>
            <w:r w:rsidR="00B9475C" w:rsidRPr="007669E1">
              <w:rPr>
                <w:rFonts w:ascii="Segoe UI" w:hAnsi="Segoe UI" w:cs="Segoe UI"/>
                <w:sz w:val="18"/>
                <w:szCs w:val="18"/>
              </w:rPr>
              <w:t xml:space="preserve"> </w:t>
            </w:r>
            <w:r w:rsidR="00142F11" w:rsidRPr="007669E1">
              <w:rPr>
                <w:rFonts w:ascii="Segoe UI" w:hAnsi="Segoe UI" w:cs="Segoe UI"/>
                <w:sz w:val="18"/>
                <w:szCs w:val="18"/>
              </w:rPr>
              <w:t>Bureau van Dijk Orbis database</w:t>
            </w:r>
          </w:p>
        </w:tc>
      </w:tr>
      <w:tr w:rsidR="007669E1" w:rsidRPr="007669E1" w14:paraId="4455769D" w14:textId="77777777" w:rsidTr="00D75D26">
        <w:tc>
          <w:tcPr>
            <w:tcW w:w="2425" w:type="dxa"/>
          </w:tcPr>
          <w:p w14:paraId="0CD27BFF" w14:textId="77777777" w:rsidR="0055651E" w:rsidRPr="00CB2B47" w:rsidRDefault="0055651E"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Estimation Method</w:t>
            </w:r>
          </w:p>
        </w:tc>
        <w:tc>
          <w:tcPr>
            <w:tcW w:w="7200" w:type="dxa"/>
            <w:gridSpan w:val="6"/>
          </w:tcPr>
          <w:p w14:paraId="01EB8B8E" w14:textId="11FEBDAB" w:rsidR="0055651E" w:rsidRPr="007669E1" w:rsidRDefault="005A7EC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Microsimulation </w:t>
            </w:r>
            <w:r w:rsidR="00B77287" w:rsidRPr="007669E1">
              <w:rPr>
                <w:rFonts w:ascii="Segoe UI" w:hAnsi="Segoe UI" w:cs="Segoe UI"/>
                <w:sz w:val="18"/>
                <w:szCs w:val="18"/>
              </w:rPr>
              <w:t>m</w:t>
            </w:r>
            <w:r w:rsidRPr="007669E1">
              <w:rPr>
                <w:rFonts w:ascii="Segoe UI" w:hAnsi="Segoe UI" w:cs="Segoe UI"/>
                <w:sz w:val="18"/>
                <w:szCs w:val="18"/>
              </w:rPr>
              <w:t>odel</w:t>
            </w:r>
          </w:p>
        </w:tc>
      </w:tr>
      <w:tr w:rsidR="007669E1" w:rsidRPr="007669E1" w14:paraId="3A212CE2" w14:textId="77777777" w:rsidTr="00D75D26">
        <w:tc>
          <w:tcPr>
            <w:tcW w:w="2425" w:type="dxa"/>
          </w:tcPr>
          <w:p w14:paraId="1DB44F70"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Number of Beneficiaries</w:t>
            </w:r>
          </w:p>
        </w:tc>
        <w:tc>
          <w:tcPr>
            <w:tcW w:w="7200" w:type="dxa"/>
            <w:gridSpan w:val="6"/>
          </w:tcPr>
          <w:p w14:paraId="29584378" w14:textId="491EE8CD" w:rsidR="007C2B84" w:rsidRPr="007669E1" w:rsidRDefault="00E202B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Residents in IT Parks: </w:t>
            </w:r>
            <w:r w:rsidR="00C24892" w:rsidRPr="007669E1">
              <w:rPr>
                <w:rFonts w:ascii="Segoe UI" w:hAnsi="Segoe UI" w:cs="Segoe UI"/>
                <w:sz w:val="18"/>
                <w:szCs w:val="18"/>
              </w:rPr>
              <w:t xml:space="preserve">338 (2018), </w:t>
            </w:r>
            <w:r w:rsidR="003E245D" w:rsidRPr="007669E1">
              <w:rPr>
                <w:rFonts w:ascii="Segoe UI" w:hAnsi="Segoe UI" w:cs="Segoe UI"/>
                <w:sz w:val="18"/>
                <w:szCs w:val="18"/>
              </w:rPr>
              <w:t xml:space="preserve">525 (2019), </w:t>
            </w:r>
            <w:r w:rsidR="00E64B37" w:rsidRPr="007669E1">
              <w:rPr>
                <w:rFonts w:ascii="Segoe UI" w:hAnsi="Segoe UI" w:cs="Segoe UI"/>
                <w:sz w:val="18"/>
                <w:szCs w:val="18"/>
              </w:rPr>
              <w:t xml:space="preserve">658 (2020), </w:t>
            </w:r>
            <w:r w:rsidR="000D63B2" w:rsidRPr="007669E1">
              <w:rPr>
                <w:rFonts w:ascii="Segoe UI" w:hAnsi="Segoe UI" w:cs="Segoe UI"/>
                <w:sz w:val="18"/>
                <w:szCs w:val="18"/>
              </w:rPr>
              <w:t>960</w:t>
            </w:r>
            <w:r w:rsidRPr="007669E1">
              <w:rPr>
                <w:rFonts w:ascii="Segoe UI" w:hAnsi="Segoe UI" w:cs="Segoe UI"/>
                <w:sz w:val="18"/>
                <w:szCs w:val="18"/>
              </w:rPr>
              <w:t xml:space="preserve"> (2021) </w:t>
            </w:r>
            <w:r w:rsidR="00387842" w:rsidRPr="007669E1">
              <w:rPr>
                <w:rFonts w:ascii="Segoe UI" w:hAnsi="Segoe UI" w:cs="Segoe UI"/>
                <w:sz w:val="18"/>
                <w:szCs w:val="18"/>
              </w:rPr>
              <w:t xml:space="preserve">1,261 </w:t>
            </w:r>
            <w:r w:rsidRPr="007669E1">
              <w:rPr>
                <w:rFonts w:ascii="Segoe UI" w:hAnsi="Segoe UI" w:cs="Segoe UI"/>
                <w:sz w:val="18"/>
                <w:szCs w:val="18"/>
              </w:rPr>
              <w:t>(</w:t>
            </w:r>
            <w:r w:rsidR="00387842" w:rsidRPr="007669E1">
              <w:rPr>
                <w:rFonts w:ascii="Segoe UI" w:hAnsi="Segoe UI" w:cs="Segoe UI"/>
                <w:sz w:val="18"/>
                <w:szCs w:val="18"/>
              </w:rPr>
              <w:t>2022</w:t>
            </w:r>
            <w:r w:rsidRPr="007669E1">
              <w:rPr>
                <w:rFonts w:ascii="Segoe UI" w:hAnsi="Segoe UI" w:cs="Segoe UI"/>
                <w:sz w:val="18"/>
                <w:szCs w:val="18"/>
              </w:rPr>
              <w:t>)</w:t>
            </w:r>
            <w:r w:rsidR="00387842" w:rsidRPr="007669E1">
              <w:rPr>
                <w:rFonts w:ascii="Segoe UI" w:hAnsi="Segoe UI" w:cs="Segoe UI"/>
                <w:sz w:val="18"/>
                <w:szCs w:val="18"/>
              </w:rPr>
              <w:t xml:space="preserve"> </w:t>
            </w:r>
          </w:p>
        </w:tc>
      </w:tr>
      <w:tr w:rsidR="007669E1" w:rsidRPr="007669E1" w14:paraId="4AD0B2FC" w14:textId="77777777" w:rsidTr="00D75D26">
        <w:tc>
          <w:tcPr>
            <w:tcW w:w="2425" w:type="dxa"/>
          </w:tcPr>
          <w:p w14:paraId="25C3AF39"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Revenue Cost Reporting</w:t>
            </w:r>
          </w:p>
        </w:tc>
        <w:tc>
          <w:tcPr>
            <w:tcW w:w="7200" w:type="dxa"/>
            <w:gridSpan w:val="6"/>
          </w:tcPr>
          <w:p w14:paraId="5F25DE5E" w14:textId="7245F7F8" w:rsidR="007C2B84" w:rsidRPr="007669E1" w:rsidRDefault="00F92B1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5787F766" w14:textId="77777777" w:rsidTr="00D75D26">
        <w:trPr>
          <w:trHeight w:val="91"/>
        </w:trPr>
        <w:tc>
          <w:tcPr>
            <w:tcW w:w="2425" w:type="dxa"/>
            <w:vMerge w:val="restart"/>
          </w:tcPr>
          <w:p w14:paraId="436F4A88"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1F8B2D35"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2018</w:t>
            </w:r>
          </w:p>
        </w:tc>
        <w:tc>
          <w:tcPr>
            <w:tcW w:w="1385" w:type="dxa"/>
          </w:tcPr>
          <w:p w14:paraId="39521003"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2019</w:t>
            </w:r>
          </w:p>
        </w:tc>
        <w:tc>
          <w:tcPr>
            <w:tcW w:w="1385" w:type="dxa"/>
            <w:gridSpan w:val="2"/>
          </w:tcPr>
          <w:p w14:paraId="1C3D210D"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2020</w:t>
            </w:r>
          </w:p>
        </w:tc>
        <w:tc>
          <w:tcPr>
            <w:tcW w:w="1385" w:type="dxa"/>
          </w:tcPr>
          <w:p w14:paraId="7029C104"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2021</w:t>
            </w:r>
          </w:p>
        </w:tc>
        <w:tc>
          <w:tcPr>
            <w:tcW w:w="1660" w:type="dxa"/>
          </w:tcPr>
          <w:p w14:paraId="0CDEB9BB" w14:textId="63ECBAE1" w:rsidR="007C2B84" w:rsidRPr="00CB2B47" w:rsidRDefault="000C00AF"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2022</w:t>
            </w:r>
          </w:p>
        </w:tc>
      </w:tr>
      <w:tr w:rsidR="00A2051E" w:rsidRPr="007669E1" w14:paraId="2F8231CB" w14:textId="77777777" w:rsidTr="00987CAC">
        <w:trPr>
          <w:trHeight w:val="91"/>
        </w:trPr>
        <w:tc>
          <w:tcPr>
            <w:tcW w:w="2425" w:type="dxa"/>
            <w:vMerge/>
          </w:tcPr>
          <w:p w14:paraId="162AF44D"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shd w:val="clear" w:color="auto" w:fill="auto"/>
            <w:vAlign w:val="bottom"/>
          </w:tcPr>
          <w:p w14:paraId="08EAE533" w14:textId="363D8DAF" w:rsidR="007C2B84" w:rsidRPr="007669E1" w:rsidRDefault="00F1458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35,775.8</w:t>
            </w:r>
          </w:p>
        </w:tc>
        <w:tc>
          <w:tcPr>
            <w:tcW w:w="1385" w:type="dxa"/>
            <w:shd w:val="clear" w:color="auto" w:fill="auto"/>
            <w:vAlign w:val="bottom"/>
          </w:tcPr>
          <w:p w14:paraId="366783FC" w14:textId="727134BC" w:rsidR="007C2B84" w:rsidRPr="007669E1" w:rsidRDefault="00F1458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35,774.7</w:t>
            </w:r>
          </w:p>
        </w:tc>
        <w:tc>
          <w:tcPr>
            <w:tcW w:w="1385" w:type="dxa"/>
            <w:gridSpan w:val="2"/>
            <w:shd w:val="clear" w:color="auto" w:fill="auto"/>
            <w:vAlign w:val="bottom"/>
          </w:tcPr>
          <w:p w14:paraId="3C3F25B3" w14:textId="7C00F90B" w:rsidR="007C2B84" w:rsidRPr="007669E1" w:rsidRDefault="00F1458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46,653.6</w:t>
            </w:r>
          </w:p>
        </w:tc>
        <w:tc>
          <w:tcPr>
            <w:tcW w:w="1385" w:type="dxa"/>
            <w:shd w:val="clear" w:color="auto" w:fill="D9D9D9" w:themeFill="background1" w:themeFillShade="D9"/>
            <w:vAlign w:val="bottom"/>
          </w:tcPr>
          <w:p w14:paraId="5D9624FC" w14:textId="4C5F18CD" w:rsidR="007C2B84" w:rsidRPr="007669E1" w:rsidRDefault="007079B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53,847.9</w:t>
            </w:r>
          </w:p>
        </w:tc>
        <w:tc>
          <w:tcPr>
            <w:tcW w:w="1660" w:type="dxa"/>
            <w:shd w:val="clear" w:color="auto" w:fill="D9D9D9" w:themeFill="background1" w:themeFillShade="D9"/>
            <w:vAlign w:val="bottom"/>
          </w:tcPr>
          <w:p w14:paraId="6415B308" w14:textId="77474969" w:rsidR="007C2B84" w:rsidRPr="007669E1" w:rsidRDefault="007079B3"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60,013.1</w:t>
            </w:r>
          </w:p>
        </w:tc>
      </w:tr>
    </w:tbl>
    <w:p w14:paraId="62794669" w14:textId="2ACF0A1F" w:rsidR="00460B84" w:rsidRPr="007669E1" w:rsidRDefault="00460B84"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w:t>
      </w:r>
      <w:r w:rsidR="00B04CEF" w:rsidRPr="007669E1">
        <w:rPr>
          <w:rFonts w:ascii="Segoe UI" w:hAnsi="Segoe UI" w:cs="Segoe UI"/>
          <w:sz w:val="18"/>
          <w:szCs w:val="18"/>
        </w:rPr>
        <w:t>, 2019 and 2020</w:t>
      </w:r>
      <w:r w:rsidRPr="007669E1">
        <w:rPr>
          <w:rFonts w:ascii="Segoe UI" w:hAnsi="Segoe UI" w:cs="Segoe UI"/>
          <w:sz w:val="18"/>
          <w:szCs w:val="18"/>
        </w:rPr>
        <w:t xml:space="preserve">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w:t>
      </w:r>
      <w:r w:rsidR="00B04CEF" w:rsidRPr="007669E1">
        <w:rPr>
          <w:rFonts w:ascii="Segoe UI" w:hAnsi="Segoe UI" w:cs="Segoe UI"/>
          <w:sz w:val="18"/>
          <w:szCs w:val="18"/>
        </w:rPr>
        <w:t xml:space="preserve">or </w:t>
      </w:r>
      <w:r w:rsidRPr="007669E1">
        <w:rPr>
          <w:rFonts w:ascii="Segoe UI" w:hAnsi="Segoe UI" w:cs="Segoe UI"/>
          <w:sz w:val="18"/>
          <w:szCs w:val="18"/>
        </w:rPr>
        <w:t>20</w:t>
      </w:r>
      <w:r w:rsidR="00B04CEF" w:rsidRPr="007669E1">
        <w:rPr>
          <w:rFonts w:ascii="Segoe UI" w:hAnsi="Segoe UI" w:cs="Segoe UI"/>
          <w:sz w:val="18"/>
          <w:szCs w:val="18"/>
        </w:rPr>
        <w:t>21 and</w:t>
      </w:r>
      <w:r w:rsidRPr="007669E1">
        <w:rPr>
          <w:rFonts w:ascii="Segoe UI" w:hAnsi="Segoe UI" w:cs="Segoe UI"/>
          <w:sz w:val="18"/>
          <w:szCs w:val="18"/>
        </w:rPr>
        <w:t xml:space="preserve"> 2022 are projected based on 20</w:t>
      </w:r>
      <w:r w:rsidR="001E43D3" w:rsidRPr="007669E1">
        <w:rPr>
          <w:rFonts w:ascii="Segoe UI" w:hAnsi="Segoe UI" w:cs="Segoe UI"/>
          <w:sz w:val="18"/>
          <w:szCs w:val="18"/>
        </w:rPr>
        <w:t>20</w:t>
      </w:r>
      <w:r w:rsidRPr="007669E1">
        <w:rPr>
          <w:rFonts w:ascii="Segoe UI" w:hAnsi="Segoe UI" w:cs="Segoe UI"/>
          <w:sz w:val="18"/>
          <w:szCs w:val="18"/>
        </w:rPr>
        <w:t>.</w:t>
      </w:r>
    </w:p>
    <w:p w14:paraId="30BD0433"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CB2B47" w14:paraId="481B77A4" w14:textId="77777777" w:rsidTr="00D75D26">
        <w:tc>
          <w:tcPr>
            <w:tcW w:w="9625" w:type="dxa"/>
            <w:gridSpan w:val="7"/>
            <w:shd w:val="clear" w:color="auto" w:fill="D9D9D9" w:themeFill="background1" w:themeFillShade="D9"/>
          </w:tcPr>
          <w:p w14:paraId="5E56EEFE" w14:textId="12ACAED6"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 xml:space="preserve">14. </w:t>
            </w:r>
            <w:r w:rsidR="004A3453" w:rsidRPr="00CB2B47">
              <w:rPr>
                <w:rFonts w:ascii="Segoe UI" w:hAnsi="Segoe UI" w:cs="Segoe UI"/>
                <w:b/>
                <w:bCs/>
                <w:sz w:val="18"/>
                <w:szCs w:val="18"/>
              </w:rPr>
              <w:t>50% reduced BIT rate for income earned on exports in Free Economic Zones (FEZs)</w:t>
            </w:r>
          </w:p>
        </w:tc>
      </w:tr>
      <w:tr w:rsidR="007669E1" w:rsidRPr="007669E1" w14:paraId="414E23D6" w14:textId="77777777" w:rsidTr="00D75D26">
        <w:tc>
          <w:tcPr>
            <w:tcW w:w="2425" w:type="dxa"/>
          </w:tcPr>
          <w:p w14:paraId="60C9A199"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Description</w:t>
            </w:r>
          </w:p>
        </w:tc>
        <w:tc>
          <w:tcPr>
            <w:tcW w:w="7200" w:type="dxa"/>
            <w:gridSpan w:val="6"/>
          </w:tcPr>
          <w:p w14:paraId="32494E50" w14:textId="77777777"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A 50% tax rate reduction applies to income from export of goods (services) originating from FEZ outside the customs territory of Moldova. It is a non-structural incentive measure.</w:t>
            </w:r>
          </w:p>
        </w:tc>
      </w:tr>
      <w:tr w:rsidR="007669E1" w:rsidRPr="007669E1" w14:paraId="771BAB93" w14:textId="77777777" w:rsidTr="00D75D26">
        <w:tc>
          <w:tcPr>
            <w:tcW w:w="2425" w:type="dxa"/>
          </w:tcPr>
          <w:p w14:paraId="6DC19B3C"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Type of Tax Affected</w:t>
            </w:r>
          </w:p>
        </w:tc>
        <w:tc>
          <w:tcPr>
            <w:tcW w:w="7200" w:type="dxa"/>
            <w:gridSpan w:val="6"/>
          </w:tcPr>
          <w:p w14:paraId="376D4C7A"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4C2B07EE" w14:textId="77777777" w:rsidTr="00D75D26">
        <w:tc>
          <w:tcPr>
            <w:tcW w:w="2425" w:type="dxa"/>
          </w:tcPr>
          <w:p w14:paraId="7B921CA3"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Beneficiaries</w:t>
            </w:r>
          </w:p>
        </w:tc>
        <w:tc>
          <w:tcPr>
            <w:tcW w:w="7200" w:type="dxa"/>
            <w:gridSpan w:val="6"/>
          </w:tcPr>
          <w:p w14:paraId="2F618B5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 companies located in FEZs.</w:t>
            </w:r>
          </w:p>
        </w:tc>
      </w:tr>
      <w:tr w:rsidR="007669E1" w:rsidRPr="007669E1" w14:paraId="23CAC2E3" w14:textId="77777777" w:rsidTr="00D75D26">
        <w:tc>
          <w:tcPr>
            <w:tcW w:w="2425" w:type="dxa"/>
          </w:tcPr>
          <w:p w14:paraId="29DC1D50"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Type of Measure</w:t>
            </w:r>
          </w:p>
        </w:tc>
        <w:tc>
          <w:tcPr>
            <w:tcW w:w="7200" w:type="dxa"/>
            <w:gridSpan w:val="6"/>
          </w:tcPr>
          <w:p w14:paraId="7C5D567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Effective rate reduction</w:t>
            </w:r>
          </w:p>
        </w:tc>
      </w:tr>
      <w:tr w:rsidR="007669E1" w:rsidRPr="007669E1" w14:paraId="0F5B8ACC" w14:textId="77777777" w:rsidTr="00D75D26">
        <w:tc>
          <w:tcPr>
            <w:tcW w:w="2425" w:type="dxa"/>
          </w:tcPr>
          <w:p w14:paraId="34A34606"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Reason why this Measure is not part of the Benchmark Tax System</w:t>
            </w:r>
          </w:p>
        </w:tc>
        <w:tc>
          <w:tcPr>
            <w:tcW w:w="7200" w:type="dxa"/>
            <w:gridSpan w:val="6"/>
          </w:tcPr>
          <w:p w14:paraId="76C2198F"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seeks to explicitly provide a cash flow benefit to zone companies by reducing the tax rate to 6% in lieu of the standard 12% BIT rate. The available tax rate departs from the benchmark tax rate of 12% and it is therefore a tax expenditure.</w:t>
            </w:r>
          </w:p>
        </w:tc>
      </w:tr>
      <w:tr w:rsidR="007669E1" w:rsidRPr="007669E1" w14:paraId="4D40A1EF" w14:textId="77777777" w:rsidTr="00D75D26">
        <w:tc>
          <w:tcPr>
            <w:tcW w:w="2425" w:type="dxa"/>
          </w:tcPr>
          <w:p w14:paraId="45E873B9"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Legal Reference</w:t>
            </w:r>
          </w:p>
        </w:tc>
        <w:tc>
          <w:tcPr>
            <w:tcW w:w="7200" w:type="dxa"/>
            <w:gridSpan w:val="6"/>
          </w:tcPr>
          <w:p w14:paraId="01AC623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49</w:t>
            </w:r>
          </w:p>
        </w:tc>
      </w:tr>
      <w:tr w:rsidR="00136C8F" w:rsidRPr="007669E1" w14:paraId="4E2F9B59" w14:textId="77777777" w:rsidTr="00D75D26">
        <w:trPr>
          <w:trHeight w:val="182"/>
        </w:trPr>
        <w:tc>
          <w:tcPr>
            <w:tcW w:w="2425" w:type="dxa"/>
            <w:vMerge w:val="restart"/>
          </w:tcPr>
          <w:p w14:paraId="43913261"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Implementation, Objectives, and History</w:t>
            </w:r>
          </w:p>
        </w:tc>
        <w:tc>
          <w:tcPr>
            <w:tcW w:w="3462" w:type="dxa"/>
            <w:gridSpan w:val="3"/>
          </w:tcPr>
          <w:p w14:paraId="34469AF1"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13B2D204"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46B9EBC6" w14:textId="77777777" w:rsidTr="00D75D26">
        <w:trPr>
          <w:trHeight w:val="182"/>
        </w:trPr>
        <w:tc>
          <w:tcPr>
            <w:tcW w:w="2425" w:type="dxa"/>
            <w:vMerge/>
          </w:tcPr>
          <w:p w14:paraId="13679281" w14:textId="77777777" w:rsidR="007C2B84" w:rsidRPr="00CB2B47" w:rsidRDefault="007C2B84" w:rsidP="00E90BA7">
            <w:pPr>
              <w:spacing w:before="20" w:after="20" w:line="240" w:lineRule="auto"/>
              <w:jc w:val="both"/>
              <w:rPr>
                <w:rFonts w:ascii="Segoe UI" w:hAnsi="Segoe UI" w:cs="Segoe UI"/>
                <w:b/>
                <w:bCs/>
                <w:sz w:val="18"/>
                <w:szCs w:val="18"/>
              </w:rPr>
            </w:pPr>
          </w:p>
        </w:tc>
        <w:tc>
          <w:tcPr>
            <w:tcW w:w="3462" w:type="dxa"/>
            <w:gridSpan w:val="3"/>
          </w:tcPr>
          <w:p w14:paraId="076C2B4B"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Since 2001 with amendments in 2007, 2008, 2010, 2012, 2013, 2015, and 2017.</w:t>
            </w:r>
          </w:p>
        </w:tc>
        <w:tc>
          <w:tcPr>
            <w:tcW w:w="3738" w:type="dxa"/>
            <w:gridSpan w:val="3"/>
          </w:tcPr>
          <w:p w14:paraId="5BC59A36" w14:textId="5E7216A9"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5507DB64" w14:textId="77777777" w:rsidTr="00D75D26">
        <w:tc>
          <w:tcPr>
            <w:tcW w:w="2425" w:type="dxa"/>
          </w:tcPr>
          <w:p w14:paraId="6596E2D2" w14:textId="77777777" w:rsidR="0055651E" w:rsidRPr="00CB2B47" w:rsidRDefault="0055651E"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Source of Data</w:t>
            </w:r>
          </w:p>
        </w:tc>
        <w:tc>
          <w:tcPr>
            <w:tcW w:w="7200" w:type="dxa"/>
            <w:gridSpan w:val="6"/>
          </w:tcPr>
          <w:p w14:paraId="68886E99" w14:textId="2127C6F2"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62919FD0" w14:textId="77777777" w:rsidTr="00D75D26">
        <w:tc>
          <w:tcPr>
            <w:tcW w:w="2425" w:type="dxa"/>
          </w:tcPr>
          <w:p w14:paraId="2978762D" w14:textId="77777777" w:rsidR="0055651E" w:rsidRPr="00CB2B47" w:rsidRDefault="0055651E"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lastRenderedPageBreak/>
              <w:t>Estimation Method</w:t>
            </w:r>
          </w:p>
        </w:tc>
        <w:tc>
          <w:tcPr>
            <w:tcW w:w="7200" w:type="dxa"/>
            <w:gridSpan w:val="6"/>
          </w:tcPr>
          <w:p w14:paraId="0D5A76F0" w14:textId="64C367C7"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0D048594" w14:textId="77777777" w:rsidTr="00D75D26">
        <w:tc>
          <w:tcPr>
            <w:tcW w:w="2425" w:type="dxa"/>
          </w:tcPr>
          <w:p w14:paraId="07ACEB79"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Number of Beneficiaries</w:t>
            </w:r>
          </w:p>
        </w:tc>
        <w:tc>
          <w:tcPr>
            <w:tcW w:w="7200" w:type="dxa"/>
            <w:gridSpan w:val="6"/>
          </w:tcPr>
          <w:p w14:paraId="0FD22C92" w14:textId="45AD17F6"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13717094" w14:textId="77777777" w:rsidTr="00D75D26">
        <w:tc>
          <w:tcPr>
            <w:tcW w:w="2425" w:type="dxa"/>
          </w:tcPr>
          <w:p w14:paraId="01853C83"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Revenue Cost Reporting</w:t>
            </w:r>
          </w:p>
        </w:tc>
        <w:tc>
          <w:tcPr>
            <w:tcW w:w="7200" w:type="dxa"/>
            <w:gridSpan w:val="6"/>
          </w:tcPr>
          <w:p w14:paraId="6F6F147A" w14:textId="262F6895" w:rsidR="007C2B84" w:rsidRPr="007669E1" w:rsidRDefault="004072E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w:t>
            </w:r>
            <w:r w:rsidR="007C2B84" w:rsidRPr="007669E1">
              <w:rPr>
                <w:rFonts w:ascii="Segoe UI" w:hAnsi="Segoe UI" w:cs="Segoe UI"/>
                <w:sz w:val="18"/>
                <w:szCs w:val="18"/>
              </w:rPr>
              <w:t>n</w:t>
            </w:r>
            <w:r w:rsidRPr="007669E1">
              <w:rPr>
                <w:rFonts w:ascii="Segoe UI" w:hAnsi="Segoe UI" w:cs="Segoe UI"/>
                <w:sz w:val="18"/>
                <w:szCs w:val="18"/>
              </w:rPr>
              <w:t>d</w:t>
            </w:r>
            <w:r w:rsidR="007C2B84" w:rsidRPr="007669E1">
              <w:rPr>
                <w:rFonts w:ascii="Segoe UI" w:hAnsi="Segoe UI" w:cs="Segoe UI"/>
                <w:sz w:val="18"/>
                <w:szCs w:val="18"/>
              </w:rPr>
              <w:t xml:space="preserve"> MDL</w:t>
            </w:r>
          </w:p>
        </w:tc>
      </w:tr>
      <w:tr w:rsidR="00136C8F" w:rsidRPr="007669E1" w14:paraId="56C6E01D" w14:textId="77777777" w:rsidTr="00D75D26">
        <w:trPr>
          <w:trHeight w:val="91"/>
        </w:trPr>
        <w:tc>
          <w:tcPr>
            <w:tcW w:w="2425" w:type="dxa"/>
            <w:vMerge w:val="restart"/>
          </w:tcPr>
          <w:p w14:paraId="01F89E22"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39D732F4"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2018</w:t>
            </w:r>
          </w:p>
        </w:tc>
        <w:tc>
          <w:tcPr>
            <w:tcW w:w="1385" w:type="dxa"/>
          </w:tcPr>
          <w:p w14:paraId="0FCA81C1"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2019</w:t>
            </w:r>
          </w:p>
        </w:tc>
        <w:tc>
          <w:tcPr>
            <w:tcW w:w="1385" w:type="dxa"/>
            <w:gridSpan w:val="2"/>
          </w:tcPr>
          <w:p w14:paraId="66E07BB0"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2020</w:t>
            </w:r>
          </w:p>
        </w:tc>
        <w:tc>
          <w:tcPr>
            <w:tcW w:w="1385" w:type="dxa"/>
          </w:tcPr>
          <w:p w14:paraId="4CF60014" w14:textId="77777777" w:rsidR="007C2B84" w:rsidRPr="00CB2B47" w:rsidRDefault="007C2B84"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2021</w:t>
            </w:r>
          </w:p>
        </w:tc>
        <w:tc>
          <w:tcPr>
            <w:tcW w:w="1660" w:type="dxa"/>
          </w:tcPr>
          <w:p w14:paraId="146DE3BF" w14:textId="67D47321" w:rsidR="007C2B84" w:rsidRPr="00CB2B47" w:rsidRDefault="000C00AF" w:rsidP="00E90BA7">
            <w:pPr>
              <w:spacing w:before="20" w:after="20" w:line="240" w:lineRule="auto"/>
              <w:jc w:val="both"/>
              <w:rPr>
                <w:rFonts w:ascii="Segoe UI" w:hAnsi="Segoe UI" w:cs="Segoe UI"/>
                <w:b/>
                <w:bCs/>
                <w:sz w:val="18"/>
                <w:szCs w:val="18"/>
              </w:rPr>
            </w:pPr>
            <w:r w:rsidRPr="00CB2B47">
              <w:rPr>
                <w:rFonts w:ascii="Segoe UI" w:hAnsi="Segoe UI" w:cs="Segoe UI"/>
                <w:b/>
                <w:bCs/>
                <w:sz w:val="18"/>
                <w:szCs w:val="18"/>
              </w:rPr>
              <w:t>2022</w:t>
            </w:r>
          </w:p>
        </w:tc>
      </w:tr>
      <w:tr w:rsidR="007669E1" w:rsidRPr="007669E1" w14:paraId="39398DD9" w14:textId="77777777" w:rsidTr="00BD2375">
        <w:trPr>
          <w:trHeight w:val="91"/>
        </w:trPr>
        <w:tc>
          <w:tcPr>
            <w:tcW w:w="2425" w:type="dxa"/>
            <w:vMerge/>
          </w:tcPr>
          <w:p w14:paraId="2690AE8D"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17850DEC" w14:textId="04D8324A" w:rsidR="007C2B84" w:rsidRPr="007669E1" w:rsidRDefault="006B0F5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9,956.8</w:t>
            </w:r>
          </w:p>
        </w:tc>
        <w:tc>
          <w:tcPr>
            <w:tcW w:w="1385" w:type="dxa"/>
            <w:shd w:val="clear" w:color="auto" w:fill="D9D9D9" w:themeFill="background1" w:themeFillShade="D9"/>
            <w:vAlign w:val="bottom"/>
          </w:tcPr>
          <w:p w14:paraId="6673E123" w14:textId="750DFF25" w:rsidR="007C2B84" w:rsidRPr="007669E1" w:rsidRDefault="006B0F5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9,971.7</w:t>
            </w:r>
          </w:p>
        </w:tc>
        <w:tc>
          <w:tcPr>
            <w:tcW w:w="1385" w:type="dxa"/>
            <w:gridSpan w:val="2"/>
            <w:shd w:val="clear" w:color="auto" w:fill="D9D9D9" w:themeFill="background1" w:themeFillShade="D9"/>
            <w:vAlign w:val="bottom"/>
          </w:tcPr>
          <w:p w14:paraId="0690E3B8" w14:textId="35022C79" w:rsidR="007C2B84" w:rsidRPr="007669E1" w:rsidRDefault="006B0F5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9,521.9</w:t>
            </w:r>
          </w:p>
        </w:tc>
        <w:tc>
          <w:tcPr>
            <w:tcW w:w="1385" w:type="dxa"/>
            <w:shd w:val="clear" w:color="auto" w:fill="D9D9D9" w:themeFill="background1" w:themeFillShade="D9"/>
            <w:vAlign w:val="bottom"/>
          </w:tcPr>
          <w:p w14:paraId="7F7CC1D0" w14:textId="2F70E584" w:rsidR="007C2B84" w:rsidRPr="007669E1" w:rsidRDefault="006B0F5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10,990.2</w:t>
            </w:r>
          </w:p>
        </w:tc>
        <w:tc>
          <w:tcPr>
            <w:tcW w:w="1660" w:type="dxa"/>
            <w:shd w:val="clear" w:color="auto" w:fill="D9D9D9" w:themeFill="background1" w:themeFillShade="D9"/>
            <w:vAlign w:val="bottom"/>
          </w:tcPr>
          <w:p w14:paraId="70243CB3" w14:textId="1921BE57" w:rsidR="007C2B84" w:rsidRPr="007669E1" w:rsidRDefault="006B0F54"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12,248.5</w:t>
            </w:r>
          </w:p>
        </w:tc>
      </w:tr>
    </w:tbl>
    <w:p w14:paraId="1465FCE5" w14:textId="63C40FDE" w:rsidR="00842463" w:rsidRPr="007669E1" w:rsidRDefault="00842463"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70038A2E"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9920CF" w14:paraId="6B722AC0" w14:textId="77777777" w:rsidTr="00D75D26">
        <w:tc>
          <w:tcPr>
            <w:tcW w:w="9625" w:type="dxa"/>
            <w:gridSpan w:val="7"/>
            <w:shd w:val="clear" w:color="auto" w:fill="D9D9D9" w:themeFill="background1" w:themeFillShade="D9"/>
          </w:tcPr>
          <w:p w14:paraId="52D90A6F" w14:textId="37711BB4"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 xml:space="preserve">15. </w:t>
            </w:r>
            <w:r w:rsidR="006231D3" w:rsidRPr="009920CF">
              <w:rPr>
                <w:rFonts w:ascii="Segoe UI" w:hAnsi="Segoe UI" w:cs="Segoe UI"/>
                <w:b/>
                <w:bCs/>
                <w:sz w:val="18"/>
                <w:szCs w:val="18"/>
              </w:rPr>
              <w:t>25% reduced BIT rate for income earned on domestic sales in Free Economic Zones (FEZs)</w:t>
            </w:r>
          </w:p>
        </w:tc>
      </w:tr>
      <w:tr w:rsidR="007669E1" w:rsidRPr="007669E1" w14:paraId="15B1043B" w14:textId="77777777" w:rsidTr="00D75D26">
        <w:tc>
          <w:tcPr>
            <w:tcW w:w="2425" w:type="dxa"/>
          </w:tcPr>
          <w:p w14:paraId="15DEED35"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Description</w:t>
            </w:r>
          </w:p>
        </w:tc>
        <w:tc>
          <w:tcPr>
            <w:tcW w:w="7200" w:type="dxa"/>
            <w:gridSpan w:val="6"/>
          </w:tcPr>
          <w:p w14:paraId="243EBBA2" w14:textId="77777777"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The standard 12% BIT rate is reduced by 25% and applies to domestic sales of goods (services) originating from FEZ. It is a non-structural incentive measure with the intention to stimulate investments.</w:t>
            </w:r>
          </w:p>
        </w:tc>
      </w:tr>
      <w:tr w:rsidR="007669E1" w:rsidRPr="007669E1" w14:paraId="592BE308" w14:textId="77777777" w:rsidTr="00D75D26">
        <w:tc>
          <w:tcPr>
            <w:tcW w:w="2425" w:type="dxa"/>
          </w:tcPr>
          <w:p w14:paraId="42FBFEC2"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Type of Tax Affected</w:t>
            </w:r>
          </w:p>
        </w:tc>
        <w:tc>
          <w:tcPr>
            <w:tcW w:w="7200" w:type="dxa"/>
            <w:gridSpan w:val="6"/>
          </w:tcPr>
          <w:p w14:paraId="58694293"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4A6B88E6" w14:textId="77777777" w:rsidTr="00D75D26">
        <w:tc>
          <w:tcPr>
            <w:tcW w:w="2425" w:type="dxa"/>
          </w:tcPr>
          <w:p w14:paraId="03B19DC0"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Beneficiaries</w:t>
            </w:r>
          </w:p>
        </w:tc>
        <w:tc>
          <w:tcPr>
            <w:tcW w:w="7200" w:type="dxa"/>
            <w:gridSpan w:val="6"/>
          </w:tcPr>
          <w:p w14:paraId="4FFD7B2F"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 companies located in FEZs</w:t>
            </w:r>
          </w:p>
        </w:tc>
      </w:tr>
      <w:tr w:rsidR="007669E1" w:rsidRPr="007669E1" w14:paraId="52E1E15D" w14:textId="77777777" w:rsidTr="00D75D26">
        <w:tc>
          <w:tcPr>
            <w:tcW w:w="2425" w:type="dxa"/>
          </w:tcPr>
          <w:p w14:paraId="1A6FBCB1"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Type of Measure</w:t>
            </w:r>
          </w:p>
        </w:tc>
        <w:tc>
          <w:tcPr>
            <w:tcW w:w="7200" w:type="dxa"/>
            <w:gridSpan w:val="6"/>
          </w:tcPr>
          <w:p w14:paraId="4BA6A3A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Effective rate reduction to 9% in lieu of the standard rate of 12%.</w:t>
            </w:r>
          </w:p>
        </w:tc>
      </w:tr>
      <w:tr w:rsidR="007669E1" w:rsidRPr="007669E1" w14:paraId="7C2A4363" w14:textId="77777777" w:rsidTr="00D75D26">
        <w:tc>
          <w:tcPr>
            <w:tcW w:w="2425" w:type="dxa"/>
          </w:tcPr>
          <w:p w14:paraId="3E8F8B7F"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Reason why this Measure is not part of the Benchmark Tax System</w:t>
            </w:r>
          </w:p>
        </w:tc>
        <w:tc>
          <w:tcPr>
            <w:tcW w:w="7200" w:type="dxa"/>
            <w:gridSpan w:val="6"/>
          </w:tcPr>
          <w:p w14:paraId="23E75165"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seeks to explicitly provide a cash flow benefit to zone companies by reducing the tax rate to 9 percent in lieu of the standard 12% BIT rate. The available tax rate departs from the benchmark tax rate of 12% and it is therefore a tax expenditure.</w:t>
            </w:r>
          </w:p>
        </w:tc>
      </w:tr>
      <w:tr w:rsidR="007669E1" w:rsidRPr="007669E1" w14:paraId="31D2F3FF" w14:textId="77777777" w:rsidTr="00D75D26">
        <w:tc>
          <w:tcPr>
            <w:tcW w:w="2425" w:type="dxa"/>
          </w:tcPr>
          <w:p w14:paraId="7C6839E7"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Legal Reference</w:t>
            </w:r>
          </w:p>
        </w:tc>
        <w:tc>
          <w:tcPr>
            <w:tcW w:w="7200" w:type="dxa"/>
            <w:gridSpan w:val="6"/>
          </w:tcPr>
          <w:p w14:paraId="4582466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49</w:t>
            </w:r>
          </w:p>
        </w:tc>
      </w:tr>
      <w:tr w:rsidR="00136C8F" w:rsidRPr="007669E1" w14:paraId="3CD815FA" w14:textId="77777777" w:rsidTr="00D75D26">
        <w:trPr>
          <w:trHeight w:val="182"/>
        </w:trPr>
        <w:tc>
          <w:tcPr>
            <w:tcW w:w="2425" w:type="dxa"/>
            <w:vMerge w:val="restart"/>
          </w:tcPr>
          <w:p w14:paraId="04E741AD"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Implementation, Objectives, and History</w:t>
            </w:r>
          </w:p>
        </w:tc>
        <w:tc>
          <w:tcPr>
            <w:tcW w:w="3462" w:type="dxa"/>
            <w:gridSpan w:val="3"/>
          </w:tcPr>
          <w:p w14:paraId="36CF3AA0"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4708EF7B"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19176FF1" w14:textId="77777777" w:rsidTr="00D75D26">
        <w:trPr>
          <w:trHeight w:val="182"/>
        </w:trPr>
        <w:tc>
          <w:tcPr>
            <w:tcW w:w="2425" w:type="dxa"/>
            <w:vMerge/>
          </w:tcPr>
          <w:p w14:paraId="48CFFEEC" w14:textId="77777777" w:rsidR="007C2B84" w:rsidRPr="009920CF" w:rsidRDefault="007C2B84" w:rsidP="00E90BA7">
            <w:pPr>
              <w:spacing w:before="20" w:after="20" w:line="240" w:lineRule="auto"/>
              <w:jc w:val="both"/>
              <w:rPr>
                <w:rFonts w:ascii="Segoe UI" w:hAnsi="Segoe UI" w:cs="Segoe UI"/>
                <w:b/>
                <w:bCs/>
                <w:sz w:val="18"/>
                <w:szCs w:val="18"/>
              </w:rPr>
            </w:pPr>
          </w:p>
        </w:tc>
        <w:tc>
          <w:tcPr>
            <w:tcW w:w="3462" w:type="dxa"/>
            <w:gridSpan w:val="3"/>
          </w:tcPr>
          <w:p w14:paraId="6E737B2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since 2001</w:t>
            </w:r>
          </w:p>
        </w:tc>
        <w:tc>
          <w:tcPr>
            <w:tcW w:w="3738" w:type="dxa"/>
            <w:gridSpan w:val="3"/>
          </w:tcPr>
          <w:p w14:paraId="5F494636" w14:textId="71F1663F"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15396D7F" w14:textId="77777777" w:rsidTr="00D75D26">
        <w:tc>
          <w:tcPr>
            <w:tcW w:w="2425" w:type="dxa"/>
          </w:tcPr>
          <w:p w14:paraId="332E40BA" w14:textId="77777777" w:rsidR="00975826" w:rsidRPr="009920CF" w:rsidRDefault="00975826"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Source of Data</w:t>
            </w:r>
          </w:p>
        </w:tc>
        <w:tc>
          <w:tcPr>
            <w:tcW w:w="7200" w:type="dxa"/>
            <w:gridSpan w:val="6"/>
          </w:tcPr>
          <w:p w14:paraId="1075E0B0" w14:textId="10723830" w:rsidR="00975826" w:rsidRPr="007669E1" w:rsidRDefault="009758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36488CA7" w14:textId="77777777" w:rsidTr="00D75D26">
        <w:tc>
          <w:tcPr>
            <w:tcW w:w="2425" w:type="dxa"/>
          </w:tcPr>
          <w:p w14:paraId="572A6565" w14:textId="77777777" w:rsidR="00975826" w:rsidRPr="009920CF" w:rsidRDefault="00975826"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Estimation Method</w:t>
            </w:r>
          </w:p>
        </w:tc>
        <w:tc>
          <w:tcPr>
            <w:tcW w:w="7200" w:type="dxa"/>
            <w:gridSpan w:val="6"/>
          </w:tcPr>
          <w:p w14:paraId="1080BFBE" w14:textId="696778C4" w:rsidR="00975826" w:rsidRPr="007669E1" w:rsidRDefault="009758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5EE02165" w14:textId="77777777" w:rsidTr="00D75D26">
        <w:tc>
          <w:tcPr>
            <w:tcW w:w="2425" w:type="dxa"/>
          </w:tcPr>
          <w:p w14:paraId="1848B817"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Number of Beneficiaries</w:t>
            </w:r>
          </w:p>
        </w:tc>
        <w:tc>
          <w:tcPr>
            <w:tcW w:w="7200" w:type="dxa"/>
            <w:gridSpan w:val="6"/>
          </w:tcPr>
          <w:p w14:paraId="38CB0088"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35EC85E1" w14:textId="77777777" w:rsidTr="00D75D26">
        <w:tc>
          <w:tcPr>
            <w:tcW w:w="2425" w:type="dxa"/>
          </w:tcPr>
          <w:p w14:paraId="576DFE2D"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Revenue Cost Reporting</w:t>
            </w:r>
          </w:p>
        </w:tc>
        <w:tc>
          <w:tcPr>
            <w:tcW w:w="7200" w:type="dxa"/>
            <w:gridSpan w:val="6"/>
          </w:tcPr>
          <w:p w14:paraId="31BCE010" w14:textId="4E98EFA0" w:rsidR="007C2B84" w:rsidRPr="007669E1" w:rsidRDefault="00F36C8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010D7190" w14:textId="77777777" w:rsidTr="00D75D26">
        <w:trPr>
          <w:trHeight w:val="91"/>
        </w:trPr>
        <w:tc>
          <w:tcPr>
            <w:tcW w:w="2425" w:type="dxa"/>
            <w:vMerge w:val="restart"/>
          </w:tcPr>
          <w:p w14:paraId="4DD8C7D4"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1076E79C"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2018</w:t>
            </w:r>
          </w:p>
        </w:tc>
        <w:tc>
          <w:tcPr>
            <w:tcW w:w="1385" w:type="dxa"/>
          </w:tcPr>
          <w:p w14:paraId="3CA00C1C"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2019</w:t>
            </w:r>
          </w:p>
        </w:tc>
        <w:tc>
          <w:tcPr>
            <w:tcW w:w="1385" w:type="dxa"/>
            <w:gridSpan w:val="2"/>
          </w:tcPr>
          <w:p w14:paraId="62FD701A"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2020</w:t>
            </w:r>
          </w:p>
        </w:tc>
        <w:tc>
          <w:tcPr>
            <w:tcW w:w="1385" w:type="dxa"/>
          </w:tcPr>
          <w:p w14:paraId="2FC27ECC"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2021</w:t>
            </w:r>
          </w:p>
        </w:tc>
        <w:tc>
          <w:tcPr>
            <w:tcW w:w="1660" w:type="dxa"/>
          </w:tcPr>
          <w:p w14:paraId="53871A6C" w14:textId="444914D9" w:rsidR="007C2B84" w:rsidRPr="009920CF" w:rsidRDefault="000C00AF"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2022</w:t>
            </w:r>
          </w:p>
        </w:tc>
      </w:tr>
      <w:tr w:rsidR="007669E1" w:rsidRPr="007669E1" w14:paraId="6D80E88E" w14:textId="77777777" w:rsidTr="00BD2375">
        <w:trPr>
          <w:trHeight w:val="91"/>
        </w:trPr>
        <w:tc>
          <w:tcPr>
            <w:tcW w:w="2425" w:type="dxa"/>
            <w:vMerge/>
          </w:tcPr>
          <w:p w14:paraId="7BCA49FF"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1A85ADAE" w14:textId="6D440C89" w:rsidR="007C2B84" w:rsidRPr="007669E1" w:rsidRDefault="00A77E1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1,476.8</w:t>
            </w:r>
          </w:p>
        </w:tc>
        <w:tc>
          <w:tcPr>
            <w:tcW w:w="1385" w:type="dxa"/>
            <w:shd w:val="clear" w:color="auto" w:fill="D9D9D9" w:themeFill="background1" w:themeFillShade="D9"/>
            <w:vAlign w:val="bottom"/>
          </w:tcPr>
          <w:p w14:paraId="1564BCC3" w14:textId="66A1C88C" w:rsidR="007C2B84" w:rsidRPr="007669E1" w:rsidRDefault="00A77E1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1,479.0</w:t>
            </w:r>
          </w:p>
        </w:tc>
        <w:tc>
          <w:tcPr>
            <w:tcW w:w="1385" w:type="dxa"/>
            <w:gridSpan w:val="2"/>
            <w:shd w:val="clear" w:color="auto" w:fill="D9D9D9" w:themeFill="background1" w:themeFillShade="D9"/>
            <w:vAlign w:val="bottom"/>
          </w:tcPr>
          <w:p w14:paraId="54AA426E" w14:textId="67978889" w:rsidR="007C2B84" w:rsidRPr="007669E1" w:rsidRDefault="00A77E1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1,412.3</w:t>
            </w:r>
          </w:p>
        </w:tc>
        <w:tc>
          <w:tcPr>
            <w:tcW w:w="1385" w:type="dxa"/>
            <w:shd w:val="clear" w:color="auto" w:fill="D9D9D9" w:themeFill="background1" w:themeFillShade="D9"/>
            <w:vAlign w:val="bottom"/>
          </w:tcPr>
          <w:p w14:paraId="22C35BA4" w14:textId="3B5DDC44" w:rsidR="007C2B84" w:rsidRPr="007669E1" w:rsidRDefault="00A77E1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1,630.1</w:t>
            </w:r>
          </w:p>
        </w:tc>
        <w:tc>
          <w:tcPr>
            <w:tcW w:w="1660" w:type="dxa"/>
            <w:shd w:val="clear" w:color="auto" w:fill="D9D9D9" w:themeFill="background1" w:themeFillShade="D9"/>
            <w:vAlign w:val="bottom"/>
          </w:tcPr>
          <w:p w14:paraId="3B9F68B6" w14:textId="1AD7F725" w:rsidR="007C2B84" w:rsidRPr="007669E1" w:rsidRDefault="00A77E1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1,816.7</w:t>
            </w:r>
          </w:p>
        </w:tc>
      </w:tr>
    </w:tbl>
    <w:p w14:paraId="544ABC4D" w14:textId="73A191DC" w:rsidR="00B6681E" w:rsidRPr="007669E1" w:rsidRDefault="00B6681E"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056672A5" w14:textId="77777777" w:rsidR="007C2B84" w:rsidRPr="007669E1" w:rsidRDefault="007C2B84"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9920CF" w14:paraId="74406CBF" w14:textId="77777777" w:rsidTr="00D75D26">
        <w:tc>
          <w:tcPr>
            <w:tcW w:w="9625" w:type="dxa"/>
            <w:gridSpan w:val="7"/>
            <w:shd w:val="clear" w:color="auto" w:fill="D9D9D9" w:themeFill="background1" w:themeFillShade="D9"/>
          </w:tcPr>
          <w:p w14:paraId="4648DC83" w14:textId="09409D23"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 xml:space="preserve">16. </w:t>
            </w:r>
            <w:r w:rsidR="006231D3" w:rsidRPr="009920CF">
              <w:rPr>
                <w:rFonts w:ascii="Segoe UI" w:hAnsi="Segoe UI" w:cs="Segoe UI"/>
                <w:b/>
                <w:bCs/>
                <w:sz w:val="18"/>
                <w:szCs w:val="18"/>
              </w:rPr>
              <w:t>3-year tax holiday for US$1M+ investments in Free Economic Zones (FEZs)</w:t>
            </w:r>
          </w:p>
        </w:tc>
      </w:tr>
      <w:tr w:rsidR="007669E1" w:rsidRPr="007669E1" w14:paraId="3E144F04" w14:textId="77777777" w:rsidTr="00D75D26">
        <w:tc>
          <w:tcPr>
            <w:tcW w:w="2425" w:type="dxa"/>
          </w:tcPr>
          <w:p w14:paraId="6698CF73"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Description</w:t>
            </w:r>
          </w:p>
        </w:tc>
        <w:tc>
          <w:tcPr>
            <w:tcW w:w="7200" w:type="dxa"/>
            <w:gridSpan w:val="6"/>
          </w:tcPr>
          <w:p w14:paraId="0F5B568E" w14:textId="77777777"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This is complete exemption of the BIT for revenue obtained from the export of goods (services) granted for three years provided the FEZ resident invested at least USD 1 million in fixed assets or FEZ's infrastructure. This 3-year tax holiday is a non-structural incentive</w:t>
            </w:r>
          </w:p>
        </w:tc>
      </w:tr>
      <w:tr w:rsidR="007669E1" w:rsidRPr="007669E1" w14:paraId="67AEA452" w14:textId="77777777" w:rsidTr="00D75D26">
        <w:tc>
          <w:tcPr>
            <w:tcW w:w="2425" w:type="dxa"/>
          </w:tcPr>
          <w:p w14:paraId="2C282698"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Type of Tax Affected</w:t>
            </w:r>
          </w:p>
        </w:tc>
        <w:tc>
          <w:tcPr>
            <w:tcW w:w="7200" w:type="dxa"/>
            <w:gridSpan w:val="6"/>
          </w:tcPr>
          <w:p w14:paraId="1B5D5C6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6E398810" w14:textId="77777777" w:rsidTr="00D75D26">
        <w:tc>
          <w:tcPr>
            <w:tcW w:w="2425" w:type="dxa"/>
          </w:tcPr>
          <w:p w14:paraId="31E2D3E1"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Beneficiaries</w:t>
            </w:r>
          </w:p>
        </w:tc>
        <w:tc>
          <w:tcPr>
            <w:tcW w:w="7200" w:type="dxa"/>
            <w:gridSpan w:val="6"/>
          </w:tcPr>
          <w:p w14:paraId="65E71C6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 investors in FEZ.</w:t>
            </w:r>
          </w:p>
        </w:tc>
      </w:tr>
      <w:tr w:rsidR="007669E1" w:rsidRPr="007669E1" w14:paraId="5A2398A7" w14:textId="77777777" w:rsidTr="00D75D26">
        <w:tc>
          <w:tcPr>
            <w:tcW w:w="2425" w:type="dxa"/>
          </w:tcPr>
          <w:p w14:paraId="3025B630"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Type of Measure</w:t>
            </w:r>
          </w:p>
        </w:tc>
        <w:tc>
          <w:tcPr>
            <w:tcW w:w="7200" w:type="dxa"/>
            <w:gridSpan w:val="6"/>
          </w:tcPr>
          <w:p w14:paraId="31CB2A54"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tax holiday of 3 years</w:t>
            </w:r>
          </w:p>
        </w:tc>
      </w:tr>
      <w:tr w:rsidR="007669E1" w:rsidRPr="007669E1" w14:paraId="55F859D4" w14:textId="77777777" w:rsidTr="00D75D26">
        <w:tc>
          <w:tcPr>
            <w:tcW w:w="2425" w:type="dxa"/>
          </w:tcPr>
          <w:p w14:paraId="22A42B17"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Reason why this Measure is not part of the Benchmark Tax System</w:t>
            </w:r>
          </w:p>
        </w:tc>
        <w:tc>
          <w:tcPr>
            <w:tcW w:w="7200" w:type="dxa"/>
            <w:gridSpan w:val="6"/>
          </w:tcPr>
          <w:p w14:paraId="0F15E4D4"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Tax rate of 0% for 3 years is a departure from the standard or benchmark rate of 12% and this tax preferential treatment is a tax expenditure.</w:t>
            </w:r>
          </w:p>
        </w:tc>
      </w:tr>
      <w:tr w:rsidR="007669E1" w:rsidRPr="007669E1" w14:paraId="3EB2EE27" w14:textId="77777777" w:rsidTr="00D75D26">
        <w:tc>
          <w:tcPr>
            <w:tcW w:w="2425" w:type="dxa"/>
          </w:tcPr>
          <w:p w14:paraId="339AF86D"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Legal Reference</w:t>
            </w:r>
          </w:p>
        </w:tc>
        <w:tc>
          <w:tcPr>
            <w:tcW w:w="7200" w:type="dxa"/>
            <w:gridSpan w:val="6"/>
          </w:tcPr>
          <w:p w14:paraId="5B39425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49</w:t>
            </w:r>
          </w:p>
        </w:tc>
      </w:tr>
      <w:tr w:rsidR="00136C8F" w:rsidRPr="007669E1" w14:paraId="24CF920E" w14:textId="77777777" w:rsidTr="00D75D26">
        <w:trPr>
          <w:trHeight w:val="182"/>
        </w:trPr>
        <w:tc>
          <w:tcPr>
            <w:tcW w:w="2425" w:type="dxa"/>
            <w:vMerge w:val="restart"/>
          </w:tcPr>
          <w:p w14:paraId="7167333E"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Implementation, Objectives, and History</w:t>
            </w:r>
          </w:p>
        </w:tc>
        <w:tc>
          <w:tcPr>
            <w:tcW w:w="3462" w:type="dxa"/>
            <w:gridSpan w:val="3"/>
          </w:tcPr>
          <w:p w14:paraId="1F25D300"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Pr>
          <w:p w14:paraId="091C7C0C"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4AEE6609" w14:textId="77777777" w:rsidTr="00D75D26">
        <w:trPr>
          <w:trHeight w:val="182"/>
        </w:trPr>
        <w:tc>
          <w:tcPr>
            <w:tcW w:w="2425" w:type="dxa"/>
            <w:vMerge/>
          </w:tcPr>
          <w:p w14:paraId="4A22F7AE" w14:textId="77777777" w:rsidR="007C2B84" w:rsidRPr="009920CF" w:rsidRDefault="007C2B84" w:rsidP="00E90BA7">
            <w:pPr>
              <w:spacing w:before="20" w:after="20" w:line="240" w:lineRule="auto"/>
              <w:jc w:val="both"/>
              <w:rPr>
                <w:rFonts w:ascii="Segoe UI" w:hAnsi="Segoe UI" w:cs="Segoe UI"/>
                <w:b/>
                <w:bCs/>
                <w:sz w:val="18"/>
                <w:szCs w:val="18"/>
              </w:rPr>
            </w:pPr>
          </w:p>
        </w:tc>
        <w:tc>
          <w:tcPr>
            <w:tcW w:w="3462" w:type="dxa"/>
            <w:gridSpan w:val="3"/>
          </w:tcPr>
          <w:p w14:paraId="3A84AAD3"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0E9A279D" w14:textId="54EC6EFA"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232C093" w14:textId="77777777" w:rsidTr="00D75D26">
        <w:tc>
          <w:tcPr>
            <w:tcW w:w="2425" w:type="dxa"/>
          </w:tcPr>
          <w:p w14:paraId="36CD435B" w14:textId="77777777" w:rsidR="00975826" w:rsidRPr="009920CF" w:rsidRDefault="00975826"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Source of Data</w:t>
            </w:r>
          </w:p>
        </w:tc>
        <w:tc>
          <w:tcPr>
            <w:tcW w:w="7200" w:type="dxa"/>
            <w:gridSpan w:val="6"/>
          </w:tcPr>
          <w:p w14:paraId="7B9DDCF6" w14:textId="63CB1C7D" w:rsidR="00975826" w:rsidRPr="007669E1" w:rsidRDefault="009758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1C7EECE2" w14:textId="77777777" w:rsidTr="00D75D26">
        <w:tc>
          <w:tcPr>
            <w:tcW w:w="2425" w:type="dxa"/>
          </w:tcPr>
          <w:p w14:paraId="2012C74F" w14:textId="77777777" w:rsidR="00975826" w:rsidRPr="009920CF" w:rsidRDefault="00975826"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Estimation Method</w:t>
            </w:r>
          </w:p>
        </w:tc>
        <w:tc>
          <w:tcPr>
            <w:tcW w:w="7200" w:type="dxa"/>
            <w:gridSpan w:val="6"/>
          </w:tcPr>
          <w:p w14:paraId="0B74D794" w14:textId="59FA6D17" w:rsidR="00975826" w:rsidRPr="007669E1" w:rsidRDefault="009758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44B65F3E" w14:textId="77777777" w:rsidTr="00D75D26">
        <w:tc>
          <w:tcPr>
            <w:tcW w:w="2425" w:type="dxa"/>
          </w:tcPr>
          <w:p w14:paraId="4C5262B5"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Number of Beneficiaries</w:t>
            </w:r>
          </w:p>
        </w:tc>
        <w:tc>
          <w:tcPr>
            <w:tcW w:w="7200" w:type="dxa"/>
            <w:gridSpan w:val="6"/>
          </w:tcPr>
          <w:p w14:paraId="0FA193F9"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05C42AA4" w14:textId="77777777" w:rsidTr="00D75D26">
        <w:tc>
          <w:tcPr>
            <w:tcW w:w="2425" w:type="dxa"/>
          </w:tcPr>
          <w:p w14:paraId="2370B8AC"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Revenue Cost Reporting</w:t>
            </w:r>
          </w:p>
        </w:tc>
        <w:tc>
          <w:tcPr>
            <w:tcW w:w="7200" w:type="dxa"/>
            <w:gridSpan w:val="6"/>
          </w:tcPr>
          <w:p w14:paraId="36696E95" w14:textId="1718970F" w:rsidR="007C2B84" w:rsidRPr="007669E1" w:rsidRDefault="00D221B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2693C6E8" w14:textId="77777777" w:rsidTr="00D75D26">
        <w:trPr>
          <w:trHeight w:val="91"/>
        </w:trPr>
        <w:tc>
          <w:tcPr>
            <w:tcW w:w="2425" w:type="dxa"/>
            <w:vMerge w:val="restart"/>
          </w:tcPr>
          <w:p w14:paraId="51A48741" w14:textId="77777777" w:rsidR="007C2B84" w:rsidRPr="009920CF" w:rsidRDefault="007C2B84" w:rsidP="00E90BA7">
            <w:pPr>
              <w:spacing w:before="20" w:after="20" w:line="240" w:lineRule="auto"/>
              <w:jc w:val="both"/>
              <w:rPr>
                <w:rFonts w:ascii="Segoe UI" w:hAnsi="Segoe UI" w:cs="Segoe UI"/>
                <w:b/>
                <w:bCs/>
                <w:sz w:val="18"/>
                <w:szCs w:val="18"/>
              </w:rPr>
            </w:pPr>
          </w:p>
        </w:tc>
        <w:tc>
          <w:tcPr>
            <w:tcW w:w="1385" w:type="dxa"/>
          </w:tcPr>
          <w:p w14:paraId="2FE5B2DD"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2018</w:t>
            </w:r>
          </w:p>
        </w:tc>
        <w:tc>
          <w:tcPr>
            <w:tcW w:w="1385" w:type="dxa"/>
          </w:tcPr>
          <w:p w14:paraId="1A0B917E"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2019</w:t>
            </w:r>
          </w:p>
        </w:tc>
        <w:tc>
          <w:tcPr>
            <w:tcW w:w="1385" w:type="dxa"/>
            <w:gridSpan w:val="2"/>
          </w:tcPr>
          <w:p w14:paraId="48D95402"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2020</w:t>
            </w:r>
          </w:p>
        </w:tc>
        <w:tc>
          <w:tcPr>
            <w:tcW w:w="1385" w:type="dxa"/>
          </w:tcPr>
          <w:p w14:paraId="5478A445"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2021</w:t>
            </w:r>
          </w:p>
        </w:tc>
        <w:tc>
          <w:tcPr>
            <w:tcW w:w="1660" w:type="dxa"/>
          </w:tcPr>
          <w:p w14:paraId="3342D936" w14:textId="3144EE7B" w:rsidR="007C2B84" w:rsidRPr="009920CF" w:rsidRDefault="000C00AF"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2022</w:t>
            </w:r>
          </w:p>
        </w:tc>
      </w:tr>
      <w:tr w:rsidR="007669E1" w:rsidRPr="007669E1" w14:paraId="582B9D8A" w14:textId="77777777" w:rsidTr="00BD2375">
        <w:trPr>
          <w:trHeight w:val="91"/>
        </w:trPr>
        <w:tc>
          <w:tcPr>
            <w:tcW w:w="2425" w:type="dxa"/>
            <w:vMerge/>
          </w:tcPr>
          <w:p w14:paraId="0E428767"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vAlign w:val="bottom"/>
          </w:tcPr>
          <w:p w14:paraId="29513B15" w14:textId="6A310322" w:rsidR="007C2B84" w:rsidRPr="007669E1" w:rsidRDefault="006D7D35"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2,002.3</w:t>
            </w:r>
          </w:p>
        </w:tc>
        <w:tc>
          <w:tcPr>
            <w:tcW w:w="1385" w:type="dxa"/>
            <w:shd w:val="clear" w:color="auto" w:fill="D9D9D9" w:themeFill="background1" w:themeFillShade="D9"/>
            <w:vAlign w:val="bottom"/>
          </w:tcPr>
          <w:p w14:paraId="2C54651A" w14:textId="75520E22" w:rsidR="007C2B84" w:rsidRPr="007669E1" w:rsidRDefault="006D7D3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2,005.3</w:t>
            </w:r>
          </w:p>
        </w:tc>
        <w:tc>
          <w:tcPr>
            <w:tcW w:w="1385" w:type="dxa"/>
            <w:gridSpan w:val="2"/>
            <w:shd w:val="clear" w:color="auto" w:fill="D9D9D9" w:themeFill="background1" w:themeFillShade="D9"/>
            <w:vAlign w:val="bottom"/>
          </w:tcPr>
          <w:p w14:paraId="3CB7736F" w14:textId="67F525EF" w:rsidR="007C2B84" w:rsidRPr="007669E1" w:rsidRDefault="006D7D3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1,914.8</w:t>
            </w:r>
          </w:p>
        </w:tc>
        <w:tc>
          <w:tcPr>
            <w:tcW w:w="1385" w:type="dxa"/>
            <w:shd w:val="clear" w:color="auto" w:fill="D9D9D9" w:themeFill="background1" w:themeFillShade="D9"/>
            <w:vAlign w:val="bottom"/>
          </w:tcPr>
          <w:p w14:paraId="64D42CC2" w14:textId="42BD3E21" w:rsidR="007C2B84" w:rsidRPr="007669E1" w:rsidRDefault="006D7D3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2,210.1</w:t>
            </w:r>
          </w:p>
        </w:tc>
        <w:tc>
          <w:tcPr>
            <w:tcW w:w="1660" w:type="dxa"/>
            <w:shd w:val="clear" w:color="auto" w:fill="D9D9D9" w:themeFill="background1" w:themeFillShade="D9"/>
            <w:vAlign w:val="bottom"/>
          </w:tcPr>
          <w:p w14:paraId="3AC5FA99" w14:textId="71055EF0" w:rsidR="007C2B84" w:rsidRPr="007669E1" w:rsidRDefault="006D7D3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2,463.1</w:t>
            </w:r>
          </w:p>
        </w:tc>
      </w:tr>
    </w:tbl>
    <w:p w14:paraId="3084BA7A" w14:textId="18659970" w:rsidR="009E5C1E" w:rsidRPr="007669E1" w:rsidRDefault="009E5C1E"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lastRenderedPageBreak/>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1C47AECC" w14:textId="77777777" w:rsidR="007C2B84" w:rsidRPr="007669E1" w:rsidRDefault="007C2B84" w:rsidP="00E90BA7">
      <w:pPr>
        <w:spacing w:before="20" w:after="20" w:line="240" w:lineRule="auto"/>
        <w:jc w:val="both"/>
        <w:rPr>
          <w:rFonts w:ascii="Segoe UI" w:hAnsi="Segoe UI" w:cs="Segoe UI"/>
          <w:b/>
          <w:sz w:val="18"/>
          <w:szCs w:val="18"/>
        </w:rPr>
      </w:pPr>
    </w:p>
    <w:tbl>
      <w:tblPr>
        <w:tblW w:w="96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86"/>
        <w:gridCol w:w="1348"/>
        <w:gridCol w:w="1347"/>
        <w:gridCol w:w="677"/>
        <w:gridCol w:w="670"/>
        <w:gridCol w:w="1347"/>
        <w:gridCol w:w="1864"/>
      </w:tblGrid>
      <w:tr w:rsidR="00A2051E" w:rsidRPr="007669E1" w14:paraId="1F748D99" w14:textId="77777777" w:rsidTr="0055651E">
        <w:tc>
          <w:tcPr>
            <w:tcW w:w="9639" w:type="dxa"/>
            <w:gridSpan w:val="7"/>
            <w:shd w:val="clear" w:color="auto" w:fill="D9D9D9" w:themeFill="background1" w:themeFillShade="D9"/>
          </w:tcPr>
          <w:p w14:paraId="05097EA9" w14:textId="0ED90BE7" w:rsidR="0055651E" w:rsidRPr="007669E1" w:rsidRDefault="0055651E"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17. 5-year tax holiday for US$5M+ investments in Free Economic Zones (FEZs)</w:t>
            </w:r>
          </w:p>
        </w:tc>
      </w:tr>
      <w:tr w:rsidR="007669E1" w:rsidRPr="007669E1" w14:paraId="6B4E0C49" w14:textId="77777777" w:rsidTr="0055651E">
        <w:trPr>
          <w:trHeight w:val="530"/>
        </w:trPr>
        <w:tc>
          <w:tcPr>
            <w:tcW w:w="2386" w:type="dxa"/>
          </w:tcPr>
          <w:p w14:paraId="16B5492B"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53" w:type="dxa"/>
            <w:gridSpan w:val="6"/>
          </w:tcPr>
          <w:p w14:paraId="43C4ADD8"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is complete exemption of the BIT for revenue obtained from the export of goods (services) granted for five years provided the FEZ resident invested at least USD 5 million in fixed assets or FEZ's infrastructure. This 5-year tax holiday is a non-structural incentive.</w:t>
            </w:r>
          </w:p>
        </w:tc>
      </w:tr>
      <w:tr w:rsidR="007669E1" w:rsidRPr="007669E1" w14:paraId="07602C6F" w14:textId="77777777" w:rsidTr="0055651E">
        <w:tc>
          <w:tcPr>
            <w:tcW w:w="2386" w:type="dxa"/>
          </w:tcPr>
          <w:p w14:paraId="2C3A3E0A"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53" w:type="dxa"/>
            <w:gridSpan w:val="6"/>
          </w:tcPr>
          <w:p w14:paraId="516AC04D"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669E1" w:rsidRPr="007669E1" w14:paraId="56C075FB" w14:textId="77777777" w:rsidTr="0055651E">
        <w:tc>
          <w:tcPr>
            <w:tcW w:w="2386" w:type="dxa"/>
          </w:tcPr>
          <w:p w14:paraId="0F95455D"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53" w:type="dxa"/>
            <w:gridSpan w:val="6"/>
          </w:tcPr>
          <w:p w14:paraId="6C92CC9C"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 investors in FEZ.</w:t>
            </w:r>
          </w:p>
        </w:tc>
      </w:tr>
      <w:tr w:rsidR="007669E1" w:rsidRPr="007669E1" w14:paraId="14F84337" w14:textId="77777777" w:rsidTr="0055651E">
        <w:tc>
          <w:tcPr>
            <w:tcW w:w="2386" w:type="dxa"/>
          </w:tcPr>
          <w:p w14:paraId="307AFB05"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Measure</w:t>
            </w:r>
          </w:p>
        </w:tc>
        <w:tc>
          <w:tcPr>
            <w:tcW w:w="7253" w:type="dxa"/>
            <w:gridSpan w:val="6"/>
          </w:tcPr>
          <w:p w14:paraId="78FCCAAD"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tax holiday of 5 years</w:t>
            </w:r>
          </w:p>
        </w:tc>
      </w:tr>
      <w:tr w:rsidR="007669E1" w:rsidRPr="007669E1" w14:paraId="65ACD8B5" w14:textId="77777777" w:rsidTr="0055651E">
        <w:tc>
          <w:tcPr>
            <w:tcW w:w="2386" w:type="dxa"/>
          </w:tcPr>
          <w:p w14:paraId="13374BE8"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53" w:type="dxa"/>
            <w:gridSpan w:val="6"/>
          </w:tcPr>
          <w:p w14:paraId="4B67BC3A"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tax holiday translates into a 0% tax rate for 5 years which is a departure from the benchmark statutory rate of 12%. The tax measure is therefore a tax expenditure.</w:t>
            </w:r>
          </w:p>
        </w:tc>
      </w:tr>
      <w:tr w:rsidR="007669E1" w:rsidRPr="007669E1" w14:paraId="37A5FB05" w14:textId="77777777" w:rsidTr="0055651E">
        <w:tc>
          <w:tcPr>
            <w:tcW w:w="2386" w:type="dxa"/>
          </w:tcPr>
          <w:p w14:paraId="33027737"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53" w:type="dxa"/>
            <w:gridSpan w:val="6"/>
          </w:tcPr>
          <w:p w14:paraId="00A43C32"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49</w:t>
            </w:r>
          </w:p>
        </w:tc>
      </w:tr>
      <w:tr w:rsidR="00136C8F" w:rsidRPr="007669E1" w14:paraId="3E8014E4" w14:textId="77777777" w:rsidTr="0055651E">
        <w:trPr>
          <w:trHeight w:val="182"/>
        </w:trPr>
        <w:tc>
          <w:tcPr>
            <w:tcW w:w="2386" w:type="dxa"/>
            <w:vMerge w:val="restart"/>
          </w:tcPr>
          <w:p w14:paraId="759BB2C6"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3372" w:type="dxa"/>
            <w:gridSpan w:val="3"/>
          </w:tcPr>
          <w:p w14:paraId="712657ED" w14:textId="77777777" w:rsidR="007C2B84" w:rsidRPr="007669E1" w:rsidRDefault="007C2B84" w:rsidP="00E90BA7">
            <w:pPr>
              <w:spacing w:before="20" w:after="20" w:line="240" w:lineRule="auto"/>
              <w:jc w:val="both"/>
              <w:rPr>
                <w:rFonts w:ascii="Segoe UI" w:hAnsi="Segoe UI" w:cs="Segoe UI"/>
                <w:sz w:val="18"/>
                <w:szCs w:val="18"/>
              </w:rPr>
            </w:pPr>
          </w:p>
        </w:tc>
        <w:tc>
          <w:tcPr>
            <w:tcW w:w="3881" w:type="dxa"/>
            <w:gridSpan w:val="3"/>
          </w:tcPr>
          <w:p w14:paraId="670824FE" w14:textId="77777777" w:rsidR="007C2B84" w:rsidRPr="007669E1" w:rsidRDefault="007C2B84" w:rsidP="00E90BA7">
            <w:pPr>
              <w:spacing w:before="20" w:after="20" w:line="240" w:lineRule="auto"/>
              <w:jc w:val="both"/>
              <w:rPr>
                <w:rFonts w:ascii="Segoe UI" w:hAnsi="Segoe UI" w:cs="Segoe UI"/>
                <w:sz w:val="18"/>
                <w:szCs w:val="18"/>
              </w:rPr>
            </w:pPr>
          </w:p>
        </w:tc>
      </w:tr>
      <w:tr w:rsidR="00136C8F" w:rsidRPr="007669E1" w14:paraId="0F302F8E" w14:textId="77777777" w:rsidTr="0055651E">
        <w:trPr>
          <w:trHeight w:val="182"/>
        </w:trPr>
        <w:tc>
          <w:tcPr>
            <w:tcW w:w="2386" w:type="dxa"/>
            <w:vMerge/>
          </w:tcPr>
          <w:p w14:paraId="52AE48E4" w14:textId="77777777" w:rsidR="007C2B84" w:rsidRPr="007669E1" w:rsidRDefault="007C2B84" w:rsidP="00E90BA7">
            <w:pPr>
              <w:spacing w:before="20" w:after="20" w:line="240" w:lineRule="auto"/>
              <w:jc w:val="both"/>
              <w:rPr>
                <w:rFonts w:ascii="Segoe UI" w:hAnsi="Segoe UI" w:cs="Segoe UI"/>
                <w:b/>
                <w:bCs/>
                <w:sz w:val="18"/>
                <w:szCs w:val="18"/>
              </w:rPr>
            </w:pPr>
          </w:p>
        </w:tc>
        <w:tc>
          <w:tcPr>
            <w:tcW w:w="3372" w:type="dxa"/>
            <w:gridSpan w:val="3"/>
          </w:tcPr>
          <w:p w14:paraId="032F396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881" w:type="dxa"/>
            <w:gridSpan w:val="3"/>
          </w:tcPr>
          <w:p w14:paraId="45BA17CF" w14:textId="0D6A62D6"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0E694DD8" w14:textId="77777777" w:rsidTr="0055651E">
        <w:tc>
          <w:tcPr>
            <w:tcW w:w="2386" w:type="dxa"/>
          </w:tcPr>
          <w:p w14:paraId="469D0C6A" w14:textId="77777777" w:rsidR="0055651E" w:rsidRPr="007669E1" w:rsidRDefault="0055651E"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53" w:type="dxa"/>
            <w:gridSpan w:val="6"/>
          </w:tcPr>
          <w:p w14:paraId="11F21055" w14:textId="74665D27"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7669E1" w:rsidRPr="007669E1" w14:paraId="792BF9F2" w14:textId="77777777" w:rsidTr="0055651E">
        <w:tc>
          <w:tcPr>
            <w:tcW w:w="2386" w:type="dxa"/>
          </w:tcPr>
          <w:p w14:paraId="78DC1D73" w14:textId="77777777" w:rsidR="0055651E" w:rsidRPr="007669E1" w:rsidRDefault="0055651E"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53" w:type="dxa"/>
            <w:gridSpan w:val="6"/>
          </w:tcPr>
          <w:p w14:paraId="2F62B7A5" w14:textId="1792A542"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669E1" w:rsidRPr="007669E1" w14:paraId="198EAD24" w14:textId="77777777" w:rsidTr="0055651E">
        <w:tc>
          <w:tcPr>
            <w:tcW w:w="2386" w:type="dxa"/>
          </w:tcPr>
          <w:p w14:paraId="2720C448"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53" w:type="dxa"/>
            <w:gridSpan w:val="6"/>
          </w:tcPr>
          <w:p w14:paraId="2F16D24D" w14:textId="77777777" w:rsidR="007C2B84" w:rsidRPr="007669E1" w:rsidRDefault="007C2B84" w:rsidP="00E90BA7">
            <w:pPr>
              <w:spacing w:before="20" w:after="20" w:line="240" w:lineRule="auto"/>
              <w:jc w:val="both"/>
              <w:rPr>
                <w:rFonts w:ascii="Segoe UI" w:hAnsi="Segoe UI" w:cs="Segoe UI"/>
                <w:sz w:val="18"/>
                <w:szCs w:val="18"/>
              </w:rPr>
            </w:pPr>
          </w:p>
        </w:tc>
      </w:tr>
      <w:tr w:rsidR="007669E1" w:rsidRPr="007669E1" w14:paraId="32824ED7" w14:textId="77777777" w:rsidTr="0055651E">
        <w:tc>
          <w:tcPr>
            <w:tcW w:w="2386" w:type="dxa"/>
          </w:tcPr>
          <w:p w14:paraId="1194F767"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53" w:type="dxa"/>
            <w:gridSpan w:val="6"/>
          </w:tcPr>
          <w:p w14:paraId="1AE3DC2C" w14:textId="268829F3" w:rsidR="007C2B84" w:rsidRPr="007669E1" w:rsidRDefault="001F378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136C8F" w:rsidRPr="007669E1" w14:paraId="49D6E418" w14:textId="77777777" w:rsidTr="0055651E">
        <w:trPr>
          <w:trHeight w:val="91"/>
        </w:trPr>
        <w:tc>
          <w:tcPr>
            <w:tcW w:w="2386" w:type="dxa"/>
            <w:vMerge w:val="restart"/>
          </w:tcPr>
          <w:p w14:paraId="4C175330" w14:textId="77777777" w:rsidR="007C2B84" w:rsidRPr="007669E1" w:rsidRDefault="007C2B84" w:rsidP="00E90BA7">
            <w:pPr>
              <w:spacing w:before="20" w:after="20" w:line="240" w:lineRule="auto"/>
              <w:jc w:val="both"/>
              <w:rPr>
                <w:rFonts w:ascii="Segoe UI" w:hAnsi="Segoe UI" w:cs="Segoe UI"/>
                <w:sz w:val="18"/>
                <w:szCs w:val="18"/>
              </w:rPr>
            </w:pPr>
          </w:p>
        </w:tc>
        <w:tc>
          <w:tcPr>
            <w:tcW w:w="1348" w:type="dxa"/>
          </w:tcPr>
          <w:p w14:paraId="35DF4469"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47" w:type="dxa"/>
          </w:tcPr>
          <w:p w14:paraId="5150402B"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47" w:type="dxa"/>
            <w:gridSpan w:val="2"/>
          </w:tcPr>
          <w:p w14:paraId="0EBA8B2A"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47" w:type="dxa"/>
          </w:tcPr>
          <w:p w14:paraId="2579800F" w14:textId="77777777"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864" w:type="dxa"/>
          </w:tcPr>
          <w:p w14:paraId="413282F6" w14:textId="3C372C8E" w:rsidR="007C2B84" w:rsidRPr="007669E1" w:rsidRDefault="000C00AF"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7669E1" w:rsidRPr="007669E1" w14:paraId="04CA1C5D" w14:textId="77777777" w:rsidTr="00BD2375">
        <w:trPr>
          <w:trHeight w:val="91"/>
        </w:trPr>
        <w:tc>
          <w:tcPr>
            <w:tcW w:w="2386" w:type="dxa"/>
            <w:vMerge/>
          </w:tcPr>
          <w:p w14:paraId="53F9468F" w14:textId="77777777" w:rsidR="007C2B84" w:rsidRPr="007669E1" w:rsidRDefault="007C2B84" w:rsidP="00E90BA7">
            <w:pPr>
              <w:spacing w:before="20" w:after="20" w:line="240" w:lineRule="auto"/>
              <w:jc w:val="both"/>
              <w:rPr>
                <w:rFonts w:ascii="Segoe UI" w:hAnsi="Segoe UI" w:cs="Segoe UI"/>
                <w:sz w:val="18"/>
                <w:szCs w:val="18"/>
              </w:rPr>
            </w:pPr>
          </w:p>
        </w:tc>
        <w:tc>
          <w:tcPr>
            <w:tcW w:w="1348" w:type="dxa"/>
            <w:vAlign w:val="bottom"/>
          </w:tcPr>
          <w:p w14:paraId="1D14ADA0" w14:textId="76180D0D" w:rsidR="007C2B84" w:rsidRPr="007669E1" w:rsidRDefault="00BC67C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5,390.8</w:t>
            </w:r>
          </w:p>
        </w:tc>
        <w:tc>
          <w:tcPr>
            <w:tcW w:w="1347" w:type="dxa"/>
            <w:shd w:val="clear" w:color="auto" w:fill="D9D9D9" w:themeFill="background1" w:themeFillShade="D9"/>
            <w:vAlign w:val="bottom"/>
          </w:tcPr>
          <w:p w14:paraId="3D558627" w14:textId="13B9B345" w:rsidR="007C2B84" w:rsidRPr="007669E1" w:rsidRDefault="00BC67C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5,398.8</w:t>
            </w:r>
          </w:p>
        </w:tc>
        <w:tc>
          <w:tcPr>
            <w:tcW w:w="1347" w:type="dxa"/>
            <w:gridSpan w:val="2"/>
            <w:shd w:val="clear" w:color="auto" w:fill="D9D9D9" w:themeFill="background1" w:themeFillShade="D9"/>
            <w:vAlign w:val="bottom"/>
          </w:tcPr>
          <w:p w14:paraId="15085465" w14:textId="561F282B" w:rsidR="007C2B84" w:rsidRPr="007669E1" w:rsidRDefault="00BC67C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5,155.3</w:t>
            </w:r>
          </w:p>
        </w:tc>
        <w:tc>
          <w:tcPr>
            <w:tcW w:w="1347" w:type="dxa"/>
            <w:shd w:val="clear" w:color="auto" w:fill="D9D9D9" w:themeFill="background1" w:themeFillShade="D9"/>
            <w:vAlign w:val="bottom"/>
          </w:tcPr>
          <w:p w14:paraId="7B9A7271" w14:textId="0454EC1E" w:rsidR="007C2B84" w:rsidRPr="007669E1" w:rsidRDefault="00BC67C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5,950.3</w:t>
            </w:r>
          </w:p>
        </w:tc>
        <w:tc>
          <w:tcPr>
            <w:tcW w:w="1864" w:type="dxa"/>
            <w:shd w:val="clear" w:color="auto" w:fill="D9D9D9" w:themeFill="background1" w:themeFillShade="D9"/>
            <w:vAlign w:val="bottom"/>
          </w:tcPr>
          <w:p w14:paraId="6F254B64" w14:textId="48F2DCFE" w:rsidR="007C2B84" w:rsidRPr="007669E1" w:rsidRDefault="00BC67C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6,631.5</w:t>
            </w:r>
          </w:p>
        </w:tc>
      </w:tr>
    </w:tbl>
    <w:p w14:paraId="1458CBF7" w14:textId="0CBC228D" w:rsidR="00B9786F" w:rsidRPr="007669E1" w:rsidRDefault="00B9786F"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58AED7F4" w14:textId="77777777" w:rsidR="007C2B84" w:rsidRPr="007669E1" w:rsidRDefault="007C2B84"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7669E1" w14:paraId="6FFEBACB" w14:textId="77777777" w:rsidTr="004A07CC">
        <w:tc>
          <w:tcPr>
            <w:tcW w:w="9625" w:type="dxa"/>
            <w:gridSpan w:val="7"/>
            <w:shd w:val="clear" w:color="auto" w:fill="D9D9D9" w:themeFill="background1" w:themeFillShade="D9"/>
          </w:tcPr>
          <w:p w14:paraId="469F8003" w14:textId="2F6F27C5" w:rsidR="007C2B84" w:rsidRPr="007669E1" w:rsidRDefault="007C2B84"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 xml:space="preserve">18. </w:t>
            </w:r>
            <w:r w:rsidR="00FC171D" w:rsidRPr="007669E1">
              <w:rPr>
                <w:rFonts w:ascii="Segoe UI" w:hAnsi="Segoe UI" w:cs="Segoe UI"/>
                <w:b/>
                <w:bCs/>
                <w:sz w:val="18"/>
                <w:szCs w:val="18"/>
              </w:rPr>
              <w:t>Additional 1, 3 or 5-year tax holiday for additional US$1, 3 or 5M+ investments in Free Economic Zones (FEZs)</w:t>
            </w:r>
          </w:p>
        </w:tc>
      </w:tr>
      <w:tr w:rsidR="007C2B84" w:rsidRPr="007669E1" w14:paraId="08475B2F" w14:textId="77777777" w:rsidTr="004A07CC">
        <w:tc>
          <w:tcPr>
            <w:tcW w:w="2425" w:type="dxa"/>
          </w:tcPr>
          <w:p w14:paraId="1A50F76F"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Description</w:t>
            </w:r>
          </w:p>
        </w:tc>
        <w:tc>
          <w:tcPr>
            <w:tcW w:w="7200" w:type="dxa"/>
            <w:gridSpan w:val="6"/>
          </w:tcPr>
          <w:p w14:paraId="2F311034" w14:textId="77777777" w:rsidR="007C2B84" w:rsidRPr="007669E1" w:rsidRDefault="007C2B84"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In case of additional capital investment of USD 1 million (USD 3 million, USD 5 million) FEZ residents are entitled to additional tax exemption period of 1 year (3 or 5 years, respectively) provided the average number of employees increased by 20 percent compared to the period before the additional investment was made. Again, this is a non-structural incentive.</w:t>
            </w:r>
          </w:p>
        </w:tc>
      </w:tr>
      <w:tr w:rsidR="007C2B84" w:rsidRPr="007669E1" w14:paraId="683EC61B" w14:textId="77777777" w:rsidTr="004A07CC">
        <w:tc>
          <w:tcPr>
            <w:tcW w:w="2425" w:type="dxa"/>
          </w:tcPr>
          <w:p w14:paraId="3481C7B5"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Type of Tax Affected</w:t>
            </w:r>
          </w:p>
        </w:tc>
        <w:tc>
          <w:tcPr>
            <w:tcW w:w="7200" w:type="dxa"/>
            <w:gridSpan w:val="6"/>
          </w:tcPr>
          <w:p w14:paraId="71D735FB"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BIT</w:t>
            </w:r>
          </w:p>
        </w:tc>
      </w:tr>
      <w:tr w:rsidR="007C2B84" w:rsidRPr="007669E1" w14:paraId="2E6ED3BB" w14:textId="77777777" w:rsidTr="004A07CC">
        <w:tc>
          <w:tcPr>
            <w:tcW w:w="2425" w:type="dxa"/>
          </w:tcPr>
          <w:p w14:paraId="4B42F79D"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Beneficiaries</w:t>
            </w:r>
          </w:p>
        </w:tc>
        <w:tc>
          <w:tcPr>
            <w:tcW w:w="7200" w:type="dxa"/>
            <w:gridSpan w:val="6"/>
          </w:tcPr>
          <w:p w14:paraId="63221AE6"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 investors in FEZ</w:t>
            </w:r>
          </w:p>
        </w:tc>
      </w:tr>
      <w:tr w:rsidR="007C2B84" w:rsidRPr="007669E1" w14:paraId="5E3940D9" w14:textId="77777777" w:rsidTr="004A07CC">
        <w:tc>
          <w:tcPr>
            <w:tcW w:w="2425" w:type="dxa"/>
          </w:tcPr>
          <w:p w14:paraId="6CBD6F2B"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Type of Measure</w:t>
            </w:r>
          </w:p>
        </w:tc>
        <w:tc>
          <w:tcPr>
            <w:tcW w:w="7200" w:type="dxa"/>
            <w:gridSpan w:val="6"/>
          </w:tcPr>
          <w:p w14:paraId="3A5EB45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Additional tax holiday </w:t>
            </w:r>
          </w:p>
        </w:tc>
      </w:tr>
      <w:tr w:rsidR="007C2B84" w:rsidRPr="007669E1" w14:paraId="05D71EFD" w14:textId="77777777" w:rsidTr="004A07CC">
        <w:tc>
          <w:tcPr>
            <w:tcW w:w="2425" w:type="dxa"/>
          </w:tcPr>
          <w:p w14:paraId="5579BD77"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Reason why this Measure is not part of the Benchmark Tax System</w:t>
            </w:r>
          </w:p>
        </w:tc>
        <w:tc>
          <w:tcPr>
            <w:tcW w:w="7200" w:type="dxa"/>
            <w:gridSpan w:val="6"/>
          </w:tcPr>
          <w:p w14:paraId="3A666901"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tax holiday translates into a 0% tax rate for 3 – 5 years which is a departure from the benchmark statutory rate of 12%. The tax measure is therefore a tax expenditure.</w:t>
            </w:r>
          </w:p>
        </w:tc>
      </w:tr>
      <w:tr w:rsidR="007C2B84" w:rsidRPr="007669E1" w14:paraId="108F94CA" w14:textId="77777777" w:rsidTr="004A07CC">
        <w:tc>
          <w:tcPr>
            <w:tcW w:w="2425" w:type="dxa"/>
          </w:tcPr>
          <w:p w14:paraId="28CC784C"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Legal Reference</w:t>
            </w:r>
          </w:p>
        </w:tc>
        <w:tc>
          <w:tcPr>
            <w:tcW w:w="7200" w:type="dxa"/>
            <w:gridSpan w:val="6"/>
            <w:tcBorders>
              <w:bottom w:val="single" w:sz="4" w:space="0" w:color="auto"/>
            </w:tcBorders>
          </w:tcPr>
          <w:p w14:paraId="472FD1C7"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49</w:t>
            </w:r>
          </w:p>
        </w:tc>
      </w:tr>
      <w:tr w:rsidR="007C2B84" w:rsidRPr="007669E1" w14:paraId="50FF15ED" w14:textId="77777777" w:rsidTr="004A07CC">
        <w:trPr>
          <w:trHeight w:val="182"/>
        </w:trPr>
        <w:tc>
          <w:tcPr>
            <w:tcW w:w="2425" w:type="dxa"/>
            <w:vMerge w:val="restart"/>
          </w:tcPr>
          <w:p w14:paraId="6F4BC686"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Implementation, Objectives, and History</w:t>
            </w:r>
          </w:p>
        </w:tc>
        <w:tc>
          <w:tcPr>
            <w:tcW w:w="3462" w:type="dxa"/>
            <w:gridSpan w:val="3"/>
            <w:tcBorders>
              <w:right w:val="nil"/>
            </w:tcBorders>
          </w:tcPr>
          <w:p w14:paraId="490BE4E9" w14:textId="77777777" w:rsidR="007C2B84" w:rsidRPr="007669E1" w:rsidRDefault="007C2B84" w:rsidP="00E90BA7">
            <w:pPr>
              <w:spacing w:before="20" w:after="20" w:line="240" w:lineRule="auto"/>
              <w:jc w:val="both"/>
              <w:rPr>
                <w:rFonts w:ascii="Segoe UI" w:hAnsi="Segoe UI" w:cs="Segoe UI"/>
                <w:sz w:val="18"/>
                <w:szCs w:val="18"/>
              </w:rPr>
            </w:pPr>
          </w:p>
        </w:tc>
        <w:tc>
          <w:tcPr>
            <w:tcW w:w="3738" w:type="dxa"/>
            <w:gridSpan w:val="3"/>
            <w:tcBorders>
              <w:left w:val="nil"/>
            </w:tcBorders>
          </w:tcPr>
          <w:p w14:paraId="68599D94" w14:textId="77777777" w:rsidR="007C2B84" w:rsidRPr="007669E1" w:rsidRDefault="007C2B84" w:rsidP="00E90BA7">
            <w:pPr>
              <w:spacing w:before="20" w:after="20" w:line="240" w:lineRule="auto"/>
              <w:jc w:val="both"/>
              <w:rPr>
                <w:rFonts w:ascii="Segoe UI" w:hAnsi="Segoe UI" w:cs="Segoe UI"/>
                <w:sz w:val="18"/>
                <w:szCs w:val="18"/>
              </w:rPr>
            </w:pPr>
          </w:p>
        </w:tc>
      </w:tr>
      <w:tr w:rsidR="007C2B84" w:rsidRPr="007669E1" w14:paraId="1FBAF571" w14:textId="77777777" w:rsidTr="004A07CC">
        <w:trPr>
          <w:trHeight w:val="182"/>
        </w:trPr>
        <w:tc>
          <w:tcPr>
            <w:tcW w:w="2425" w:type="dxa"/>
            <w:vMerge/>
          </w:tcPr>
          <w:p w14:paraId="64F8F2CC" w14:textId="77777777" w:rsidR="007C2B84" w:rsidRPr="009920CF" w:rsidRDefault="007C2B84" w:rsidP="00E90BA7">
            <w:pPr>
              <w:spacing w:before="20" w:after="20" w:line="240" w:lineRule="auto"/>
              <w:jc w:val="both"/>
              <w:rPr>
                <w:rFonts w:ascii="Segoe UI" w:hAnsi="Segoe UI" w:cs="Segoe UI"/>
                <w:b/>
                <w:bCs/>
                <w:sz w:val="18"/>
                <w:szCs w:val="18"/>
              </w:rPr>
            </w:pPr>
          </w:p>
        </w:tc>
        <w:tc>
          <w:tcPr>
            <w:tcW w:w="3462" w:type="dxa"/>
            <w:gridSpan w:val="3"/>
          </w:tcPr>
          <w:p w14:paraId="3D8763D0"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0E0CE507" w14:textId="455E6271"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55651E" w:rsidRPr="007669E1" w14:paraId="26D554AA" w14:textId="77777777" w:rsidTr="004A07CC">
        <w:tc>
          <w:tcPr>
            <w:tcW w:w="2425" w:type="dxa"/>
          </w:tcPr>
          <w:p w14:paraId="6266B6DB" w14:textId="77777777" w:rsidR="0055651E" w:rsidRPr="009920CF" w:rsidRDefault="0055651E"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Source of Data</w:t>
            </w:r>
          </w:p>
        </w:tc>
        <w:tc>
          <w:tcPr>
            <w:tcW w:w="7200" w:type="dxa"/>
            <w:gridSpan w:val="6"/>
          </w:tcPr>
          <w:p w14:paraId="1981E25A" w14:textId="7FE2E0B9"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55651E" w:rsidRPr="007669E1" w14:paraId="3A49EAD9" w14:textId="77777777" w:rsidTr="004A07CC">
        <w:tc>
          <w:tcPr>
            <w:tcW w:w="2425" w:type="dxa"/>
          </w:tcPr>
          <w:p w14:paraId="611DB98D" w14:textId="77777777" w:rsidR="0055651E" w:rsidRPr="009920CF" w:rsidRDefault="0055651E"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Estimation Method</w:t>
            </w:r>
          </w:p>
        </w:tc>
        <w:tc>
          <w:tcPr>
            <w:tcW w:w="7200" w:type="dxa"/>
            <w:gridSpan w:val="6"/>
          </w:tcPr>
          <w:p w14:paraId="4C642E1D" w14:textId="0AD75A61"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C2B84" w:rsidRPr="007669E1" w14:paraId="2B201C2B" w14:textId="77777777" w:rsidTr="004A07CC">
        <w:tc>
          <w:tcPr>
            <w:tcW w:w="2425" w:type="dxa"/>
          </w:tcPr>
          <w:p w14:paraId="40C35848"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Number of Beneficiaries</w:t>
            </w:r>
          </w:p>
        </w:tc>
        <w:tc>
          <w:tcPr>
            <w:tcW w:w="7200" w:type="dxa"/>
            <w:gridSpan w:val="6"/>
          </w:tcPr>
          <w:p w14:paraId="211E86A5" w14:textId="77777777" w:rsidR="007C2B84" w:rsidRPr="007669E1" w:rsidRDefault="007C2B84" w:rsidP="00E90BA7">
            <w:pPr>
              <w:spacing w:before="20" w:after="20" w:line="240" w:lineRule="auto"/>
              <w:jc w:val="both"/>
              <w:rPr>
                <w:rFonts w:ascii="Segoe UI" w:hAnsi="Segoe UI" w:cs="Segoe UI"/>
                <w:sz w:val="18"/>
                <w:szCs w:val="18"/>
              </w:rPr>
            </w:pPr>
          </w:p>
        </w:tc>
      </w:tr>
      <w:tr w:rsidR="007C2B84" w:rsidRPr="007669E1" w14:paraId="01657EB9" w14:textId="77777777" w:rsidTr="004A07CC">
        <w:tc>
          <w:tcPr>
            <w:tcW w:w="2425" w:type="dxa"/>
          </w:tcPr>
          <w:p w14:paraId="09E56841"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Revenue Cost Reporting</w:t>
            </w:r>
          </w:p>
        </w:tc>
        <w:tc>
          <w:tcPr>
            <w:tcW w:w="7200" w:type="dxa"/>
            <w:gridSpan w:val="6"/>
          </w:tcPr>
          <w:p w14:paraId="40DD35CB" w14:textId="30D2754B" w:rsidR="007C2B84" w:rsidRPr="007669E1" w:rsidRDefault="00D35DB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7C2B84" w:rsidRPr="007669E1" w14:paraId="11C2303C" w14:textId="77777777" w:rsidTr="004A07CC">
        <w:trPr>
          <w:trHeight w:val="91"/>
        </w:trPr>
        <w:tc>
          <w:tcPr>
            <w:tcW w:w="2425" w:type="dxa"/>
            <w:vMerge w:val="restart"/>
          </w:tcPr>
          <w:p w14:paraId="2DBB27BF" w14:textId="77777777" w:rsidR="007C2B84" w:rsidRPr="007669E1" w:rsidRDefault="007C2B84" w:rsidP="00E90BA7">
            <w:pPr>
              <w:spacing w:before="20" w:after="20" w:line="240" w:lineRule="auto"/>
              <w:jc w:val="both"/>
              <w:rPr>
                <w:rFonts w:ascii="Segoe UI" w:hAnsi="Segoe UI" w:cs="Segoe UI"/>
                <w:sz w:val="18"/>
                <w:szCs w:val="18"/>
              </w:rPr>
            </w:pPr>
          </w:p>
        </w:tc>
        <w:tc>
          <w:tcPr>
            <w:tcW w:w="1385" w:type="dxa"/>
          </w:tcPr>
          <w:p w14:paraId="7FF08820"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2018</w:t>
            </w:r>
          </w:p>
        </w:tc>
        <w:tc>
          <w:tcPr>
            <w:tcW w:w="1385" w:type="dxa"/>
          </w:tcPr>
          <w:p w14:paraId="49A332BE"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2019</w:t>
            </w:r>
          </w:p>
        </w:tc>
        <w:tc>
          <w:tcPr>
            <w:tcW w:w="1385" w:type="dxa"/>
            <w:gridSpan w:val="2"/>
          </w:tcPr>
          <w:p w14:paraId="14DE6FAE"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2020</w:t>
            </w:r>
          </w:p>
        </w:tc>
        <w:tc>
          <w:tcPr>
            <w:tcW w:w="1385" w:type="dxa"/>
          </w:tcPr>
          <w:p w14:paraId="346F12B8" w14:textId="77777777" w:rsidR="007C2B84" w:rsidRPr="009920CF" w:rsidRDefault="007C2B84"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2021</w:t>
            </w:r>
          </w:p>
        </w:tc>
        <w:tc>
          <w:tcPr>
            <w:tcW w:w="1660" w:type="dxa"/>
          </w:tcPr>
          <w:p w14:paraId="242DF2A3" w14:textId="5CB2A1BA" w:rsidR="007C2B84" w:rsidRPr="009920CF" w:rsidRDefault="000C00AF" w:rsidP="00E90BA7">
            <w:pPr>
              <w:spacing w:before="20" w:after="20" w:line="240" w:lineRule="auto"/>
              <w:jc w:val="both"/>
              <w:rPr>
                <w:rFonts w:ascii="Segoe UI" w:hAnsi="Segoe UI" w:cs="Segoe UI"/>
                <w:b/>
                <w:bCs/>
                <w:sz w:val="18"/>
                <w:szCs w:val="18"/>
              </w:rPr>
            </w:pPr>
            <w:r w:rsidRPr="009920CF">
              <w:rPr>
                <w:rFonts w:ascii="Segoe UI" w:hAnsi="Segoe UI" w:cs="Segoe UI"/>
                <w:b/>
                <w:bCs/>
                <w:sz w:val="18"/>
                <w:szCs w:val="18"/>
              </w:rPr>
              <w:t>2022</w:t>
            </w:r>
          </w:p>
        </w:tc>
      </w:tr>
      <w:tr w:rsidR="002910A5" w:rsidRPr="007669E1" w14:paraId="4269537E" w14:textId="77777777" w:rsidTr="004A07CC">
        <w:trPr>
          <w:trHeight w:val="91"/>
        </w:trPr>
        <w:tc>
          <w:tcPr>
            <w:tcW w:w="2425" w:type="dxa"/>
            <w:vMerge/>
          </w:tcPr>
          <w:p w14:paraId="0FF040ED" w14:textId="77777777" w:rsidR="002910A5" w:rsidRPr="007669E1" w:rsidRDefault="002910A5" w:rsidP="00E90BA7">
            <w:pPr>
              <w:spacing w:before="20" w:after="20" w:line="240" w:lineRule="auto"/>
              <w:jc w:val="both"/>
              <w:rPr>
                <w:rFonts w:ascii="Segoe UI" w:hAnsi="Segoe UI" w:cs="Segoe UI"/>
                <w:sz w:val="18"/>
                <w:szCs w:val="18"/>
              </w:rPr>
            </w:pPr>
          </w:p>
        </w:tc>
        <w:tc>
          <w:tcPr>
            <w:tcW w:w="1385" w:type="dxa"/>
          </w:tcPr>
          <w:p w14:paraId="0EF7740E" w14:textId="0A9DCF61" w:rsidR="002910A5" w:rsidRPr="007669E1" w:rsidRDefault="002910A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0.0</w:t>
            </w:r>
          </w:p>
        </w:tc>
        <w:tc>
          <w:tcPr>
            <w:tcW w:w="1385" w:type="dxa"/>
          </w:tcPr>
          <w:p w14:paraId="462BFA27" w14:textId="392E26B0" w:rsidR="002910A5" w:rsidRPr="007669E1" w:rsidRDefault="002910A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0.0</w:t>
            </w:r>
          </w:p>
        </w:tc>
        <w:tc>
          <w:tcPr>
            <w:tcW w:w="1385" w:type="dxa"/>
            <w:gridSpan w:val="2"/>
          </w:tcPr>
          <w:p w14:paraId="2028856F" w14:textId="5AE796AF" w:rsidR="002910A5" w:rsidRPr="007669E1" w:rsidRDefault="002910A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0.0</w:t>
            </w:r>
          </w:p>
        </w:tc>
        <w:tc>
          <w:tcPr>
            <w:tcW w:w="1385" w:type="dxa"/>
          </w:tcPr>
          <w:p w14:paraId="4D93AFF1" w14:textId="1B1C0FF6" w:rsidR="002910A5" w:rsidRPr="007669E1" w:rsidRDefault="002910A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0.0</w:t>
            </w:r>
          </w:p>
        </w:tc>
        <w:tc>
          <w:tcPr>
            <w:tcW w:w="1660" w:type="dxa"/>
          </w:tcPr>
          <w:p w14:paraId="35D1885E" w14:textId="258E7ADD" w:rsidR="002910A5" w:rsidRPr="007669E1" w:rsidRDefault="002910A5" w:rsidP="00E90BA7">
            <w:pPr>
              <w:spacing w:before="20" w:after="20" w:line="240" w:lineRule="auto"/>
              <w:jc w:val="both"/>
              <w:rPr>
                <w:rFonts w:ascii="Segoe UI" w:hAnsi="Segoe UI" w:cs="Segoe UI"/>
                <w:i/>
                <w:iCs/>
                <w:sz w:val="18"/>
                <w:szCs w:val="18"/>
              </w:rPr>
            </w:pPr>
            <w:r w:rsidRPr="007669E1">
              <w:rPr>
                <w:rFonts w:ascii="Segoe UI" w:hAnsi="Segoe UI" w:cs="Segoe UI"/>
                <w:i/>
                <w:iCs/>
                <w:sz w:val="18"/>
                <w:szCs w:val="18"/>
              </w:rPr>
              <w:t>0.0</w:t>
            </w:r>
          </w:p>
        </w:tc>
      </w:tr>
    </w:tbl>
    <w:p w14:paraId="55DA2B32" w14:textId="28862BEE" w:rsidR="0044562A" w:rsidRPr="007669E1" w:rsidRDefault="0044562A"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lastRenderedPageBreak/>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69E019E9" w14:textId="554EE087" w:rsidR="0072252A" w:rsidRPr="007669E1" w:rsidRDefault="0072252A" w:rsidP="00E90BA7">
      <w:pPr>
        <w:spacing w:before="20" w:after="20" w:line="240" w:lineRule="auto"/>
        <w:ind w:left="216" w:hanging="216"/>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136C8F" w:rsidRPr="007669E1" w14:paraId="550ADCFF" w14:textId="77777777" w:rsidTr="00D75D26">
        <w:tc>
          <w:tcPr>
            <w:tcW w:w="9625" w:type="dxa"/>
            <w:gridSpan w:val="7"/>
            <w:shd w:val="clear" w:color="auto" w:fill="D9D9D9" w:themeFill="background1" w:themeFillShade="D9"/>
          </w:tcPr>
          <w:p w14:paraId="380FE682" w14:textId="28B30EE3"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 xml:space="preserve">19. </w:t>
            </w:r>
            <w:r w:rsidR="00FC171D" w:rsidRPr="007669E1">
              <w:rPr>
                <w:rFonts w:ascii="Segoe UI" w:hAnsi="Segoe UI" w:cs="Segoe UI"/>
                <w:b/>
                <w:sz w:val="18"/>
                <w:szCs w:val="18"/>
              </w:rPr>
              <w:t>Tax exemption of income from international grants for research and development, and from special funds and grants approved by the governme</w:t>
            </w:r>
            <w:r w:rsidR="0055651E" w:rsidRPr="007669E1">
              <w:rPr>
                <w:rFonts w:ascii="Segoe UI" w:hAnsi="Segoe UI" w:cs="Segoe UI"/>
                <w:b/>
                <w:sz w:val="18"/>
                <w:szCs w:val="18"/>
              </w:rPr>
              <w:t>nt</w:t>
            </w:r>
          </w:p>
        </w:tc>
      </w:tr>
      <w:tr w:rsidR="007C2B84" w:rsidRPr="007669E1" w14:paraId="68A69282" w14:textId="77777777" w:rsidTr="00D75D26">
        <w:tc>
          <w:tcPr>
            <w:tcW w:w="2425" w:type="dxa"/>
          </w:tcPr>
          <w:p w14:paraId="1CCCFF53"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Description</w:t>
            </w:r>
          </w:p>
        </w:tc>
        <w:tc>
          <w:tcPr>
            <w:tcW w:w="7200" w:type="dxa"/>
            <w:gridSpan w:val="6"/>
          </w:tcPr>
          <w:p w14:paraId="0EB5F897" w14:textId="2E25AA00" w:rsidR="00EE73E4" w:rsidRPr="007669E1" w:rsidRDefault="00EE73E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includes two tax expenditures which are claimed in the same cell:</w:t>
            </w:r>
          </w:p>
          <w:p w14:paraId="582C14C5" w14:textId="77777777" w:rsidR="00EE73E4" w:rsidRPr="007669E1" w:rsidRDefault="007C2B84" w:rsidP="00E90BA7">
            <w:pPr>
              <w:pStyle w:val="ListParagraph"/>
              <w:numPr>
                <w:ilvl w:val="0"/>
                <w:numId w:val="19"/>
              </w:numPr>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There is a tax exemption of incomes of the legal entities received from the use of external financial sources within the projects and international grants related to the development of education and research.</w:t>
            </w:r>
          </w:p>
          <w:p w14:paraId="7F6BE113" w14:textId="793743AC" w:rsidR="00EE73E4" w:rsidRPr="007669E1" w:rsidRDefault="00EE73E4" w:rsidP="00E90BA7">
            <w:pPr>
              <w:pStyle w:val="ListParagraph"/>
              <w:numPr>
                <w:ilvl w:val="0"/>
                <w:numId w:val="19"/>
              </w:numPr>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Moneys or grants are tax exempt if received from the special funds and/or financial resources in the form of a grant through programs approved by the Government, used according to their destination.</w:t>
            </w:r>
          </w:p>
        </w:tc>
      </w:tr>
      <w:tr w:rsidR="007C2B84" w:rsidRPr="007669E1" w14:paraId="52EBA249" w14:textId="77777777" w:rsidTr="00D75D26">
        <w:tc>
          <w:tcPr>
            <w:tcW w:w="2425" w:type="dxa"/>
          </w:tcPr>
          <w:p w14:paraId="594F61C3"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Type of Tax Affected</w:t>
            </w:r>
          </w:p>
        </w:tc>
        <w:tc>
          <w:tcPr>
            <w:tcW w:w="7200" w:type="dxa"/>
            <w:gridSpan w:val="6"/>
          </w:tcPr>
          <w:p w14:paraId="55665C31"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BIT </w:t>
            </w:r>
          </w:p>
        </w:tc>
      </w:tr>
      <w:tr w:rsidR="007C2B84" w:rsidRPr="007669E1" w14:paraId="7296DC5F" w14:textId="77777777" w:rsidTr="00D75D26">
        <w:tc>
          <w:tcPr>
            <w:tcW w:w="2425" w:type="dxa"/>
          </w:tcPr>
          <w:p w14:paraId="34BDA63C"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Beneficiaries</w:t>
            </w:r>
          </w:p>
        </w:tc>
        <w:tc>
          <w:tcPr>
            <w:tcW w:w="7200" w:type="dxa"/>
            <w:gridSpan w:val="6"/>
          </w:tcPr>
          <w:p w14:paraId="5D2EAC64" w14:textId="77777777" w:rsidR="007C2B84" w:rsidRPr="007669E1" w:rsidRDefault="007C2B84" w:rsidP="00E90BA7">
            <w:pPr>
              <w:pStyle w:val="ListParagraph"/>
              <w:numPr>
                <w:ilvl w:val="0"/>
                <w:numId w:val="20"/>
              </w:numPr>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Entities engaged in the development of education and research.</w:t>
            </w:r>
          </w:p>
          <w:p w14:paraId="6A9F0BDC" w14:textId="62987070" w:rsidR="00EE73E4" w:rsidRPr="007669E1" w:rsidRDefault="00EE73E4" w:rsidP="00E90BA7">
            <w:pPr>
              <w:pStyle w:val="ListParagraph"/>
              <w:numPr>
                <w:ilvl w:val="0"/>
                <w:numId w:val="20"/>
              </w:numPr>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Beneficiaries of public grants or special funds.</w:t>
            </w:r>
          </w:p>
        </w:tc>
      </w:tr>
      <w:tr w:rsidR="007C2B84" w:rsidRPr="007669E1" w14:paraId="1A2816B6" w14:textId="77777777" w:rsidTr="00D75D26">
        <w:tc>
          <w:tcPr>
            <w:tcW w:w="2425" w:type="dxa"/>
          </w:tcPr>
          <w:p w14:paraId="20912678"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Type of Measure</w:t>
            </w:r>
          </w:p>
        </w:tc>
        <w:tc>
          <w:tcPr>
            <w:tcW w:w="7200" w:type="dxa"/>
            <w:gridSpan w:val="6"/>
          </w:tcPr>
          <w:p w14:paraId="7B7D8A1B"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tax exemption</w:t>
            </w:r>
          </w:p>
        </w:tc>
      </w:tr>
      <w:tr w:rsidR="007C2B84" w:rsidRPr="007669E1" w14:paraId="4BAC0A99" w14:textId="77777777" w:rsidTr="00D75D26">
        <w:tc>
          <w:tcPr>
            <w:tcW w:w="2425" w:type="dxa"/>
          </w:tcPr>
          <w:p w14:paraId="0EFC02FC"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Reason why this Measure is not part of the Benchmark Tax System</w:t>
            </w:r>
          </w:p>
        </w:tc>
        <w:tc>
          <w:tcPr>
            <w:tcW w:w="7200" w:type="dxa"/>
            <w:gridSpan w:val="6"/>
          </w:tcPr>
          <w:p w14:paraId="750B403B" w14:textId="784EF5A7" w:rsidR="007C2B84" w:rsidRPr="007669E1" w:rsidRDefault="0061043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w:t>
            </w:r>
            <w:r w:rsidR="007C2B84" w:rsidRPr="007669E1">
              <w:rPr>
                <w:rFonts w:ascii="Segoe UI" w:hAnsi="Segoe UI" w:cs="Segoe UI"/>
                <w:sz w:val="18"/>
                <w:szCs w:val="18"/>
              </w:rPr>
              <w:t>ncome from whatever source should attract BIT at the flat rate of 12%. The non-taxation of these income accretions constitutes a tax expenditure.</w:t>
            </w:r>
          </w:p>
        </w:tc>
      </w:tr>
      <w:tr w:rsidR="007C2B84" w:rsidRPr="007669E1" w14:paraId="12C1F065" w14:textId="77777777" w:rsidTr="00D75D26">
        <w:tc>
          <w:tcPr>
            <w:tcW w:w="2425" w:type="dxa"/>
          </w:tcPr>
          <w:p w14:paraId="221F7077"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Legal Reference</w:t>
            </w:r>
          </w:p>
        </w:tc>
        <w:tc>
          <w:tcPr>
            <w:tcW w:w="7200" w:type="dxa"/>
            <w:gridSpan w:val="6"/>
          </w:tcPr>
          <w:p w14:paraId="2B2A59C0"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20(z</w:t>
            </w:r>
            <w:r w:rsidRPr="007669E1">
              <w:rPr>
                <w:rFonts w:ascii="Segoe UI" w:hAnsi="Segoe UI" w:cs="Segoe UI"/>
                <w:sz w:val="18"/>
                <w:szCs w:val="18"/>
                <w:vertAlign w:val="superscript"/>
              </w:rPr>
              <w:t>12</w:t>
            </w:r>
            <w:r w:rsidRPr="007669E1">
              <w:rPr>
                <w:rFonts w:ascii="Segoe UI" w:hAnsi="Segoe UI" w:cs="Segoe UI"/>
                <w:sz w:val="18"/>
                <w:szCs w:val="18"/>
              </w:rPr>
              <w:t xml:space="preserve">) </w:t>
            </w:r>
          </w:p>
        </w:tc>
      </w:tr>
      <w:tr w:rsidR="007C2B84" w:rsidRPr="007669E1" w14:paraId="2ED06F32" w14:textId="77777777" w:rsidTr="00D75D26">
        <w:trPr>
          <w:trHeight w:val="182"/>
        </w:trPr>
        <w:tc>
          <w:tcPr>
            <w:tcW w:w="2425" w:type="dxa"/>
            <w:vMerge w:val="restart"/>
          </w:tcPr>
          <w:p w14:paraId="35301DC5"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Implementation, Objectives, and History</w:t>
            </w:r>
          </w:p>
        </w:tc>
        <w:tc>
          <w:tcPr>
            <w:tcW w:w="7200" w:type="dxa"/>
            <w:gridSpan w:val="6"/>
          </w:tcPr>
          <w:p w14:paraId="11F2E88F" w14:textId="77777777" w:rsidR="007C2B84" w:rsidRPr="007669E1" w:rsidRDefault="007C2B84" w:rsidP="00E90BA7">
            <w:pPr>
              <w:spacing w:before="20" w:after="20" w:line="240" w:lineRule="auto"/>
              <w:jc w:val="both"/>
              <w:rPr>
                <w:rFonts w:ascii="Segoe UI" w:hAnsi="Segoe UI" w:cs="Segoe UI"/>
                <w:sz w:val="18"/>
                <w:szCs w:val="18"/>
              </w:rPr>
            </w:pPr>
          </w:p>
        </w:tc>
      </w:tr>
      <w:tr w:rsidR="007C2B84" w:rsidRPr="007669E1" w14:paraId="4D660319" w14:textId="77777777" w:rsidTr="00D75D26">
        <w:trPr>
          <w:trHeight w:val="182"/>
        </w:trPr>
        <w:tc>
          <w:tcPr>
            <w:tcW w:w="2425" w:type="dxa"/>
            <w:vMerge/>
          </w:tcPr>
          <w:p w14:paraId="0D46A251" w14:textId="77777777" w:rsidR="007C2B84" w:rsidRPr="007669E1" w:rsidRDefault="007C2B84" w:rsidP="00E90BA7">
            <w:pPr>
              <w:spacing w:before="20" w:after="20" w:line="240" w:lineRule="auto"/>
              <w:jc w:val="both"/>
              <w:rPr>
                <w:rFonts w:ascii="Segoe UI" w:hAnsi="Segoe UI" w:cs="Segoe UI"/>
                <w:b/>
                <w:sz w:val="18"/>
                <w:szCs w:val="18"/>
              </w:rPr>
            </w:pPr>
          </w:p>
        </w:tc>
        <w:tc>
          <w:tcPr>
            <w:tcW w:w="3462" w:type="dxa"/>
            <w:gridSpan w:val="3"/>
          </w:tcPr>
          <w:p w14:paraId="69CDA609" w14:textId="77777777" w:rsidR="007C2B84" w:rsidRPr="007669E1" w:rsidRDefault="007C2B8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11679258" w14:textId="50F35374" w:rsidR="007C2B84"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55651E" w:rsidRPr="007669E1" w14:paraId="40C8796D" w14:textId="77777777" w:rsidTr="00D75D26">
        <w:tc>
          <w:tcPr>
            <w:tcW w:w="2425" w:type="dxa"/>
          </w:tcPr>
          <w:p w14:paraId="5D91BAB6" w14:textId="77777777" w:rsidR="0055651E" w:rsidRPr="007669E1" w:rsidRDefault="0055651E"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Source of Data</w:t>
            </w:r>
          </w:p>
        </w:tc>
        <w:tc>
          <w:tcPr>
            <w:tcW w:w="7200" w:type="dxa"/>
            <w:gridSpan w:val="6"/>
          </w:tcPr>
          <w:p w14:paraId="3AB4AFC9" w14:textId="3AA55077"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VEN12 tax data (2018)</w:t>
            </w:r>
          </w:p>
        </w:tc>
      </w:tr>
      <w:tr w:rsidR="0055651E" w:rsidRPr="007669E1" w14:paraId="325AC505" w14:textId="77777777" w:rsidTr="00D75D26">
        <w:tc>
          <w:tcPr>
            <w:tcW w:w="2425" w:type="dxa"/>
          </w:tcPr>
          <w:p w14:paraId="65E72868" w14:textId="77777777" w:rsidR="0055651E" w:rsidRPr="007669E1" w:rsidRDefault="0055651E"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Estimation Method</w:t>
            </w:r>
          </w:p>
        </w:tc>
        <w:tc>
          <w:tcPr>
            <w:tcW w:w="7200" w:type="dxa"/>
            <w:gridSpan w:val="6"/>
          </w:tcPr>
          <w:p w14:paraId="70060781" w14:textId="4CEAF19D" w:rsidR="0055651E" w:rsidRPr="007669E1" w:rsidRDefault="0055651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Microsimulation model</w:t>
            </w:r>
          </w:p>
        </w:tc>
      </w:tr>
      <w:tr w:rsidR="007C2B84" w:rsidRPr="007669E1" w14:paraId="00F39E85" w14:textId="77777777" w:rsidTr="00D75D26">
        <w:tc>
          <w:tcPr>
            <w:tcW w:w="2425" w:type="dxa"/>
          </w:tcPr>
          <w:p w14:paraId="5F450CAF"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Number of Beneficiaries</w:t>
            </w:r>
          </w:p>
        </w:tc>
        <w:tc>
          <w:tcPr>
            <w:tcW w:w="7200" w:type="dxa"/>
            <w:gridSpan w:val="6"/>
          </w:tcPr>
          <w:p w14:paraId="7704746E" w14:textId="77777777" w:rsidR="007C2B84" w:rsidRPr="007669E1" w:rsidRDefault="007C2B84" w:rsidP="00E90BA7">
            <w:pPr>
              <w:spacing w:before="20" w:after="20" w:line="240" w:lineRule="auto"/>
              <w:jc w:val="both"/>
              <w:rPr>
                <w:rFonts w:ascii="Segoe UI" w:hAnsi="Segoe UI" w:cs="Segoe UI"/>
                <w:sz w:val="18"/>
                <w:szCs w:val="18"/>
              </w:rPr>
            </w:pPr>
          </w:p>
        </w:tc>
      </w:tr>
      <w:tr w:rsidR="007C2B84" w:rsidRPr="007669E1" w14:paraId="5065BD5A" w14:textId="77777777" w:rsidTr="00D75D26">
        <w:tc>
          <w:tcPr>
            <w:tcW w:w="2425" w:type="dxa"/>
          </w:tcPr>
          <w:p w14:paraId="1D14FFDA"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Revenue Cost Reporting</w:t>
            </w:r>
          </w:p>
        </w:tc>
        <w:tc>
          <w:tcPr>
            <w:tcW w:w="7200" w:type="dxa"/>
            <w:gridSpan w:val="6"/>
          </w:tcPr>
          <w:p w14:paraId="49A81621" w14:textId="760EB54F" w:rsidR="007C2B84" w:rsidRPr="007669E1" w:rsidRDefault="00E51E4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7C2B84" w:rsidRPr="007669E1" w14:paraId="656A9040" w14:textId="77777777" w:rsidTr="00D75D26">
        <w:trPr>
          <w:trHeight w:val="91"/>
        </w:trPr>
        <w:tc>
          <w:tcPr>
            <w:tcW w:w="2425" w:type="dxa"/>
            <w:vMerge w:val="restart"/>
          </w:tcPr>
          <w:p w14:paraId="6A1E0141" w14:textId="77777777" w:rsidR="007C2B84" w:rsidRPr="007669E1" w:rsidRDefault="007C2B84" w:rsidP="00E90BA7">
            <w:pPr>
              <w:spacing w:before="20" w:after="20" w:line="240" w:lineRule="auto"/>
              <w:jc w:val="both"/>
              <w:rPr>
                <w:rFonts w:ascii="Segoe UI" w:hAnsi="Segoe UI" w:cs="Segoe UI"/>
                <w:b/>
                <w:sz w:val="18"/>
                <w:szCs w:val="18"/>
              </w:rPr>
            </w:pPr>
          </w:p>
        </w:tc>
        <w:tc>
          <w:tcPr>
            <w:tcW w:w="1385" w:type="dxa"/>
          </w:tcPr>
          <w:p w14:paraId="1C231978"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2018</w:t>
            </w:r>
          </w:p>
        </w:tc>
        <w:tc>
          <w:tcPr>
            <w:tcW w:w="1385" w:type="dxa"/>
          </w:tcPr>
          <w:p w14:paraId="0994D7EE"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2019</w:t>
            </w:r>
          </w:p>
        </w:tc>
        <w:tc>
          <w:tcPr>
            <w:tcW w:w="1385" w:type="dxa"/>
            <w:gridSpan w:val="2"/>
          </w:tcPr>
          <w:p w14:paraId="2E2C75F1"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2020</w:t>
            </w:r>
          </w:p>
        </w:tc>
        <w:tc>
          <w:tcPr>
            <w:tcW w:w="1385" w:type="dxa"/>
          </w:tcPr>
          <w:p w14:paraId="7AB56607" w14:textId="77777777" w:rsidR="007C2B84" w:rsidRPr="007669E1" w:rsidRDefault="007C2B84"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2021</w:t>
            </w:r>
          </w:p>
        </w:tc>
        <w:tc>
          <w:tcPr>
            <w:tcW w:w="1660" w:type="dxa"/>
          </w:tcPr>
          <w:p w14:paraId="1C1825B0" w14:textId="4F4CAB5B" w:rsidR="007C2B84" w:rsidRPr="007669E1" w:rsidRDefault="000C00AF"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2022</w:t>
            </w:r>
          </w:p>
        </w:tc>
      </w:tr>
      <w:tr w:rsidR="007619A8" w:rsidRPr="007669E1" w14:paraId="0D3679F4" w14:textId="77777777" w:rsidTr="00BD2375">
        <w:trPr>
          <w:trHeight w:val="91"/>
        </w:trPr>
        <w:tc>
          <w:tcPr>
            <w:tcW w:w="2425" w:type="dxa"/>
            <w:vMerge/>
          </w:tcPr>
          <w:p w14:paraId="442CD3BF" w14:textId="77777777" w:rsidR="007C2B84" w:rsidRPr="007669E1" w:rsidRDefault="007C2B84" w:rsidP="00E90BA7">
            <w:pPr>
              <w:spacing w:before="20" w:after="20" w:line="240" w:lineRule="auto"/>
              <w:jc w:val="both"/>
              <w:rPr>
                <w:rFonts w:ascii="Segoe UI" w:hAnsi="Segoe UI" w:cs="Segoe UI"/>
                <w:b/>
                <w:sz w:val="18"/>
                <w:szCs w:val="18"/>
              </w:rPr>
            </w:pPr>
          </w:p>
        </w:tc>
        <w:tc>
          <w:tcPr>
            <w:tcW w:w="1385" w:type="dxa"/>
            <w:vAlign w:val="bottom"/>
          </w:tcPr>
          <w:p w14:paraId="06C420D4" w14:textId="7B2E0520" w:rsidR="007C2B84" w:rsidRPr="007669E1" w:rsidRDefault="00E51E47"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 xml:space="preserve">480,938.3 </w:t>
            </w:r>
          </w:p>
        </w:tc>
        <w:tc>
          <w:tcPr>
            <w:tcW w:w="1385" w:type="dxa"/>
            <w:shd w:val="clear" w:color="auto" w:fill="D9D9D9" w:themeFill="background1" w:themeFillShade="D9"/>
            <w:vAlign w:val="bottom"/>
          </w:tcPr>
          <w:p w14:paraId="2D2C21B6" w14:textId="51ADD160" w:rsidR="007C2B84" w:rsidRPr="007669E1" w:rsidRDefault="00E51E47"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481,656.5 </w:t>
            </w:r>
          </w:p>
        </w:tc>
        <w:tc>
          <w:tcPr>
            <w:tcW w:w="1385" w:type="dxa"/>
            <w:gridSpan w:val="2"/>
            <w:shd w:val="clear" w:color="auto" w:fill="D9D9D9" w:themeFill="background1" w:themeFillShade="D9"/>
            <w:vAlign w:val="bottom"/>
          </w:tcPr>
          <w:p w14:paraId="1115FB8B" w14:textId="08C141CB" w:rsidR="007C2B84" w:rsidRPr="007669E1" w:rsidRDefault="00E51E47"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459,919.9 </w:t>
            </w:r>
          </w:p>
        </w:tc>
        <w:tc>
          <w:tcPr>
            <w:tcW w:w="1385" w:type="dxa"/>
            <w:shd w:val="clear" w:color="auto" w:fill="D9D9D9" w:themeFill="background1" w:themeFillShade="D9"/>
            <w:vAlign w:val="bottom"/>
          </w:tcPr>
          <w:p w14:paraId="135FAE5C" w14:textId="652E3A4A" w:rsidR="007C2B84" w:rsidRPr="007669E1" w:rsidRDefault="00E51E47"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531,223.4 </w:t>
            </w:r>
          </w:p>
        </w:tc>
        <w:tc>
          <w:tcPr>
            <w:tcW w:w="1660" w:type="dxa"/>
            <w:shd w:val="clear" w:color="auto" w:fill="D9D9D9" w:themeFill="background1" w:themeFillShade="D9"/>
            <w:vAlign w:val="bottom"/>
          </w:tcPr>
          <w:p w14:paraId="58B0AF00" w14:textId="508D6CE7" w:rsidR="007C2B84" w:rsidRPr="007669E1" w:rsidRDefault="00E51E47"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590,787.7 </w:t>
            </w:r>
          </w:p>
        </w:tc>
      </w:tr>
    </w:tbl>
    <w:p w14:paraId="07C7B94E" w14:textId="25C2F92F" w:rsidR="0044562A" w:rsidRPr="007669E1" w:rsidRDefault="0044562A" w:rsidP="00E90BA7">
      <w:pPr>
        <w:spacing w:before="20" w:after="20" w:line="240" w:lineRule="auto"/>
        <w:jc w:val="both"/>
        <w:rPr>
          <w:rFonts w:ascii="Segoe UI" w:hAnsi="Segoe UI" w:cs="Segoe UI"/>
          <w:bCs/>
          <w:sz w:val="18"/>
          <w:szCs w:val="18"/>
        </w:rPr>
      </w:pPr>
      <w:r w:rsidRPr="007669E1">
        <w:rPr>
          <w:rFonts w:ascii="Segoe UI" w:hAnsi="Segoe UI" w:cs="Segoe UI"/>
          <w:sz w:val="18"/>
          <w:szCs w:val="18"/>
        </w:rPr>
        <w:t>Note: Estimates for 2018 are based on actual data</w:t>
      </w:r>
      <w:r w:rsidR="005272DF" w:rsidRPr="007669E1">
        <w:rPr>
          <w:rFonts w:ascii="Segoe UI" w:hAnsi="Segoe UI" w:cs="Segoe UI"/>
          <w:sz w:val="18"/>
          <w:szCs w:val="18"/>
        </w:rPr>
        <w:t>;</w:t>
      </w:r>
      <w:r w:rsidRPr="007669E1">
        <w:rPr>
          <w:rFonts w:ascii="Segoe UI" w:hAnsi="Segoe UI" w:cs="Segoe UI"/>
          <w:sz w:val="18"/>
          <w:szCs w:val="18"/>
        </w:rPr>
        <w:t xml:space="preserve"> figures from 2019 to 2022 are projected based on 2018.</w:t>
      </w:r>
    </w:p>
    <w:p w14:paraId="7DF14F24" w14:textId="77777777" w:rsidR="007C2B84" w:rsidRPr="007669E1" w:rsidRDefault="007C2B84" w:rsidP="00E90BA7">
      <w:pPr>
        <w:spacing w:before="20" w:after="20" w:line="240" w:lineRule="auto"/>
        <w:jc w:val="both"/>
        <w:rPr>
          <w:rFonts w:ascii="Segoe UI" w:hAnsi="Segoe UI" w:cs="Segoe UI"/>
          <w:sz w:val="18"/>
          <w:szCs w:val="18"/>
        </w:rPr>
      </w:pPr>
    </w:p>
    <w:tbl>
      <w:tblPr>
        <w:tblStyle w:val="TableGrid1"/>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7669E1" w14:paraId="27A52749" w14:textId="77777777" w:rsidTr="00D75D26">
        <w:tc>
          <w:tcPr>
            <w:tcW w:w="9625" w:type="dxa"/>
            <w:gridSpan w:val="7"/>
            <w:shd w:val="clear" w:color="auto" w:fill="D9D9D9" w:themeFill="background1" w:themeFillShade="D9"/>
          </w:tcPr>
          <w:p w14:paraId="2D761F8D" w14:textId="6C43EFD2"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 xml:space="preserve">20. </w:t>
            </w:r>
            <w:r w:rsidR="00FC171D" w:rsidRPr="007669E1">
              <w:rPr>
                <w:rFonts w:ascii="Segoe UI" w:hAnsi="Segoe UI" w:cs="Segoe UI"/>
                <w:b/>
                <w:sz w:val="18"/>
                <w:szCs w:val="18"/>
              </w:rPr>
              <w:t>Tax exemption of donations to homes providing foster care</w:t>
            </w:r>
          </w:p>
        </w:tc>
      </w:tr>
      <w:tr w:rsidR="007C2B84" w:rsidRPr="007669E1" w14:paraId="3174B446" w14:textId="77777777" w:rsidTr="00D75D26">
        <w:tc>
          <w:tcPr>
            <w:tcW w:w="2425" w:type="dxa"/>
          </w:tcPr>
          <w:p w14:paraId="05E0E4CE"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Description</w:t>
            </w:r>
          </w:p>
        </w:tc>
        <w:tc>
          <w:tcPr>
            <w:tcW w:w="7200" w:type="dxa"/>
            <w:gridSpan w:val="6"/>
          </w:tcPr>
          <w:p w14:paraId="1FB658AD"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 xml:space="preserve">Patrimony received by family-type children’s homes as a donation is tax exempt. </w:t>
            </w:r>
          </w:p>
        </w:tc>
      </w:tr>
      <w:tr w:rsidR="007C2B84" w:rsidRPr="007669E1" w14:paraId="230EE8DB" w14:textId="77777777" w:rsidTr="00D75D26">
        <w:tc>
          <w:tcPr>
            <w:tcW w:w="2425" w:type="dxa"/>
          </w:tcPr>
          <w:p w14:paraId="6534A995"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Type of Tax Affected</w:t>
            </w:r>
          </w:p>
        </w:tc>
        <w:tc>
          <w:tcPr>
            <w:tcW w:w="7200" w:type="dxa"/>
            <w:gridSpan w:val="6"/>
          </w:tcPr>
          <w:p w14:paraId="305AB643"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BIT</w:t>
            </w:r>
          </w:p>
        </w:tc>
      </w:tr>
      <w:tr w:rsidR="007C2B84" w:rsidRPr="007669E1" w14:paraId="585451F6" w14:textId="77777777" w:rsidTr="00D75D26">
        <w:tc>
          <w:tcPr>
            <w:tcW w:w="2425" w:type="dxa"/>
          </w:tcPr>
          <w:p w14:paraId="0E07DC19"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Beneficiaries</w:t>
            </w:r>
          </w:p>
        </w:tc>
        <w:tc>
          <w:tcPr>
            <w:tcW w:w="7200" w:type="dxa"/>
            <w:gridSpan w:val="6"/>
          </w:tcPr>
          <w:p w14:paraId="5E9369F2"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Family children’s homes</w:t>
            </w:r>
          </w:p>
        </w:tc>
      </w:tr>
      <w:tr w:rsidR="007C2B84" w:rsidRPr="007669E1" w14:paraId="128FEA89" w14:textId="77777777" w:rsidTr="00D75D26">
        <w:tc>
          <w:tcPr>
            <w:tcW w:w="2425" w:type="dxa"/>
          </w:tcPr>
          <w:p w14:paraId="35D93D88"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Type of Measure</w:t>
            </w:r>
          </w:p>
        </w:tc>
        <w:tc>
          <w:tcPr>
            <w:tcW w:w="7200" w:type="dxa"/>
            <w:gridSpan w:val="6"/>
          </w:tcPr>
          <w:p w14:paraId="6A1A6B36"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Tax Exemption</w:t>
            </w:r>
          </w:p>
        </w:tc>
      </w:tr>
      <w:tr w:rsidR="007C2B84" w:rsidRPr="007669E1" w14:paraId="5603BC72" w14:textId="77777777" w:rsidTr="00D75D26">
        <w:tc>
          <w:tcPr>
            <w:tcW w:w="2425" w:type="dxa"/>
          </w:tcPr>
          <w:p w14:paraId="36253D2C"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Reason why this Measure is not part of the Benchmark Tax System</w:t>
            </w:r>
          </w:p>
        </w:tc>
        <w:tc>
          <w:tcPr>
            <w:tcW w:w="7200" w:type="dxa"/>
            <w:gridSpan w:val="6"/>
          </w:tcPr>
          <w:p w14:paraId="4DA88BB0" w14:textId="0B0F72E9" w:rsidR="007C2B84" w:rsidRPr="007669E1" w:rsidRDefault="00610436" w:rsidP="00E90BA7">
            <w:pPr>
              <w:spacing w:before="20" w:after="20"/>
              <w:jc w:val="both"/>
              <w:rPr>
                <w:rFonts w:ascii="Segoe UI" w:hAnsi="Segoe UI" w:cs="Segoe UI"/>
                <w:sz w:val="18"/>
                <w:szCs w:val="18"/>
              </w:rPr>
            </w:pPr>
            <w:r w:rsidRPr="007669E1">
              <w:rPr>
                <w:rFonts w:ascii="Segoe UI" w:hAnsi="Segoe UI" w:cs="Segoe UI"/>
                <w:sz w:val="18"/>
                <w:szCs w:val="18"/>
              </w:rPr>
              <w:t>T</w:t>
            </w:r>
            <w:r w:rsidR="007C2B84" w:rsidRPr="007669E1">
              <w:rPr>
                <w:rFonts w:ascii="Segoe UI" w:hAnsi="Segoe UI" w:cs="Segoe UI"/>
                <w:sz w:val="18"/>
                <w:szCs w:val="18"/>
              </w:rPr>
              <w:t xml:space="preserve">ransfers/payments constitute income in the hands of the </w:t>
            </w:r>
            <w:r w:rsidRPr="007669E1">
              <w:rPr>
                <w:rFonts w:ascii="Segoe UI" w:hAnsi="Segoe UI" w:cs="Segoe UI"/>
                <w:sz w:val="18"/>
                <w:szCs w:val="18"/>
              </w:rPr>
              <w:t xml:space="preserve">legal </w:t>
            </w:r>
            <w:r w:rsidR="007C2B84" w:rsidRPr="007669E1">
              <w:rPr>
                <w:rFonts w:ascii="Segoe UI" w:hAnsi="Segoe UI" w:cs="Segoe UI"/>
                <w:sz w:val="18"/>
                <w:szCs w:val="18"/>
              </w:rPr>
              <w:t>persons receiving the patrimony. They should attract BIT at the flat rate of 12%. The non-taxation constitutes therefore a tax expenditure.</w:t>
            </w:r>
          </w:p>
        </w:tc>
      </w:tr>
      <w:tr w:rsidR="007C2B84" w:rsidRPr="007669E1" w14:paraId="2E3BA96D" w14:textId="77777777" w:rsidTr="00D75D26">
        <w:tc>
          <w:tcPr>
            <w:tcW w:w="2425" w:type="dxa"/>
          </w:tcPr>
          <w:p w14:paraId="686155A0"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Legal Reference</w:t>
            </w:r>
          </w:p>
        </w:tc>
        <w:tc>
          <w:tcPr>
            <w:tcW w:w="7200" w:type="dxa"/>
            <w:gridSpan w:val="6"/>
          </w:tcPr>
          <w:p w14:paraId="791ED0C2"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TC, Art. 20(i</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7C2B84" w:rsidRPr="007669E1" w14:paraId="28F3F524" w14:textId="77777777" w:rsidTr="00D75D26">
        <w:trPr>
          <w:trHeight w:val="182"/>
        </w:trPr>
        <w:tc>
          <w:tcPr>
            <w:tcW w:w="2425" w:type="dxa"/>
            <w:vMerge w:val="restart"/>
          </w:tcPr>
          <w:p w14:paraId="41DF7352"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Implementation, Objectives, and History</w:t>
            </w:r>
          </w:p>
        </w:tc>
        <w:tc>
          <w:tcPr>
            <w:tcW w:w="7200" w:type="dxa"/>
            <w:gridSpan w:val="6"/>
          </w:tcPr>
          <w:p w14:paraId="3457D786" w14:textId="77777777" w:rsidR="007C2B84" w:rsidRPr="007669E1" w:rsidRDefault="007C2B84" w:rsidP="00E90BA7">
            <w:pPr>
              <w:spacing w:before="20" w:after="20"/>
              <w:jc w:val="both"/>
              <w:rPr>
                <w:rFonts w:ascii="Segoe UI" w:hAnsi="Segoe UI" w:cs="Segoe UI"/>
                <w:sz w:val="18"/>
                <w:szCs w:val="18"/>
              </w:rPr>
            </w:pPr>
          </w:p>
        </w:tc>
      </w:tr>
      <w:tr w:rsidR="007C2B84" w:rsidRPr="007669E1" w14:paraId="1F9FC2EA" w14:textId="77777777" w:rsidTr="00D75D26">
        <w:trPr>
          <w:trHeight w:val="182"/>
        </w:trPr>
        <w:tc>
          <w:tcPr>
            <w:tcW w:w="2425" w:type="dxa"/>
            <w:vMerge/>
          </w:tcPr>
          <w:p w14:paraId="3210282B" w14:textId="77777777" w:rsidR="007C2B84" w:rsidRPr="007669E1" w:rsidRDefault="007C2B84" w:rsidP="00E90BA7">
            <w:pPr>
              <w:spacing w:before="20" w:after="20"/>
              <w:jc w:val="both"/>
              <w:rPr>
                <w:rFonts w:ascii="Segoe UI" w:hAnsi="Segoe UI" w:cs="Segoe UI"/>
                <w:b/>
                <w:sz w:val="18"/>
                <w:szCs w:val="18"/>
              </w:rPr>
            </w:pPr>
          </w:p>
        </w:tc>
        <w:tc>
          <w:tcPr>
            <w:tcW w:w="3462" w:type="dxa"/>
            <w:gridSpan w:val="3"/>
          </w:tcPr>
          <w:p w14:paraId="30E1B50A"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Introduced in year: 2012</w:t>
            </w:r>
          </w:p>
        </w:tc>
        <w:tc>
          <w:tcPr>
            <w:tcW w:w="3738" w:type="dxa"/>
            <w:gridSpan w:val="3"/>
          </w:tcPr>
          <w:p w14:paraId="5DEB1C0B" w14:textId="21D57125" w:rsidR="007C2B84" w:rsidRPr="007669E1" w:rsidRDefault="0081296C" w:rsidP="00E90BA7">
            <w:pPr>
              <w:spacing w:before="20" w:after="20"/>
              <w:jc w:val="both"/>
              <w:rPr>
                <w:rFonts w:ascii="Segoe UI" w:hAnsi="Segoe UI" w:cs="Segoe UI"/>
                <w:sz w:val="18"/>
                <w:szCs w:val="18"/>
              </w:rPr>
            </w:pPr>
            <w:r w:rsidRPr="007669E1">
              <w:rPr>
                <w:rFonts w:ascii="Segoe UI" w:hAnsi="Segoe UI" w:cs="Segoe UI"/>
                <w:sz w:val="18"/>
                <w:szCs w:val="18"/>
              </w:rPr>
              <w:t>Expiry date: —</w:t>
            </w:r>
          </w:p>
        </w:tc>
      </w:tr>
      <w:tr w:rsidR="007C2B84" w:rsidRPr="007669E1" w14:paraId="53BD453B" w14:textId="77777777" w:rsidTr="00D75D26">
        <w:tc>
          <w:tcPr>
            <w:tcW w:w="2425" w:type="dxa"/>
          </w:tcPr>
          <w:p w14:paraId="4F055A95"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Source of Data</w:t>
            </w:r>
          </w:p>
        </w:tc>
        <w:tc>
          <w:tcPr>
            <w:tcW w:w="7200" w:type="dxa"/>
            <w:gridSpan w:val="6"/>
          </w:tcPr>
          <w:p w14:paraId="1B70DC39" w14:textId="36EE1046" w:rsidR="007C2B84" w:rsidRPr="007669E1" w:rsidRDefault="004F4CE1" w:rsidP="00E90BA7">
            <w:pPr>
              <w:spacing w:before="20" w:after="20"/>
              <w:jc w:val="both"/>
              <w:rPr>
                <w:rFonts w:ascii="Segoe UI" w:hAnsi="Segoe UI" w:cs="Segoe UI"/>
                <w:sz w:val="18"/>
                <w:szCs w:val="18"/>
              </w:rPr>
            </w:pPr>
            <w:r w:rsidRPr="007669E1">
              <w:rPr>
                <w:rFonts w:ascii="Segoe UI" w:hAnsi="Segoe UI" w:cs="Segoe UI"/>
                <w:sz w:val="18"/>
                <w:szCs w:val="18"/>
              </w:rPr>
              <w:t>Not reported on the tax forms</w:t>
            </w:r>
          </w:p>
        </w:tc>
      </w:tr>
      <w:tr w:rsidR="007C2B84" w:rsidRPr="007669E1" w14:paraId="612DDFB7" w14:textId="77777777" w:rsidTr="00D75D26">
        <w:tc>
          <w:tcPr>
            <w:tcW w:w="2425" w:type="dxa"/>
          </w:tcPr>
          <w:p w14:paraId="1F15D010"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Estimation Method</w:t>
            </w:r>
          </w:p>
        </w:tc>
        <w:tc>
          <w:tcPr>
            <w:tcW w:w="7200" w:type="dxa"/>
            <w:gridSpan w:val="6"/>
          </w:tcPr>
          <w:p w14:paraId="22DBB14F" w14:textId="01396D84" w:rsidR="007C2B84" w:rsidRPr="007669E1" w:rsidRDefault="004F4CE1" w:rsidP="00E90BA7">
            <w:pPr>
              <w:spacing w:before="20" w:after="20"/>
              <w:jc w:val="both"/>
              <w:rPr>
                <w:rFonts w:ascii="Segoe UI" w:hAnsi="Segoe UI" w:cs="Segoe UI"/>
                <w:sz w:val="18"/>
                <w:szCs w:val="18"/>
              </w:rPr>
            </w:pPr>
            <w:r w:rsidRPr="007669E1">
              <w:rPr>
                <w:rFonts w:ascii="Segoe UI" w:hAnsi="Segoe UI" w:cs="Segoe UI"/>
                <w:sz w:val="18"/>
                <w:szCs w:val="18"/>
              </w:rPr>
              <w:t>Not estimated</w:t>
            </w:r>
          </w:p>
        </w:tc>
      </w:tr>
      <w:tr w:rsidR="007C2B84" w:rsidRPr="007669E1" w14:paraId="7A404E97" w14:textId="77777777" w:rsidTr="00D75D26">
        <w:tc>
          <w:tcPr>
            <w:tcW w:w="2425" w:type="dxa"/>
          </w:tcPr>
          <w:p w14:paraId="37EC5C47"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Number of Beneficiaries</w:t>
            </w:r>
          </w:p>
        </w:tc>
        <w:tc>
          <w:tcPr>
            <w:tcW w:w="7200" w:type="dxa"/>
            <w:gridSpan w:val="6"/>
          </w:tcPr>
          <w:p w14:paraId="019CDFBF" w14:textId="77777777" w:rsidR="007C2B84" w:rsidRPr="007669E1" w:rsidRDefault="007C2B84" w:rsidP="00E90BA7">
            <w:pPr>
              <w:spacing w:before="20" w:after="20"/>
              <w:jc w:val="both"/>
              <w:rPr>
                <w:rFonts w:ascii="Segoe UI" w:hAnsi="Segoe UI" w:cs="Segoe UI"/>
                <w:sz w:val="18"/>
                <w:szCs w:val="18"/>
              </w:rPr>
            </w:pPr>
          </w:p>
        </w:tc>
      </w:tr>
      <w:tr w:rsidR="007C2B84" w:rsidRPr="007669E1" w14:paraId="5F7DB933" w14:textId="77777777" w:rsidTr="00D75D26">
        <w:tc>
          <w:tcPr>
            <w:tcW w:w="2425" w:type="dxa"/>
          </w:tcPr>
          <w:p w14:paraId="1013FD82"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Revenue Cost Reporting</w:t>
            </w:r>
          </w:p>
        </w:tc>
        <w:tc>
          <w:tcPr>
            <w:tcW w:w="7200" w:type="dxa"/>
            <w:gridSpan w:val="6"/>
          </w:tcPr>
          <w:p w14:paraId="69F10C9C" w14:textId="1CCD1560" w:rsidR="007C2B84" w:rsidRPr="007669E1" w:rsidRDefault="00E51E47" w:rsidP="00E90BA7">
            <w:pPr>
              <w:spacing w:before="20" w:after="20"/>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7C2B84" w:rsidRPr="007669E1" w14:paraId="4B196634" w14:textId="77777777" w:rsidTr="00D75D26">
        <w:trPr>
          <w:trHeight w:val="91"/>
        </w:trPr>
        <w:tc>
          <w:tcPr>
            <w:tcW w:w="2425" w:type="dxa"/>
            <w:vMerge w:val="restart"/>
          </w:tcPr>
          <w:p w14:paraId="7536D562" w14:textId="77777777" w:rsidR="007C2B84" w:rsidRPr="007669E1" w:rsidRDefault="007C2B84" w:rsidP="00E90BA7">
            <w:pPr>
              <w:spacing w:before="20" w:after="20"/>
              <w:jc w:val="both"/>
              <w:rPr>
                <w:rFonts w:ascii="Segoe UI" w:hAnsi="Segoe UI" w:cs="Segoe UI"/>
                <w:b/>
                <w:sz w:val="18"/>
                <w:szCs w:val="18"/>
              </w:rPr>
            </w:pPr>
          </w:p>
        </w:tc>
        <w:tc>
          <w:tcPr>
            <w:tcW w:w="1385" w:type="dxa"/>
          </w:tcPr>
          <w:p w14:paraId="53A4F41B"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2018</w:t>
            </w:r>
          </w:p>
        </w:tc>
        <w:tc>
          <w:tcPr>
            <w:tcW w:w="1385" w:type="dxa"/>
          </w:tcPr>
          <w:p w14:paraId="7A359209"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2019</w:t>
            </w:r>
          </w:p>
        </w:tc>
        <w:tc>
          <w:tcPr>
            <w:tcW w:w="1385" w:type="dxa"/>
            <w:gridSpan w:val="2"/>
          </w:tcPr>
          <w:p w14:paraId="7430687D"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2020</w:t>
            </w:r>
          </w:p>
        </w:tc>
        <w:tc>
          <w:tcPr>
            <w:tcW w:w="1385" w:type="dxa"/>
          </w:tcPr>
          <w:p w14:paraId="0025821E"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2021</w:t>
            </w:r>
          </w:p>
        </w:tc>
        <w:tc>
          <w:tcPr>
            <w:tcW w:w="1660" w:type="dxa"/>
          </w:tcPr>
          <w:p w14:paraId="39FD725E" w14:textId="54CCF68B" w:rsidR="007C2B84" w:rsidRPr="007669E1" w:rsidRDefault="000C00AF" w:rsidP="00E90BA7">
            <w:pPr>
              <w:spacing w:before="20" w:after="20"/>
              <w:jc w:val="both"/>
              <w:rPr>
                <w:rFonts w:ascii="Segoe UI" w:hAnsi="Segoe UI" w:cs="Segoe UI"/>
                <w:b/>
                <w:sz w:val="18"/>
                <w:szCs w:val="18"/>
              </w:rPr>
            </w:pPr>
            <w:r w:rsidRPr="007669E1">
              <w:rPr>
                <w:rFonts w:ascii="Segoe UI" w:hAnsi="Segoe UI" w:cs="Segoe UI"/>
                <w:b/>
                <w:sz w:val="18"/>
                <w:szCs w:val="18"/>
              </w:rPr>
              <w:t>2022</w:t>
            </w:r>
          </w:p>
        </w:tc>
      </w:tr>
      <w:tr w:rsidR="0055651E" w:rsidRPr="007669E1" w14:paraId="5061AE36" w14:textId="77777777" w:rsidTr="00D75D26">
        <w:trPr>
          <w:trHeight w:val="91"/>
        </w:trPr>
        <w:tc>
          <w:tcPr>
            <w:tcW w:w="2425" w:type="dxa"/>
            <w:vMerge/>
          </w:tcPr>
          <w:p w14:paraId="2872A9E4" w14:textId="77777777" w:rsidR="0055651E" w:rsidRPr="007669E1" w:rsidRDefault="0055651E" w:rsidP="00E90BA7">
            <w:pPr>
              <w:spacing w:before="20" w:after="20"/>
              <w:jc w:val="both"/>
              <w:rPr>
                <w:rFonts w:ascii="Segoe UI" w:hAnsi="Segoe UI" w:cs="Segoe UI"/>
                <w:b/>
                <w:sz w:val="18"/>
                <w:szCs w:val="18"/>
              </w:rPr>
            </w:pPr>
          </w:p>
        </w:tc>
        <w:tc>
          <w:tcPr>
            <w:tcW w:w="1385" w:type="dxa"/>
          </w:tcPr>
          <w:p w14:paraId="51EC50DD" w14:textId="43DE4203" w:rsidR="0055651E" w:rsidRPr="007669E1" w:rsidRDefault="0044562A"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71E72199" w14:textId="409740EF" w:rsidR="0055651E" w:rsidRPr="007669E1" w:rsidRDefault="0044562A"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4B00D953" w14:textId="05A2F47C" w:rsidR="0055651E" w:rsidRPr="007669E1" w:rsidRDefault="0044562A"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7A9E30F9" w14:textId="5789DC7D" w:rsidR="0055651E" w:rsidRPr="007669E1" w:rsidRDefault="0044562A"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21C9A8E9" w14:textId="5EDC7E07" w:rsidR="0055651E" w:rsidRPr="007669E1" w:rsidRDefault="0044562A"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19E3228F" w14:textId="0C748E79" w:rsidR="007C2B84" w:rsidRPr="007669E1" w:rsidRDefault="007C2B84" w:rsidP="00E90BA7">
      <w:pPr>
        <w:spacing w:before="20" w:after="20" w:line="240" w:lineRule="auto"/>
        <w:jc w:val="both"/>
        <w:rPr>
          <w:rFonts w:ascii="Segoe UI" w:hAnsi="Segoe UI" w:cs="Segoe UI"/>
          <w:sz w:val="18"/>
          <w:szCs w:val="18"/>
        </w:rPr>
      </w:pPr>
    </w:p>
    <w:tbl>
      <w:tblPr>
        <w:tblStyle w:val="TableGrid2"/>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2252A" w:rsidRPr="007669E1" w14:paraId="6B82ADEA" w14:textId="77777777" w:rsidTr="00D75D26">
        <w:tc>
          <w:tcPr>
            <w:tcW w:w="9625" w:type="dxa"/>
            <w:gridSpan w:val="7"/>
            <w:shd w:val="clear" w:color="auto" w:fill="D9D9D9" w:themeFill="background1" w:themeFillShade="D9"/>
          </w:tcPr>
          <w:p w14:paraId="121C8763" w14:textId="41B5DC03"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lastRenderedPageBreak/>
              <w:t xml:space="preserve">21. </w:t>
            </w:r>
            <w:r w:rsidR="00FC171D" w:rsidRPr="007669E1">
              <w:rPr>
                <w:rFonts w:ascii="Segoe UI" w:hAnsi="Segoe UI" w:cs="Segoe UI"/>
                <w:b/>
                <w:sz w:val="18"/>
                <w:szCs w:val="18"/>
              </w:rPr>
              <w:t>Tax exemption of aid received from charitable organizations</w:t>
            </w:r>
          </w:p>
        </w:tc>
      </w:tr>
      <w:tr w:rsidR="0072252A" w:rsidRPr="007669E1" w14:paraId="7A35AE7C" w14:textId="77777777" w:rsidTr="00D75D26">
        <w:tc>
          <w:tcPr>
            <w:tcW w:w="2425" w:type="dxa"/>
          </w:tcPr>
          <w:p w14:paraId="0F56D8C1"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Description</w:t>
            </w:r>
          </w:p>
        </w:tc>
        <w:tc>
          <w:tcPr>
            <w:tcW w:w="7200" w:type="dxa"/>
            <w:gridSpan w:val="6"/>
          </w:tcPr>
          <w:p w14:paraId="11C62993" w14:textId="77777777" w:rsidR="0072252A" w:rsidRPr="007669E1" w:rsidRDefault="0072252A" w:rsidP="00E90BA7">
            <w:pPr>
              <w:spacing w:before="20" w:after="20"/>
              <w:jc w:val="both"/>
              <w:rPr>
                <w:rFonts w:ascii="Segoe UI" w:hAnsi="Segoe UI" w:cs="Segoe UI"/>
                <w:sz w:val="18"/>
                <w:szCs w:val="18"/>
              </w:rPr>
            </w:pPr>
            <w:r w:rsidRPr="007669E1">
              <w:rPr>
                <w:rFonts w:ascii="Segoe UI" w:hAnsi="Segoe UI" w:cs="Segoe UI"/>
                <w:sz w:val="18"/>
                <w:szCs w:val="18"/>
              </w:rPr>
              <w:t>Aid received from charitable organizations – foundations and public associations – according to the provisions of the statute of these organizations and of the legislation is tax exempt</w:t>
            </w:r>
          </w:p>
        </w:tc>
      </w:tr>
      <w:tr w:rsidR="0072252A" w:rsidRPr="007669E1" w14:paraId="73B81A7A" w14:textId="77777777" w:rsidTr="00D75D26">
        <w:tc>
          <w:tcPr>
            <w:tcW w:w="2425" w:type="dxa"/>
          </w:tcPr>
          <w:p w14:paraId="7873D330"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Type of Tax Affected</w:t>
            </w:r>
          </w:p>
        </w:tc>
        <w:tc>
          <w:tcPr>
            <w:tcW w:w="7200" w:type="dxa"/>
            <w:gridSpan w:val="6"/>
          </w:tcPr>
          <w:p w14:paraId="0E79DA4B" w14:textId="77777777" w:rsidR="0072252A" w:rsidRPr="007669E1" w:rsidRDefault="0072252A" w:rsidP="00E90BA7">
            <w:pPr>
              <w:spacing w:before="20" w:after="20"/>
              <w:jc w:val="both"/>
              <w:rPr>
                <w:rFonts w:ascii="Segoe UI" w:hAnsi="Segoe UI" w:cs="Segoe UI"/>
                <w:sz w:val="18"/>
                <w:szCs w:val="18"/>
              </w:rPr>
            </w:pPr>
            <w:r w:rsidRPr="007669E1">
              <w:rPr>
                <w:rFonts w:ascii="Segoe UI" w:hAnsi="Segoe UI" w:cs="Segoe UI"/>
                <w:sz w:val="18"/>
                <w:szCs w:val="18"/>
              </w:rPr>
              <w:t>BIT</w:t>
            </w:r>
          </w:p>
        </w:tc>
      </w:tr>
      <w:tr w:rsidR="0072252A" w:rsidRPr="007669E1" w14:paraId="5396FAFC" w14:textId="77777777" w:rsidTr="00D75D26">
        <w:tc>
          <w:tcPr>
            <w:tcW w:w="2425" w:type="dxa"/>
          </w:tcPr>
          <w:p w14:paraId="78DCB31A"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Beneficiaries</w:t>
            </w:r>
          </w:p>
        </w:tc>
        <w:tc>
          <w:tcPr>
            <w:tcW w:w="7200" w:type="dxa"/>
            <w:gridSpan w:val="6"/>
          </w:tcPr>
          <w:p w14:paraId="45CFE528" w14:textId="77777777" w:rsidR="0072252A" w:rsidRPr="007669E1" w:rsidRDefault="0072252A" w:rsidP="00E90BA7">
            <w:pPr>
              <w:spacing w:before="20" w:after="20"/>
              <w:jc w:val="both"/>
              <w:rPr>
                <w:rFonts w:ascii="Segoe UI" w:hAnsi="Segoe UI" w:cs="Segoe UI"/>
                <w:sz w:val="18"/>
                <w:szCs w:val="18"/>
              </w:rPr>
            </w:pPr>
            <w:r w:rsidRPr="007669E1">
              <w:rPr>
                <w:rFonts w:ascii="Segoe UI" w:hAnsi="Segoe UI" w:cs="Segoe UI"/>
                <w:sz w:val="18"/>
                <w:szCs w:val="18"/>
              </w:rPr>
              <w:t>Beneficiaries of transfer payment from charitable organizations</w:t>
            </w:r>
          </w:p>
        </w:tc>
      </w:tr>
      <w:tr w:rsidR="0072252A" w:rsidRPr="007669E1" w14:paraId="2B837B87" w14:textId="77777777" w:rsidTr="00D75D26">
        <w:tc>
          <w:tcPr>
            <w:tcW w:w="2425" w:type="dxa"/>
          </w:tcPr>
          <w:p w14:paraId="62276C03"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Type of Measure</w:t>
            </w:r>
          </w:p>
        </w:tc>
        <w:tc>
          <w:tcPr>
            <w:tcW w:w="7200" w:type="dxa"/>
            <w:gridSpan w:val="6"/>
          </w:tcPr>
          <w:p w14:paraId="1D67A075" w14:textId="77777777" w:rsidR="0072252A" w:rsidRPr="007669E1" w:rsidRDefault="0072252A" w:rsidP="00E90BA7">
            <w:pPr>
              <w:spacing w:before="20" w:after="20"/>
              <w:jc w:val="both"/>
              <w:rPr>
                <w:rFonts w:ascii="Segoe UI" w:hAnsi="Segoe UI" w:cs="Segoe UI"/>
                <w:sz w:val="18"/>
                <w:szCs w:val="18"/>
              </w:rPr>
            </w:pPr>
            <w:r w:rsidRPr="007669E1">
              <w:rPr>
                <w:rFonts w:ascii="Segoe UI" w:hAnsi="Segoe UI" w:cs="Segoe UI"/>
                <w:sz w:val="18"/>
                <w:szCs w:val="18"/>
              </w:rPr>
              <w:t>Legislated tax exemption</w:t>
            </w:r>
          </w:p>
        </w:tc>
      </w:tr>
      <w:tr w:rsidR="0072252A" w:rsidRPr="007669E1" w14:paraId="4FFB0504" w14:textId="77777777" w:rsidTr="00D75D26">
        <w:tc>
          <w:tcPr>
            <w:tcW w:w="2425" w:type="dxa"/>
          </w:tcPr>
          <w:p w14:paraId="6E26A768"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Reason why this Measure is not part of the Benchmark Tax System</w:t>
            </w:r>
          </w:p>
        </w:tc>
        <w:tc>
          <w:tcPr>
            <w:tcW w:w="7200" w:type="dxa"/>
            <w:gridSpan w:val="6"/>
          </w:tcPr>
          <w:p w14:paraId="5BF137EA" w14:textId="15D47826" w:rsidR="0072252A" w:rsidRPr="007669E1" w:rsidRDefault="00812416" w:rsidP="00E90BA7">
            <w:pPr>
              <w:spacing w:before="20" w:after="20"/>
              <w:jc w:val="both"/>
              <w:rPr>
                <w:rFonts w:ascii="Segoe UI" w:hAnsi="Segoe UI" w:cs="Segoe UI"/>
                <w:sz w:val="18"/>
                <w:szCs w:val="18"/>
              </w:rPr>
            </w:pPr>
            <w:r w:rsidRPr="007669E1">
              <w:rPr>
                <w:rFonts w:ascii="Segoe UI" w:hAnsi="Segoe UI" w:cs="Segoe UI"/>
                <w:sz w:val="18"/>
                <w:szCs w:val="18"/>
              </w:rPr>
              <w:t>T</w:t>
            </w:r>
            <w:r w:rsidR="0072252A" w:rsidRPr="007669E1">
              <w:rPr>
                <w:rFonts w:ascii="Segoe UI" w:hAnsi="Segoe UI" w:cs="Segoe UI"/>
                <w:sz w:val="18"/>
                <w:szCs w:val="18"/>
              </w:rPr>
              <w:t>ransfers/payments constitute income in the hands of the persons receiving t</w:t>
            </w:r>
            <w:r w:rsidRPr="007669E1">
              <w:rPr>
                <w:rFonts w:ascii="Segoe UI" w:hAnsi="Segoe UI" w:cs="Segoe UI"/>
                <w:sz w:val="18"/>
                <w:szCs w:val="18"/>
              </w:rPr>
              <w:t>his</w:t>
            </w:r>
            <w:r w:rsidR="0072252A" w:rsidRPr="007669E1">
              <w:rPr>
                <w:rFonts w:ascii="Segoe UI" w:hAnsi="Segoe UI" w:cs="Segoe UI"/>
                <w:sz w:val="18"/>
                <w:szCs w:val="18"/>
              </w:rPr>
              <w:t>. They should attract BIT at the flat rate of 12%. The non-taxation constitutes therefore a tax expenditure.</w:t>
            </w:r>
          </w:p>
        </w:tc>
      </w:tr>
      <w:tr w:rsidR="0072252A" w:rsidRPr="007669E1" w14:paraId="63829543" w14:textId="77777777" w:rsidTr="00D75D26">
        <w:tc>
          <w:tcPr>
            <w:tcW w:w="2425" w:type="dxa"/>
          </w:tcPr>
          <w:p w14:paraId="6BFC51B4"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Legal Reference</w:t>
            </w:r>
          </w:p>
        </w:tc>
        <w:tc>
          <w:tcPr>
            <w:tcW w:w="7200" w:type="dxa"/>
            <w:gridSpan w:val="6"/>
          </w:tcPr>
          <w:p w14:paraId="49D74BC5" w14:textId="77777777" w:rsidR="0072252A" w:rsidRPr="007669E1" w:rsidRDefault="0072252A" w:rsidP="00E90BA7">
            <w:pPr>
              <w:spacing w:before="20" w:after="20"/>
              <w:jc w:val="both"/>
              <w:rPr>
                <w:rFonts w:ascii="Segoe UI" w:hAnsi="Segoe UI" w:cs="Segoe UI"/>
                <w:sz w:val="18"/>
                <w:szCs w:val="18"/>
              </w:rPr>
            </w:pPr>
            <w:r w:rsidRPr="007669E1">
              <w:rPr>
                <w:rFonts w:ascii="Segoe UI" w:hAnsi="Segoe UI" w:cs="Segoe UI"/>
                <w:sz w:val="18"/>
                <w:szCs w:val="18"/>
              </w:rPr>
              <w:t>TC, Art. 20(l)</w:t>
            </w:r>
          </w:p>
        </w:tc>
      </w:tr>
      <w:tr w:rsidR="0072252A" w:rsidRPr="007669E1" w14:paraId="30D55AE5" w14:textId="77777777" w:rsidTr="00D75D26">
        <w:trPr>
          <w:trHeight w:val="182"/>
        </w:trPr>
        <w:tc>
          <w:tcPr>
            <w:tcW w:w="2425" w:type="dxa"/>
            <w:vMerge w:val="restart"/>
          </w:tcPr>
          <w:p w14:paraId="23A51D3C"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Implementation, Objectives, and History</w:t>
            </w:r>
          </w:p>
        </w:tc>
        <w:tc>
          <w:tcPr>
            <w:tcW w:w="7200" w:type="dxa"/>
            <w:gridSpan w:val="6"/>
          </w:tcPr>
          <w:p w14:paraId="105F3DDF" w14:textId="77777777" w:rsidR="0072252A" w:rsidRPr="007669E1" w:rsidRDefault="0072252A" w:rsidP="00E90BA7">
            <w:pPr>
              <w:spacing w:before="20" w:after="20"/>
              <w:jc w:val="both"/>
              <w:rPr>
                <w:rFonts w:ascii="Segoe UI" w:hAnsi="Segoe UI" w:cs="Segoe UI"/>
                <w:sz w:val="18"/>
                <w:szCs w:val="18"/>
              </w:rPr>
            </w:pPr>
          </w:p>
        </w:tc>
      </w:tr>
      <w:tr w:rsidR="0072252A" w:rsidRPr="007669E1" w14:paraId="6910DB64" w14:textId="77777777" w:rsidTr="00D75D26">
        <w:trPr>
          <w:trHeight w:val="182"/>
        </w:trPr>
        <w:tc>
          <w:tcPr>
            <w:tcW w:w="2425" w:type="dxa"/>
            <w:vMerge/>
          </w:tcPr>
          <w:p w14:paraId="040CD697" w14:textId="77777777" w:rsidR="0072252A" w:rsidRPr="007669E1" w:rsidRDefault="0072252A" w:rsidP="00E90BA7">
            <w:pPr>
              <w:spacing w:before="20" w:after="20"/>
              <w:jc w:val="both"/>
              <w:rPr>
                <w:rFonts w:ascii="Segoe UI" w:hAnsi="Segoe UI" w:cs="Segoe UI"/>
                <w:b/>
                <w:sz w:val="18"/>
                <w:szCs w:val="18"/>
              </w:rPr>
            </w:pPr>
          </w:p>
        </w:tc>
        <w:tc>
          <w:tcPr>
            <w:tcW w:w="3462" w:type="dxa"/>
            <w:gridSpan w:val="3"/>
          </w:tcPr>
          <w:p w14:paraId="7B9118B2" w14:textId="77777777" w:rsidR="0072252A" w:rsidRPr="007669E1" w:rsidRDefault="0072252A" w:rsidP="00E90BA7">
            <w:pPr>
              <w:spacing w:before="20" w:after="20"/>
              <w:jc w:val="both"/>
              <w:rPr>
                <w:rFonts w:ascii="Segoe UI" w:hAnsi="Segoe UI" w:cs="Segoe UI"/>
                <w:sz w:val="18"/>
                <w:szCs w:val="18"/>
              </w:rPr>
            </w:pPr>
            <w:r w:rsidRPr="007669E1">
              <w:rPr>
                <w:rFonts w:ascii="Segoe UI" w:hAnsi="Segoe UI" w:cs="Segoe UI"/>
                <w:sz w:val="18"/>
                <w:szCs w:val="18"/>
              </w:rPr>
              <w:t>Introduced in year: 1998</w:t>
            </w:r>
          </w:p>
        </w:tc>
        <w:tc>
          <w:tcPr>
            <w:tcW w:w="3738" w:type="dxa"/>
            <w:gridSpan w:val="3"/>
          </w:tcPr>
          <w:p w14:paraId="086D6D90" w14:textId="1462506A" w:rsidR="0072252A" w:rsidRPr="007669E1" w:rsidRDefault="0081296C" w:rsidP="00E90BA7">
            <w:pPr>
              <w:spacing w:before="20" w:after="20"/>
              <w:jc w:val="both"/>
              <w:rPr>
                <w:rFonts w:ascii="Segoe UI" w:hAnsi="Segoe UI" w:cs="Segoe UI"/>
                <w:sz w:val="18"/>
                <w:szCs w:val="18"/>
              </w:rPr>
            </w:pPr>
            <w:r w:rsidRPr="007669E1">
              <w:rPr>
                <w:rFonts w:ascii="Segoe UI" w:hAnsi="Segoe UI" w:cs="Segoe UI"/>
                <w:sz w:val="18"/>
                <w:szCs w:val="18"/>
              </w:rPr>
              <w:t>Expiry date: —</w:t>
            </w:r>
          </w:p>
        </w:tc>
      </w:tr>
      <w:tr w:rsidR="0072252A" w:rsidRPr="007669E1" w14:paraId="6426E0F2" w14:textId="77777777" w:rsidTr="00D75D26">
        <w:tc>
          <w:tcPr>
            <w:tcW w:w="2425" w:type="dxa"/>
          </w:tcPr>
          <w:p w14:paraId="46BD805E"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Source of Data</w:t>
            </w:r>
          </w:p>
        </w:tc>
        <w:tc>
          <w:tcPr>
            <w:tcW w:w="7200" w:type="dxa"/>
            <w:gridSpan w:val="6"/>
          </w:tcPr>
          <w:p w14:paraId="6EF26558" w14:textId="7FED17C5" w:rsidR="0072252A" w:rsidRPr="007669E1" w:rsidRDefault="004F4CE1" w:rsidP="00E90BA7">
            <w:pPr>
              <w:spacing w:before="20" w:after="20"/>
              <w:jc w:val="both"/>
              <w:rPr>
                <w:rFonts w:ascii="Segoe UI" w:hAnsi="Segoe UI" w:cs="Segoe UI"/>
                <w:sz w:val="18"/>
                <w:szCs w:val="18"/>
              </w:rPr>
            </w:pPr>
            <w:r w:rsidRPr="007669E1">
              <w:rPr>
                <w:rFonts w:ascii="Segoe UI" w:hAnsi="Segoe UI" w:cs="Segoe UI"/>
                <w:sz w:val="18"/>
                <w:szCs w:val="18"/>
              </w:rPr>
              <w:t>Not reported on the tax forms</w:t>
            </w:r>
          </w:p>
        </w:tc>
      </w:tr>
      <w:tr w:rsidR="0072252A" w:rsidRPr="007669E1" w14:paraId="483910DA" w14:textId="77777777" w:rsidTr="00D75D26">
        <w:tc>
          <w:tcPr>
            <w:tcW w:w="2425" w:type="dxa"/>
          </w:tcPr>
          <w:p w14:paraId="4290870B"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Estimation Method</w:t>
            </w:r>
          </w:p>
        </w:tc>
        <w:tc>
          <w:tcPr>
            <w:tcW w:w="7200" w:type="dxa"/>
            <w:gridSpan w:val="6"/>
          </w:tcPr>
          <w:p w14:paraId="3D9996C0" w14:textId="7DB64876" w:rsidR="0072252A" w:rsidRPr="007669E1" w:rsidRDefault="004F4CE1" w:rsidP="00E90BA7">
            <w:pPr>
              <w:spacing w:before="20" w:after="20"/>
              <w:jc w:val="both"/>
              <w:rPr>
                <w:rFonts w:ascii="Segoe UI" w:hAnsi="Segoe UI" w:cs="Segoe UI"/>
                <w:sz w:val="18"/>
                <w:szCs w:val="18"/>
              </w:rPr>
            </w:pPr>
            <w:r w:rsidRPr="007669E1">
              <w:rPr>
                <w:rFonts w:ascii="Segoe UI" w:hAnsi="Segoe UI" w:cs="Segoe UI"/>
                <w:sz w:val="18"/>
                <w:szCs w:val="18"/>
              </w:rPr>
              <w:t>Not estimated</w:t>
            </w:r>
          </w:p>
        </w:tc>
      </w:tr>
      <w:tr w:rsidR="0072252A" w:rsidRPr="007669E1" w14:paraId="25308515" w14:textId="77777777" w:rsidTr="00D75D26">
        <w:tc>
          <w:tcPr>
            <w:tcW w:w="2425" w:type="dxa"/>
          </w:tcPr>
          <w:p w14:paraId="50485183"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Number of Beneficiaries</w:t>
            </w:r>
          </w:p>
        </w:tc>
        <w:tc>
          <w:tcPr>
            <w:tcW w:w="7200" w:type="dxa"/>
            <w:gridSpan w:val="6"/>
          </w:tcPr>
          <w:p w14:paraId="016BF206" w14:textId="77777777" w:rsidR="0072252A" w:rsidRPr="007669E1" w:rsidRDefault="0072252A" w:rsidP="00E90BA7">
            <w:pPr>
              <w:spacing w:before="20" w:after="20"/>
              <w:jc w:val="both"/>
              <w:rPr>
                <w:rFonts w:ascii="Segoe UI" w:hAnsi="Segoe UI" w:cs="Segoe UI"/>
                <w:sz w:val="18"/>
                <w:szCs w:val="18"/>
              </w:rPr>
            </w:pPr>
          </w:p>
        </w:tc>
      </w:tr>
      <w:tr w:rsidR="0072252A" w:rsidRPr="007669E1" w14:paraId="1AD63DD9" w14:textId="77777777" w:rsidTr="00D75D26">
        <w:tc>
          <w:tcPr>
            <w:tcW w:w="2425" w:type="dxa"/>
          </w:tcPr>
          <w:p w14:paraId="516E333F"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Revenue Cost Reporting</w:t>
            </w:r>
          </w:p>
        </w:tc>
        <w:tc>
          <w:tcPr>
            <w:tcW w:w="7200" w:type="dxa"/>
            <w:gridSpan w:val="6"/>
          </w:tcPr>
          <w:p w14:paraId="0BB0DB35" w14:textId="42299445" w:rsidR="0072252A" w:rsidRPr="007669E1" w:rsidRDefault="00E51E47" w:rsidP="00E90BA7">
            <w:pPr>
              <w:spacing w:before="20" w:after="20"/>
              <w:jc w:val="both"/>
              <w:rPr>
                <w:rFonts w:ascii="Segoe UI" w:hAnsi="Segoe UI" w:cs="Segoe UI"/>
                <w:sz w:val="18"/>
                <w:szCs w:val="18"/>
              </w:rPr>
            </w:pPr>
            <w:r w:rsidRPr="007669E1">
              <w:rPr>
                <w:rFonts w:ascii="Segoe UI" w:hAnsi="Segoe UI" w:cs="Segoe UI"/>
                <w:sz w:val="18"/>
                <w:szCs w:val="18"/>
              </w:rPr>
              <w:t>Thousand</w:t>
            </w:r>
            <w:r w:rsidR="0072252A" w:rsidRPr="007669E1">
              <w:rPr>
                <w:rFonts w:ascii="Segoe UI" w:hAnsi="Segoe UI" w:cs="Segoe UI"/>
                <w:sz w:val="18"/>
                <w:szCs w:val="18"/>
              </w:rPr>
              <w:t xml:space="preserve"> MDL</w:t>
            </w:r>
          </w:p>
        </w:tc>
      </w:tr>
      <w:tr w:rsidR="0072252A" w:rsidRPr="007669E1" w14:paraId="1089A192" w14:textId="77777777" w:rsidTr="00D75D26">
        <w:trPr>
          <w:trHeight w:val="91"/>
        </w:trPr>
        <w:tc>
          <w:tcPr>
            <w:tcW w:w="2425" w:type="dxa"/>
            <w:vMerge w:val="restart"/>
          </w:tcPr>
          <w:p w14:paraId="280F6D26" w14:textId="77777777" w:rsidR="0072252A" w:rsidRPr="007669E1" w:rsidRDefault="0072252A" w:rsidP="00E90BA7">
            <w:pPr>
              <w:spacing w:before="20" w:after="20"/>
              <w:jc w:val="both"/>
              <w:rPr>
                <w:rFonts w:ascii="Segoe UI" w:hAnsi="Segoe UI" w:cs="Segoe UI"/>
                <w:b/>
                <w:sz w:val="18"/>
                <w:szCs w:val="18"/>
              </w:rPr>
            </w:pPr>
          </w:p>
        </w:tc>
        <w:tc>
          <w:tcPr>
            <w:tcW w:w="1385" w:type="dxa"/>
          </w:tcPr>
          <w:p w14:paraId="72DB10EF"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2018</w:t>
            </w:r>
          </w:p>
        </w:tc>
        <w:tc>
          <w:tcPr>
            <w:tcW w:w="1385" w:type="dxa"/>
          </w:tcPr>
          <w:p w14:paraId="5925A1A0"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2019</w:t>
            </w:r>
          </w:p>
        </w:tc>
        <w:tc>
          <w:tcPr>
            <w:tcW w:w="1385" w:type="dxa"/>
            <w:gridSpan w:val="2"/>
          </w:tcPr>
          <w:p w14:paraId="13B65A42"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2020</w:t>
            </w:r>
          </w:p>
        </w:tc>
        <w:tc>
          <w:tcPr>
            <w:tcW w:w="1385" w:type="dxa"/>
          </w:tcPr>
          <w:p w14:paraId="55B1555D" w14:textId="77777777" w:rsidR="0072252A" w:rsidRPr="007669E1" w:rsidRDefault="0072252A" w:rsidP="00E90BA7">
            <w:pPr>
              <w:spacing w:before="20" w:after="20"/>
              <w:jc w:val="both"/>
              <w:rPr>
                <w:rFonts w:ascii="Segoe UI" w:hAnsi="Segoe UI" w:cs="Segoe UI"/>
                <w:b/>
                <w:sz w:val="18"/>
                <w:szCs w:val="18"/>
              </w:rPr>
            </w:pPr>
            <w:r w:rsidRPr="007669E1">
              <w:rPr>
                <w:rFonts w:ascii="Segoe UI" w:hAnsi="Segoe UI" w:cs="Segoe UI"/>
                <w:b/>
                <w:sz w:val="18"/>
                <w:szCs w:val="18"/>
              </w:rPr>
              <w:t>2021</w:t>
            </w:r>
          </w:p>
        </w:tc>
        <w:tc>
          <w:tcPr>
            <w:tcW w:w="1660" w:type="dxa"/>
          </w:tcPr>
          <w:p w14:paraId="0F24C441" w14:textId="6A1C09BA" w:rsidR="0072252A" w:rsidRPr="007669E1" w:rsidRDefault="000C00AF" w:rsidP="00E90BA7">
            <w:pPr>
              <w:spacing w:before="20" w:after="20"/>
              <w:jc w:val="both"/>
              <w:rPr>
                <w:rFonts w:ascii="Segoe UI" w:hAnsi="Segoe UI" w:cs="Segoe UI"/>
                <w:b/>
                <w:sz w:val="18"/>
                <w:szCs w:val="18"/>
              </w:rPr>
            </w:pPr>
            <w:r w:rsidRPr="007669E1">
              <w:rPr>
                <w:rFonts w:ascii="Segoe UI" w:hAnsi="Segoe UI" w:cs="Segoe UI"/>
                <w:b/>
                <w:sz w:val="18"/>
                <w:szCs w:val="18"/>
              </w:rPr>
              <w:t>2022</w:t>
            </w:r>
          </w:p>
        </w:tc>
      </w:tr>
      <w:tr w:rsidR="00212C07" w:rsidRPr="007669E1" w14:paraId="21CC11E9" w14:textId="77777777" w:rsidTr="00D75D26">
        <w:trPr>
          <w:trHeight w:val="91"/>
        </w:trPr>
        <w:tc>
          <w:tcPr>
            <w:tcW w:w="2425" w:type="dxa"/>
            <w:vMerge/>
          </w:tcPr>
          <w:p w14:paraId="0B081B1C" w14:textId="77777777" w:rsidR="00212C07" w:rsidRPr="007669E1" w:rsidRDefault="00212C07" w:rsidP="00E90BA7">
            <w:pPr>
              <w:spacing w:before="20" w:after="20"/>
              <w:jc w:val="both"/>
              <w:rPr>
                <w:rFonts w:ascii="Segoe UI" w:hAnsi="Segoe UI" w:cs="Segoe UI"/>
                <w:b/>
                <w:sz w:val="18"/>
                <w:szCs w:val="18"/>
              </w:rPr>
            </w:pPr>
          </w:p>
        </w:tc>
        <w:tc>
          <w:tcPr>
            <w:tcW w:w="1385" w:type="dxa"/>
          </w:tcPr>
          <w:p w14:paraId="5104B612" w14:textId="29B1DE43" w:rsidR="00212C07" w:rsidRPr="007669E1" w:rsidRDefault="009B23D4"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3CC9B385" w14:textId="27A868C3" w:rsidR="00212C07" w:rsidRPr="007669E1" w:rsidRDefault="009B23D4"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20F8CD22" w14:textId="02C7D211" w:rsidR="00212C07" w:rsidRPr="007669E1" w:rsidRDefault="009B23D4"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03E266B3" w14:textId="46D285C1" w:rsidR="00212C07" w:rsidRPr="007669E1" w:rsidRDefault="009B23D4"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1F8A903C" w14:textId="15622412" w:rsidR="00212C07" w:rsidRPr="007669E1" w:rsidRDefault="009B23D4"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44DFE813" w14:textId="77777777" w:rsidR="009B23D4" w:rsidRPr="007669E1" w:rsidRDefault="009B23D4" w:rsidP="00E90BA7">
      <w:pPr>
        <w:spacing w:before="20" w:after="20" w:line="240" w:lineRule="auto"/>
        <w:jc w:val="both"/>
        <w:rPr>
          <w:rFonts w:ascii="Segoe UI" w:hAnsi="Segoe UI" w:cs="Segoe UI"/>
          <w:sz w:val="18"/>
          <w:szCs w:val="18"/>
        </w:rPr>
      </w:pPr>
    </w:p>
    <w:tbl>
      <w:tblPr>
        <w:tblStyle w:val="TableGrid4"/>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7669E1" w14:paraId="14E74EFA" w14:textId="77777777" w:rsidTr="00D75D26">
        <w:tc>
          <w:tcPr>
            <w:tcW w:w="9625" w:type="dxa"/>
            <w:gridSpan w:val="7"/>
            <w:shd w:val="clear" w:color="auto" w:fill="D9D9D9" w:themeFill="background1" w:themeFillShade="D9"/>
          </w:tcPr>
          <w:p w14:paraId="323ACD6B" w14:textId="4C58D0A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 xml:space="preserve">22. </w:t>
            </w:r>
            <w:r w:rsidR="00FC171D" w:rsidRPr="007669E1">
              <w:rPr>
                <w:rFonts w:ascii="Segoe UI" w:hAnsi="Segoe UI" w:cs="Segoe UI"/>
                <w:b/>
                <w:sz w:val="18"/>
                <w:szCs w:val="18"/>
              </w:rPr>
              <w:t>Tax exemption of financial assistance received from the National Olympic and Sports Committee</w:t>
            </w:r>
          </w:p>
        </w:tc>
      </w:tr>
      <w:tr w:rsidR="007C2B84" w:rsidRPr="007669E1" w14:paraId="6CACF3AF" w14:textId="77777777" w:rsidTr="00D75D26">
        <w:tc>
          <w:tcPr>
            <w:tcW w:w="2425" w:type="dxa"/>
          </w:tcPr>
          <w:p w14:paraId="08CD7CC7"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Description</w:t>
            </w:r>
          </w:p>
        </w:tc>
        <w:tc>
          <w:tcPr>
            <w:tcW w:w="7200" w:type="dxa"/>
            <w:gridSpan w:val="6"/>
          </w:tcPr>
          <w:p w14:paraId="4E389B5C"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There is a tax exemption for financial assistance received by the National Olympic and Sports Committee and by national professional sports federations from the International Olympic Committee, professional European and international sports federations, and other international sports organizations.</w:t>
            </w:r>
          </w:p>
        </w:tc>
      </w:tr>
      <w:tr w:rsidR="007C2B84" w:rsidRPr="007669E1" w14:paraId="22B822A2" w14:textId="77777777" w:rsidTr="00D75D26">
        <w:tc>
          <w:tcPr>
            <w:tcW w:w="2425" w:type="dxa"/>
          </w:tcPr>
          <w:p w14:paraId="420D638E"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Type of Tax Affected</w:t>
            </w:r>
          </w:p>
        </w:tc>
        <w:tc>
          <w:tcPr>
            <w:tcW w:w="7200" w:type="dxa"/>
            <w:gridSpan w:val="6"/>
          </w:tcPr>
          <w:p w14:paraId="16B1167B"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BIT</w:t>
            </w:r>
          </w:p>
        </w:tc>
      </w:tr>
      <w:tr w:rsidR="007C2B84" w:rsidRPr="007669E1" w14:paraId="37873B18" w14:textId="77777777" w:rsidTr="00D75D26">
        <w:tc>
          <w:tcPr>
            <w:tcW w:w="2425" w:type="dxa"/>
          </w:tcPr>
          <w:p w14:paraId="0D15724D"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Beneficiaries</w:t>
            </w:r>
          </w:p>
        </w:tc>
        <w:tc>
          <w:tcPr>
            <w:tcW w:w="7200" w:type="dxa"/>
            <w:gridSpan w:val="6"/>
          </w:tcPr>
          <w:p w14:paraId="0ACEB876"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The National Olympic and Sports Committee and national professional sports federations</w:t>
            </w:r>
          </w:p>
        </w:tc>
      </w:tr>
      <w:tr w:rsidR="007C2B84" w:rsidRPr="007669E1" w14:paraId="68E94158" w14:textId="77777777" w:rsidTr="00D75D26">
        <w:tc>
          <w:tcPr>
            <w:tcW w:w="2425" w:type="dxa"/>
          </w:tcPr>
          <w:p w14:paraId="59F2D259"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Type of Measure</w:t>
            </w:r>
          </w:p>
        </w:tc>
        <w:tc>
          <w:tcPr>
            <w:tcW w:w="7200" w:type="dxa"/>
            <w:gridSpan w:val="6"/>
          </w:tcPr>
          <w:p w14:paraId="537C76E0"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Legislated tax exemption</w:t>
            </w:r>
          </w:p>
        </w:tc>
      </w:tr>
      <w:tr w:rsidR="007C2B84" w:rsidRPr="007669E1" w14:paraId="35F6BC63" w14:textId="77777777" w:rsidTr="00D75D26">
        <w:tc>
          <w:tcPr>
            <w:tcW w:w="2425" w:type="dxa"/>
          </w:tcPr>
          <w:p w14:paraId="577CC23B"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Reason why this Measure is not part of the Benchmark Tax System</w:t>
            </w:r>
          </w:p>
        </w:tc>
        <w:tc>
          <w:tcPr>
            <w:tcW w:w="7200" w:type="dxa"/>
            <w:gridSpan w:val="6"/>
          </w:tcPr>
          <w:p w14:paraId="68343589" w14:textId="06496A9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Under the comprehensive income concept, these “financial assistance” transfers/payments constitute income in the hands of the sports organizations receiving the aid transfers. They should attract BIT at the flat rate of 12%. The non-taxation constitutes therefore a tax expenditure.</w:t>
            </w:r>
          </w:p>
        </w:tc>
      </w:tr>
      <w:tr w:rsidR="007C2B84" w:rsidRPr="007669E1" w14:paraId="58280E66" w14:textId="77777777" w:rsidTr="00D75D26">
        <w:tc>
          <w:tcPr>
            <w:tcW w:w="2425" w:type="dxa"/>
          </w:tcPr>
          <w:p w14:paraId="55A5DFDB"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Legal Reference</w:t>
            </w:r>
          </w:p>
        </w:tc>
        <w:tc>
          <w:tcPr>
            <w:tcW w:w="7200" w:type="dxa"/>
            <w:gridSpan w:val="6"/>
          </w:tcPr>
          <w:p w14:paraId="5789AFBF"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TC, Art. 20(t)</w:t>
            </w:r>
          </w:p>
        </w:tc>
      </w:tr>
      <w:tr w:rsidR="007C2B84" w:rsidRPr="007669E1" w14:paraId="03F5DE9E" w14:textId="77777777" w:rsidTr="00D75D26">
        <w:trPr>
          <w:trHeight w:val="182"/>
        </w:trPr>
        <w:tc>
          <w:tcPr>
            <w:tcW w:w="2425" w:type="dxa"/>
            <w:vMerge w:val="restart"/>
          </w:tcPr>
          <w:p w14:paraId="13BD3AFF"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Implementation, Objectives, and History</w:t>
            </w:r>
          </w:p>
        </w:tc>
        <w:tc>
          <w:tcPr>
            <w:tcW w:w="7200" w:type="dxa"/>
            <w:gridSpan w:val="6"/>
          </w:tcPr>
          <w:p w14:paraId="5D8CF73E" w14:textId="77777777" w:rsidR="007C2B84" w:rsidRPr="007669E1" w:rsidRDefault="007C2B84" w:rsidP="00E90BA7">
            <w:pPr>
              <w:spacing w:before="20" w:after="20"/>
              <w:jc w:val="both"/>
              <w:rPr>
                <w:rFonts w:ascii="Segoe UI" w:hAnsi="Segoe UI" w:cs="Segoe UI"/>
                <w:sz w:val="18"/>
                <w:szCs w:val="18"/>
              </w:rPr>
            </w:pPr>
          </w:p>
        </w:tc>
      </w:tr>
      <w:tr w:rsidR="007C2B84" w:rsidRPr="007669E1" w14:paraId="58C5AAEF" w14:textId="77777777" w:rsidTr="00D75D26">
        <w:trPr>
          <w:trHeight w:val="182"/>
        </w:trPr>
        <w:tc>
          <w:tcPr>
            <w:tcW w:w="2425" w:type="dxa"/>
            <w:vMerge/>
          </w:tcPr>
          <w:p w14:paraId="0A6A05C1" w14:textId="77777777" w:rsidR="007C2B84" w:rsidRPr="007669E1" w:rsidRDefault="007C2B84" w:rsidP="00E90BA7">
            <w:pPr>
              <w:spacing w:before="20" w:after="20"/>
              <w:jc w:val="both"/>
              <w:rPr>
                <w:rFonts w:ascii="Segoe UI" w:hAnsi="Segoe UI" w:cs="Segoe UI"/>
                <w:b/>
                <w:sz w:val="18"/>
                <w:szCs w:val="18"/>
              </w:rPr>
            </w:pPr>
          </w:p>
        </w:tc>
        <w:tc>
          <w:tcPr>
            <w:tcW w:w="3462" w:type="dxa"/>
            <w:gridSpan w:val="3"/>
          </w:tcPr>
          <w:p w14:paraId="206B72FD" w14:textId="77777777" w:rsidR="007C2B84" w:rsidRPr="007669E1" w:rsidRDefault="007C2B84" w:rsidP="00E90BA7">
            <w:pPr>
              <w:spacing w:before="20" w:after="20"/>
              <w:jc w:val="both"/>
              <w:rPr>
                <w:rFonts w:ascii="Segoe UI" w:hAnsi="Segoe UI" w:cs="Segoe UI"/>
                <w:sz w:val="18"/>
                <w:szCs w:val="18"/>
              </w:rPr>
            </w:pPr>
            <w:r w:rsidRPr="007669E1">
              <w:rPr>
                <w:rFonts w:ascii="Segoe UI" w:hAnsi="Segoe UI" w:cs="Segoe UI"/>
                <w:sz w:val="18"/>
                <w:szCs w:val="18"/>
              </w:rPr>
              <w:t>Introduced in year: 2001</w:t>
            </w:r>
          </w:p>
        </w:tc>
        <w:tc>
          <w:tcPr>
            <w:tcW w:w="3738" w:type="dxa"/>
            <w:gridSpan w:val="3"/>
          </w:tcPr>
          <w:p w14:paraId="55271E63" w14:textId="1AB3C049" w:rsidR="007C2B84" w:rsidRPr="007669E1" w:rsidRDefault="0081296C" w:rsidP="00E90BA7">
            <w:pPr>
              <w:spacing w:before="20" w:after="20"/>
              <w:jc w:val="both"/>
              <w:rPr>
                <w:rFonts w:ascii="Segoe UI" w:hAnsi="Segoe UI" w:cs="Segoe UI"/>
                <w:sz w:val="18"/>
                <w:szCs w:val="18"/>
              </w:rPr>
            </w:pPr>
            <w:r w:rsidRPr="007669E1">
              <w:rPr>
                <w:rFonts w:ascii="Segoe UI" w:hAnsi="Segoe UI" w:cs="Segoe UI"/>
                <w:sz w:val="18"/>
                <w:szCs w:val="18"/>
              </w:rPr>
              <w:t>Expiry date: —</w:t>
            </w:r>
          </w:p>
        </w:tc>
      </w:tr>
      <w:tr w:rsidR="007C2B84" w:rsidRPr="007669E1" w14:paraId="31EC71CE" w14:textId="77777777" w:rsidTr="00D75D26">
        <w:tc>
          <w:tcPr>
            <w:tcW w:w="2425" w:type="dxa"/>
          </w:tcPr>
          <w:p w14:paraId="323B6D0A"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Source of Data</w:t>
            </w:r>
          </w:p>
        </w:tc>
        <w:tc>
          <w:tcPr>
            <w:tcW w:w="7200" w:type="dxa"/>
            <w:gridSpan w:val="6"/>
          </w:tcPr>
          <w:p w14:paraId="2CD2E6C9" w14:textId="45B5DEF8" w:rsidR="007C2B84" w:rsidRPr="007669E1" w:rsidRDefault="004F4CE1" w:rsidP="00E90BA7">
            <w:pPr>
              <w:spacing w:before="20" w:after="20"/>
              <w:jc w:val="both"/>
              <w:rPr>
                <w:rFonts w:ascii="Segoe UI" w:hAnsi="Segoe UI" w:cs="Segoe UI"/>
                <w:sz w:val="18"/>
                <w:szCs w:val="18"/>
              </w:rPr>
            </w:pPr>
            <w:r w:rsidRPr="007669E1">
              <w:rPr>
                <w:rFonts w:ascii="Segoe UI" w:hAnsi="Segoe UI" w:cs="Segoe UI"/>
                <w:sz w:val="18"/>
                <w:szCs w:val="18"/>
              </w:rPr>
              <w:t>Not reported on the tax forms</w:t>
            </w:r>
          </w:p>
        </w:tc>
      </w:tr>
      <w:tr w:rsidR="007C2B84" w:rsidRPr="007669E1" w14:paraId="71B7B4EB" w14:textId="77777777" w:rsidTr="00D75D26">
        <w:tc>
          <w:tcPr>
            <w:tcW w:w="2425" w:type="dxa"/>
          </w:tcPr>
          <w:p w14:paraId="56D6BBEF"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Estimation Method</w:t>
            </w:r>
          </w:p>
        </w:tc>
        <w:tc>
          <w:tcPr>
            <w:tcW w:w="7200" w:type="dxa"/>
            <w:gridSpan w:val="6"/>
          </w:tcPr>
          <w:p w14:paraId="06F4A056" w14:textId="426A6634" w:rsidR="007C2B84" w:rsidRPr="007669E1" w:rsidRDefault="004F4CE1" w:rsidP="00E90BA7">
            <w:pPr>
              <w:spacing w:before="20" w:after="20"/>
              <w:jc w:val="both"/>
              <w:rPr>
                <w:rFonts w:ascii="Segoe UI" w:hAnsi="Segoe UI" w:cs="Segoe UI"/>
                <w:sz w:val="18"/>
                <w:szCs w:val="18"/>
              </w:rPr>
            </w:pPr>
            <w:r w:rsidRPr="007669E1">
              <w:rPr>
                <w:rFonts w:ascii="Segoe UI" w:hAnsi="Segoe UI" w:cs="Segoe UI"/>
                <w:sz w:val="18"/>
                <w:szCs w:val="18"/>
              </w:rPr>
              <w:t>Not estimated</w:t>
            </w:r>
          </w:p>
        </w:tc>
      </w:tr>
      <w:tr w:rsidR="007C2B84" w:rsidRPr="007669E1" w14:paraId="0009C813" w14:textId="77777777" w:rsidTr="00D75D26">
        <w:tc>
          <w:tcPr>
            <w:tcW w:w="2425" w:type="dxa"/>
          </w:tcPr>
          <w:p w14:paraId="2FA4859F"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Number of Beneficiaries</w:t>
            </w:r>
          </w:p>
        </w:tc>
        <w:tc>
          <w:tcPr>
            <w:tcW w:w="7200" w:type="dxa"/>
            <w:gridSpan w:val="6"/>
          </w:tcPr>
          <w:p w14:paraId="55A6EE1E" w14:textId="77777777" w:rsidR="007C2B84" w:rsidRPr="007669E1" w:rsidRDefault="007C2B84" w:rsidP="00E90BA7">
            <w:pPr>
              <w:spacing w:before="20" w:after="20"/>
              <w:jc w:val="both"/>
              <w:rPr>
                <w:rFonts w:ascii="Segoe UI" w:hAnsi="Segoe UI" w:cs="Segoe UI"/>
                <w:sz w:val="18"/>
                <w:szCs w:val="18"/>
              </w:rPr>
            </w:pPr>
          </w:p>
        </w:tc>
      </w:tr>
      <w:tr w:rsidR="007C2B84" w:rsidRPr="007669E1" w14:paraId="1C2118E7" w14:textId="77777777" w:rsidTr="00D75D26">
        <w:tc>
          <w:tcPr>
            <w:tcW w:w="2425" w:type="dxa"/>
          </w:tcPr>
          <w:p w14:paraId="124D25D8"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Revenue Cost Reporting</w:t>
            </w:r>
          </w:p>
        </w:tc>
        <w:tc>
          <w:tcPr>
            <w:tcW w:w="7200" w:type="dxa"/>
            <w:gridSpan w:val="6"/>
          </w:tcPr>
          <w:p w14:paraId="34B19800" w14:textId="2C77E7C5" w:rsidR="007C2B84" w:rsidRPr="007669E1" w:rsidRDefault="00E51E47" w:rsidP="00E90BA7">
            <w:pPr>
              <w:spacing w:before="20" w:after="20"/>
              <w:jc w:val="both"/>
              <w:rPr>
                <w:rFonts w:ascii="Segoe UI" w:hAnsi="Segoe UI" w:cs="Segoe UI"/>
                <w:sz w:val="18"/>
                <w:szCs w:val="18"/>
              </w:rPr>
            </w:pPr>
            <w:r w:rsidRPr="007669E1">
              <w:rPr>
                <w:rFonts w:ascii="Segoe UI" w:hAnsi="Segoe UI" w:cs="Segoe UI"/>
                <w:sz w:val="18"/>
                <w:szCs w:val="18"/>
              </w:rPr>
              <w:t>Thousand</w:t>
            </w:r>
            <w:r w:rsidR="007C2B84" w:rsidRPr="007669E1">
              <w:rPr>
                <w:rFonts w:ascii="Segoe UI" w:hAnsi="Segoe UI" w:cs="Segoe UI"/>
                <w:sz w:val="18"/>
                <w:szCs w:val="18"/>
              </w:rPr>
              <w:t xml:space="preserve"> MDL</w:t>
            </w:r>
          </w:p>
        </w:tc>
      </w:tr>
      <w:tr w:rsidR="007C2B84" w:rsidRPr="007669E1" w14:paraId="1EB48736" w14:textId="77777777" w:rsidTr="00D75D26">
        <w:trPr>
          <w:trHeight w:val="91"/>
        </w:trPr>
        <w:tc>
          <w:tcPr>
            <w:tcW w:w="2425" w:type="dxa"/>
            <w:vMerge w:val="restart"/>
          </w:tcPr>
          <w:p w14:paraId="3CC52292" w14:textId="77777777" w:rsidR="007C2B84" w:rsidRPr="007669E1" w:rsidRDefault="007C2B84" w:rsidP="00E90BA7">
            <w:pPr>
              <w:spacing w:before="20" w:after="20"/>
              <w:jc w:val="both"/>
              <w:rPr>
                <w:rFonts w:ascii="Segoe UI" w:hAnsi="Segoe UI" w:cs="Segoe UI"/>
                <w:b/>
                <w:sz w:val="18"/>
                <w:szCs w:val="18"/>
              </w:rPr>
            </w:pPr>
          </w:p>
        </w:tc>
        <w:tc>
          <w:tcPr>
            <w:tcW w:w="1385" w:type="dxa"/>
          </w:tcPr>
          <w:p w14:paraId="71CC0DE8"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2018</w:t>
            </w:r>
          </w:p>
        </w:tc>
        <w:tc>
          <w:tcPr>
            <w:tcW w:w="1385" w:type="dxa"/>
          </w:tcPr>
          <w:p w14:paraId="3C3E7970"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2019</w:t>
            </w:r>
          </w:p>
        </w:tc>
        <w:tc>
          <w:tcPr>
            <w:tcW w:w="1385" w:type="dxa"/>
            <w:gridSpan w:val="2"/>
          </w:tcPr>
          <w:p w14:paraId="43C596C7"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2020</w:t>
            </w:r>
          </w:p>
        </w:tc>
        <w:tc>
          <w:tcPr>
            <w:tcW w:w="1385" w:type="dxa"/>
          </w:tcPr>
          <w:p w14:paraId="0E362903" w14:textId="77777777" w:rsidR="007C2B84" w:rsidRPr="007669E1" w:rsidRDefault="007C2B84" w:rsidP="00E90BA7">
            <w:pPr>
              <w:spacing w:before="20" w:after="20"/>
              <w:jc w:val="both"/>
              <w:rPr>
                <w:rFonts w:ascii="Segoe UI" w:hAnsi="Segoe UI" w:cs="Segoe UI"/>
                <w:b/>
                <w:sz w:val="18"/>
                <w:szCs w:val="18"/>
              </w:rPr>
            </w:pPr>
            <w:r w:rsidRPr="007669E1">
              <w:rPr>
                <w:rFonts w:ascii="Segoe UI" w:hAnsi="Segoe UI" w:cs="Segoe UI"/>
                <w:b/>
                <w:sz w:val="18"/>
                <w:szCs w:val="18"/>
              </w:rPr>
              <w:t>2021</w:t>
            </w:r>
          </w:p>
        </w:tc>
        <w:tc>
          <w:tcPr>
            <w:tcW w:w="1660" w:type="dxa"/>
          </w:tcPr>
          <w:p w14:paraId="4ED00DF6" w14:textId="408C96B8" w:rsidR="007C2B84" w:rsidRPr="007669E1" w:rsidRDefault="000C00AF" w:rsidP="00E90BA7">
            <w:pPr>
              <w:spacing w:before="20" w:after="20"/>
              <w:jc w:val="both"/>
              <w:rPr>
                <w:rFonts w:ascii="Segoe UI" w:hAnsi="Segoe UI" w:cs="Segoe UI"/>
                <w:b/>
                <w:sz w:val="18"/>
                <w:szCs w:val="18"/>
              </w:rPr>
            </w:pPr>
            <w:r w:rsidRPr="007669E1">
              <w:rPr>
                <w:rFonts w:ascii="Segoe UI" w:hAnsi="Segoe UI" w:cs="Segoe UI"/>
                <w:b/>
                <w:sz w:val="18"/>
                <w:szCs w:val="18"/>
              </w:rPr>
              <w:t>2022</w:t>
            </w:r>
          </w:p>
        </w:tc>
      </w:tr>
      <w:tr w:rsidR="00212C07" w:rsidRPr="007669E1" w14:paraId="28AA1C26" w14:textId="77777777" w:rsidTr="00D75D26">
        <w:trPr>
          <w:trHeight w:val="91"/>
        </w:trPr>
        <w:tc>
          <w:tcPr>
            <w:tcW w:w="2425" w:type="dxa"/>
            <w:vMerge/>
          </w:tcPr>
          <w:p w14:paraId="0EB3EB3A" w14:textId="77777777" w:rsidR="00212C07" w:rsidRPr="007669E1" w:rsidRDefault="00212C07" w:rsidP="00E90BA7">
            <w:pPr>
              <w:spacing w:before="20" w:after="20"/>
              <w:jc w:val="both"/>
              <w:rPr>
                <w:rFonts w:ascii="Segoe UI" w:hAnsi="Segoe UI" w:cs="Segoe UI"/>
                <w:b/>
                <w:sz w:val="18"/>
                <w:szCs w:val="18"/>
              </w:rPr>
            </w:pPr>
          </w:p>
        </w:tc>
        <w:tc>
          <w:tcPr>
            <w:tcW w:w="1385" w:type="dxa"/>
          </w:tcPr>
          <w:p w14:paraId="2753C3EC" w14:textId="4AEF6D95" w:rsidR="00212C07" w:rsidRPr="007669E1" w:rsidRDefault="002544F2"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539002E2" w14:textId="5E4BD7C0" w:rsidR="00212C07" w:rsidRPr="007669E1" w:rsidRDefault="002544F2"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56CB833F" w14:textId="1EA0CCCD" w:rsidR="00212C07" w:rsidRPr="007669E1" w:rsidRDefault="002544F2"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5876FE59" w14:textId="19DD851B" w:rsidR="00212C07" w:rsidRPr="007669E1" w:rsidRDefault="002544F2"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68087CD6" w14:textId="62480BDD" w:rsidR="00212C07" w:rsidRPr="007669E1" w:rsidRDefault="002544F2" w:rsidP="00E90BA7">
            <w:pPr>
              <w:spacing w:before="20" w:after="20"/>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3FABA320" w14:textId="24E60BCF" w:rsidR="007C2B84" w:rsidRPr="007669E1" w:rsidRDefault="007C2B84" w:rsidP="00E90BA7">
      <w:pPr>
        <w:spacing w:before="20" w:after="20" w:line="240" w:lineRule="auto"/>
        <w:jc w:val="both"/>
        <w:rPr>
          <w:rFonts w:ascii="Segoe UI" w:hAnsi="Segoe UI" w:cs="Segoe UI"/>
          <w:sz w:val="18"/>
          <w:szCs w:val="18"/>
        </w:rPr>
      </w:pPr>
    </w:p>
    <w:p w14:paraId="022A0ED1" w14:textId="369DD712" w:rsidR="00F77F6D" w:rsidRPr="007669E1" w:rsidRDefault="007C2B84" w:rsidP="00E90BA7">
      <w:pPr>
        <w:pStyle w:val="Heading2"/>
        <w:spacing w:before="20" w:after="20" w:line="240" w:lineRule="auto"/>
        <w:jc w:val="both"/>
        <w:rPr>
          <w:rFonts w:ascii="Segoe UI" w:hAnsi="Segoe UI" w:cs="Segoe UI"/>
          <w:sz w:val="18"/>
          <w:szCs w:val="18"/>
        </w:rPr>
      </w:pPr>
      <w:r w:rsidRPr="007669E1">
        <w:rPr>
          <w:rFonts w:ascii="Segoe UI" w:hAnsi="Segoe UI" w:cs="Segoe UI"/>
          <w:sz w:val="18"/>
          <w:szCs w:val="18"/>
        </w:rPr>
        <w:br w:type="page"/>
      </w:r>
      <w:bookmarkStart w:id="51" w:name="_Toc126555843"/>
      <w:r w:rsidR="00F77F6D" w:rsidRPr="007669E1">
        <w:rPr>
          <w:rFonts w:ascii="Segoe UI" w:hAnsi="Segoe UI" w:cs="Segoe UI"/>
          <w:sz w:val="18"/>
          <w:szCs w:val="18"/>
        </w:rPr>
        <w:lastRenderedPageBreak/>
        <w:t>Appendix 3:</w:t>
      </w:r>
      <w:r w:rsidR="00F77F6D" w:rsidRPr="007669E1">
        <w:rPr>
          <w:rFonts w:ascii="Segoe UI" w:hAnsi="Segoe UI" w:cs="Segoe UI"/>
          <w:sz w:val="18"/>
          <w:szCs w:val="18"/>
        </w:rPr>
        <w:tab/>
        <w:t>VAT Tax Expenditures</w:t>
      </w:r>
      <w:r w:rsidR="00C341F0" w:rsidRPr="007669E1">
        <w:rPr>
          <w:rFonts w:ascii="Segoe UI" w:hAnsi="Segoe UI" w:cs="Segoe UI"/>
          <w:sz w:val="18"/>
          <w:szCs w:val="18"/>
        </w:rPr>
        <w:t xml:space="preserve"> Summary Sheets</w:t>
      </w:r>
      <w:bookmarkEnd w:id="51"/>
    </w:p>
    <w:p w14:paraId="228725BE"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8D78EB" w14:paraId="17F247AA" w14:textId="77777777" w:rsidTr="0024524D">
        <w:tc>
          <w:tcPr>
            <w:tcW w:w="9625" w:type="dxa"/>
            <w:gridSpan w:val="7"/>
            <w:shd w:val="clear" w:color="auto" w:fill="D9D9D9" w:themeFill="background1" w:themeFillShade="D9"/>
          </w:tcPr>
          <w:p w14:paraId="35BFBE3F" w14:textId="7B61F286" w:rsidR="00F77F6D" w:rsidRPr="008D78EB" w:rsidRDefault="00F77F6D" w:rsidP="00E90BA7">
            <w:pPr>
              <w:spacing w:before="20" w:after="20" w:line="240" w:lineRule="auto"/>
              <w:jc w:val="both"/>
              <w:rPr>
                <w:rFonts w:ascii="Segoe UI" w:hAnsi="Segoe UI" w:cs="Segoe UI"/>
                <w:b/>
                <w:bCs/>
                <w:sz w:val="18"/>
                <w:szCs w:val="18"/>
              </w:rPr>
            </w:pPr>
            <w:r w:rsidRPr="008D78EB">
              <w:rPr>
                <w:rFonts w:ascii="Segoe UI" w:hAnsi="Segoe UI" w:cs="Segoe UI"/>
                <w:b/>
                <w:bCs/>
                <w:sz w:val="18"/>
                <w:szCs w:val="18"/>
              </w:rPr>
              <w:t>1. Reduced VAT rate applies to services and food supplied by hotels and restaurants</w:t>
            </w:r>
          </w:p>
        </w:tc>
      </w:tr>
      <w:tr w:rsidR="007669E1" w:rsidRPr="007669E1" w14:paraId="4F3636B3" w14:textId="77777777" w:rsidTr="0024524D">
        <w:tc>
          <w:tcPr>
            <w:tcW w:w="2425" w:type="dxa"/>
          </w:tcPr>
          <w:p w14:paraId="44B3F0E4"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Description</w:t>
            </w:r>
          </w:p>
        </w:tc>
        <w:tc>
          <w:tcPr>
            <w:tcW w:w="7200" w:type="dxa"/>
            <w:gridSpan w:val="6"/>
          </w:tcPr>
          <w:p w14:paraId="462D3425"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Reduced VAT rate applies to services and food supplied by hotels and restaurants.</w:t>
            </w:r>
          </w:p>
        </w:tc>
      </w:tr>
      <w:tr w:rsidR="007669E1" w:rsidRPr="007669E1" w14:paraId="5FE737CB" w14:textId="77777777" w:rsidTr="0024524D">
        <w:tc>
          <w:tcPr>
            <w:tcW w:w="2425" w:type="dxa"/>
          </w:tcPr>
          <w:p w14:paraId="6DDD40E6"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Type of Tax Affected</w:t>
            </w:r>
          </w:p>
        </w:tc>
        <w:tc>
          <w:tcPr>
            <w:tcW w:w="7200" w:type="dxa"/>
            <w:gridSpan w:val="6"/>
          </w:tcPr>
          <w:p w14:paraId="5C0FA985"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3D44DA2D" w14:textId="77777777" w:rsidTr="0024524D">
        <w:tc>
          <w:tcPr>
            <w:tcW w:w="2425" w:type="dxa"/>
          </w:tcPr>
          <w:p w14:paraId="445456D7"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Beneficiaries</w:t>
            </w:r>
          </w:p>
        </w:tc>
        <w:tc>
          <w:tcPr>
            <w:tcW w:w="7200" w:type="dxa"/>
            <w:gridSpan w:val="6"/>
          </w:tcPr>
          <w:p w14:paraId="729445C0"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Households and consumers purchasing hotel and restaurant food</w:t>
            </w:r>
          </w:p>
        </w:tc>
      </w:tr>
      <w:tr w:rsidR="007669E1" w:rsidRPr="007669E1" w14:paraId="3EE390C3" w14:textId="77777777" w:rsidTr="0024524D">
        <w:tc>
          <w:tcPr>
            <w:tcW w:w="2425" w:type="dxa"/>
          </w:tcPr>
          <w:p w14:paraId="1572BAE7"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Type of Measure</w:t>
            </w:r>
          </w:p>
        </w:tc>
        <w:tc>
          <w:tcPr>
            <w:tcW w:w="7200" w:type="dxa"/>
            <w:gridSpan w:val="6"/>
          </w:tcPr>
          <w:p w14:paraId="6D78FF7D" w14:textId="77777777" w:rsidR="00F77F6D" w:rsidRPr="007669E1" w:rsidRDefault="00F77F6D" w:rsidP="00E90BA7">
            <w:pPr>
              <w:tabs>
                <w:tab w:val="left" w:pos="2070"/>
                <w:tab w:val="left" w:pos="2160"/>
              </w:tabs>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Reduced VAT rates changed frequently as follows:  </w:t>
            </w:r>
          </w:p>
          <w:p w14:paraId="55EE5ADD" w14:textId="77777777" w:rsidR="00F77F6D" w:rsidRPr="007669E1" w:rsidRDefault="00F77F6D" w:rsidP="00E90BA7">
            <w:pPr>
              <w:pStyle w:val="ListParagraph"/>
              <w:numPr>
                <w:ilvl w:val="0"/>
                <w:numId w:val="12"/>
              </w:numPr>
              <w:tabs>
                <w:tab w:val="left" w:pos="2070"/>
                <w:tab w:val="left" w:pos="2160"/>
              </w:tabs>
              <w:autoSpaceDE w:val="0"/>
              <w:autoSpaceDN w:val="0"/>
              <w:adjustRightInd w:val="0"/>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20% until September 2018</w:t>
            </w:r>
          </w:p>
          <w:p w14:paraId="3420C540" w14:textId="77777777" w:rsidR="00F77F6D" w:rsidRPr="007669E1" w:rsidRDefault="00F77F6D" w:rsidP="00E90BA7">
            <w:pPr>
              <w:pStyle w:val="ListParagraph"/>
              <w:numPr>
                <w:ilvl w:val="0"/>
                <w:numId w:val="12"/>
              </w:numPr>
              <w:tabs>
                <w:tab w:val="left" w:pos="2070"/>
                <w:tab w:val="left" w:pos="2160"/>
              </w:tabs>
              <w:autoSpaceDE w:val="0"/>
              <w:autoSpaceDN w:val="0"/>
              <w:adjustRightInd w:val="0"/>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10% from October 2018 to August 2019</w:t>
            </w:r>
          </w:p>
          <w:p w14:paraId="683BF07B" w14:textId="77777777" w:rsidR="00F77F6D" w:rsidRPr="007669E1" w:rsidRDefault="00F77F6D" w:rsidP="00E90BA7">
            <w:pPr>
              <w:pStyle w:val="ListParagraph"/>
              <w:numPr>
                <w:ilvl w:val="0"/>
                <w:numId w:val="12"/>
              </w:numPr>
              <w:tabs>
                <w:tab w:val="left" w:pos="2070"/>
                <w:tab w:val="left" w:pos="2160"/>
              </w:tabs>
              <w:autoSpaceDE w:val="0"/>
              <w:autoSpaceDN w:val="0"/>
              <w:adjustRightInd w:val="0"/>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20% from September 2019 to April 2020</w:t>
            </w:r>
          </w:p>
          <w:p w14:paraId="5E857C6B" w14:textId="77777777" w:rsidR="00F77F6D" w:rsidRPr="007669E1" w:rsidRDefault="00F77F6D" w:rsidP="00E90BA7">
            <w:pPr>
              <w:pStyle w:val="ListParagraph"/>
              <w:numPr>
                <w:ilvl w:val="0"/>
                <w:numId w:val="12"/>
              </w:numPr>
              <w:tabs>
                <w:tab w:val="left" w:pos="2070"/>
                <w:tab w:val="left" w:pos="2160"/>
              </w:tabs>
              <w:autoSpaceDE w:val="0"/>
              <w:autoSpaceDN w:val="0"/>
              <w:adjustRightInd w:val="0"/>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15% from May 2020 to December 2020</w:t>
            </w:r>
          </w:p>
          <w:p w14:paraId="4202F7A0" w14:textId="77777777" w:rsidR="00F77F6D" w:rsidRPr="007669E1" w:rsidRDefault="00F77F6D" w:rsidP="00E90BA7">
            <w:pPr>
              <w:pStyle w:val="ListParagraph"/>
              <w:numPr>
                <w:ilvl w:val="0"/>
                <w:numId w:val="12"/>
              </w:numPr>
              <w:tabs>
                <w:tab w:val="left" w:pos="2070"/>
                <w:tab w:val="left" w:pos="2160"/>
              </w:tabs>
              <w:autoSpaceDE w:val="0"/>
              <w:autoSpaceDN w:val="0"/>
              <w:adjustRightInd w:val="0"/>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12% from January 2021 to September 2021</w:t>
            </w:r>
          </w:p>
          <w:p w14:paraId="06E29E67" w14:textId="3DCC70C8" w:rsidR="00F77F6D" w:rsidRPr="007669E1" w:rsidRDefault="00F77F6D" w:rsidP="00E90BA7">
            <w:pPr>
              <w:pStyle w:val="ListParagraph"/>
              <w:numPr>
                <w:ilvl w:val="0"/>
                <w:numId w:val="12"/>
              </w:numPr>
              <w:tabs>
                <w:tab w:val="left" w:pos="2070"/>
                <w:tab w:val="left" w:pos="2160"/>
              </w:tabs>
              <w:snapToGrid/>
              <w:spacing w:before="20" w:after="20" w:line="240" w:lineRule="auto"/>
              <w:contextualSpacing w:val="0"/>
              <w:jc w:val="both"/>
              <w:rPr>
                <w:rFonts w:ascii="Segoe UI" w:hAnsi="Segoe UI" w:cs="Segoe UI"/>
                <w:sz w:val="18"/>
                <w:szCs w:val="18"/>
              </w:rPr>
            </w:pPr>
            <w:r w:rsidRPr="007669E1">
              <w:rPr>
                <w:rFonts w:ascii="Segoe UI" w:hAnsi="Segoe UI" w:cs="Segoe UI"/>
                <w:sz w:val="18"/>
                <w:szCs w:val="18"/>
              </w:rPr>
              <w:t>6% starting October 2021</w:t>
            </w:r>
            <w:r w:rsidR="00193488" w:rsidRPr="007669E1">
              <w:rPr>
                <w:rFonts w:ascii="Segoe UI" w:hAnsi="Segoe UI" w:cs="Segoe UI"/>
                <w:sz w:val="18"/>
                <w:szCs w:val="18"/>
              </w:rPr>
              <w:t xml:space="preserve"> (during the state of emergency and/or the state of emergency in public health)</w:t>
            </w:r>
          </w:p>
        </w:tc>
      </w:tr>
      <w:tr w:rsidR="007669E1" w:rsidRPr="007669E1" w14:paraId="3E9DB55D" w14:textId="77777777" w:rsidTr="0024524D">
        <w:tc>
          <w:tcPr>
            <w:tcW w:w="2425" w:type="dxa"/>
          </w:tcPr>
          <w:p w14:paraId="3B355D49"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Reason why this Measure is not part of the Benchmark Tax System</w:t>
            </w:r>
          </w:p>
        </w:tc>
        <w:tc>
          <w:tcPr>
            <w:tcW w:w="7200" w:type="dxa"/>
            <w:gridSpan w:val="6"/>
          </w:tcPr>
          <w:p w14:paraId="09488833" w14:textId="5A38055A"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 xml:space="preserve">Under a modern VAT, the benchmark tax regime provides that all final consumption of goods and services to final consumers should be </w:t>
            </w:r>
            <w:r w:rsidR="00944DB8" w:rsidRPr="007669E1">
              <w:rPr>
                <w:rFonts w:ascii="Segoe UI" w:hAnsi="Segoe UI" w:cs="Segoe UI"/>
                <w:sz w:val="18"/>
                <w:szCs w:val="18"/>
              </w:rPr>
              <w:t xml:space="preserve">taxed </w:t>
            </w:r>
            <w:r w:rsidRPr="007669E1">
              <w:rPr>
                <w:rFonts w:ascii="Segoe UI" w:hAnsi="Segoe UI" w:cs="Segoe UI"/>
                <w:sz w:val="18"/>
                <w:szCs w:val="18"/>
              </w:rPr>
              <w:t>at the standard VAT rate. A reduced rate is therefore a TE.</w:t>
            </w:r>
          </w:p>
        </w:tc>
      </w:tr>
      <w:tr w:rsidR="007669E1" w:rsidRPr="007669E1" w14:paraId="45C146D4" w14:textId="77777777" w:rsidTr="0024524D">
        <w:tc>
          <w:tcPr>
            <w:tcW w:w="2425" w:type="dxa"/>
          </w:tcPr>
          <w:p w14:paraId="43438A66"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Legal Reference</w:t>
            </w:r>
          </w:p>
        </w:tc>
        <w:tc>
          <w:tcPr>
            <w:tcW w:w="7200" w:type="dxa"/>
            <w:gridSpan w:val="6"/>
          </w:tcPr>
          <w:p w14:paraId="11214E30"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Art. 96 of TC</w:t>
            </w:r>
          </w:p>
        </w:tc>
      </w:tr>
      <w:tr w:rsidR="00136C8F" w:rsidRPr="007669E1" w14:paraId="3C3E0269" w14:textId="77777777" w:rsidTr="0024524D">
        <w:trPr>
          <w:trHeight w:val="182"/>
        </w:trPr>
        <w:tc>
          <w:tcPr>
            <w:tcW w:w="2425" w:type="dxa"/>
            <w:vMerge w:val="restart"/>
          </w:tcPr>
          <w:p w14:paraId="22C7001E"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Implementation, Objectives, and History</w:t>
            </w:r>
          </w:p>
        </w:tc>
        <w:tc>
          <w:tcPr>
            <w:tcW w:w="7200" w:type="dxa"/>
            <w:gridSpan w:val="6"/>
          </w:tcPr>
          <w:p w14:paraId="475C5537"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Fiscal support to the hotel and restaurant sector</w:t>
            </w:r>
          </w:p>
        </w:tc>
      </w:tr>
      <w:tr w:rsidR="00136C8F" w:rsidRPr="007669E1" w14:paraId="41B49F60" w14:textId="77777777" w:rsidTr="0024524D">
        <w:trPr>
          <w:trHeight w:val="182"/>
        </w:trPr>
        <w:tc>
          <w:tcPr>
            <w:tcW w:w="2425" w:type="dxa"/>
            <w:vMerge/>
          </w:tcPr>
          <w:p w14:paraId="31EF5169"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p>
        </w:tc>
        <w:tc>
          <w:tcPr>
            <w:tcW w:w="3462" w:type="dxa"/>
            <w:gridSpan w:val="3"/>
          </w:tcPr>
          <w:p w14:paraId="4512E5C3"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Introduced with effect 1 Jan 2021:</w:t>
            </w:r>
          </w:p>
        </w:tc>
        <w:tc>
          <w:tcPr>
            <w:tcW w:w="3738" w:type="dxa"/>
            <w:gridSpan w:val="3"/>
          </w:tcPr>
          <w:p w14:paraId="010541A9" w14:textId="7CE478D2" w:rsidR="00F77F6D" w:rsidRPr="007669E1" w:rsidRDefault="0081296C"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F5CA700" w14:textId="77777777" w:rsidTr="0024524D">
        <w:tc>
          <w:tcPr>
            <w:tcW w:w="2425" w:type="dxa"/>
          </w:tcPr>
          <w:p w14:paraId="4952FB72"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Source of Data</w:t>
            </w:r>
          </w:p>
        </w:tc>
        <w:tc>
          <w:tcPr>
            <w:tcW w:w="7200" w:type="dxa"/>
            <w:gridSpan w:val="6"/>
          </w:tcPr>
          <w:p w14:paraId="0F8513FE"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4FBAE736" w14:textId="77777777" w:rsidTr="0024524D">
        <w:tc>
          <w:tcPr>
            <w:tcW w:w="2425" w:type="dxa"/>
          </w:tcPr>
          <w:p w14:paraId="207F9FE4"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Estimation Method</w:t>
            </w:r>
          </w:p>
        </w:tc>
        <w:tc>
          <w:tcPr>
            <w:tcW w:w="7200" w:type="dxa"/>
            <w:gridSpan w:val="6"/>
          </w:tcPr>
          <w:p w14:paraId="5B25AF17"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124E2D47" w14:textId="77777777" w:rsidTr="0024524D">
        <w:tc>
          <w:tcPr>
            <w:tcW w:w="2425" w:type="dxa"/>
          </w:tcPr>
          <w:p w14:paraId="5044E4FF"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Number of Beneficiaries</w:t>
            </w:r>
          </w:p>
        </w:tc>
        <w:tc>
          <w:tcPr>
            <w:tcW w:w="7200" w:type="dxa"/>
            <w:gridSpan w:val="6"/>
          </w:tcPr>
          <w:p w14:paraId="7E11F76E"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p>
        </w:tc>
      </w:tr>
      <w:tr w:rsidR="007669E1" w:rsidRPr="007669E1" w14:paraId="77582E8B" w14:textId="77777777" w:rsidTr="0024524D">
        <w:tc>
          <w:tcPr>
            <w:tcW w:w="2425" w:type="dxa"/>
          </w:tcPr>
          <w:p w14:paraId="5C2BA913" w14:textId="77777777" w:rsidR="00F77F6D" w:rsidRPr="008D78EB" w:rsidRDefault="00F77F6D" w:rsidP="00E90BA7">
            <w:pPr>
              <w:tabs>
                <w:tab w:val="left" w:pos="2070"/>
                <w:tab w:val="left" w:pos="2160"/>
              </w:tabs>
              <w:spacing w:before="20" w:after="20" w:line="240" w:lineRule="auto"/>
              <w:jc w:val="both"/>
              <w:rPr>
                <w:rFonts w:ascii="Segoe UI" w:hAnsi="Segoe UI" w:cs="Segoe UI"/>
                <w:b/>
                <w:bCs/>
                <w:sz w:val="18"/>
                <w:szCs w:val="18"/>
              </w:rPr>
            </w:pPr>
            <w:r w:rsidRPr="008D78EB">
              <w:rPr>
                <w:rFonts w:ascii="Segoe UI" w:hAnsi="Segoe UI" w:cs="Segoe UI"/>
                <w:b/>
                <w:bCs/>
                <w:sz w:val="18"/>
                <w:szCs w:val="18"/>
              </w:rPr>
              <w:t>Revenue Cost Reporting</w:t>
            </w:r>
          </w:p>
        </w:tc>
        <w:tc>
          <w:tcPr>
            <w:tcW w:w="7200" w:type="dxa"/>
            <w:gridSpan w:val="6"/>
          </w:tcPr>
          <w:p w14:paraId="12022528" w14:textId="67FD5641" w:rsidR="00F77F6D" w:rsidRPr="007669E1" w:rsidRDefault="00B65F27" w:rsidP="00E90BA7">
            <w:pPr>
              <w:tabs>
                <w:tab w:val="left" w:pos="2070"/>
                <w:tab w:val="left" w:pos="2160"/>
              </w:tabs>
              <w:spacing w:before="20" w:after="20" w:line="240" w:lineRule="auto"/>
              <w:jc w:val="both"/>
              <w:rPr>
                <w:rFonts w:ascii="Segoe UI" w:hAnsi="Segoe UI" w:cs="Segoe UI"/>
                <w:sz w:val="18"/>
                <w:szCs w:val="18"/>
              </w:rPr>
            </w:pPr>
            <w:r>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3FAD1A9E" w14:textId="77777777" w:rsidTr="0024524D">
        <w:trPr>
          <w:trHeight w:val="91"/>
        </w:trPr>
        <w:tc>
          <w:tcPr>
            <w:tcW w:w="2425" w:type="dxa"/>
            <w:vMerge w:val="restart"/>
          </w:tcPr>
          <w:p w14:paraId="0CFE817C"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p>
        </w:tc>
        <w:tc>
          <w:tcPr>
            <w:tcW w:w="1385" w:type="dxa"/>
          </w:tcPr>
          <w:p w14:paraId="1ABA369C"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74CDB9DD"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13604029"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6E8A1585" w14:textId="0AED3D41"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42688B19" w14:textId="5AF2B946" w:rsidR="00F77F6D" w:rsidRPr="00B65F27" w:rsidRDefault="000C00AF"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A2051E" w:rsidRPr="007669E1" w14:paraId="545A205D" w14:textId="77777777" w:rsidTr="009130EE">
        <w:trPr>
          <w:trHeight w:val="91"/>
        </w:trPr>
        <w:tc>
          <w:tcPr>
            <w:tcW w:w="2425" w:type="dxa"/>
            <w:vMerge/>
          </w:tcPr>
          <w:p w14:paraId="6EE305BF"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p>
        </w:tc>
        <w:tc>
          <w:tcPr>
            <w:tcW w:w="1385" w:type="dxa"/>
            <w:shd w:val="clear" w:color="auto" w:fill="D9D9D9" w:themeFill="background1" w:themeFillShade="D9"/>
          </w:tcPr>
          <w:p w14:paraId="1660753D" w14:textId="24D591C8" w:rsidR="00F77F6D" w:rsidRPr="007669E1" w:rsidRDefault="00F77F6D" w:rsidP="00E90BA7">
            <w:pPr>
              <w:tabs>
                <w:tab w:val="left" w:pos="2070"/>
                <w:tab w:val="left" w:pos="2160"/>
              </w:tabs>
              <w:spacing w:before="20" w:after="20" w:line="240" w:lineRule="auto"/>
              <w:jc w:val="both"/>
              <w:rPr>
                <w:rFonts w:ascii="Segoe UI" w:hAnsi="Segoe UI" w:cs="Segoe UI"/>
                <w:i/>
                <w:sz w:val="18"/>
                <w:szCs w:val="18"/>
              </w:rPr>
            </w:pPr>
            <w:r w:rsidRPr="007669E1">
              <w:rPr>
                <w:rFonts w:ascii="Segoe UI" w:hAnsi="Segoe UI" w:cs="Segoe UI"/>
                <w:i/>
                <w:sz w:val="18"/>
                <w:szCs w:val="18"/>
              </w:rPr>
              <w:t>27</w:t>
            </w:r>
            <w:r w:rsidR="00B65F27">
              <w:rPr>
                <w:rFonts w:ascii="Segoe UI" w:hAnsi="Segoe UI" w:cs="Segoe UI"/>
                <w:i/>
                <w:sz w:val="18"/>
                <w:szCs w:val="18"/>
              </w:rPr>
              <w:t>,</w:t>
            </w:r>
            <w:r w:rsidRPr="007669E1">
              <w:rPr>
                <w:rFonts w:ascii="Segoe UI" w:hAnsi="Segoe UI" w:cs="Segoe UI"/>
                <w:i/>
                <w:sz w:val="18"/>
                <w:szCs w:val="18"/>
              </w:rPr>
              <w:t>3</w:t>
            </w:r>
            <w:r w:rsidR="00B65F27">
              <w:rPr>
                <w:rFonts w:ascii="Segoe UI" w:hAnsi="Segoe UI" w:cs="Segoe UI"/>
                <w:i/>
                <w:sz w:val="18"/>
                <w:szCs w:val="18"/>
              </w:rPr>
              <w:t>00</w:t>
            </w:r>
          </w:p>
        </w:tc>
        <w:tc>
          <w:tcPr>
            <w:tcW w:w="1385" w:type="dxa"/>
            <w:shd w:val="clear" w:color="auto" w:fill="D9D9D9" w:themeFill="background1" w:themeFillShade="D9"/>
          </w:tcPr>
          <w:p w14:paraId="0D7E5A96" w14:textId="554F094D" w:rsidR="00F77F6D" w:rsidRPr="007669E1" w:rsidRDefault="00F77F6D" w:rsidP="00E90BA7">
            <w:pPr>
              <w:tabs>
                <w:tab w:val="left" w:pos="2070"/>
                <w:tab w:val="left" w:pos="2160"/>
              </w:tabs>
              <w:spacing w:before="20" w:after="20" w:line="240" w:lineRule="auto"/>
              <w:jc w:val="both"/>
              <w:rPr>
                <w:rFonts w:ascii="Segoe UI" w:hAnsi="Segoe UI" w:cs="Segoe UI"/>
                <w:i/>
                <w:sz w:val="18"/>
                <w:szCs w:val="18"/>
              </w:rPr>
            </w:pPr>
            <w:r w:rsidRPr="007669E1">
              <w:rPr>
                <w:rFonts w:ascii="Segoe UI" w:hAnsi="Segoe UI" w:cs="Segoe UI"/>
                <w:i/>
                <w:sz w:val="18"/>
                <w:szCs w:val="18"/>
              </w:rPr>
              <w:t>79</w:t>
            </w:r>
            <w:r w:rsidR="00B65F27">
              <w:rPr>
                <w:rFonts w:ascii="Segoe UI" w:hAnsi="Segoe UI" w:cs="Segoe UI"/>
                <w:i/>
                <w:sz w:val="18"/>
                <w:szCs w:val="18"/>
              </w:rPr>
              <w:t>,</w:t>
            </w:r>
            <w:r w:rsidRPr="007669E1">
              <w:rPr>
                <w:rFonts w:ascii="Segoe UI" w:hAnsi="Segoe UI" w:cs="Segoe UI"/>
                <w:i/>
                <w:sz w:val="18"/>
                <w:szCs w:val="18"/>
              </w:rPr>
              <w:t>7</w:t>
            </w:r>
            <w:r w:rsidR="00B65F27">
              <w:rPr>
                <w:rFonts w:ascii="Segoe UI" w:hAnsi="Segoe UI" w:cs="Segoe UI"/>
                <w:i/>
                <w:sz w:val="18"/>
                <w:szCs w:val="18"/>
              </w:rPr>
              <w:t>00</w:t>
            </w:r>
          </w:p>
        </w:tc>
        <w:tc>
          <w:tcPr>
            <w:tcW w:w="1385" w:type="dxa"/>
            <w:gridSpan w:val="2"/>
            <w:shd w:val="clear" w:color="auto" w:fill="D9D9D9" w:themeFill="background1" w:themeFillShade="D9"/>
          </w:tcPr>
          <w:p w14:paraId="4365F386" w14:textId="5BE3B50B" w:rsidR="00F77F6D" w:rsidRPr="007669E1" w:rsidRDefault="00F77F6D" w:rsidP="00E90BA7">
            <w:pPr>
              <w:tabs>
                <w:tab w:val="left" w:pos="2070"/>
                <w:tab w:val="left" w:pos="2160"/>
              </w:tabs>
              <w:spacing w:before="20" w:after="20" w:line="240" w:lineRule="auto"/>
              <w:jc w:val="both"/>
              <w:rPr>
                <w:rFonts w:ascii="Segoe UI" w:hAnsi="Segoe UI" w:cs="Segoe UI"/>
                <w:i/>
                <w:sz w:val="18"/>
                <w:szCs w:val="18"/>
              </w:rPr>
            </w:pPr>
            <w:r w:rsidRPr="007669E1">
              <w:rPr>
                <w:rFonts w:ascii="Segoe UI" w:hAnsi="Segoe UI" w:cs="Segoe UI"/>
                <w:i/>
                <w:sz w:val="18"/>
                <w:szCs w:val="18"/>
              </w:rPr>
              <w:t>38</w:t>
            </w:r>
            <w:r w:rsidR="00B65F27">
              <w:rPr>
                <w:rFonts w:ascii="Segoe UI" w:hAnsi="Segoe UI" w:cs="Segoe UI"/>
                <w:i/>
                <w:sz w:val="18"/>
                <w:szCs w:val="18"/>
              </w:rPr>
              <w:t>,</w:t>
            </w:r>
            <w:r w:rsidRPr="007669E1">
              <w:rPr>
                <w:rFonts w:ascii="Segoe UI" w:hAnsi="Segoe UI" w:cs="Segoe UI"/>
                <w:i/>
                <w:sz w:val="18"/>
                <w:szCs w:val="18"/>
              </w:rPr>
              <w:t>7</w:t>
            </w:r>
            <w:r w:rsidR="00B65F27">
              <w:rPr>
                <w:rFonts w:ascii="Segoe UI" w:hAnsi="Segoe UI" w:cs="Segoe UI"/>
                <w:i/>
                <w:sz w:val="18"/>
                <w:szCs w:val="18"/>
              </w:rPr>
              <w:t>00</w:t>
            </w:r>
          </w:p>
        </w:tc>
        <w:tc>
          <w:tcPr>
            <w:tcW w:w="1385" w:type="dxa"/>
            <w:shd w:val="clear" w:color="auto" w:fill="D9D9D9" w:themeFill="background1" w:themeFillShade="D9"/>
          </w:tcPr>
          <w:p w14:paraId="393C3D03" w14:textId="73DAF99D" w:rsidR="00F77F6D" w:rsidRPr="007669E1" w:rsidRDefault="00F77F6D" w:rsidP="00E90BA7">
            <w:pPr>
              <w:tabs>
                <w:tab w:val="left" w:pos="2070"/>
                <w:tab w:val="left" w:pos="2160"/>
              </w:tabs>
              <w:spacing w:before="20" w:after="20" w:line="240" w:lineRule="auto"/>
              <w:jc w:val="both"/>
              <w:rPr>
                <w:rFonts w:ascii="Segoe UI" w:hAnsi="Segoe UI" w:cs="Segoe UI"/>
                <w:i/>
                <w:sz w:val="18"/>
                <w:szCs w:val="18"/>
              </w:rPr>
            </w:pPr>
            <w:r w:rsidRPr="007669E1">
              <w:rPr>
                <w:rFonts w:ascii="Segoe UI" w:hAnsi="Segoe UI" w:cs="Segoe UI"/>
                <w:i/>
                <w:sz w:val="18"/>
                <w:szCs w:val="18"/>
              </w:rPr>
              <w:t>134</w:t>
            </w:r>
            <w:r w:rsidR="00B65F27">
              <w:rPr>
                <w:rFonts w:ascii="Segoe UI" w:hAnsi="Segoe UI" w:cs="Segoe UI"/>
                <w:i/>
                <w:sz w:val="18"/>
                <w:szCs w:val="18"/>
              </w:rPr>
              <w:t>,</w:t>
            </w:r>
            <w:r w:rsidRPr="007669E1">
              <w:rPr>
                <w:rFonts w:ascii="Segoe UI" w:hAnsi="Segoe UI" w:cs="Segoe UI"/>
                <w:i/>
                <w:sz w:val="18"/>
                <w:szCs w:val="18"/>
              </w:rPr>
              <w:t>6</w:t>
            </w:r>
            <w:r w:rsidR="00B65F27">
              <w:rPr>
                <w:rFonts w:ascii="Segoe UI" w:hAnsi="Segoe UI" w:cs="Segoe UI"/>
                <w:i/>
                <w:sz w:val="18"/>
                <w:szCs w:val="18"/>
              </w:rPr>
              <w:t>00</w:t>
            </w:r>
          </w:p>
        </w:tc>
        <w:tc>
          <w:tcPr>
            <w:tcW w:w="1660" w:type="dxa"/>
            <w:shd w:val="clear" w:color="auto" w:fill="D9D9D9" w:themeFill="background1" w:themeFillShade="D9"/>
          </w:tcPr>
          <w:p w14:paraId="56FD740E" w14:textId="35D36C44" w:rsidR="00F77F6D" w:rsidRPr="007669E1" w:rsidRDefault="00F77F6D" w:rsidP="00E90BA7">
            <w:pPr>
              <w:tabs>
                <w:tab w:val="left" w:pos="2070"/>
                <w:tab w:val="left" w:pos="2160"/>
              </w:tabs>
              <w:spacing w:before="20" w:after="20" w:line="240" w:lineRule="auto"/>
              <w:jc w:val="both"/>
              <w:rPr>
                <w:rFonts w:ascii="Segoe UI" w:hAnsi="Segoe UI" w:cs="Segoe UI"/>
                <w:i/>
                <w:sz w:val="18"/>
                <w:szCs w:val="18"/>
              </w:rPr>
            </w:pPr>
            <w:r w:rsidRPr="007669E1">
              <w:rPr>
                <w:rFonts w:ascii="Segoe UI" w:hAnsi="Segoe UI" w:cs="Segoe UI"/>
                <w:i/>
                <w:sz w:val="18"/>
                <w:szCs w:val="18"/>
              </w:rPr>
              <w:t>218</w:t>
            </w:r>
            <w:r w:rsidR="00B65F27">
              <w:rPr>
                <w:rFonts w:ascii="Segoe UI" w:hAnsi="Segoe UI" w:cs="Segoe UI"/>
                <w:i/>
                <w:sz w:val="18"/>
                <w:szCs w:val="18"/>
              </w:rPr>
              <w:t>,</w:t>
            </w:r>
            <w:r w:rsidRPr="007669E1">
              <w:rPr>
                <w:rFonts w:ascii="Segoe UI" w:hAnsi="Segoe UI" w:cs="Segoe UI"/>
                <w:i/>
                <w:sz w:val="18"/>
                <w:szCs w:val="18"/>
              </w:rPr>
              <w:t>4</w:t>
            </w:r>
            <w:r w:rsidR="00B65F27">
              <w:rPr>
                <w:rFonts w:ascii="Segoe UI" w:hAnsi="Segoe UI" w:cs="Segoe UI"/>
                <w:i/>
                <w:sz w:val="18"/>
                <w:szCs w:val="18"/>
              </w:rPr>
              <w:t>00</w:t>
            </w:r>
          </w:p>
        </w:tc>
      </w:tr>
    </w:tbl>
    <w:p w14:paraId="15F8A42F" w14:textId="77777777" w:rsidR="00F77F6D" w:rsidRPr="007669E1" w:rsidRDefault="00F77F6D" w:rsidP="00E90BA7">
      <w:pPr>
        <w:tabs>
          <w:tab w:val="left" w:pos="2070"/>
          <w:tab w:val="left" w:pos="2160"/>
        </w:tabs>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749A48B8" w14:textId="77777777" w:rsidTr="0024524D">
        <w:tc>
          <w:tcPr>
            <w:tcW w:w="9625" w:type="dxa"/>
            <w:gridSpan w:val="7"/>
            <w:shd w:val="clear" w:color="auto" w:fill="D9D9D9" w:themeFill="background1" w:themeFillShade="D9"/>
          </w:tcPr>
          <w:p w14:paraId="020428B5" w14:textId="1E40D34E"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 xml:space="preserve">2. </w:t>
            </w:r>
            <w:r w:rsidR="006C2BDF" w:rsidRPr="00B65F27">
              <w:rPr>
                <w:rFonts w:ascii="Segoe UI" w:hAnsi="Segoe UI" w:cs="Segoe UI"/>
                <w:b/>
                <w:bCs/>
                <w:sz w:val="18"/>
                <w:szCs w:val="18"/>
              </w:rPr>
              <w:t>Reduced rate applies to supply of bread and bakery products, milk</w:t>
            </w:r>
            <w:r w:rsidR="00416A8A" w:rsidRPr="00B65F27">
              <w:rPr>
                <w:rFonts w:ascii="Segoe UI" w:hAnsi="Segoe UI" w:cs="Segoe UI"/>
                <w:b/>
                <w:bCs/>
                <w:sz w:val="18"/>
                <w:szCs w:val="18"/>
              </w:rPr>
              <w:t>,</w:t>
            </w:r>
            <w:r w:rsidR="006C2BDF" w:rsidRPr="00B65F27">
              <w:rPr>
                <w:rFonts w:ascii="Segoe UI" w:hAnsi="Segoe UI" w:cs="Segoe UI"/>
                <w:b/>
                <w:bCs/>
                <w:sz w:val="18"/>
                <w:szCs w:val="18"/>
              </w:rPr>
              <w:t xml:space="preserve"> and dairy products</w:t>
            </w:r>
          </w:p>
        </w:tc>
      </w:tr>
      <w:tr w:rsidR="007669E1" w:rsidRPr="007669E1" w14:paraId="7EE931F6" w14:textId="77777777" w:rsidTr="0024524D">
        <w:tc>
          <w:tcPr>
            <w:tcW w:w="2425" w:type="dxa"/>
          </w:tcPr>
          <w:p w14:paraId="5DE4B80D"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2A75A935"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Reduced VAT rate applies for the supply of bread and bakery products, milk and dairy products containing less than 40% of fat supplied in the territory of Moldova</w:t>
            </w:r>
          </w:p>
        </w:tc>
      </w:tr>
      <w:tr w:rsidR="007669E1" w:rsidRPr="007669E1" w14:paraId="148CA103" w14:textId="77777777" w:rsidTr="0024524D">
        <w:tc>
          <w:tcPr>
            <w:tcW w:w="2425" w:type="dxa"/>
          </w:tcPr>
          <w:p w14:paraId="532EB728"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42355F0F"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2FCBD5D2" w14:textId="77777777" w:rsidTr="0024524D">
        <w:tc>
          <w:tcPr>
            <w:tcW w:w="2425" w:type="dxa"/>
          </w:tcPr>
          <w:p w14:paraId="7209AC68"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7827F416"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All households consuming this category of reduced VAT supply</w:t>
            </w:r>
          </w:p>
        </w:tc>
      </w:tr>
      <w:tr w:rsidR="007669E1" w:rsidRPr="007669E1" w14:paraId="4F5E1F18" w14:textId="77777777" w:rsidTr="0024524D">
        <w:tc>
          <w:tcPr>
            <w:tcW w:w="2425" w:type="dxa"/>
          </w:tcPr>
          <w:p w14:paraId="39D6AD6F" w14:textId="77777777" w:rsidR="00F77F6D" w:rsidRPr="00B65F27" w:rsidRDefault="00F77F6D" w:rsidP="00E90BA7">
            <w:pPr>
              <w:tabs>
                <w:tab w:val="left" w:pos="2070"/>
                <w:tab w:val="left" w:pos="2160"/>
              </w:tabs>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7BC8547C" w14:textId="77777777" w:rsidR="00F77F6D" w:rsidRPr="007669E1" w:rsidRDefault="00F77F6D" w:rsidP="00E90BA7">
            <w:pPr>
              <w:tabs>
                <w:tab w:val="left" w:pos="2070"/>
                <w:tab w:val="left" w:pos="2160"/>
              </w:tabs>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vs standard VAT rate of 20%</w:t>
            </w:r>
          </w:p>
        </w:tc>
      </w:tr>
      <w:tr w:rsidR="007669E1" w:rsidRPr="007669E1" w14:paraId="2604938F" w14:textId="77777777" w:rsidTr="0024524D">
        <w:tc>
          <w:tcPr>
            <w:tcW w:w="2425" w:type="dxa"/>
          </w:tcPr>
          <w:p w14:paraId="68DBB3E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4F91C37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7669E1" w:rsidRPr="007669E1" w14:paraId="47804E73" w14:textId="77777777" w:rsidTr="0024524D">
        <w:tc>
          <w:tcPr>
            <w:tcW w:w="2425" w:type="dxa"/>
          </w:tcPr>
          <w:p w14:paraId="189D9AE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714D8F5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96 of TC</w:t>
            </w:r>
          </w:p>
        </w:tc>
      </w:tr>
      <w:tr w:rsidR="00136C8F" w:rsidRPr="007669E1" w14:paraId="1923DBCF" w14:textId="77777777" w:rsidTr="0024524D">
        <w:trPr>
          <w:trHeight w:val="182"/>
        </w:trPr>
        <w:tc>
          <w:tcPr>
            <w:tcW w:w="2425" w:type="dxa"/>
            <w:vMerge w:val="restart"/>
          </w:tcPr>
          <w:p w14:paraId="204E6FD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7C2456D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to lower-income households by reducing expenditure on a basket of basic food items.</w:t>
            </w:r>
          </w:p>
        </w:tc>
      </w:tr>
      <w:tr w:rsidR="00136C8F" w:rsidRPr="007669E1" w14:paraId="4BD84387" w14:textId="77777777" w:rsidTr="0024524D">
        <w:trPr>
          <w:trHeight w:val="182"/>
        </w:trPr>
        <w:tc>
          <w:tcPr>
            <w:tcW w:w="2425" w:type="dxa"/>
            <w:vMerge/>
          </w:tcPr>
          <w:p w14:paraId="0FB4511F"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5308CF93" w14:textId="12FA3DD3" w:rsidR="00193488"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r w:rsidR="00193488" w:rsidRPr="007669E1">
              <w:rPr>
                <w:rFonts w:ascii="Segoe UI" w:hAnsi="Segoe UI" w:cs="Segoe UI"/>
                <w:sz w:val="18"/>
                <w:szCs w:val="18"/>
              </w:rPr>
              <w:t>2001 (initial wording) - for bread and bakery products, for milk and dairy products, delivered on the territory of the Republic of Moldova;</w:t>
            </w:r>
          </w:p>
          <w:p w14:paraId="1398B93A" w14:textId="3BE6755B" w:rsidR="00F77F6D" w:rsidRPr="007669E1" w:rsidRDefault="00193488" w:rsidP="00E90BA7">
            <w:pPr>
              <w:spacing w:before="20" w:after="20" w:line="240" w:lineRule="auto"/>
              <w:jc w:val="both"/>
              <w:rPr>
                <w:rFonts w:ascii="Segoe UI" w:hAnsi="Segoe UI" w:cs="Segoe UI"/>
                <w:sz w:val="18"/>
                <w:szCs w:val="18"/>
              </w:rPr>
            </w:pPr>
            <w:r w:rsidRPr="007669E1">
              <w:rPr>
                <w:rFonts w:ascii="Segoe UI" w:hAnsi="Segoe UI" w:cs="Segoe UI"/>
                <w:sz w:val="18"/>
                <w:szCs w:val="18"/>
                <w:lang w:val="ro-RO"/>
              </w:rPr>
              <w:t xml:space="preserve">2020 (current wording)  - for bread and bakery products (190120000, 190540, 190590300, 190590600, 190590900), for milk and dairy products (0401, 0402, 0403, 0405, 040610300 and 040610500 - </w:t>
            </w:r>
            <w:r w:rsidRPr="007669E1">
              <w:rPr>
                <w:rFonts w:ascii="Segoe UI" w:hAnsi="Segoe UI" w:cs="Segoe UI"/>
                <w:sz w:val="18"/>
                <w:szCs w:val="18"/>
                <w:lang w:val="ro-RO"/>
              </w:rPr>
              <w:lastRenderedPageBreak/>
              <w:t>with a fat content not exceeding 40% by weight), delivered on the territory of the Republic of Moldova, except for the food products for children which are exempt from VAT in accordance with Article 103 para. (1) p. (2);</w:t>
            </w:r>
          </w:p>
        </w:tc>
        <w:tc>
          <w:tcPr>
            <w:tcW w:w="3738" w:type="dxa"/>
            <w:gridSpan w:val="3"/>
          </w:tcPr>
          <w:p w14:paraId="6506AAED" w14:textId="63FC1B5B"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lastRenderedPageBreak/>
              <w:t>Expiry date: —</w:t>
            </w:r>
          </w:p>
        </w:tc>
      </w:tr>
      <w:tr w:rsidR="007669E1" w:rsidRPr="007669E1" w14:paraId="5BC22B9A" w14:textId="77777777" w:rsidTr="0024524D">
        <w:tc>
          <w:tcPr>
            <w:tcW w:w="2425" w:type="dxa"/>
          </w:tcPr>
          <w:p w14:paraId="42A36E6E"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lastRenderedPageBreak/>
              <w:t>Source of Data</w:t>
            </w:r>
          </w:p>
        </w:tc>
        <w:tc>
          <w:tcPr>
            <w:tcW w:w="7200" w:type="dxa"/>
            <w:gridSpan w:val="6"/>
          </w:tcPr>
          <w:p w14:paraId="12D04A6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6511B00C" w14:textId="77777777" w:rsidTr="0024524D">
        <w:tc>
          <w:tcPr>
            <w:tcW w:w="2425" w:type="dxa"/>
          </w:tcPr>
          <w:p w14:paraId="430F8DE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46C3EAC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55C0D2D5" w14:textId="77777777" w:rsidTr="0024524D">
        <w:tc>
          <w:tcPr>
            <w:tcW w:w="2425" w:type="dxa"/>
          </w:tcPr>
          <w:p w14:paraId="729BB69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5AB7BC54"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7686FE34" w14:textId="77777777" w:rsidTr="0024524D">
        <w:tc>
          <w:tcPr>
            <w:tcW w:w="2425" w:type="dxa"/>
          </w:tcPr>
          <w:p w14:paraId="616519EE"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7EA0B685" w14:textId="4D6B1157" w:rsidR="00F77F6D" w:rsidRPr="007669E1" w:rsidRDefault="005B6B0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171594E8" w14:textId="77777777" w:rsidTr="0024524D">
        <w:trPr>
          <w:trHeight w:val="91"/>
        </w:trPr>
        <w:tc>
          <w:tcPr>
            <w:tcW w:w="2425" w:type="dxa"/>
            <w:vMerge w:val="restart"/>
          </w:tcPr>
          <w:p w14:paraId="33D314B1"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43CD914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404A6B5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0204C4B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0BFA9D36" w14:textId="41A9A4A2"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286DCB1B" w14:textId="0B874609"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69E1" w:rsidRPr="007669E1" w14:paraId="1FF87911" w14:textId="77777777" w:rsidTr="00B508AC">
        <w:trPr>
          <w:trHeight w:val="91"/>
        </w:trPr>
        <w:tc>
          <w:tcPr>
            <w:tcW w:w="2425" w:type="dxa"/>
            <w:vMerge/>
          </w:tcPr>
          <w:p w14:paraId="31FE4529"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02B012EC" w14:textId="4A53A434" w:rsidR="00F77F6D" w:rsidRPr="007669E1" w:rsidRDefault="005B6B0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258,056.3</w:t>
            </w:r>
          </w:p>
        </w:tc>
        <w:tc>
          <w:tcPr>
            <w:tcW w:w="1385" w:type="dxa"/>
            <w:shd w:val="clear" w:color="auto" w:fill="D9D9D9" w:themeFill="background1" w:themeFillShade="D9"/>
            <w:vAlign w:val="bottom"/>
          </w:tcPr>
          <w:p w14:paraId="37D29B79" w14:textId="05CF4492" w:rsidR="00F77F6D" w:rsidRPr="007669E1" w:rsidRDefault="005B6B06"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282,786</w:t>
            </w:r>
            <w:r w:rsidR="00A07E40" w:rsidRPr="007669E1">
              <w:rPr>
                <w:rFonts w:ascii="Segoe UI" w:hAnsi="Segoe UI" w:cs="Segoe UI"/>
                <w:i/>
                <w:color w:val="000000"/>
                <w:sz w:val="18"/>
                <w:szCs w:val="18"/>
              </w:rPr>
              <w:t>.0</w:t>
            </w:r>
          </w:p>
        </w:tc>
        <w:tc>
          <w:tcPr>
            <w:tcW w:w="1385" w:type="dxa"/>
            <w:gridSpan w:val="2"/>
            <w:shd w:val="clear" w:color="auto" w:fill="D9D9D9" w:themeFill="background1" w:themeFillShade="D9"/>
            <w:vAlign w:val="bottom"/>
          </w:tcPr>
          <w:p w14:paraId="25A347D7" w14:textId="7B865B2B" w:rsidR="00F77F6D" w:rsidRPr="007669E1" w:rsidRDefault="005B6B06"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275,009</w:t>
            </w:r>
            <w:r w:rsidR="00A07E40" w:rsidRPr="007669E1">
              <w:rPr>
                <w:rFonts w:ascii="Segoe UI" w:hAnsi="Segoe UI" w:cs="Segoe UI"/>
                <w:i/>
                <w:color w:val="000000"/>
                <w:sz w:val="18"/>
                <w:szCs w:val="18"/>
              </w:rPr>
              <w:t>.0</w:t>
            </w:r>
          </w:p>
        </w:tc>
        <w:tc>
          <w:tcPr>
            <w:tcW w:w="1385" w:type="dxa"/>
            <w:shd w:val="clear" w:color="auto" w:fill="D9D9D9" w:themeFill="background1" w:themeFillShade="D9"/>
            <w:vAlign w:val="bottom"/>
          </w:tcPr>
          <w:p w14:paraId="0407D1DC" w14:textId="6C64816C" w:rsidR="00F77F6D" w:rsidRPr="007669E1" w:rsidRDefault="005B6B06"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334,983</w:t>
            </w:r>
            <w:r w:rsidR="00A07E40" w:rsidRPr="007669E1">
              <w:rPr>
                <w:rFonts w:ascii="Segoe UI" w:hAnsi="Segoe UI" w:cs="Segoe UI"/>
                <w:i/>
                <w:color w:val="000000"/>
                <w:sz w:val="18"/>
                <w:szCs w:val="18"/>
              </w:rPr>
              <w:t>.0</w:t>
            </w:r>
          </w:p>
        </w:tc>
        <w:tc>
          <w:tcPr>
            <w:tcW w:w="1660" w:type="dxa"/>
            <w:shd w:val="clear" w:color="auto" w:fill="D9D9D9" w:themeFill="background1" w:themeFillShade="D9"/>
            <w:vAlign w:val="bottom"/>
          </w:tcPr>
          <w:p w14:paraId="3B0A94BA" w14:textId="66C5EF5D" w:rsidR="00F77F6D" w:rsidRPr="007669E1" w:rsidRDefault="005B6B06"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369,054</w:t>
            </w:r>
            <w:r w:rsidR="00A07E40" w:rsidRPr="007669E1">
              <w:rPr>
                <w:rFonts w:ascii="Segoe UI" w:hAnsi="Segoe UI" w:cs="Segoe UI"/>
                <w:i/>
                <w:color w:val="000000"/>
                <w:sz w:val="18"/>
                <w:szCs w:val="18"/>
              </w:rPr>
              <w:t>.0</w:t>
            </w:r>
          </w:p>
        </w:tc>
      </w:tr>
    </w:tbl>
    <w:p w14:paraId="1A493E52"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6DD72504" w14:textId="77777777" w:rsidTr="00782539">
        <w:tc>
          <w:tcPr>
            <w:tcW w:w="9625" w:type="dxa"/>
            <w:gridSpan w:val="7"/>
            <w:shd w:val="clear" w:color="auto" w:fill="D9D9D9" w:themeFill="background1" w:themeFillShade="D9"/>
          </w:tcPr>
          <w:p w14:paraId="22428AE5" w14:textId="79F941F8" w:rsidR="00F77F6D" w:rsidRPr="00B65F27" w:rsidRDefault="00944DB8"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 xml:space="preserve">3. </w:t>
            </w:r>
            <w:r w:rsidR="00F77F6D" w:rsidRPr="00B65F27">
              <w:rPr>
                <w:rFonts w:ascii="Segoe UI" w:hAnsi="Segoe UI" w:cs="Segoe UI"/>
                <w:b/>
                <w:bCs/>
                <w:sz w:val="18"/>
                <w:szCs w:val="18"/>
              </w:rPr>
              <w:t xml:space="preserve">Reduced </w:t>
            </w:r>
            <w:r w:rsidR="006C2BDF" w:rsidRPr="00B65F27">
              <w:rPr>
                <w:rFonts w:ascii="Segoe UI" w:hAnsi="Segoe UI" w:cs="Segoe UI"/>
                <w:b/>
                <w:bCs/>
                <w:sz w:val="18"/>
                <w:szCs w:val="18"/>
              </w:rPr>
              <w:t>r</w:t>
            </w:r>
            <w:r w:rsidR="00F77F6D" w:rsidRPr="00B65F27">
              <w:rPr>
                <w:rFonts w:ascii="Segoe UI" w:hAnsi="Segoe UI" w:cs="Segoe UI"/>
                <w:b/>
                <w:bCs/>
                <w:sz w:val="18"/>
                <w:szCs w:val="18"/>
              </w:rPr>
              <w:t xml:space="preserve">ate </w:t>
            </w:r>
            <w:r w:rsidR="006C2BDF" w:rsidRPr="00B65F27">
              <w:rPr>
                <w:rFonts w:ascii="Segoe UI" w:hAnsi="Segoe UI" w:cs="Segoe UI"/>
                <w:b/>
                <w:bCs/>
                <w:sz w:val="18"/>
                <w:szCs w:val="18"/>
              </w:rPr>
              <w:t>applies to pharmaceuticals</w:t>
            </w:r>
          </w:p>
        </w:tc>
      </w:tr>
      <w:tr w:rsidR="007669E1" w:rsidRPr="007669E1" w14:paraId="2BF8B08E" w14:textId="77777777" w:rsidTr="00782539">
        <w:tc>
          <w:tcPr>
            <w:tcW w:w="2425" w:type="dxa"/>
          </w:tcPr>
          <w:p w14:paraId="71B402A3"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21D60E8B" w14:textId="77777777" w:rsidR="00F77F6D" w:rsidRPr="007669E1" w:rsidRDefault="00F77F6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Reduced VAT rate applies for the supply of prescription drugs prepared in drugstores, containing authorized ingredients (pharmaceutical substances), as well as approved imported drugs supplied in the territory of Moldova.</w:t>
            </w:r>
          </w:p>
        </w:tc>
      </w:tr>
      <w:tr w:rsidR="007669E1" w:rsidRPr="007669E1" w14:paraId="7F9B8BD2" w14:textId="77777777" w:rsidTr="00782539">
        <w:tc>
          <w:tcPr>
            <w:tcW w:w="2425" w:type="dxa"/>
          </w:tcPr>
          <w:p w14:paraId="7E9A0B0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76A6FF4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238185D5" w14:textId="77777777" w:rsidTr="00782539">
        <w:tc>
          <w:tcPr>
            <w:tcW w:w="2425" w:type="dxa"/>
          </w:tcPr>
          <w:p w14:paraId="0D4FF97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50212B28" w14:textId="4060249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households consuming this category of reduced VAT supply</w:t>
            </w:r>
            <w:r w:rsidR="008862E5" w:rsidRPr="007669E1">
              <w:rPr>
                <w:rFonts w:ascii="Segoe UI" w:hAnsi="Segoe UI" w:cs="Segoe UI"/>
                <w:sz w:val="18"/>
                <w:szCs w:val="18"/>
              </w:rPr>
              <w:t>.</w:t>
            </w:r>
          </w:p>
        </w:tc>
      </w:tr>
      <w:tr w:rsidR="007669E1" w:rsidRPr="007669E1" w14:paraId="00CC3F98" w14:textId="77777777" w:rsidTr="00782539">
        <w:tc>
          <w:tcPr>
            <w:tcW w:w="2425" w:type="dxa"/>
          </w:tcPr>
          <w:p w14:paraId="3AF8103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59933E5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vs standard VAT rate of 20%</w:t>
            </w:r>
          </w:p>
        </w:tc>
      </w:tr>
      <w:tr w:rsidR="007669E1" w:rsidRPr="007669E1" w14:paraId="5774C9CC" w14:textId="77777777" w:rsidTr="00782539">
        <w:tc>
          <w:tcPr>
            <w:tcW w:w="2425" w:type="dxa"/>
          </w:tcPr>
          <w:p w14:paraId="36B05A7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268BACE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7669E1" w:rsidRPr="007669E1" w14:paraId="33DC1CD7" w14:textId="77777777" w:rsidTr="00782539">
        <w:tc>
          <w:tcPr>
            <w:tcW w:w="2425" w:type="dxa"/>
          </w:tcPr>
          <w:p w14:paraId="366E739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4654876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96 of TC</w:t>
            </w:r>
          </w:p>
        </w:tc>
      </w:tr>
      <w:tr w:rsidR="00136C8F" w:rsidRPr="007669E1" w14:paraId="3AB21FB2" w14:textId="77777777" w:rsidTr="00782539">
        <w:trPr>
          <w:trHeight w:val="182"/>
        </w:trPr>
        <w:tc>
          <w:tcPr>
            <w:tcW w:w="2425" w:type="dxa"/>
            <w:vMerge w:val="restart"/>
          </w:tcPr>
          <w:p w14:paraId="1E4B3F7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47CDBC0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in support of healthcare, consumers should not face an additional tax burden when being ill or falling sick.</w:t>
            </w:r>
          </w:p>
        </w:tc>
      </w:tr>
      <w:tr w:rsidR="00136C8F" w:rsidRPr="007669E1" w14:paraId="67D9B7F7" w14:textId="77777777" w:rsidTr="00782539">
        <w:trPr>
          <w:trHeight w:val="182"/>
        </w:trPr>
        <w:tc>
          <w:tcPr>
            <w:tcW w:w="2425" w:type="dxa"/>
            <w:vMerge/>
          </w:tcPr>
          <w:p w14:paraId="5E76C561"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0D7F12A7" w14:textId="5C05196A"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r w:rsidR="007B45FD" w:rsidRPr="007669E1">
              <w:rPr>
                <w:rFonts w:ascii="Segoe UI" w:hAnsi="Segoe UI" w:cs="Segoe UI"/>
                <w:sz w:val="18"/>
                <w:szCs w:val="18"/>
              </w:rPr>
              <w:t>2006</w:t>
            </w:r>
          </w:p>
        </w:tc>
        <w:tc>
          <w:tcPr>
            <w:tcW w:w="3738" w:type="dxa"/>
            <w:gridSpan w:val="3"/>
          </w:tcPr>
          <w:p w14:paraId="5EFB402C" w14:textId="59B250B1"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3B53D58" w14:textId="77777777" w:rsidTr="00782539">
        <w:tc>
          <w:tcPr>
            <w:tcW w:w="2425" w:type="dxa"/>
          </w:tcPr>
          <w:p w14:paraId="267372B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3604DD9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declarations data</w:t>
            </w:r>
          </w:p>
        </w:tc>
      </w:tr>
      <w:tr w:rsidR="007669E1" w:rsidRPr="007669E1" w14:paraId="23D84264" w14:textId="77777777" w:rsidTr="00782539">
        <w:tc>
          <w:tcPr>
            <w:tcW w:w="2425" w:type="dxa"/>
          </w:tcPr>
          <w:p w14:paraId="0AFF5D3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01A7F7C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Direct calculation; assumed to be used exclusively as final consumption or as input into exempt healthcare</w:t>
            </w:r>
          </w:p>
        </w:tc>
      </w:tr>
      <w:tr w:rsidR="007669E1" w:rsidRPr="007669E1" w14:paraId="2712032B" w14:textId="77777777" w:rsidTr="00782539">
        <w:tc>
          <w:tcPr>
            <w:tcW w:w="2425" w:type="dxa"/>
          </w:tcPr>
          <w:p w14:paraId="3A77AE4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1C669941"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469E1A4B" w14:textId="77777777" w:rsidTr="00782539">
        <w:tc>
          <w:tcPr>
            <w:tcW w:w="2425" w:type="dxa"/>
          </w:tcPr>
          <w:p w14:paraId="7910571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02E92E33" w14:textId="0634A92C" w:rsidR="00F77F6D" w:rsidRPr="007669E1" w:rsidRDefault="00A07E4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7D66A627" w14:textId="77777777" w:rsidTr="00782539">
        <w:trPr>
          <w:trHeight w:val="91"/>
        </w:trPr>
        <w:tc>
          <w:tcPr>
            <w:tcW w:w="2425" w:type="dxa"/>
            <w:vMerge w:val="restart"/>
          </w:tcPr>
          <w:p w14:paraId="3A6378D4"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151F35B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695D232B"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351B197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6BACB2D5" w14:textId="60486008"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5B5595F4" w14:textId="2B4BBEEC"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69E1" w:rsidRPr="007669E1" w14:paraId="2B7D91F0" w14:textId="77777777" w:rsidTr="00B508AC">
        <w:trPr>
          <w:trHeight w:val="91"/>
        </w:trPr>
        <w:tc>
          <w:tcPr>
            <w:tcW w:w="2425" w:type="dxa"/>
            <w:vMerge/>
          </w:tcPr>
          <w:p w14:paraId="66011150"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520220AC" w14:textId="527CA89D" w:rsidR="00F77F6D" w:rsidRPr="007669E1" w:rsidRDefault="00A07E40"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27,695.9</w:t>
            </w:r>
          </w:p>
        </w:tc>
        <w:tc>
          <w:tcPr>
            <w:tcW w:w="1385" w:type="dxa"/>
            <w:shd w:val="clear" w:color="auto" w:fill="D9D9D9" w:themeFill="background1" w:themeFillShade="D9"/>
            <w:vAlign w:val="bottom"/>
          </w:tcPr>
          <w:p w14:paraId="36AC54EE" w14:textId="135D631C" w:rsidR="00F77F6D" w:rsidRPr="007669E1" w:rsidRDefault="00A07E40"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30,105.3</w:t>
            </w:r>
          </w:p>
        </w:tc>
        <w:tc>
          <w:tcPr>
            <w:tcW w:w="1385" w:type="dxa"/>
            <w:gridSpan w:val="2"/>
            <w:shd w:val="clear" w:color="auto" w:fill="D9D9D9" w:themeFill="background1" w:themeFillShade="D9"/>
            <w:vAlign w:val="bottom"/>
          </w:tcPr>
          <w:p w14:paraId="0C42FE43" w14:textId="00AFD502" w:rsidR="00F77F6D" w:rsidRPr="007669E1" w:rsidRDefault="00A07E40"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29,205.1</w:t>
            </w:r>
          </w:p>
        </w:tc>
        <w:tc>
          <w:tcPr>
            <w:tcW w:w="1385" w:type="dxa"/>
            <w:shd w:val="clear" w:color="auto" w:fill="D9D9D9" w:themeFill="background1" w:themeFillShade="D9"/>
            <w:vAlign w:val="bottom"/>
          </w:tcPr>
          <w:p w14:paraId="012114FA" w14:textId="748B6B2A" w:rsidR="00F77F6D" w:rsidRPr="007669E1" w:rsidRDefault="00A07E40"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33,005.8</w:t>
            </w:r>
          </w:p>
        </w:tc>
        <w:tc>
          <w:tcPr>
            <w:tcW w:w="1660" w:type="dxa"/>
            <w:shd w:val="clear" w:color="auto" w:fill="D9D9D9" w:themeFill="background1" w:themeFillShade="D9"/>
            <w:vAlign w:val="bottom"/>
          </w:tcPr>
          <w:p w14:paraId="6D2E7CFB" w14:textId="239B285E" w:rsidR="00F77F6D" w:rsidRPr="007669E1" w:rsidRDefault="00A07E40"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36,306.4</w:t>
            </w:r>
          </w:p>
        </w:tc>
      </w:tr>
    </w:tbl>
    <w:p w14:paraId="251A3AC5"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0355CA63" w14:textId="77777777" w:rsidTr="00F86C75">
        <w:tc>
          <w:tcPr>
            <w:tcW w:w="9625" w:type="dxa"/>
            <w:gridSpan w:val="7"/>
            <w:shd w:val="clear" w:color="auto" w:fill="D9D9D9" w:themeFill="background1" w:themeFillShade="D9"/>
          </w:tcPr>
          <w:p w14:paraId="7A4D5228" w14:textId="27D2E515"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 xml:space="preserve">4. </w:t>
            </w:r>
            <w:r w:rsidR="006C2BDF" w:rsidRPr="00B65F27">
              <w:rPr>
                <w:rFonts w:ascii="Segoe UI" w:hAnsi="Segoe UI" w:cs="Segoe UI"/>
                <w:b/>
                <w:bCs/>
                <w:sz w:val="18"/>
                <w:szCs w:val="18"/>
              </w:rPr>
              <w:t xml:space="preserve">Reduced </w:t>
            </w:r>
            <w:r w:rsidR="6C470A93" w:rsidRPr="00B65F27">
              <w:rPr>
                <w:rFonts w:ascii="Segoe UI" w:hAnsi="Segoe UI" w:cs="Segoe UI"/>
                <w:b/>
                <w:bCs/>
                <w:sz w:val="18"/>
                <w:szCs w:val="18"/>
              </w:rPr>
              <w:t>r</w:t>
            </w:r>
            <w:r w:rsidR="006C2BDF" w:rsidRPr="00B65F27">
              <w:rPr>
                <w:rFonts w:ascii="Segoe UI" w:hAnsi="Segoe UI" w:cs="Segoe UI"/>
                <w:b/>
                <w:bCs/>
                <w:sz w:val="18"/>
                <w:szCs w:val="18"/>
              </w:rPr>
              <w:t>ate applies to n</w:t>
            </w:r>
            <w:r w:rsidRPr="00B65F27">
              <w:rPr>
                <w:rFonts w:ascii="Segoe UI" w:hAnsi="Segoe UI" w:cs="Segoe UI"/>
                <w:b/>
                <w:bCs/>
                <w:sz w:val="18"/>
                <w:szCs w:val="18"/>
              </w:rPr>
              <w:t xml:space="preserve">atural and LNG </w:t>
            </w:r>
            <w:r w:rsidR="006C2BDF" w:rsidRPr="00B65F27">
              <w:rPr>
                <w:rFonts w:ascii="Segoe UI" w:hAnsi="Segoe UI" w:cs="Segoe UI"/>
                <w:b/>
                <w:bCs/>
                <w:sz w:val="18"/>
                <w:szCs w:val="18"/>
              </w:rPr>
              <w:t>gases</w:t>
            </w:r>
          </w:p>
        </w:tc>
      </w:tr>
      <w:tr w:rsidR="007669E1" w:rsidRPr="007669E1" w14:paraId="6576559F" w14:textId="77777777" w:rsidTr="00F86C75">
        <w:tc>
          <w:tcPr>
            <w:tcW w:w="2425" w:type="dxa"/>
          </w:tcPr>
          <w:p w14:paraId="0D41E334"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33B5EDF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VAT rate applies for the supply of natural and liquefied gases imported and supplied in the territory of Moldova (6% before 2013).</w:t>
            </w:r>
          </w:p>
        </w:tc>
      </w:tr>
      <w:tr w:rsidR="007669E1" w:rsidRPr="007669E1" w14:paraId="282728E9" w14:textId="77777777" w:rsidTr="00F86C75">
        <w:tc>
          <w:tcPr>
            <w:tcW w:w="2425" w:type="dxa"/>
          </w:tcPr>
          <w:p w14:paraId="07BFA68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5E63725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748570BA" w14:textId="77777777" w:rsidTr="00F86C75">
        <w:tc>
          <w:tcPr>
            <w:tcW w:w="2425" w:type="dxa"/>
          </w:tcPr>
          <w:p w14:paraId="0159454B"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58C40F2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households and industry consuming the reduced rate supply of natural gas for heating / energy purposes.</w:t>
            </w:r>
          </w:p>
        </w:tc>
      </w:tr>
      <w:tr w:rsidR="007669E1" w:rsidRPr="007669E1" w14:paraId="6B39E5EC" w14:textId="77777777" w:rsidTr="00F86C75">
        <w:tc>
          <w:tcPr>
            <w:tcW w:w="2425" w:type="dxa"/>
          </w:tcPr>
          <w:p w14:paraId="3E42920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1AE8ACC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vs standard VAT rate of 20%</w:t>
            </w:r>
          </w:p>
        </w:tc>
      </w:tr>
      <w:tr w:rsidR="007669E1" w:rsidRPr="007669E1" w14:paraId="63C405BE" w14:textId="77777777" w:rsidTr="00F86C75">
        <w:tc>
          <w:tcPr>
            <w:tcW w:w="2425" w:type="dxa"/>
          </w:tcPr>
          <w:p w14:paraId="27368A7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7269E6B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7669E1" w:rsidRPr="007669E1" w14:paraId="3E2C861B" w14:textId="77777777" w:rsidTr="00F86C75">
        <w:tc>
          <w:tcPr>
            <w:tcW w:w="2425" w:type="dxa"/>
          </w:tcPr>
          <w:p w14:paraId="721D242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63012670" w14:textId="2FE5C689"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96</w:t>
            </w:r>
            <w:r w:rsidR="00D82F06" w:rsidRPr="007669E1">
              <w:rPr>
                <w:rFonts w:ascii="Segoe UI" w:hAnsi="Segoe UI" w:cs="Segoe UI"/>
                <w:sz w:val="18"/>
                <w:szCs w:val="18"/>
              </w:rPr>
              <w:t xml:space="preserve"> b)</w:t>
            </w:r>
            <w:r w:rsidRPr="007669E1">
              <w:rPr>
                <w:rFonts w:ascii="Segoe UI" w:hAnsi="Segoe UI" w:cs="Segoe UI"/>
                <w:sz w:val="18"/>
                <w:szCs w:val="18"/>
              </w:rPr>
              <w:t xml:space="preserve"> of TC</w:t>
            </w:r>
          </w:p>
        </w:tc>
      </w:tr>
      <w:tr w:rsidR="00136C8F" w:rsidRPr="007669E1" w14:paraId="0E1420A3" w14:textId="77777777" w:rsidTr="00F86C75">
        <w:trPr>
          <w:trHeight w:val="182"/>
        </w:trPr>
        <w:tc>
          <w:tcPr>
            <w:tcW w:w="2425" w:type="dxa"/>
            <w:vMerge w:val="restart"/>
          </w:tcPr>
          <w:p w14:paraId="4D21977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1CBCB262" w14:textId="157AC888"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Fiscal support in support of </w:t>
            </w:r>
            <w:r w:rsidR="008862E5" w:rsidRPr="007669E1">
              <w:rPr>
                <w:rFonts w:ascii="Segoe UI" w:hAnsi="Segoe UI" w:cs="Segoe UI"/>
                <w:sz w:val="18"/>
                <w:szCs w:val="18"/>
              </w:rPr>
              <w:t>industries’</w:t>
            </w:r>
            <w:r w:rsidRPr="007669E1">
              <w:rPr>
                <w:rFonts w:ascii="Segoe UI" w:hAnsi="Segoe UI" w:cs="Segoe UI"/>
                <w:sz w:val="18"/>
                <w:szCs w:val="18"/>
              </w:rPr>
              <w:t xml:space="preserve"> and households’ heating and energy consumption</w:t>
            </w:r>
          </w:p>
        </w:tc>
      </w:tr>
      <w:tr w:rsidR="00136C8F" w:rsidRPr="007669E1" w14:paraId="7E719B55" w14:textId="77777777" w:rsidTr="00F86C75">
        <w:trPr>
          <w:trHeight w:val="182"/>
        </w:trPr>
        <w:tc>
          <w:tcPr>
            <w:tcW w:w="2425" w:type="dxa"/>
            <w:vMerge/>
          </w:tcPr>
          <w:p w14:paraId="3534C82F"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44F08B0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2013 (6% before 2013)</w:t>
            </w:r>
          </w:p>
        </w:tc>
        <w:tc>
          <w:tcPr>
            <w:tcW w:w="3738" w:type="dxa"/>
            <w:gridSpan w:val="3"/>
          </w:tcPr>
          <w:p w14:paraId="5B12E1E9" w14:textId="28CE7FF4"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69C98D8" w14:textId="77777777" w:rsidTr="00F86C75">
        <w:tc>
          <w:tcPr>
            <w:tcW w:w="2425" w:type="dxa"/>
          </w:tcPr>
          <w:p w14:paraId="6760F71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lastRenderedPageBreak/>
              <w:t>Source of Data</w:t>
            </w:r>
          </w:p>
        </w:tc>
        <w:tc>
          <w:tcPr>
            <w:tcW w:w="7200" w:type="dxa"/>
            <w:gridSpan w:val="6"/>
          </w:tcPr>
          <w:p w14:paraId="0DF4779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392419F5" w14:textId="77777777" w:rsidTr="00F86C75">
        <w:tc>
          <w:tcPr>
            <w:tcW w:w="2425" w:type="dxa"/>
          </w:tcPr>
          <w:p w14:paraId="70A0912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5AEC5FC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41F392BC" w14:textId="77777777" w:rsidTr="00F86C75">
        <w:tc>
          <w:tcPr>
            <w:tcW w:w="2425" w:type="dxa"/>
          </w:tcPr>
          <w:p w14:paraId="3904A7B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02A2FDE9"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36B31EEF" w14:textId="77777777" w:rsidTr="00F86C75">
        <w:tc>
          <w:tcPr>
            <w:tcW w:w="2425" w:type="dxa"/>
          </w:tcPr>
          <w:p w14:paraId="38510DE4" w14:textId="77777777" w:rsidR="00F77F6D" w:rsidRPr="00B65F27" w:rsidRDefault="00F77F6D" w:rsidP="00E90BA7">
            <w:pPr>
              <w:keepNext/>
              <w:keepLines/>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188EBB46" w14:textId="72E97708" w:rsidR="00F77F6D" w:rsidRPr="007669E1" w:rsidRDefault="000546D2"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136C8F" w:rsidRPr="007669E1" w14:paraId="69AE9B6F" w14:textId="77777777" w:rsidTr="00F86C75">
        <w:trPr>
          <w:trHeight w:val="91"/>
        </w:trPr>
        <w:tc>
          <w:tcPr>
            <w:tcW w:w="2425" w:type="dxa"/>
            <w:vMerge w:val="restart"/>
          </w:tcPr>
          <w:p w14:paraId="10B67AA3" w14:textId="77777777" w:rsidR="00F77F6D" w:rsidRPr="007669E1" w:rsidRDefault="00F77F6D" w:rsidP="00E90BA7">
            <w:pPr>
              <w:keepNext/>
              <w:keepLines/>
              <w:spacing w:before="20" w:after="20" w:line="240" w:lineRule="auto"/>
              <w:jc w:val="both"/>
              <w:rPr>
                <w:rFonts w:ascii="Segoe UI" w:hAnsi="Segoe UI" w:cs="Segoe UI"/>
                <w:sz w:val="18"/>
                <w:szCs w:val="18"/>
              </w:rPr>
            </w:pPr>
          </w:p>
        </w:tc>
        <w:tc>
          <w:tcPr>
            <w:tcW w:w="1385" w:type="dxa"/>
          </w:tcPr>
          <w:p w14:paraId="438B8174" w14:textId="77777777" w:rsidR="00F77F6D" w:rsidRPr="00B65F27" w:rsidRDefault="00F77F6D" w:rsidP="00E90BA7">
            <w:pPr>
              <w:keepNext/>
              <w:keepLines/>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59F2087F" w14:textId="77777777" w:rsidR="00F77F6D" w:rsidRPr="00B65F27" w:rsidRDefault="00F77F6D" w:rsidP="00E90BA7">
            <w:pPr>
              <w:keepNext/>
              <w:keepLines/>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353CC34F" w14:textId="77777777" w:rsidR="00F77F6D" w:rsidRPr="00B65F27" w:rsidRDefault="00F77F6D" w:rsidP="00E90BA7">
            <w:pPr>
              <w:keepNext/>
              <w:keepLines/>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771D7900" w14:textId="126851C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40B7E3E5" w14:textId="4CF9DFD2"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19A8" w:rsidRPr="007669E1" w14:paraId="67E07ED4" w14:textId="77777777" w:rsidTr="008A6541">
        <w:trPr>
          <w:trHeight w:val="91"/>
        </w:trPr>
        <w:tc>
          <w:tcPr>
            <w:tcW w:w="2425" w:type="dxa"/>
            <w:vMerge/>
          </w:tcPr>
          <w:p w14:paraId="6A8DE9F5" w14:textId="77777777" w:rsidR="00F77F6D" w:rsidRPr="007669E1" w:rsidRDefault="00F77F6D" w:rsidP="00E90BA7">
            <w:pPr>
              <w:keepNext/>
              <w:keepLines/>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615546C6" w14:textId="4715F88A" w:rsidR="00F77F6D" w:rsidRPr="007669E1" w:rsidRDefault="000546D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222,623.0</w:t>
            </w:r>
          </w:p>
        </w:tc>
        <w:tc>
          <w:tcPr>
            <w:tcW w:w="1385" w:type="dxa"/>
            <w:shd w:val="clear" w:color="auto" w:fill="D9D9D9" w:themeFill="background1" w:themeFillShade="D9"/>
            <w:vAlign w:val="bottom"/>
          </w:tcPr>
          <w:p w14:paraId="1F8913EA" w14:textId="30EC9748" w:rsidR="00F77F6D" w:rsidRPr="007669E1" w:rsidRDefault="000546D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243,957.1</w:t>
            </w:r>
          </w:p>
        </w:tc>
        <w:tc>
          <w:tcPr>
            <w:tcW w:w="1385" w:type="dxa"/>
            <w:gridSpan w:val="2"/>
            <w:shd w:val="clear" w:color="auto" w:fill="D9D9D9" w:themeFill="background1" w:themeFillShade="D9"/>
            <w:vAlign w:val="bottom"/>
          </w:tcPr>
          <w:p w14:paraId="68CDC6C1" w14:textId="7F747421" w:rsidR="00F77F6D" w:rsidRPr="007669E1" w:rsidRDefault="000546D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237,247.9</w:t>
            </w:r>
          </w:p>
        </w:tc>
        <w:tc>
          <w:tcPr>
            <w:tcW w:w="1385" w:type="dxa"/>
            <w:shd w:val="clear" w:color="auto" w:fill="D9D9D9" w:themeFill="background1" w:themeFillShade="D9"/>
            <w:vAlign w:val="bottom"/>
          </w:tcPr>
          <w:p w14:paraId="394ED6A5" w14:textId="31980110" w:rsidR="00F77F6D" w:rsidRPr="007669E1" w:rsidRDefault="000546D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288,986.8</w:t>
            </w:r>
          </w:p>
        </w:tc>
        <w:tc>
          <w:tcPr>
            <w:tcW w:w="1660" w:type="dxa"/>
            <w:shd w:val="clear" w:color="auto" w:fill="D9D9D9" w:themeFill="background1" w:themeFillShade="D9"/>
            <w:vAlign w:val="bottom"/>
          </w:tcPr>
          <w:p w14:paraId="208D4D70" w14:textId="2F6D8C05" w:rsidR="00F77F6D" w:rsidRPr="007669E1" w:rsidRDefault="000546D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318,379.4</w:t>
            </w:r>
          </w:p>
        </w:tc>
      </w:tr>
    </w:tbl>
    <w:p w14:paraId="66C98067" w14:textId="77777777" w:rsidR="008862E5" w:rsidRPr="007669E1" w:rsidRDefault="008862E5"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23257A5A" w14:textId="77777777" w:rsidTr="007140AB">
        <w:tc>
          <w:tcPr>
            <w:tcW w:w="9625" w:type="dxa"/>
            <w:gridSpan w:val="7"/>
            <w:shd w:val="clear" w:color="auto" w:fill="D9D9D9" w:themeFill="background1" w:themeFillShade="D9"/>
          </w:tcPr>
          <w:p w14:paraId="5EBA10DB" w14:textId="7EF2374C"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5. Moldovan crop, horticulture</w:t>
            </w:r>
            <w:r w:rsidR="008862E5" w:rsidRPr="00B65F27">
              <w:rPr>
                <w:rFonts w:ascii="Segoe UI" w:hAnsi="Segoe UI" w:cs="Segoe UI"/>
                <w:b/>
                <w:bCs/>
                <w:sz w:val="18"/>
                <w:szCs w:val="18"/>
              </w:rPr>
              <w:t>,</w:t>
            </w:r>
            <w:r w:rsidRPr="00B65F27">
              <w:rPr>
                <w:rFonts w:ascii="Segoe UI" w:hAnsi="Segoe UI" w:cs="Segoe UI"/>
                <w:b/>
                <w:bCs/>
                <w:sz w:val="18"/>
                <w:szCs w:val="18"/>
              </w:rPr>
              <w:t xml:space="preserve"> and livestock production supplied at reduced rate of 8%</w:t>
            </w:r>
          </w:p>
        </w:tc>
      </w:tr>
      <w:tr w:rsidR="007669E1" w:rsidRPr="007669E1" w14:paraId="52055CD6" w14:textId="77777777" w:rsidTr="007140AB">
        <w:tc>
          <w:tcPr>
            <w:tcW w:w="2425" w:type="dxa"/>
          </w:tcPr>
          <w:p w14:paraId="6FD399E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23C4DAA9" w14:textId="5C3E0A2A" w:rsidR="00F77F6D" w:rsidRPr="007669E1" w:rsidRDefault="00F77F6D" w:rsidP="00E90BA7">
            <w:pPr>
              <w:tabs>
                <w:tab w:val="left" w:pos="2637"/>
              </w:tabs>
              <w:spacing w:before="20" w:after="20" w:line="240" w:lineRule="auto"/>
              <w:jc w:val="both"/>
              <w:rPr>
                <w:rFonts w:ascii="Segoe UI" w:hAnsi="Segoe UI" w:cs="Segoe UI"/>
                <w:sz w:val="18"/>
                <w:szCs w:val="18"/>
              </w:rPr>
            </w:pPr>
            <w:r w:rsidRPr="007669E1">
              <w:rPr>
                <w:rFonts w:ascii="Segoe UI" w:hAnsi="Segoe UI" w:cs="Segoe UI"/>
                <w:sz w:val="18"/>
                <w:szCs w:val="18"/>
              </w:rPr>
              <w:t>Reduced VAT rate applies for the supply of natural crop, horticulture products</w:t>
            </w:r>
            <w:r w:rsidR="008862E5" w:rsidRPr="007669E1">
              <w:rPr>
                <w:rFonts w:ascii="Segoe UI" w:hAnsi="Segoe UI" w:cs="Segoe UI"/>
                <w:sz w:val="18"/>
                <w:szCs w:val="18"/>
              </w:rPr>
              <w:t>,</w:t>
            </w:r>
            <w:r w:rsidRPr="007669E1">
              <w:rPr>
                <w:rFonts w:ascii="Segoe UI" w:hAnsi="Segoe UI" w:cs="Segoe UI"/>
                <w:sz w:val="18"/>
                <w:szCs w:val="18"/>
              </w:rPr>
              <w:t xml:space="preserve"> and livestock produced and supplied in the territory of Moldova.</w:t>
            </w:r>
          </w:p>
        </w:tc>
      </w:tr>
      <w:tr w:rsidR="007669E1" w:rsidRPr="007669E1" w14:paraId="0798F14A" w14:textId="77777777" w:rsidTr="007140AB">
        <w:tc>
          <w:tcPr>
            <w:tcW w:w="2425" w:type="dxa"/>
          </w:tcPr>
          <w:p w14:paraId="32C7569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2452627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734E1029" w14:textId="77777777" w:rsidTr="007140AB">
        <w:tc>
          <w:tcPr>
            <w:tcW w:w="2425" w:type="dxa"/>
          </w:tcPr>
          <w:p w14:paraId="116D46E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2844D28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Moldovan agricultural producers.</w:t>
            </w:r>
          </w:p>
        </w:tc>
      </w:tr>
      <w:tr w:rsidR="007669E1" w:rsidRPr="007669E1" w14:paraId="5063E5C2" w14:textId="77777777" w:rsidTr="007140AB">
        <w:tc>
          <w:tcPr>
            <w:tcW w:w="2425" w:type="dxa"/>
          </w:tcPr>
          <w:p w14:paraId="14CEE3CB"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60058FA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vs standard VAT rate of 20%</w:t>
            </w:r>
          </w:p>
        </w:tc>
      </w:tr>
      <w:tr w:rsidR="007669E1" w:rsidRPr="007669E1" w14:paraId="38AAD9C3" w14:textId="77777777" w:rsidTr="007140AB">
        <w:tc>
          <w:tcPr>
            <w:tcW w:w="2425" w:type="dxa"/>
          </w:tcPr>
          <w:p w14:paraId="23722E4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6E6520D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7669E1" w:rsidRPr="007669E1" w14:paraId="52240FBD" w14:textId="77777777" w:rsidTr="007140AB">
        <w:tc>
          <w:tcPr>
            <w:tcW w:w="2425" w:type="dxa"/>
          </w:tcPr>
          <w:p w14:paraId="0D70E416"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3EEAD617" w14:textId="21B7383B"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Art. 96 </w:t>
            </w:r>
            <w:r w:rsidR="00D82F06" w:rsidRPr="007669E1">
              <w:rPr>
                <w:rFonts w:ascii="Segoe UI" w:hAnsi="Segoe UI" w:cs="Segoe UI"/>
                <w:sz w:val="18"/>
                <w:szCs w:val="18"/>
              </w:rPr>
              <w:t xml:space="preserve">b) </w:t>
            </w:r>
            <w:r w:rsidRPr="007669E1">
              <w:rPr>
                <w:rFonts w:ascii="Segoe UI" w:hAnsi="Segoe UI" w:cs="Segoe UI"/>
                <w:sz w:val="18"/>
                <w:szCs w:val="18"/>
              </w:rPr>
              <w:t>of TC</w:t>
            </w:r>
          </w:p>
        </w:tc>
      </w:tr>
      <w:tr w:rsidR="00136C8F" w:rsidRPr="007669E1" w14:paraId="4C1DAD95" w14:textId="77777777" w:rsidTr="007140AB">
        <w:trPr>
          <w:trHeight w:val="182"/>
        </w:trPr>
        <w:tc>
          <w:tcPr>
            <w:tcW w:w="2425" w:type="dxa"/>
            <w:vMerge w:val="restart"/>
          </w:tcPr>
          <w:p w14:paraId="4C7CA844"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6550140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in support of Moldovan agricultural sector and consumers.</w:t>
            </w:r>
          </w:p>
        </w:tc>
      </w:tr>
      <w:tr w:rsidR="00136C8F" w:rsidRPr="007669E1" w14:paraId="03926DE5" w14:textId="77777777" w:rsidTr="007140AB">
        <w:trPr>
          <w:trHeight w:val="182"/>
        </w:trPr>
        <w:tc>
          <w:tcPr>
            <w:tcW w:w="2425" w:type="dxa"/>
            <w:vMerge/>
          </w:tcPr>
          <w:p w14:paraId="299900D3"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6DC1745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319A328F" w14:textId="150F6B77"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66ECFA00" w14:textId="77777777" w:rsidTr="007140AB">
        <w:tc>
          <w:tcPr>
            <w:tcW w:w="2425" w:type="dxa"/>
          </w:tcPr>
          <w:p w14:paraId="238EAAC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333A842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174F3CF1" w14:textId="77777777" w:rsidTr="007140AB">
        <w:tc>
          <w:tcPr>
            <w:tcW w:w="2425" w:type="dxa"/>
          </w:tcPr>
          <w:p w14:paraId="2C3FBB6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24060DE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4CB84B96" w14:textId="77777777" w:rsidTr="007140AB">
        <w:tc>
          <w:tcPr>
            <w:tcW w:w="2425" w:type="dxa"/>
          </w:tcPr>
          <w:p w14:paraId="55E1B8F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4F8216FA"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0D4CF497" w14:textId="77777777" w:rsidTr="007140AB">
        <w:tc>
          <w:tcPr>
            <w:tcW w:w="2425" w:type="dxa"/>
          </w:tcPr>
          <w:p w14:paraId="5538A05E"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786D1F0C" w14:textId="6F61F86F" w:rsidR="00F77F6D" w:rsidRPr="007669E1" w:rsidRDefault="00DD7C4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7E19780D" w14:textId="77777777" w:rsidTr="007140AB">
        <w:trPr>
          <w:trHeight w:val="91"/>
        </w:trPr>
        <w:tc>
          <w:tcPr>
            <w:tcW w:w="2425" w:type="dxa"/>
            <w:vMerge w:val="restart"/>
          </w:tcPr>
          <w:p w14:paraId="5C50079D"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05410C2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2B7CAA4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689E669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1FD3DE5F" w14:textId="18A1610E"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1E06989D" w14:textId="576A38D5"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19A8" w:rsidRPr="007669E1" w14:paraId="1A9D79B8" w14:textId="77777777" w:rsidTr="00851CF2">
        <w:trPr>
          <w:trHeight w:val="91"/>
        </w:trPr>
        <w:tc>
          <w:tcPr>
            <w:tcW w:w="2425" w:type="dxa"/>
            <w:vMerge/>
          </w:tcPr>
          <w:p w14:paraId="321F93B1"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0071C8A4" w14:textId="02150346" w:rsidR="00F77F6D" w:rsidRPr="007669E1" w:rsidRDefault="00DD7C4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1,017,408.3</w:t>
            </w:r>
          </w:p>
        </w:tc>
        <w:tc>
          <w:tcPr>
            <w:tcW w:w="1385" w:type="dxa"/>
            <w:shd w:val="clear" w:color="auto" w:fill="D9D9D9" w:themeFill="background1" w:themeFillShade="D9"/>
            <w:vAlign w:val="bottom"/>
          </w:tcPr>
          <w:p w14:paraId="282AFF2A" w14:textId="7B2B35D8" w:rsidR="00F77F6D" w:rsidRPr="007669E1" w:rsidRDefault="00DD7C4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1,114,907.2</w:t>
            </w:r>
          </w:p>
        </w:tc>
        <w:tc>
          <w:tcPr>
            <w:tcW w:w="1385" w:type="dxa"/>
            <w:gridSpan w:val="2"/>
            <w:shd w:val="clear" w:color="auto" w:fill="D9D9D9" w:themeFill="background1" w:themeFillShade="D9"/>
            <w:vAlign w:val="bottom"/>
          </w:tcPr>
          <w:p w14:paraId="148BC1F5" w14:textId="43BDA020" w:rsidR="00F77F6D" w:rsidRPr="007669E1" w:rsidRDefault="00DD7C4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1,084,245.6</w:t>
            </w:r>
          </w:p>
        </w:tc>
        <w:tc>
          <w:tcPr>
            <w:tcW w:w="1385" w:type="dxa"/>
            <w:shd w:val="clear" w:color="auto" w:fill="D9D9D9" w:themeFill="background1" w:themeFillShade="D9"/>
            <w:vAlign w:val="bottom"/>
          </w:tcPr>
          <w:p w14:paraId="509C8EDC" w14:textId="5CB4B162" w:rsidR="00F77F6D" w:rsidRPr="007669E1" w:rsidRDefault="00DD7C4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1,320,697.6</w:t>
            </w:r>
          </w:p>
        </w:tc>
        <w:tc>
          <w:tcPr>
            <w:tcW w:w="1660" w:type="dxa"/>
            <w:shd w:val="clear" w:color="auto" w:fill="D9D9D9" w:themeFill="background1" w:themeFillShade="D9"/>
            <w:vAlign w:val="bottom"/>
          </w:tcPr>
          <w:p w14:paraId="21216E9E" w14:textId="1B05DA90" w:rsidR="00F77F6D" w:rsidRPr="007669E1" w:rsidRDefault="00DD7C4B"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1,455,024.2</w:t>
            </w:r>
          </w:p>
        </w:tc>
      </w:tr>
    </w:tbl>
    <w:p w14:paraId="265344EA" w14:textId="77777777" w:rsidR="00F77F6D" w:rsidRPr="007669E1" w:rsidRDefault="00F77F6D"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4ED78C04" w14:textId="77777777" w:rsidTr="006C2BDF">
        <w:tc>
          <w:tcPr>
            <w:tcW w:w="9625" w:type="dxa"/>
            <w:gridSpan w:val="7"/>
            <w:shd w:val="clear" w:color="auto" w:fill="D9D9D9" w:themeFill="background1" w:themeFillShade="D9"/>
          </w:tcPr>
          <w:p w14:paraId="7AD169DF" w14:textId="28B66F0E"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6. Reduced rate for beet sugar produced, imported, and supplied in Moldova</w:t>
            </w:r>
            <w:r w:rsidR="00AA08E9" w:rsidRPr="00B65F27">
              <w:rPr>
                <w:rFonts w:ascii="Segoe UI" w:hAnsi="Segoe UI" w:cs="Segoe UI"/>
                <w:b/>
                <w:bCs/>
                <w:sz w:val="18"/>
                <w:szCs w:val="18"/>
              </w:rPr>
              <w:t xml:space="preserve"> </w:t>
            </w:r>
          </w:p>
        </w:tc>
      </w:tr>
      <w:tr w:rsidR="007669E1" w:rsidRPr="007669E1" w14:paraId="6FF7E335" w14:textId="77777777" w:rsidTr="006C2BDF">
        <w:tc>
          <w:tcPr>
            <w:tcW w:w="2425" w:type="dxa"/>
          </w:tcPr>
          <w:p w14:paraId="3E2366F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6F32190C" w14:textId="7DA59C08"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Reduced VAT rate of 8% applies for beet sugar </w:t>
            </w:r>
            <w:r w:rsidR="00D359A3" w:rsidRPr="007669E1">
              <w:rPr>
                <w:rFonts w:ascii="Segoe UI" w:hAnsi="Segoe UI" w:cs="Segoe UI"/>
                <w:sz w:val="18"/>
                <w:szCs w:val="18"/>
              </w:rPr>
              <w:t>imported i</w:t>
            </w:r>
            <w:r w:rsidRPr="007669E1">
              <w:rPr>
                <w:rFonts w:ascii="Segoe UI" w:hAnsi="Segoe UI" w:cs="Segoe UI"/>
                <w:sz w:val="18"/>
                <w:szCs w:val="18"/>
              </w:rPr>
              <w:t>n Moldova.</w:t>
            </w:r>
          </w:p>
        </w:tc>
      </w:tr>
      <w:tr w:rsidR="007669E1" w:rsidRPr="007669E1" w14:paraId="0EC551A3" w14:textId="77777777" w:rsidTr="006C2BDF">
        <w:tc>
          <w:tcPr>
            <w:tcW w:w="2425" w:type="dxa"/>
          </w:tcPr>
          <w:p w14:paraId="13D4603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557BF07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54ECACFB" w14:textId="77777777" w:rsidTr="006C2BDF">
        <w:tc>
          <w:tcPr>
            <w:tcW w:w="2425" w:type="dxa"/>
          </w:tcPr>
          <w:p w14:paraId="42D9A17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32146ED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Moldovan beet sugar producers and consumers of sugar.</w:t>
            </w:r>
          </w:p>
        </w:tc>
      </w:tr>
      <w:tr w:rsidR="007669E1" w:rsidRPr="007669E1" w14:paraId="6D951D2A" w14:textId="77777777" w:rsidTr="006C2BDF">
        <w:tc>
          <w:tcPr>
            <w:tcW w:w="2425" w:type="dxa"/>
          </w:tcPr>
          <w:p w14:paraId="16B4FD9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38714C9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vs standard VAT rate of 20%</w:t>
            </w:r>
          </w:p>
        </w:tc>
      </w:tr>
      <w:tr w:rsidR="007669E1" w:rsidRPr="007669E1" w14:paraId="59C3133D" w14:textId="77777777" w:rsidTr="006C2BDF">
        <w:tc>
          <w:tcPr>
            <w:tcW w:w="2425" w:type="dxa"/>
          </w:tcPr>
          <w:p w14:paraId="0C8CD75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122CBFB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7669E1" w:rsidRPr="007669E1" w14:paraId="0BC61410" w14:textId="77777777" w:rsidTr="006C2BDF">
        <w:tc>
          <w:tcPr>
            <w:tcW w:w="2425" w:type="dxa"/>
          </w:tcPr>
          <w:p w14:paraId="2BC5E38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61B58542" w14:textId="58834F45"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Art. 96 </w:t>
            </w:r>
            <w:r w:rsidR="00D82F06" w:rsidRPr="007669E1">
              <w:rPr>
                <w:rFonts w:ascii="Segoe UI" w:hAnsi="Segoe UI" w:cs="Segoe UI"/>
                <w:sz w:val="18"/>
                <w:szCs w:val="18"/>
              </w:rPr>
              <w:t xml:space="preserve">b) </w:t>
            </w:r>
            <w:r w:rsidRPr="007669E1">
              <w:rPr>
                <w:rFonts w:ascii="Segoe UI" w:hAnsi="Segoe UI" w:cs="Segoe UI"/>
                <w:sz w:val="18"/>
                <w:szCs w:val="18"/>
              </w:rPr>
              <w:t>of TC</w:t>
            </w:r>
          </w:p>
        </w:tc>
      </w:tr>
      <w:tr w:rsidR="00136C8F" w:rsidRPr="007669E1" w14:paraId="35BFBBE0" w14:textId="77777777" w:rsidTr="006C2BDF">
        <w:trPr>
          <w:trHeight w:val="182"/>
        </w:trPr>
        <w:tc>
          <w:tcPr>
            <w:tcW w:w="2425" w:type="dxa"/>
            <w:vMerge w:val="restart"/>
          </w:tcPr>
          <w:p w14:paraId="48FC708B"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1776705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in support of Moldovan agricultural sector</w:t>
            </w:r>
          </w:p>
        </w:tc>
      </w:tr>
      <w:tr w:rsidR="00136C8F" w:rsidRPr="007669E1" w14:paraId="578B2C2B" w14:textId="77777777" w:rsidTr="006C2BDF">
        <w:trPr>
          <w:trHeight w:val="182"/>
        </w:trPr>
        <w:tc>
          <w:tcPr>
            <w:tcW w:w="2425" w:type="dxa"/>
            <w:vMerge/>
          </w:tcPr>
          <w:p w14:paraId="17976229"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259D73F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2475D578" w14:textId="0B9A7413"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1C1217FE" w14:textId="77777777" w:rsidTr="006C2BDF">
        <w:tc>
          <w:tcPr>
            <w:tcW w:w="2425" w:type="dxa"/>
          </w:tcPr>
          <w:p w14:paraId="112A43B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1D749202" w14:textId="0315412F"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data only</w:t>
            </w:r>
          </w:p>
        </w:tc>
      </w:tr>
      <w:tr w:rsidR="007669E1" w:rsidRPr="007669E1" w14:paraId="3235B400" w14:textId="77777777" w:rsidTr="006C2BDF">
        <w:tc>
          <w:tcPr>
            <w:tcW w:w="2425" w:type="dxa"/>
          </w:tcPr>
          <w:p w14:paraId="7D2F26C3"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14EF0F9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Direct calculation; assumed to be used as final consumption and intermediate input into taxable production in same proportion as other agriculture.</w:t>
            </w:r>
          </w:p>
        </w:tc>
      </w:tr>
      <w:tr w:rsidR="007669E1" w:rsidRPr="007669E1" w14:paraId="491AB3F2" w14:textId="77777777" w:rsidTr="006C2BDF">
        <w:tc>
          <w:tcPr>
            <w:tcW w:w="2425" w:type="dxa"/>
          </w:tcPr>
          <w:p w14:paraId="51473AEB"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34AC17D2"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0547E7B3" w14:textId="77777777" w:rsidTr="006C2BDF">
        <w:tc>
          <w:tcPr>
            <w:tcW w:w="2425" w:type="dxa"/>
          </w:tcPr>
          <w:p w14:paraId="207630E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713E7CD5" w14:textId="4C3F668D" w:rsidR="00F77F6D" w:rsidRPr="007669E1" w:rsidRDefault="005F0B5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7B245449" w14:textId="77777777" w:rsidTr="006C2BDF">
        <w:trPr>
          <w:trHeight w:val="91"/>
        </w:trPr>
        <w:tc>
          <w:tcPr>
            <w:tcW w:w="2425" w:type="dxa"/>
            <w:vMerge w:val="restart"/>
          </w:tcPr>
          <w:p w14:paraId="32907C4B" w14:textId="77777777" w:rsidR="00F77F6D" w:rsidRPr="00B65F27" w:rsidRDefault="00F77F6D" w:rsidP="00E90BA7">
            <w:pPr>
              <w:spacing w:before="20" w:after="20" w:line="240" w:lineRule="auto"/>
              <w:jc w:val="both"/>
              <w:rPr>
                <w:rFonts w:ascii="Segoe UI" w:hAnsi="Segoe UI" w:cs="Segoe UI"/>
                <w:b/>
                <w:bCs/>
                <w:sz w:val="18"/>
                <w:szCs w:val="18"/>
              </w:rPr>
            </w:pPr>
          </w:p>
        </w:tc>
        <w:tc>
          <w:tcPr>
            <w:tcW w:w="1385" w:type="dxa"/>
          </w:tcPr>
          <w:p w14:paraId="6BFD20E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68E4786A"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1FEC586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4907E505" w14:textId="7487C0F9"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4EE9D1D9" w14:textId="799ECD9C"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69E1" w:rsidRPr="007669E1" w14:paraId="0D27DFE1" w14:textId="77777777" w:rsidTr="00D96E9E">
        <w:trPr>
          <w:trHeight w:val="91"/>
        </w:trPr>
        <w:tc>
          <w:tcPr>
            <w:tcW w:w="2425" w:type="dxa"/>
            <w:vMerge/>
          </w:tcPr>
          <w:p w14:paraId="3BC26849"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2C27846C" w14:textId="4A9E979C" w:rsidR="00F77F6D" w:rsidRPr="007669E1" w:rsidRDefault="005F0B5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5,067.8</w:t>
            </w:r>
          </w:p>
        </w:tc>
        <w:tc>
          <w:tcPr>
            <w:tcW w:w="1385" w:type="dxa"/>
            <w:shd w:val="clear" w:color="auto" w:fill="D9D9D9" w:themeFill="background1" w:themeFillShade="D9"/>
            <w:vAlign w:val="bottom"/>
          </w:tcPr>
          <w:p w14:paraId="030FFD27" w14:textId="412B1895" w:rsidR="00F77F6D" w:rsidRPr="007669E1" w:rsidRDefault="005F0B5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5,507.7</w:t>
            </w:r>
          </w:p>
        </w:tc>
        <w:tc>
          <w:tcPr>
            <w:tcW w:w="1385" w:type="dxa"/>
            <w:gridSpan w:val="2"/>
            <w:shd w:val="clear" w:color="auto" w:fill="D9D9D9" w:themeFill="background1" w:themeFillShade="D9"/>
            <w:vAlign w:val="bottom"/>
          </w:tcPr>
          <w:p w14:paraId="176F7373" w14:textId="2D5AEEF6" w:rsidR="00F77F6D" w:rsidRPr="007669E1" w:rsidRDefault="005F0B5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5,334.3</w:t>
            </w:r>
          </w:p>
        </w:tc>
        <w:tc>
          <w:tcPr>
            <w:tcW w:w="1385" w:type="dxa"/>
            <w:shd w:val="clear" w:color="auto" w:fill="D9D9D9" w:themeFill="background1" w:themeFillShade="D9"/>
            <w:vAlign w:val="bottom"/>
          </w:tcPr>
          <w:p w14:paraId="29ACB1B0" w14:textId="148E1D40" w:rsidR="00F77F6D" w:rsidRPr="007669E1" w:rsidRDefault="005F0B5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6,037.1</w:t>
            </w:r>
          </w:p>
        </w:tc>
        <w:tc>
          <w:tcPr>
            <w:tcW w:w="1660" w:type="dxa"/>
            <w:shd w:val="clear" w:color="auto" w:fill="D9D9D9" w:themeFill="background1" w:themeFillShade="D9"/>
            <w:vAlign w:val="bottom"/>
          </w:tcPr>
          <w:p w14:paraId="61296C2D" w14:textId="2B04D779" w:rsidR="00F77F6D" w:rsidRPr="007669E1" w:rsidRDefault="005F0B5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6,636.9</w:t>
            </w:r>
          </w:p>
        </w:tc>
      </w:tr>
    </w:tbl>
    <w:p w14:paraId="4DC472EF"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0C8E0A48" w14:textId="77777777" w:rsidTr="006C2BDF">
        <w:tc>
          <w:tcPr>
            <w:tcW w:w="9625" w:type="dxa"/>
            <w:gridSpan w:val="7"/>
            <w:shd w:val="clear" w:color="auto" w:fill="D9D9D9" w:themeFill="background1" w:themeFillShade="D9"/>
          </w:tcPr>
          <w:p w14:paraId="3C6BBF13" w14:textId="73EF4CA0"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7. Reduced rate applies for solid biofuel used in the production of electricity</w:t>
            </w:r>
          </w:p>
        </w:tc>
      </w:tr>
      <w:tr w:rsidR="007669E1" w:rsidRPr="007669E1" w14:paraId="7BB2C95B" w14:textId="77777777" w:rsidTr="006C2BDF">
        <w:tc>
          <w:tcPr>
            <w:tcW w:w="2425" w:type="dxa"/>
          </w:tcPr>
          <w:p w14:paraId="402D1F7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70EE2949" w14:textId="7343BBB1" w:rsidR="00F77F6D" w:rsidRPr="007669E1" w:rsidRDefault="00F77F6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applies for solid biofuel used in the production of electricity, heat and hot water supplied in Moldova, including raw material delivered for the purpose of producing solid biofuel in the form of agricultural and forestry products, agricultural and forestry residues, residues plant products from the food industry, wood residues, as well as heat produced from solid biofuel</w:t>
            </w:r>
            <w:r w:rsidR="008862E5" w:rsidRPr="007669E1">
              <w:rPr>
                <w:rFonts w:ascii="Segoe UI" w:hAnsi="Segoe UI" w:cs="Segoe UI"/>
                <w:sz w:val="18"/>
                <w:szCs w:val="18"/>
              </w:rPr>
              <w:t xml:space="preserve"> </w:t>
            </w:r>
            <w:r w:rsidRPr="007669E1">
              <w:rPr>
                <w:rFonts w:ascii="Segoe UI" w:hAnsi="Segoe UI" w:cs="Segoe UI"/>
                <w:sz w:val="18"/>
                <w:szCs w:val="18"/>
              </w:rPr>
              <w:t>delivered to public institutions.</w:t>
            </w:r>
          </w:p>
        </w:tc>
      </w:tr>
      <w:tr w:rsidR="007669E1" w:rsidRPr="007669E1" w14:paraId="077EF26A" w14:textId="77777777" w:rsidTr="006C2BDF">
        <w:tc>
          <w:tcPr>
            <w:tcW w:w="2425" w:type="dxa"/>
          </w:tcPr>
          <w:p w14:paraId="14E3A15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7BB26FF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22A78ECB" w14:textId="77777777" w:rsidTr="006C2BDF">
        <w:tc>
          <w:tcPr>
            <w:tcW w:w="2425" w:type="dxa"/>
          </w:tcPr>
          <w:p w14:paraId="2C26744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5A484C6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Making Moldova more self-sufficient in electricity generation from biofuels and securing thereby enhanced power generation capacity for all households and industry.</w:t>
            </w:r>
          </w:p>
        </w:tc>
      </w:tr>
      <w:tr w:rsidR="007669E1" w:rsidRPr="007669E1" w14:paraId="5DF4BBE5" w14:textId="77777777" w:rsidTr="006C2BDF">
        <w:tc>
          <w:tcPr>
            <w:tcW w:w="2425" w:type="dxa"/>
          </w:tcPr>
          <w:p w14:paraId="111DBBE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3CBDF1D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VAT rate of 8% vs standard VAT rate of 20%</w:t>
            </w:r>
          </w:p>
        </w:tc>
      </w:tr>
      <w:tr w:rsidR="007669E1" w:rsidRPr="007669E1" w14:paraId="583DD972" w14:textId="77777777" w:rsidTr="006C2BDF">
        <w:tc>
          <w:tcPr>
            <w:tcW w:w="2425" w:type="dxa"/>
          </w:tcPr>
          <w:p w14:paraId="10D92FC3"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770A111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7669E1" w:rsidRPr="007669E1" w14:paraId="1105232C" w14:textId="77777777" w:rsidTr="006C2BDF">
        <w:tc>
          <w:tcPr>
            <w:tcW w:w="2425" w:type="dxa"/>
          </w:tcPr>
          <w:p w14:paraId="57CBD8A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4242A01C" w14:textId="5705DEE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Art. 96 </w:t>
            </w:r>
            <w:r w:rsidR="00D82F06" w:rsidRPr="007669E1">
              <w:rPr>
                <w:rFonts w:ascii="Segoe UI" w:hAnsi="Segoe UI" w:cs="Segoe UI"/>
                <w:sz w:val="18"/>
                <w:szCs w:val="18"/>
              </w:rPr>
              <w:t xml:space="preserve">b) </w:t>
            </w:r>
            <w:r w:rsidRPr="007669E1">
              <w:rPr>
                <w:rFonts w:ascii="Segoe UI" w:hAnsi="Segoe UI" w:cs="Segoe UI"/>
                <w:sz w:val="18"/>
                <w:szCs w:val="18"/>
              </w:rPr>
              <w:t>of TC</w:t>
            </w:r>
          </w:p>
        </w:tc>
      </w:tr>
      <w:tr w:rsidR="00136C8F" w:rsidRPr="007669E1" w14:paraId="1AF577BC" w14:textId="77777777" w:rsidTr="006C2BDF">
        <w:trPr>
          <w:trHeight w:val="182"/>
        </w:trPr>
        <w:tc>
          <w:tcPr>
            <w:tcW w:w="2425" w:type="dxa"/>
            <w:vMerge w:val="restart"/>
          </w:tcPr>
          <w:p w14:paraId="0D23100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152A832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in support of Moldovan energy self-sufficiency/power generation capacity</w:t>
            </w:r>
          </w:p>
        </w:tc>
      </w:tr>
      <w:tr w:rsidR="00136C8F" w:rsidRPr="007669E1" w14:paraId="3B3801BA" w14:textId="77777777" w:rsidTr="006C2BDF">
        <w:trPr>
          <w:trHeight w:val="182"/>
        </w:trPr>
        <w:tc>
          <w:tcPr>
            <w:tcW w:w="2425" w:type="dxa"/>
            <w:vMerge/>
          </w:tcPr>
          <w:p w14:paraId="55FF2C9B"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395F10D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38" w:type="dxa"/>
            <w:gridSpan w:val="3"/>
          </w:tcPr>
          <w:p w14:paraId="0F153251" w14:textId="3F63A716"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5A62A57" w14:textId="77777777" w:rsidTr="006C2BDF">
        <w:tc>
          <w:tcPr>
            <w:tcW w:w="2425" w:type="dxa"/>
          </w:tcPr>
          <w:p w14:paraId="6EA70E2A" w14:textId="77777777" w:rsidR="00FF1400" w:rsidRPr="00B65F27" w:rsidRDefault="00FF1400"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19D75A0B" w14:textId="3CFA6D54" w:rsidR="00FF1400" w:rsidRPr="007669E1" w:rsidRDefault="00FF14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AF3D03F" w14:textId="77777777" w:rsidTr="006C2BDF">
        <w:tc>
          <w:tcPr>
            <w:tcW w:w="2425" w:type="dxa"/>
          </w:tcPr>
          <w:p w14:paraId="02B33D5A" w14:textId="77777777" w:rsidR="00FF1400" w:rsidRPr="00B65F27" w:rsidRDefault="00FF1400"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31454EFB" w14:textId="42FDFA30" w:rsidR="00FF1400" w:rsidRPr="007669E1" w:rsidRDefault="00FF14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555161DE" w14:textId="77777777" w:rsidTr="006C2BDF">
        <w:tc>
          <w:tcPr>
            <w:tcW w:w="2425" w:type="dxa"/>
          </w:tcPr>
          <w:p w14:paraId="0688E24C" w14:textId="77777777" w:rsidR="00FF1400" w:rsidRPr="00B65F27" w:rsidRDefault="00FF1400"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4C5E362E" w14:textId="4DC37C15" w:rsidR="00FF1400" w:rsidRPr="007669E1" w:rsidRDefault="00FF14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5F7370C0" w14:textId="77777777" w:rsidTr="006C2BDF">
        <w:tc>
          <w:tcPr>
            <w:tcW w:w="2425" w:type="dxa"/>
          </w:tcPr>
          <w:p w14:paraId="2E2475B7" w14:textId="77777777" w:rsidR="00E05468" w:rsidRPr="00B65F27" w:rsidRDefault="00E05468"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47C4AED1" w14:textId="06189DAB" w:rsidR="00E05468" w:rsidRPr="007669E1" w:rsidRDefault="00FF14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33D1C71B" w14:textId="77777777" w:rsidTr="006C2BDF">
        <w:trPr>
          <w:trHeight w:val="91"/>
        </w:trPr>
        <w:tc>
          <w:tcPr>
            <w:tcW w:w="2425" w:type="dxa"/>
            <w:vMerge w:val="restart"/>
          </w:tcPr>
          <w:p w14:paraId="6AB95402" w14:textId="77777777" w:rsidR="00E05468" w:rsidRPr="00B65F27" w:rsidRDefault="00E05468" w:rsidP="00E90BA7">
            <w:pPr>
              <w:spacing w:before="20" w:after="20" w:line="240" w:lineRule="auto"/>
              <w:jc w:val="both"/>
              <w:rPr>
                <w:rFonts w:ascii="Segoe UI" w:hAnsi="Segoe UI" w:cs="Segoe UI"/>
                <w:b/>
                <w:bCs/>
                <w:sz w:val="18"/>
                <w:szCs w:val="18"/>
              </w:rPr>
            </w:pPr>
          </w:p>
        </w:tc>
        <w:tc>
          <w:tcPr>
            <w:tcW w:w="1385" w:type="dxa"/>
          </w:tcPr>
          <w:p w14:paraId="62D8BDE5" w14:textId="77777777" w:rsidR="00E05468" w:rsidRPr="00B65F27" w:rsidRDefault="00E05468"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2FF9ECFC" w14:textId="77777777" w:rsidR="00E05468" w:rsidRPr="00B65F27" w:rsidRDefault="00E05468"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22053D84" w14:textId="77777777" w:rsidR="00E05468" w:rsidRPr="00B65F27" w:rsidRDefault="00E05468"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3E15ACBF" w14:textId="6F503706" w:rsidR="00E05468" w:rsidRPr="00B65F27" w:rsidRDefault="00E05468"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6090F347" w14:textId="0B683B3B" w:rsidR="00E05468"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136C8F" w:rsidRPr="007669E1" w14:paraId="4924E75C" w14:textId="77777777" w:rsidTr="006C2BDF">
        <w:trPr>
          <w:trHeight w:val="91"/>
        </w:trPr>
        <w:tc>
          <w:tcPr>
            <w:tcW w:w="2425" w:type="dxa"/>
            <w:vMerge/>
          </w:tcPr>
          <w:p w14:paraId="11D02842"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79A53075" w14:textId="555FCBC7" w:rsidR="00E05468"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5140F974" w14:textId="57196849" w:rsidR="00E05468"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44AEC835" w14:textId="04C28DF1" w:rsidR="00E05468"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004376C5" w14:textId="36CC0CBA" w:rsidR="00E05468"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37300B0E" w14:textId="4D10FB8F" w:rsidR="00E05468"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27CCA364"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6AA18652" w14:textId="77777777" w:rsidTr="006C2BDF">
        <w:tc>
          <w:tcPr>
            <w:tcW w:w="9625" w:type="dxa"/>
            <w:gridSpan w:val="7"/>
            <w:shd w:val="clear" w:color="auto" w:fill="D9D9D9" w:themeFill="background1" w:themeFillShade="D9"/>
          </w:tcPr>
          <w:p w14:paraId="7399B429" w14:textId="1EECB662" w:rsidR="00F77F6D" w:rsidRPr="00B65F27" w:rsidRDefault="00F77F6D" w:rsidP="00E90BA7">
            <w:pPr>
              <w:spacing w:before="20" w:after="20" w:line="240" w:lineRule="auto"/>
              <w:jc w:val="both"/>
              <w:rPr>
                <w:rFonts w:ascii="Segoe UI" w:hAnsi="Segoe UI" w:cs="Segoe UI"/>
                <w:b/>
                <w:bCs/>
                <w:sz w:val="18"/>
                <w:szCs w:val="18"/>
              </w:rPr>
            </w:pPr>
            <w:bookmarkStart w:id="52" w:name="_Hlk95680274"/>
            <w:r w:rsidRPr="00B65F27">
              <w:rPr>
                <w:rFonts w:ascii="Segoe UI" w:hAnsi="Segoe UI" w:cs="Segoe UI"/>
                <w:b/>
                <w:bCs/>
                <w:sz w:val="18"/>
                <w:szCs w:val="18"/>
              </w:rPr>
              <w:t>8. The supplies of zero-rated goods and services—i.e., electricity to residential customers</w:t>
            </w:r>
          </w:p>
        </w:tc>
      </w:tr>
      <w:tr w:rsidR="007669E1" w:rsidRPr="007669E1" w14:paraId="2C90AD5E" w14:textId="77777777" w:rsidTr="006C2BDF">
        <w:tc>
          <w:tcPr>
            <w:tcW w:w="2425" w:type="dxa"/>
          </w:tcPr>
          <w:p w14:paraId="51AAFAB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2760184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Electricity supplied to residential customers is zero-rated or exempt from VAT with a deduction right of input VAT. Electricity supplied to businesses (mostly VAT vendors) is VAT-able at the standard rate of 20%.</w:t>
            </w:r>
          </w:p>
        </w:tc>
      </w:tr>
      <w:tr w:rsidR="007669E1" w:rsidRPr="007669E1" w14:paraId="41C77BC9" w14:textId="77777777" w:rsidTr="006C2BDF">
        <w:tc>
          <w:tcPr>
            <w:tcW w:w="2425" w:type="dxa"/>
          </w:tcPr>
          <w:p w14:paraId="4557CAD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540E405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722D5BE3" w14:textId="77777777" w:rsidTr="006C2BDF">
        <w:tc>
          <w:tcPr>
            <w:tcW w:w="2425" w:type="dxa"/>
          </w:tcPr>
          <w:p w14:paraId="1CE4A59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0AB2387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households benefit from the consumption of residential power supply without VAT.</w:t>
            </w:r>
          </w:p>
        </w:tc>
      </w:tr>
      <w:tr w:rsidR="007669E1" w:rsidRPr="007669E1" w14:paraId="7FE2D439" w14:textId="77777777" w:rsidTr="006C2BDF">
        <w:tc>
          <w:tcPr>
            <w:tcW w:w="2425" w:type="dxa"/>
          </w:tcPr>
          <w:p w14:paraId="512AFCD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7931A06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Non-taxation – exempt supply with the right of deduction</w:t>
            </w:r>
          </w:p>
        </w:tc>
      </w:tr>
      <w:tr w:rsidR="007669E1" w:rsidRPr="007669E1" w14:paraId="15E46A3E" w14:textId="77777777" w:rsidTr="006C2BDF">
        <w:tc>
          <w:tcPr>
            <w:tcW w:w="2425" w:type="dxa"/>
          </w:tcPr>
          <w:p w14:paraId="3BF47C0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2D46F2FC" w14:textId="26483DC6"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Under a modern VAT, the benchmark tax regime provides that all final consumption of goods and services to final consumers should be at the standard VAT rate. The residential VAT zero-rating is a tax expenditure. Also, only exports should attract zero-rating so that supplies of exports can benefit from the deduction of input VAT </w:t>
            </w:r>
            <w:r w:rsidR="000563DB" w:rsidRPr="007669E1">
              <w:rPr>
                <w:rFonts w:ascii="Segoe UI" w:hAnsi="Segoe UI" w:cs="Segoe UI"/>
                <w:sz w:val="18"/>
                <w:szCs w:val="18"/>
              </w:rPr>
              <w:t>to</w:t>
            </w:r>
            <w:r w:rsidRPr="007669E1">
              <w:rPr>
                <w:rFonts w:ascii="Segoe UI" w:hAnsi="Segoe UI" w:cs="Segoe UI"/>
                <w:sz w:val="18"/>
                <w:szCs w:val="18"/>
              </w:rPr>
              <w:t xml:space="preserve"> ensure the international competitiveness of Moldovan based exporters.</w:t>
            </w:r>
          </w:p>
        </w:tc>
      </w:tr>
      <w:tr w:rsidR="007669E1" w:rsidRPr="007669E1" w14:paraId="050C59A9" w14:textId="77777777" w:rsidTr="006C2BDF">
        <w:tc>
          <w:tcPr>
            <w:tcW w:w="2425" w:type="dxa"/>
          </w:tcPr>
          <w:p w14:paraId="76CC84F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1F150923" w14:textId="2299F3EA"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TC, Art. 104</w:t>
            </w:r>
            <w:r w:rsidR="00D82F06" w:rsidRPr="007669E1">
              <w:rPr>
                <w:rFonts w:ascii="Segoe UI" w:hAnsi="Segoe UI" w:cs="Segoe UI"/>
                <w:sz w:val="18"/>
                <w:szCs w:val="18"/>
              </w:rPr>
              <w:t xml:space="preserve"> </w:t>
            </w:r>
            <w:r w:rsidRPr="007669E1">
              <w:rPr>
                <w:rFonts w:ascii="Segoe UI" w:hAnsi="Segoe UI" w:cs="Segoe UI"/>
                <w:sz w:val="18"/>
                <w:szCs w:val="18"/>
              </w:rPr>
              <w:t>(b)</w:t>
            </w:r>
          </w:p>
        </w:tc>
      </w:tr>
      <w:tr w:rsidR="00136C8F" w:rsidRPr="007669E1" w14:paraId="310BB4D5" w14:textId="77777777" w:rsidTr="006C2BDF">
        <w:trPr>
          <w:trHeight w:val="182"/>
        </w:trPr>
        <w:tc>
          <w:tcPr>
            <w:tcW w:w="2425" w:type="dxa"/>
            <w:vMerge w:val="restart"/>
          </w:tcPr>
          <w:p w14:paraId="45D868F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1A40550E" w14:textId="77777777" w:rsidR="00F77F6D" w:rsidRPr="007669E1" w:rsidRDefault="00F77F6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Fiscal support, in particular to lower-income households by reducing expenditure on a major household expenditure category.</w:t>
            </w:r>
          </w:p>
        </w:tc>
      </w:tr>
      <w:tr w:rsidR="00136C8F" w:rsidRPr="007669E1" w14:paraId="5AA38C0D" w14:textId="77777777" w:rsidTr="006C2BDF">
        <w:trPr>
          <w:trHeight w:val="182"/>
        </w:trPr>
        <w:tc>
          <w:tcPr>
            <w:tcW w:w="2425" w:type="dxa"/>
            <w:vMerge/>
          </w:tcPr>
          <w:p w14:paraId="29251271"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0E41425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and effective on 1 Jan 2017</w:t>
            </w:r>
          </w:p>
        </w:tc>
        <w:tc>
          <w:tcPr>
            <w:tcW w:w="3738" w:type="dxa"/>
            <w:gridSpan w:val="3"/>
          </w:tcPr>
          <w:p w14:paraId="789A8314" w14:textId="6D0DDAF2"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43655FC2" w14:textId="77777777" w:rsidTr="006C2BDF">
        <w:tc>
          <w:tcPr>
            <w:tcW w:w="2425" w:type="dxa"/>
          </w:tcPr>
          <w:p w14:paraId="4F40BD3E"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01A8CA4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69D9B0B5" w14:textId="77777777" w:rsidTr="006C2BDF">
        <w:tc>
          <w:tcPr>
            <w:tcW w:w="2425" w:type="dxa"/>
          </w:tcPr>
          <w:p w14:paraId="23177E6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57581991" w14:textId="77777777" w:rsidR="00F77F6D" w:rsidRPr="007669E1" w:rsidRDefault="00F77F6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1846BEA6" w14:textId="77777777" w:rsidTr="006C2BDF">
        <w:tc>
          <w:tcPr>
            <w:tcW w:w="2425" w:type="dxa"/>
          </w:tcPr>
          <w:p w14:paraId="5F5CF23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0BC4CF0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households, 1.08 million</w:t>
            </w:r>
          </w:p>
        </w:tc>
      </w:tr>
      <w:tr w:rsidR="007669E1" w:rsidRPr="007669E1" w14:paraId="452BE51D" w14:textId="77777777" w:rsidTr="006C2BDF">
        <w:tc>
          <w:tcPr>
            <w:tcW w:w="2425" w:type="dxa"/>
          </w:tcPr>
          <w:p w14:paraId="6D0C92E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166BEB3B" w14:textId="34AACED0" w:rsidR="00F77F6D" w:rsidRPr="007669E1" w:rsidRDefault="00481A5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154E0972" w14:textId="77777777" w:rsidTr="006C2BDF">
        <w:trPr>
          <w:trHeight w:val="91"/>
        </w:trPr>
        <w:tc>
          <w:tcPr>
            <w:tcW w:w="2425" w:type="dxa"/>
            <w:vMerge w:val="restart"/>
          </w:tcPr>
          <w:p w14:paraId="40016998" w14:textId="77777777" w:rsidR="00F77F6D" w:rsidRPr="00B65F27" w:rsidRDefault="00F77F6D" w:rsidP="00E90BA7">
            <w:pPr>
              <w:spacing w:before="20" w:after="20" w:line="240" w:lineRule="auto"/>
              <w:jc w:val="both"/>
              <w:rPr>
                <w:rFonts w:ascii="Segoe UI" w:hAnsi="Segoe UI" w:cs="Segoe UI"/>
                <w:b/>
                <w:bCs/>
                <w:sz w:val="18"/>
                <w:szCs w:val="18"/>
              </w:rPr>
            </w:pPr>
          </w:p>
        </w:tc>
        <w:tc>
          <w:tcPr>
            <w:tcW w:w="1385" w:type="dxa"/>
          </w:tcPr>
          <w:p w14:paraId="113CC0D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62BDC82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25B52D4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3297E3B3" w14:textId="0EF9BEB3"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0807261E" w14:textId="10716201"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19A8" w:rsidRPr="007669E1" w14:paraId="466A8FEB" w14:textId="77777777" w:rsidTr="00851CF2">
        <w:trPr>
          <w:trHeight w:val="91"/>
        </w:trPr>
        <w:tc>
          <w:tcPr>
            <w:tcW w:w="2425" w:type="dxa"/>
            <w:vMerge/>
          </w:tcPr>
          <w:p w14:paraId="6DCD04E5" w14:textId="77777777" w:rsidR="00F77F6D" w:rsidRPr="007669E1" w:rsidRDefault="00F77F6D" w:rsidP="00E90BA7">
            <w:pPr>
              <w:keepNext/>
              <w:keepLines/>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6D41C504" w14:textId="73CB11C6" w:rsidR="00F77F6D" w:rsidRPr="007669E1" w:rsidRDefault="00481A5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499,437.7</w:t>
            </w:r>
          </w:p>
        </w:tc>
        <w:tc>
          <w:tcPr>
            <w:tcW w:w="1385" w:type="dxa"/>
            <w:shd w:val="clear" w:color="auto" w:fill="D9D9D9" w:themeFill="background1" w:themeFillShade="D9"/>
            <w:vAlign w:val="bottom"/>
          </w:tcPr>
          <w:p w14:paraId="0F30262A" w14:textId="5075CA72" w:rsidR="00F77F6D" w:rsidRPr="007669E1" w:rsidRDefault="00481A5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547,299.1</w:t>
            </w:r>
          </w:p>
        </w:tc>
        <w:tc>
          <w:tcPr>
            <w:tcW w:w="1385" w:type="dxa"/>
            <w:gridSpan w:val="2"/>
            <w:shd w:val="clear" w:color="auto" w:fill="D9D9D9" w:themeFill="background1" w:themeFillShade="D9"/>
            <w:vAlign w:val="bottom"/>
          </w:tcPr>
          <w:p w14:paraId="4534C88A" w14:textId="51E45872" w:rsidR="00F77F6D" w:rsidRPr="007669E1" w:rsidRDefault="00481A5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532,247.6</w:t>
            </w:r>
          </w:p>
        </w:tc>
        <w:tc>
          <w:tcPr>
            <w:tcW w:w="1385" w:type="dxa"/>
            <w:shd w:val="clear" w:color="auto" w:fill="D9D9D9" w:themeFill="background1" w:themeFillShade="D9"/>
            <w:vAlign w:val="bottom"/>
          </w:tcPr>
          <w:p w14:paraId="14FE2137" w14:textId="4021EFDF" w:rsidR="00F77F6D" w:rsidRPr="007669E1" w:rsidRDefault="00481A5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648,320.0</w:t>
            </w:r>
          </w:p>
        </w:tc>
        <w:tc>
          <w:tcPr>
            <w:tcW w:w="1660" w:type="dxa"/>
            <w:shd w:val="clear" w:color="auto" w:fill="D9D9D9" w:themeFill="background1" w:themeFillShade="D9"/>
            <w:vAlign w:val="bottom"/>
          </w:tcPr>
          <w:p w14:paraId="744CEE9A" w14:textId="70FC0B69" w:rsidR="00F77F6D" w:rsidRPr="007669E1" w:rsidRDefault="00481A52" w:rsidP="00E90BA7">
            <w:pPr>
              <w:keepNext/>
              <w:keepLines/>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714,259.8</w:t>
            </w:r>
          </w:p>
        </w:tc>
      </w:tr>
      <w:bookmarkEnd w:id="52"/>
    </w:tbl>
    <w:p w14:paraId="61053499"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178A7B20" w14:textId="77777777" w:rsidTr="006C2BDF">
        <w:tc>
          <w:tcPr>
            <w:tcW w:w="9625" w:type="dxa"/>
            <w:gridSpan w:val="7"/>
            <w:shd w:val="clear" w:color="auto" w:fill="D9D9D9" w:themeFill="background1" w:themeFillShade="D9"/>
          </w:tcPr>
          <w:p w14:paraId="1FBFAE32" w14:textId="7A1D8413"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9. Zero-rating of supplies of goods and services consumed by foreign diplomatic mission and representative offices of international organizations</w:t>
            </w:r>
          </w:p>
        </w:tc>
      </w:tr>
      <w:tr w:rsidR="007669E1" w:rsidRPr="007669E1" w14:paraId="6286D685" w14:textId="77777777" w:rsidTr="006C2BDF">
        <w:tc>
          <w:tcPr>
            <w:tcW w:w="2425" w:type="dxa"/>
          </w:tcPr>
          <w:p w14:paraId="36A22EA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06E38C3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Based on reciprocity, the zero-rating of supplies of goods, services into the territory of the Republic of Moldova intended for official use by diplomatic missions and consular offices accredited in Moldova, by representative offices of international organizations accredited in Moldova, intended for personal use or consumption by the staff members of these diplomatic missions and consular offices.</w:t>
            </w:r>
          </w:p>
        </w:tc>
      </w:tr>
      <w:tr w:rsidR="007669E1" w:rsidRPr="007669E1" w14:paraId="75D38F6B" w14:textId="77777777" w:rsidTr="006C2BDF">
        <w:tc>
          <w:tcPr>
            <w:tcW w:w="2425" w:type="dxa"/>
          </w:tcPr>
          <w:p w14:paraId="69E0A386"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69EE4B8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7883FB5C" w14:textId="77777777" w:rsidTr="006C2BDF">
        <w:tc>
          <w:tcPr>
            <w:tcW w:w="2425" w:type="dxa"/>
          </w:tcPr>
          <w:p w14:paraId="5031E9D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25E5B60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Diplomatic and consular staff of foreign diplomatic missions or international organizations</w:t>
            </w:r>
          </w:p>
        </w:tc>
      </w:tr>
      <w:tr w:rsidR="007669E1" w:rsidRPr="007669E1" w14:paraId="3F9BA446" w14:textId="77777777" w:rsidTr="006C2BDF">
        <w:tc>
          <w:tcPr>
            <w:tcW w:w="2425" w:type="dxa"/>
          </w:tcPr>
          <w:p w14:paraId="7A4EDEB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3EC2509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Domestic zero-rating of goods and services</w:t>
            </w:r>
          </w:p>
        </w:tc>
      </w:tr>
      <w:tr w:rsidR="007669E1" w:rsidRPr="007669E1" w14:paraId="63845B12" w14:textId="77777777" w:rsidTr="006C2BDF">
        <w:tc>
          <w:tcPr>
            <w:tcW w:w="2425" w:type="dxa"/>
          </w:tcPr>
          <w:p w14:paraId="50F9FA54"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21054DB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This zero-rating represents a tax expenditure.</w:t>
            </w:r>
          </w:p>
        </w:tc>
      </w:tr>
      <w:tr w:rsidR="007669E1" w:rsidRPr="007669E1" w14:paraId="23B1F815" w14:textId="77777777" w:rsidTr="006C2BDF">
        <w:tc>
          <w:tcPr>
            <w:tcW w:w="2425" w:type="dxa"/>
          </w:tcPr>
          <w:p w14:paraId="67A6B4B4"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016F3E34" w14:textId="66A66F3F" w:rsidR="00F77F6D" w:rsidRPr="007669E1" w:rsidRDefault="00D82F0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101</w:t>
            </w:r>
            <w:r w:rsidRPr="007669E1">
              <w:rPr>
                <w:rFonts w:ascii="Segoe UI" w:hAnsi="Segoe UI" w:cs="Segoe UI"/>
                <w:sz w:val="18"/>
                <w:szCs w:val="18"/>
                <w:vertAlign w:val="superscript"/>
              </w:rPr>
              <w:t xml:space="preserve">5 </w:t>
            </w:r>
            <w:r w:rsidRPr="007669E1">
              <w:rPr>
                <w:rFonts w:ascii="Segoe UI" w:hAnsi="Segoe UI" w:cs="Segoe UI"/>
                <w:sz w:val="18"/>
                <w:szCs w:val="18"/>
              </w:rPr>
              <w:t>(1)</w:t>
            </w:r>
          </w:p>
        </w:tc>
      </w:tr>
      <w:tr w:rsidR="00136C8F" w:rsidRPr="007669E1" w14:paraId="02609C73" w14:textId="77777777" w:rsidTr="006C2BDF">
        <w:trPr>
          <w:trHeight w:val="182"/>
        </w:trPr>
        <w:tc>
          <w:tcPr>
            <w:tcW w:w="2425" w:type="dxa"/>
            <w:vMerge w:val="restart"/>
          </w:tcPr>
          <w:p w14:paraId="7D86F10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3CD9961D"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548D9D4A" w14:textId="77777777" w:rsidTr="006C2BDF">
        <w:trPr>
          <w:trHeight w:val="182"/>
        </w:trPr>
        <w:tc>
          <w:tcPr>
            <w:tcW w:w="2425" w:type="dxa"/>
            <w:vMerge/>
          </w:tcPr>
          <w:p w14:paraId="4F5E86F2"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786BE155" w14:textId="70B6A30A"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D82F06" w:rsidRPr="007669E1">
              <w:rPr>
                <w:rFonts w:ascii="Segoe UI" w:hAnsi="Segoe UI" w:cs="Segoe UI"/>
                <w:sz w:val="18"/>
                <w:szCs w:val="18"/>
              </w:rPr>
              <w:t xml:space="preserve"> 2020</w:t>
            </w:r>
          </w:p>
        </w:tc>
        <w:tc>
          <w:tcPr>
            <w:tcW w:w="3738" w:type="dxa"/>
            <w:gridSpan w:val="3"/>
          </w:tcPr>
          <w:p w14:paraId="5DB06E8A" w14:textId="47955B97"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6A312E38" w14:textId="77777777" w:rsidTr="006C2BDF">
        <w:tc>
          <w:tcPr>
            <w:tcW w:w="2425" w:type="dxa"/>
          </w:tcPr>
          <w:p w14:paraId="57D81512" w14:textId="77777777" w:rsidR="00351C9B" w:rsidRPr="00B65F27" w:rsidRDefault="00351C9B"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17AD30AD" w14:textId="60791F18"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3A3D6620" w14:textId="77777777" w:rsidTr="006C2BDF">
        <w:tc>
          <w:tcPr>
            <w:tcW w:w="2425" w:type="dxa"/>
          </w:tcPr>
          <w:p w14:paraId="7BC6FE38" w14:textId="77777777" w:rsidR="00351C9B" w:rsidRPr="00B65F27" w:rsidRDefault="00351C9B"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1C13AF6B" w14:textId="17B10061"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5C578DFA" w14:textId="77777777" w:rsidTr="006C2BDF">
        <w:tc>
          <w:tcPr>
            <w:tcW w:w="2425" w:type="dxa"/>
          </w:tcPr>
          <w:p w14:paraId="6083B3B0" w14:textId="77777777" w:rsidR="00351C9B" w:rsidRPr="00B65F27" w:rsidRDefault="00351C9B"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37914D84" w14:textId="1C45F5F1"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7A2946E4" w14:textId="77777777" w:rsidTr="006C2BDF">
        <w:tc>
          <w:tcPr>
            <w:tcW w:w="2425" w:type="dxa"/>
          </w:tcPr>
          <w:p w14:paraId="25EEA58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4F5139F5" w14:textId="13A68ECC" w:rsidR="00F77F6D"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136C8F" w:rsidRPr="007669E1" w14:paraId="3ABC050C" w14:textId="77777777" w:rsidTr="006C2BDF">
        <w:trPr>
          <w:trHeight w:val="91"/>
        </w:trPr>
        <w:tc>
          <w:tcPr>
            <w:tcW w:w="2425" w:type="dxa"/>
            <w:vMerge w:val="restart"/>
          </w:tcPr>
          <w:p w14:paraId="1C917F55"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14CEA5F1"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56C0BBA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3AEC033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0B43E6AB" w14:textId="69510EC5"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46F4DC80" w14:textId="28CA8D9F"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136C8F" w:rsidRPr="007669E1" w14:paraId="28E9B366" w14:textId="77777777" w:rsidTr="006C2BDF">
        <w:trPr>
          <w:trHeight w:val="91"/>
        </w:trPr>
        <w:tc>
          <w:tcPr>
            <w:tcW w:w="2425" w:type="dxa"/>
            <w:vMerge/>
          </w:tcPr>
          <w:p w14:paraId="5A1A8270"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460ADDCD" w14:textId="353B7F5D" w:rsidR="00F77F6D"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29EBD685" w14:textId="4691DDF0" w:rsidR="00F77F6D"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57916603" w14:textId="64FC2125" w:rsidR="00F77F6D"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000355B0" w14:textId="379063EE" w:rsidR="00F77F6D"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1AFAF730" w14:textId="395672FC" w:rsidR="00F77F6D" w:rsidRPr="007669E1" w:rsidRDefault="007B52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44818C20"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6F0D5B70" w14:textId="77777777" w:rsidTr="0095713A">
        <w:tc>
          <w:tcPr>
            <w:tcW w:w="9625" w:type="dxa"/>
            <w:gridSpan w:val="7"/>
            <w:shd w:val="clear" w:color="auto" w:fill="D9D9D9" w:themeFill="background1" w:themeFillShade="D9"/>
          </w:tcPr>
          <w:p w14:paraId="38E973D4" w14:textId="5960B444"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10. Zero-rating the supply of goods and services destined for technical and investment assistance projects conducted in the territory of Moldova</w:t>
            </w:r>
          </w:p>
        </w:tc>
      </w:tr>
      <w:tr w:rsidR="007669E1" w:rsidRPr="007669E1" w14:paraId="6617A4A3" w14:textId="77777777" w:rsidTr="006C2BDF">
        <w:tc>
          <w:tcPr>
            <w:tcW w:w="2425" w:type="dxa"/>
          </w:tcPr>
          <w:p w14:paraId="6E79C634"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50B5B618" w14:textId="70421BD3"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supply of goods and services destined for use by technical and investment assistance projects conducted in Moldova is zero-rated</w:t>
            </w:r>
            <w:r w:rsidR="008862E5" w:rsidRPr="007669E1">
              <w:rPr>
                <w:rFonts w:ascii="Segoe UI" w:hAnsi="Segoe UI" w:cs="Segoe UI"/>
                <w:sz w:val="18"/>
                <w:szCs w:val="18"/>
              </w:rPr>
              <w:t>.</w:t>
            </w:r>
            <w:r w:rsidRPr="007669E1">
              <w:rPr>
                <w:rFonts w:ascii="Segoe UI" w:hAnsi="Segoe UI" w:cs="Segoe UI"/>
                <w:sz w:val="18"/>
                <w:szCs w:val="18"/>
              </w:rPr>
              <w:t xml:space="preserve"> </w:t>
            </w:r>
          </w:p>
        </w:tc>
      </w:tr>
      <w:tr w:rsidR="007669E1" w:rsidRPr="007669E1" w14:paraId="0B53BCBD" w14:textId="77777777" w:rsidTr="006C2BDF">
        <w:tc>
          <w:tcPr>
            <w:tcW w:w="2425" w:type="dxa"/>
          </w:tcPr>
          <w:p w14:paraId="3413ECF6"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7B767AD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31987F9B" w14:textId="77777777" w:rsidTr="006C2BDF">
        <w:tc>
          <w:tcPr>
            <w:tcW w:w="2425" w:type="dxa"/>
          </w:tcPr>
          <w:p w14:paraId="267C5356"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0A95D85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Countries that finance the technical and investment assistance projects</w:t>
            </w:r>
          </w:p>
        </w:tc>
      </w:tr>
      <w:tr w:rsidR="007669E1" w:rsidRPr="007669E1" w14:paraId="07F3E1EA" w14:textId="77777777" w:rsidTr="006C2BDF">
        <w:tc>
          <w:tcPr>
            <w:tcW w:w="2425" w:type="dxa"/>
          </w:tcPr>
          <w:p w14:paraId="4264318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18CCE82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Domestic zero-rating of goods and services</w:t>
            </w:r>
          </w:p>
        </w:tc>
      </w:tr>
      <w:tr w:rsidR="007669E1" w:rsidRPr="007669E1" w14:paraId="58815133" w14:textId="77777777" w:rsidTr="006C2BDF">
        <w:tc>
          <w:tcPr>
            <w:tcW w:w="2425" w:type="dxa"/>
          </w:tcPr>
          <w:p w14:paraId="322E8023"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3CF6860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p>
        </w:tc>
      </w:tr>
      <w:tr w:rsidR="007669E1" w:rsidRPr="007669E1" w14:paraId="6098308F" w14:textId="77777777" w:rsidTr="006C2BDF">
        <w:tc>
          <w:tcPr>
            <w:tcW w:w="2425" w:type="dxa"/>
          </w:tcPr>
          <w:p w14:paraId="7414FF5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6495C44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104(c)</w:t>
            </w:r>
          </w:p>
        </w:tc>
      </w:tr>
      <w:tr w:rsidR="00136C8F" w:rsidRPr="007669E1" w14:paraId="0F6AFB41" w14:textId="77777777" w:rsidTr="006C2BDF">
        <w:trPr>
          <w:trHeight w:val="182"/>
        </w:trPr>
        <w:tc>
          <w:tcPr>
            <w:tcW w:w="2425" w:type="dxa"/>
            <w:vMerge w:val="restart"/>
          </w:tcPr>
          <w:p w14:paraId="498BCA7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12E251DB"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0AED016F" w14:textId="77777777" w:rsidTr="006C2BDF">
        <w:trPr>
          <w:trHeight w:val="182"/>
        </w:trPr>
        <w:tc>
          <w:tcPr>
            <w:tcW w:w="2425" w:type="dxa"/>
            <w:vMerge/>
          </w:tcPr>
          <w:p w14:paraId="1635A50A"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23091B7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2008</w:t>
            </w:r>
          </w:p>
        </w:tc>
        <w:tc>
          <w:tcPr>
            <w:tcW w:w="3738" w:type="dxa"/>
            <w:gridSpan w:val="3"/>
          </w:tcPr>
          <w:p w14:paraId="2F7086B8" w14:textId="47E79C6D"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246EE4B0" w14:textId="77777777" w:rsidTr="006C2BDF">
        <w:tc>
          <w:tcPr>
            <w:tcW w:w="2425" w:type="dxa"/>
          </w:tcPr>
          <w:p w14:paraId="415CC8D4" w14:textId="77777777" w:rsidR="00351C9B" w:rsidRPr="00B65F27" w:rsidRDefault="00351C9B"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1F914E20" w14:textId="05EB32E8"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2D42DF49" w14:textId="77777777" w:rsidTr="006C2BDF">
        <w:tc>
          <w:tcPr>
            <w:tcW w:w="2425" w:type="dxa"/>
          </w:tcPr>
          <w:p w14:paraId="4D47FD38" w14:textId="77777777" w:rsidR="00351C9B" w:rsidRPr="00B65F27" w:rsidRDefault="00351C9B"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5DCA198B" w14:textId="165F8E0F"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37291810" w14:textId="77777777" w:rsidTr="006C2BDF">
        <w:tc>
          <w:tcPr>
            <w:tcW w:w="2425" w:type="dxa"/>
          </w:tcPr>
          <w:p w14:paraId="797CBBAC" w14:textId="77777777" w:rsidR="00351C9B" w:rsidRPr="00B65F27" w:rsidRDefault="00351C9B"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4138B29D" w14:textId="0A4A5CBC"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359095AA" w14:textId="77777777" w:rsidTr="006C2BDF">
        <w:tc>
          <w:tcPr>
            <w:tcW w:w="2425" w:type="dxa"/>
          </w:tcPr>
          <w:p w14:paraId="3E8CEE49"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3F9E4382" w14:textId="61E666FC" w:rsidR="00F77F6D"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6C24F9" w:rsidRPr="007669E1">
              <w:rPr>
                <w:rFonts w:ascii="Segoe UI" w:hAnsi="Segoe UI" w:cs="Segoe UI"/>
                <w:sz w:val="18"/>
                <w:szCs w:val="18"/>
              </w:rPr>
              <w:t>MDL</w:t>
            </w:r>
          </w:p>
        </w:tc>
      </w:tr>
      <w:tr w:rsidR="00136C8F" w:rsidRPr="007669E1" w14:paraId="7A1B71A9" w14:textId="77777777" w:rsidTr="006C2BDF">
        <w:trPr>
          <w:trHeight w:val="91"/>
        </w:trPr>
        <w:tc>
          <w:tcPr>
            <w:tcW w:w="2425" w:type="dxa"/>
            <w:vMerge w:val="restart"/>
          </w:tcPr>
          <w:p w14:paraId="06CA6085"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1CE585EA"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2C4F334E"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7570143E"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67C597B7" w14:textId="1375EC61"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225A37CD" w14:textId="28E5660E"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136C8F" w:rsidRPr="007669E1" w14:paraId="6D9C773F" w14:textId="77777777" w:rsidTr="006C2BDF">
        <w:trPr>
          <w:trHeight w:val="91"/>
        </w:trPr>
        <w:tc>
          <w:tcPr>
            <w:tcW w:w="2425" w:type="dxa"/>
            <w:vMerge/>
          </w:tcPr>
          <w:p w14:paraId="09E45776"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17FBEF1C" w14:textId="4485F900" w:rsidR="00F77F6D" w:rsidRPr="007669E1" w:rsidRDefault="00AF45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3710C337" w14:textId="62AE4B77" w:rsidR="00F77F6D" w:rsidRPr="007669E1" w:rsidRDefault="00AF45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191DD7BF" w14:textId="53920599" w:rsidR="00F77F6D" w:rsidRPr="007669E1" w:rsidRDefault="00AF45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28EA67CC" w14:textId="23ED919B" w:rsidR="00F77F6D" w:rsidRPr="007669E1" w:rsidRDefault="00AF45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439CB36F" w14:textId="6BF7A4AC" w:rsidR="00F77F6D" w:rsidRPr="007669E1" w:rsidRDefault="00AF45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2697A87F"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B65F27" w14:paraId="7520B823" w14:textId="77777777" w:rsidTr="0095713A">
        <w:tc>
          <w:tcPr>
            <w:tcW w:w="9625" w:type="dxa"/>
            <w:gridSpan w:val="7"/>
            <w:shd w:val="clear" w:color="auto" w:fill="D9D9D9" w:themeFill="background1" w:themeFillShade="D9"/>
          </w:tcPr>
          <w:p w14:paraId="1CEAC1FD" w14:textId="6DF07163"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lastRenderedPageBreak/>
              <w:t>11. Exempting the supply of residential buildings, land and the lease of such buildings, land and land plots</w:t>
            </w:r>
          </w:p>
        </w:tc>
      </w:tr>
      <w:tr w:rsidR="007669E1" w:rsidRPr="007669E1" w14:paraId="1215D175" w14:textId="77777777" w:rsidTr="006C2BDF">
        <w:tc>
          <w:tcPr>
            <w:tcW w:w="2425" w:type="dxa"/>
          </w:tcPr>
          <w:p w14:paraId="0344FD85"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Description</w:t>
            </w:r>
          </w:p>
        </w:tc>
        <w:tc>
          <w:tcPr>
            <w:tcW w:w="7200" w:type="dxa"/>
            <w:gridSpan w:val="6"/>
          </w:tcPr>
          <w:p w14:paraId="08BE92E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supply of residential buildings, land and the lease of such buildings, land and land plots is exempt from VAT.</w:t>
            </w:r>
          </w:p>
        </w:tc>
      </w:tr>
      <w:tr w:rsidR="007669E1" w:rsidRPr="007669E1" w14:paraId="311EB26D" w14:textId="77777777" w:rsidTr="006C2BDF">
        <w:tc>
          <w:tcPr>
            <w:tcW w:w="2425" w:type="dxa"/>
          </w:tcPr>
          <w:p w14:paraId="6A11287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Tax Affected</w:t>
            </w:r>
          </w:p>
        </w:tc>
        <w:tc>
          <w:tcPr>
            <w:tcW w:w="7200" w:type="dxa"/>
            <w:gridSpan w:val="6"/>
          </w:tcPr>
          <w:p w14:paraId="2F497BC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3A468F7D" w14:textId="77777777" w:rsidTr="006C2BDF">
        <w:tc>
          <w:tcPr>
            <w:tcW w:w="2425" w:type="dxa"/>
          </w:tcPr>
          <w:p w14:paraId="01AFC25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Beneficiaries</w:t>
            </w:r>
          </w:p>
        </w:tc>
        <w:tc>
          <w:tcPr>
            <w:tcW w:w="7200" w:type="dxa"/>
            <w:gridSpan w:val="6"/>
          </w:tcPr>
          <w:p w14:paraId="4EC0173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Prospective homeowners and tenants of residential buildings and land</w:t>
            </w:r>
          </w:p>
        </w:tc>
      </w:tr>
      <w:tr w:rsidR="007669E1" w:rsidRPr="007669E1" w14:paraId="6E5EFEF1" w14:textId="77777777" w:rsidTr="006C2BDF">
        <w:tc>
          <w:tcPr>
            <w:tcW w:w="2425" w:type="dxa"/>
          </w:tcPr>
          <w:p w14:paraId="3FFB9357"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Type of Measure</w:t>
            </w:r>
          </w:p>
        </w:tc>
        <w:tc>
          <w:tcPr>
            <w:tcW w:w="7200" w:type="dxa"/>
            <w:gridSpan w:val="6"/>
          </w:tcPr>
          <w:p w14:paraId="31503DC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07E6C669" w14:textId="77777777" w:rsidTr="006C2BDF">
        <w:tc>
          <w:tcPr>
            <w:tcW w:w="2425" w:type="dxa"/>
          </w:tcPr>
          <w:p w14:paraId="4D6742D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Reason why this Measure is not part of the Benchmark Tax System</w:t>
            </w:r>
          </w:p>
        </w:tc>
        <w:tc>
          <w:tcPr>
            <w:tcW w:w="7200" w:type="dxa"/>
            <w:gridSpan w:val="6"/>
          </w:tcPr>
          <w:p w14:paraId="0D7CCD9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including the first sale of new residential dwellings bought by a natural person from a property developer, should attract VAT at the standard rate.</w:t>
            </w:r>
          </w:p>
        </w:tc>
      </w:tr>
      <w:tr w:rsidR="007669E1" w:rsidRPr="007669E1" w14:paraId="1A264EC1" w14:textId="77777777" w:rsidTr="006C2BDF">
        <w:tc>
          <w:tcPr>
            <w:tcW w:w="2425" w:type="dxa"/>
          </w:tcPr>
          <w:p w14:paraId="3B566D5B"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Legal Reference</w:t>
            </w:r>
          </w:p>
        </w:tc>
        <w:tc>
          <w:tcPr>
            <w:tcW w:w="7200" w:type="dxa"/>
            <w:gridSpan w:val="6"/>
          </w:tcPr>
          <w:p w14:paraId="7DAE134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 of TC</w:t>
            </w:r>
          </w:p>
        </w:tc>
      </w:tr>
      <w:tr w:rsidR="00136C8F" w:rsidRPr="007669E1" w14:paraId="0C4CB173" w14:textId="77777777" w:rsidTr="006C2BDF">
        <w:trPr>
          <w:trHeight w:val="182"/>
        </w:trPr>
        <w:tc>
          <w:tcPr>
            <w:tcW w:w="2425" w:type="dxa"/>
            <w:vMerge w:val="restart"/>
          </w:tcPr>
          <w:p w14:paraId="4AA8125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Implementation, Objectives, and History</w:t>
            </w:r>
          </w:p>
        </w:tc>
        <w:tc>
          <w:tcPr>
            <w:tcW w:w="7200" w:type="dxa"/>
            <w:gridSpan w:val="6"/>
          </w:tcPr>
          <w:p w14:paraId="2CD541DE"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785ACF2C" w14:textId="77777777" w:rsidTr="006C2BDF">
        <w:trPr>
          <w:trHeight w:val="182"/>
        </w:trPr>
        <w:tc>
          <w:tcPr>
            <w:tcW w:w="2425" w:type="dxa"/>
            <w:vMerge/>
          </w:tcPr>
          <w:p w14:paraId="75404D69" w14:textId="77777777" w:rsidR="00F77F6D" w:rsidRPr="00B65F27" w:rsidRDefault="00F77F6D" w:rsidP="00E90BA7">
            <w:pPr>
              <w:spacing w:before="20" w:after="20" w:line="240" w:lineRule="auto"/>
              <w:jc w:val="both"/>
              <w:rPr>
                <w:rFonts w:ascii="Segoe UI" w:hAnsi="Segoe UI" w:cs="Segoe UI"/>
                <w:b/>
                <w:bCs/>
                <w:sz w:val="18"/>
                <w:szCs w:val="18"/>
              </w:rPr>
            </w:pPr>
          </w:p>
        </w:tc>
        <w:tc>
          <w:tcPr>
            <w:tcW w:w="3462" w:type="dxa"/>
            <w:gridSpan w:val="3"/>
          </w:tcPr>
          <w:p w14:paraId="3EE69DAB" w14:textId="584788E0"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8C112A" w:rsidRPr="007669E1">
              <w:rPr>
                <w:rFonts w:ascii="Segoe UI" w:hAnsi="Segoe UI" w:cs="Segoe UI"/>
                <w:sz w:val="18"/>
                <w:szCs w:val="18"/>
              </w:rPr>
              <w:t xml:space="preserve"> 1998</w:t>
            </w:r>
          </w:p>
        </w:tc>
        <w:tc>
          <w:tcPr>
            <w:tcW w:w="3738" w:type="dxa"/>
            <w:gridSpan w:val="3"/>
          </w:tcPr>
          <w:p w14:paraId="303B91F2" w14:textId="1B68E302"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0A065535" w14:textId="77777777" w:rsidTr="006C2BDF">
        <w:tc>
          <w:tcPr>
            <w:tcW w:w="2425" w:type="dxa"/>
          </w:tcPr>
          <w:p w14:paraId="4ECAB828"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Source of Data</w:t>
            </w:r>
          </w:p>
        </w:tc>
        <w:tc>
          <w:tcPr>
            <w:tcW w:w="7200" w:type="dxa"/>
            <w:gridSpan w:val="6"/>
          </w:tcPr>
          <w:p w14:paraId="5207A308" w14:textId="256D63D8"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381BC593" w14:textId="77777777" w:rsidTr="006C2BDF">
        <w:tc>
          <w:tcPr>
            <w:tcW w:w="2425" w:type="dxa"/>
          </w:tcPr>
          <w:p w14:paraId="2FFF89E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Estimation Method</w:t>
            </w:r>
          </w:p>
        </w:tc>
        <w:tc>
          <w:tcPr>
            <w:tcW w:w="7200" w:type="dxa"/>
            <w:gridSpan w:val="6"/>
          </w:tcPr>
          <w:p w14:paraId="795B215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17DF23C8" w14:textId="77777777" w:rsidTr="006C2BDF">
        <w:tc>
          <w:tcPr>
            <w:tcW w:w="2425" w:type="dxa"/>
          </w:tcPr>
          <w:p w14:paraId="1C777BAF"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Number of Beneficiaries</w:t>
            </w:r>
          </w:p>
        </w:tc>
        <w:tc>
          <w:tcPr>
            <w:tcW w:w="7200" w:type="dxa"/>
            <w:gridSpan w:val="6"/>
          </w:tcPr>
          <w:p w14:paraId="2ED0B5E7"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764F2E9D" w14:textId="77777777" w:rsidTr="006C2BDF">
        <w:tc>
          <w:tcPr>
            <w:tcW w:w="2425" w:type="dxa"/>
          </w:tcPr>
          <w:p w14:paraId="666C605C"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Revenue Cost Reporting</w:t>
            </w:r>
          </w:p>
        </w:tc>
        <w:tc>
          <w:tcPr>
            <w:tcW w:w="7200" w:type="dxa"/>
            <w:gridSpan w:val="6"/>
          </w:tcPr>
          <w:p w14:paraId="66B985CE" w14:textId="646C34E8" w:rsidR="00F77F6D" w:rsidRPr="007669E1" w:rsidRDefault="007102A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537EA198" w14:textId="77777777" w:rsidTr="006C2BDF">
        <w:trPr>
          <w:trHeight w:val="91"/>
        </w:trPr>
        <w:tc>
          <w:tcPr>
            <w:tcW w:w="2425" w:type="dxa"/>
            <w:vMerge w:val="restart"/>
          </w:tcPr>
          <w:p w14:paraId="56BC23C3"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0AB4CAE2"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2018</w:t>
            </w:r>
          </w:p>
        </w:tc>
        <w:tc>
          <w:tcPr>
            <w:tcW w:w="1385" w:type="dxa"/>
          </w:tcPr>
          <w:p w14:paraId="54D7E7D0"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2019</w:t>
            </w:r>
          </w:p>
        </w:tc>
        <w:tc>
          <w:tcPr>
            <w:tcW w:w="1385" w:type="dxa"/>
            <w:gridSpan w:val="2"/>
          </w:tcPr>
          <w:p w14:paraId="79E4FABD" w14:textId="77777777"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2020</w:t>
            </w:r>
          </w:p>
        </w:tc>
        <w:tc>
          <w:tcPr>
            <w:tcW w:w="1385" w:type="dxa"/>
          </w:tcPr>
          <w:p w14:paraId="60741F3E" w14:textId="6FF2CE13" w:rsidR="00F77F6D" w:rsidRPr="00B65F27" w:rsidRDefault="00F77F6D"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2021</w:t>
            </w:r>
          </w:p>
        </w:tc>
        <w:tc>
          <w:tcPr>
            <w:tcW w:w="1660" w:type="dxa"/>
          </w:tcPr>
          <w:p w14:paraId="61DF6DA8" w14:textId="3948DD88" w:rsidR="00F77F6D" w:rsidRPr="00B65F27" w:rsidRDefault="000C00AF" w:rsidP="00E90BA7">
            <w:pPr>
              <w:spacing w:before="20" w:after="20" w:line="240" w:lineRule="auto"/>
              <w:jc w:val="both"/>
              <w:rPr>
                <w:rFonts w:ascii="Segoe UI" w:hAnsi="Segoe UI" w:cs="Segoe UI"/>
                <w:b/>
                <w:bCs/>
                <w:sz w:val="18"/>
                <w:szCs w:val="18"/>
              </w:rPr>
            </w:pPr>
            <w:r w:rsidRPr="00B65F27">
              <w:rPr>
                <w:rFonts w:ascii="Segoe UI" w:hAnsi="Segoe UI" w:cs="Segoe UI"/>
                <w:b/>
                <w:bCs/>
                <w:sz w:val="18"/>
                <w:szCs w:val="18"/>
              </w:rPr>
              <w:t>2022</w:t>
            </w:r>
          </w:p>
        </w:tc>
      </w:tr>
      <w:tr w:rsidR="007619A8" w:rsidRPr="007669E1" w14:paraId="2EDDF536" w14:textId="77777777" w:rsidTr="00851CF2">
        <w:trPr>
          <w:trHeight w:val="91"/>
        </w:trPr>
        <w:tc>
          <w:tcPr>
            <w:tcW w:w="2425" w:type="dxa"/>
            <w:vMerge/>
          </w:tcPr>
          <w:p w14:paraId="3C0A1CB6"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6AFC3972" w14:textId="57B0D66C" w:rsidR="00F77F6D" w:rsidRPr="007669E1" w:rsidRDefault="007102A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233,321.4</w:t>
            </w:r>
          </w:p>
        </w:tc>
        <w:tc>
          <w:tcPr>
            <w:tcW w:w="1385" w:type="dxa"/>
            <w:shd w:val="clear" w:color="auto" w:fill="D9D9D9" w:themeFill="background1" w:themeFillShade="D9"/>
            <w:vAlign w:val="bottom"/>
          </w:tcPr>
          <w:p w14:paraId="6934C79E" w14:textId="361EBF5B" w:rsidR="00F77F6D" w:rsidRPr="007669E1" w:rsidRDefault="007102A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257,123.6</w:t>
            </w:r>
          </w:p>
        </w:tc>
        <w:tc>
          <w:tcPr>
            <w:tcW w:w="1385" w:type="dxa"/>
            <w:gridSpan w:val="2"/>
            <w:shd w:val="clear" w:color="auto" w:fill="D9D9D9" w:themeFill="background1" w:themeFillShade="D9"/>
            <w:vAlign w:val="bottom"/>
          </w:tcPr>
          <w:p w14:paraId="28DAE652" w14:textId="549FE2E5" w:rsidR="00F77F6D" w:rsidRPr="007669E1" w:rsidRDefault="007102A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249,322.9</w:t>
            </w:r>
          </w:p>
        </w:tc>
        <w:tc>
          <w:tcPr>
            <w:tcW w:w="1385" w:type="dxa"/>
            <w:shd w:val="clear" w:color="auto" w:fill="D9D9D9" w:themeFill="background1" w:themeFillShade="D9"/>
            <w:vAlign w:val="bottom"/>
          </w:tcPr>
          <w:p w14:paraId="70C29D2C" w14:textId="14D0470E" w:rsidR="00F77F6D" w:rsidRPr="007669E1" w:rsidRDefault="007102A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304,227.9</w:t>
            </w:r>
          </w:p>
        </w:tc>
        <w:tc>
          <w:tcPr>
            <w:tcW w:w="1660" w:type="dxa"/>
            <w:shd w:val="clear" w:color="auto" w:fill="D9D9D9" w:themeFill="background1" w:themeFillShade="D9"/>
            <w:vAlign w:val="bottom"/>
          </w:tcPr>
          <w:p w14:paraId="75148277" w14:textId="1542B217" w:rsidR="00F77F6D" w:rsidRPr="007669E1" w:rsidRDefault="007102A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336,330.9</w:t>
            </w:r>
          </w:p>
        </w:tc>
      </w:tr>
    </w:tbl>
    <w:p w14:paraId="1414D457"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34BFD" w14:paraId="165D57C9" w14:textId="77777777" w:rsidTr="0095713A">
        <w:tc>
          <w:tcPr>
            <w:tcW w:w="9625" w:type="dxa"/>
            <w:gridSpan w:val="7"/>
            <w:shd w:val="clear" w:color="auto" w:fill="D9D9D9" w:themeFill="background1" w:themeFillShade="D9"/>
          </w:tcPr>
          <w:p w14:paraId="1505B0D3" w14:textId="3C3AD741"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12. Exempting the supply of baby food and non-food baby products</w:t>
            </w:r>
          </w:p>
        </w:tc>
      </w:tr>
      <w:tr w:rsidR="007669E1" w:rsidRPr="007669E1" w14:paraId="6802D8D8" w14:textId="77777777" w:rsidTr="006C2BDF">
        <w:tc>
          <w:tcPr>
            <w:tcW w:w="2425" w:type="dxa"/>
          </w:tcPr>
          <w:p w14:paraId="15FD784A"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Description</w:t>
            </w:r>
          </w:p>
        </w:tc>
        <w:tc>
          <w:tcPr>
            <w:tcW w:w="7200" w:type="dxa"/>
            <w:gridSpan w:val="6"/>
          </w:tcPr>
          <w:p w14:paraId="37FC603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Exempting the supply of baby food and non-food baby products.</w:t>
            </w:r>
          </w:p>
        </w:tc>
      </w:tr>
      <w:tr w:rsidR="007669E1" w:rsidRPr="007669E1" w14:paraId="3A3B3A1B" w14:textId="77777777" w:rsidTr="006C2BDF">
        <w:tc>
          <w:tcPr>
            <w:tcW w:w="2425" w:type="dxa"/>
          </w:tcPr>
          <w:p w14:paraId="5045B447"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Type of Tax Affected</w:t>
            </w:r>
          </w:p>
        </w:tc>
        <w:tc>
          <w:tcPr>
            <w:tcW w:w="7200" w:type="dxa"/>
            <w:gridSpan w:val="6"/>
          </w:tcPr>
          <w:p w14:paraId="1D21F18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3D380C2F" w14:textId="77777777" w:rsidTr="006C2BDF">
        <w:tc>
          <w:tcPr>
            <w:tcW w:w="2425" w:type="dxa"/>
          </w:tcPr>
          <w:p w14:paraId="0D30FFE5"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Beneficiaries</w:t>
            </w:r>
          </w:p>
        </w:tc>
        <w:tc>
          <w:tcPr>
            <w:tcW w:w="7200" w:type="dxa"/>
            <w:gridSpan w:val="6"/>
          </w:tcPr>
          <w:p w14:paraId="2BD59EC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Households with babies and toddlers</w:t>
            </w:r>
          </w:p>
        </w:tc>
      </w:tr>
      <w:tr w:rsidR="007669E1" w:rsidRPr="007669E1" w14:paraId="1E53E165" w14:textId="77777777" w:rsidTr="006C2BDF">
        <w:tc>
          <w:tcPr>
            <w:tcW w:w="2425" w:type="dxa"/>
          </w:tcPr>
          <w:p w14:paraId="2A383826"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Type of Measure</w:t>
            </w:r>
          </w:p>
        </w:tc>
        <w:tc>
          <w:tcPr>
            <w:tcW w:w="7200" w:type="dxa"/>
            <w:gridSpan w:val="6"/>
          </w:tcPr>
          <w:p w14:paraId="49CED1C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356B5196" w14:textId="77777777" w:rsidTr="006C2BDF">
        <w:tc>
          <w:tcPr>
            <w:tcW w:w="2425" w:type="dxa"/>
          </w:tcPr>
          <w:p w14:paraId="12FAA873"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Reason why this Measure is not part of the Benchmark Tax System</w:t>
            </w:r>
          </w:p>
        </w:tc>
        <w:tc>
          <w:tcPr>
            <w:tcW w:w="7200" w:type="dxa"/>
            <w:gridSpan w:val="6"/>
          </w:tcPr>
          <w:p w14:paraId="351D059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including residential dwelling, to final consumers should be at the standard VAT rate.</w:t>
            </w:r>
          </w:p>
        </w:tc>
      </w:tr>
      <w:tr w:rsidR="007669E1" w:rsidRPr="007669E1" w14:paraId="37160151" w14:textId="77777777" w:rsidTr="006C2BDF">
        <w:tc>
          <w:tcPr>
            <w:tcW w:w="2425" w:type="dxa"/>
          </w:tcPr>
          <w:p w14:paraId="7125AD06"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Legal Reference</w:t>
            </w:r>
          </w:p>
        </w:tc>
        <w:tc>
          <w:tcPr>
            <w:tcW w:w="7200" w:type="dxa"/>
            <w:gridSpan w:val="6"/>
          </w:tcPr>
          <w:p w14:paraId="4D6BAE9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103(2) of TC</w:t>
            </w:r>
          </w:p>
        </w:tc>
      </w:tr>
      <w:tr w:rsidR="00136C8F" w:rsidRPr="007669E1" w14:paraId="331BD941" w14:textId="77777777" w:rsidTr="006C2BDF">
        <w:trPr>
          <w:trHeight w:val="182"/>
        </w:trPr>
        <w:tc>
          <w:tcPr>
            <w:tcW w:w="2425" w:type="dxa"/>
            <w:vMerge w:val="restart"/>
          </w:tcPr>
          <w:p w14:paraId="623D632E"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Implementation, Objectives, and History</w:t>
            </w:r>
          </w:p>
        </w:tc>
        <w:tc>
          <w:tcPr>
            <w:tcW w:w="7200" w:type="dxa"/>
            <w:gridSpan w:val="6"/>
          </w:tcPr>
          <w:p w14:paraId="6812C4FC"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69216B44" w14:textId="77777777" w:rsidTr="006C2BDF">
        <w:trPr>
          <w:trHeight w:val="182"/>
        </w:trPr>
        <w:tc>
          <w:tcPr>
            <w:tcW w:w="2425" w:type="dxa"/>
            <w:vMerge/>
          </w:tcPr>
          <w:p w14:paraId="4E6A670F" w14:textId="77777777" w:rsidR="00F77F6D" w:rsidRPr="00F34BFD" w:rsidRDefault="00F77F6D" w:rsidP="00E90BA7">
            <w:pPr>
              <w:spacing w:before="20" w:after="20" w:line="240" w:lineRule="auto"/>
              <w:jc w:val="both"/>
              <w:rPr>
                <w:rFonts w:ascii="Segoe UI" w:hAnsi="Segoe UI" w:cs="Segoe UI"/>
                <w:b/>
                <w:bCs/>
                <w:sz w:val="18"/>
                <w:szCs w:val="18"/>
              </w:rPr>
            </w:pPr>
          </w:p>
        </w:tc>
        <w:tc>
          <w:tcPr>
            <w:tcW w:w="3462" w:type="dxa"/>
            <w:gridSpan w:val="3"/>
          </w:tcPr>
          <w:p w14:paraId="6300791F" w14:textId="6494F95E"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8C112A" w:rsidRPr="007669E1">
              <w:rPr>
                <w:rFonts w:ascii="Segoe UI" w:hAnsi="Segoe UI" w:cs="Segoe UI"/>
                <w:sz w:val="18"/>
                <w:szCs w:val="18"/>
              </w:rPr>
              <w:t xml:space="preserve"> 1998</w:t>
            </w:r>
          </w:p>
        </w:tc>
        <w:tc>
          <w:tcPr>
            <w:tcW w:w="3738" w:type="dxa"/>
            <w:gridSpan w:val="3"/>
          </w:tcPr>
          <w:p w14:paraId="24338FD4" w14:textId="21D97C4D"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6C3D473" w14:textId="77777777" w:rsidTr="006C2BDF">
        <w:tc>
          <w:tcPr>
            <w:tcW w:w="2425" w:type="dxa"/>
          </w:tcPr>
          <w:p w14:paraId="421CF2D5"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Source of Data</w:t>
            </w:r>
          </w:p>
        </w:tc>
        <w:tc>
          <w:tcPr>
            <w:tcW w:w="7200" w:type="dxa"/>
            <w:gridSpan w:val="6"/>
          </w:tcPr>
          <w:p w14:paraId="6B9CBB2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data</w:t>
            </w:r>
          </w:p>
        </w:tc>
      </w:tr>
      <w:tr w:rsidR="007669E1" w:rsidRPr="007669E1" w14:paraId="54EDF0D9" w14:textId="77777777" w:rsidTr="006C2BDF">
        <w:tc>
          <w:tcPr>
            <w:tcW w:w="2425" w:type="dxa"/>
          </w:tcPr>
          <w:p w14:paraId="51BA3C88"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Estimation Method</w:t>
            </w:r>
          </w:p>
        </w:tc>
        <w:tc>
          <w:tcPr>
            <w:tcW w:w="7200" w:type="dxa"/>
            <w:gridSpan w:val="6"/>
          </w:tcPr>
          <w:p w14:paraId="70B117E0" w14:textId="53D511B0"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Direct calculation; assumed to be used exclusively as final consumption or as </w:t>
            </w:r>
            <w:r w:rsidR="008862E5" w:rsidRPr="007669E1">
              <w:rPr>
                <w:rFonts w:ascii="Segoe UI" w:hAnsi="Segoe UI" w:cs="Segoe UI"/>
                <w:sz w:val="18"/>
                <w:szCs w:val="18"/>
              </w:rPr>
              <w:t xml:space="preserve">an </w:t>
            </w:r>
            <w:r w:rsidRPr="007669E1">
              <w:rPr>
                <w:rFonts w:ascii="Segoe UI" w:hAnsi="Segoe UI" w:cs="Segoe UI"/>
                <w:sz w:val="18"/>
                <w:szCs w:val="18"/>
              </w:rPr>
              <w:t xml:space="preserve">intermediate </w:t>
            </w:r>
            <w:r w:rsidR="008862E5" w:rsidRPr="007669E1">
              <w:rPr>
                <w:rFonts w:ascii="Segoe UI" w:hAnsi="Segoe UI" w:cs="Segoe UI"/>
                <w:sz w:val="18"/>
                <w:szCs w:val="18"/>
              </w:rPr>
              <w:t xml:space="preserve">good </w:t>
            </w:r>
            <w:r w:rsidRPr="007669E1">
              <w:rPr>
                <w:rFonts w:ascii="Segoe UI" w:hAnsi="Segoe UI" w:cs="Segoe UI"/>
                <w:sz w:val="18"/>
                <w:szCs w:val="18"/>
              </w:rPr>
              <w:t>into production of exempt commodities (e.g., education)</w:t>
            </w:r>
            <w:r w:rsidR="008862E5" w:rsidRPr="007669E1">
              <w:rPr>
                <w:rFonts w:ascii="Segoe UI" w:hAnsi="Segoe UI" w:cs="Segoe UI"/>
                <w:sz w:val="18"/>
                <w:szCs w:val="18"/>
              </w:rPr>
              <w:t>.</w:t>
            </w:r>
          </w:p>
        </w:tc>
      </w:tr>
      <w:tr w:rsidR="007669E1" w:rsidRPr="007669E1" w14:paraId="09A0560D" w14:textId="77777777" w:rsidTr="006C2BDF">
        <w:tc>
          <w:tcPr>
            <w:tcW w:w="2425" w:type="dxa"/>
          </w:tcPr>
          <w:p w14:paraId="473D9411"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Number of Beneficiaries</w:t>
            </w:r>
          </w:p>
        </w:tc>
        <w:tc>
          <w:tcPr>
            <w:tcW w:w="7200" w:type="dxa"/>
            <w:gridSpan w:val="6"/>
          </w:tcPr>
          <w:p w14:paraId="206624D9"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07CA2B82" w14:textId="77777777" w:rsidTr="006C2BDF">
        <w:tc>
          <w:tcPr>
            <w:tcW w:w="2425" w:type="dxa"/>
          </w:tcPr>
          <w:p w14:paraId="6711F38E"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Revenue Cost Reporting</w:t>
            </w:r>
          </w:p>
        </w:tc>
        <w:tc>
          <w:tcPr>
            <w:tcW w:w="7200" w:type="dxa"/>
            <w:gridSpan w:val="6"/>
          </w:tcPr>
          <w:p w14:paraId="36B98FB0" w14:textId="1253F495" w:rsidR="00F77F6D" w:rsidRPr="007669E1" w:rsidRDefault="00B966C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04599AD3" w14:textId="77777777" w:rsidTr="006C2BDF">
        <w:trPr>
          <w:trHeight w:val="91"/>
        </w:trPr>
        <w:tc>
          <w:tcPr>
            <w:tcW w:w="2425" w:type="dxa"/>
            <w:vMerge w:val="restart"/>
          </w:tcPr>
          <w:p w14:paraId="71F3C229"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2F6C97FB"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2018</w:t>
            </w:r>
          </w:p>
        </w:tc>
        <w:tc>
          <w:tcPr>
            <w:tcW w:w="1385" w:type="dxa"/>
          </w:tcPr>
          <w:p w14:paraId="740F4009"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2019</w:t>
            </w:r>
          </w:p>
        </w:tc>
        <w:tc>
          <w:tcPr>
            <w:tcW w:w="1385" w:type="dxa"/>
            <w:gridSpan w:val="2"/>
          </w:tcPr>
          <w:p w14:paraId="0818A0E5" w14:textId="77777777"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2020</w:t>
            </w:r>
          </w:p>
        </w:tc>
        <w:tc>
          <w:tcPr>
            <w:tcW w:w="1385" w:type="dxa"/>
          </w:tcPr>
          <w:p w14:paraId="33E11BFA" w14:textId="0A1333C0"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2021</w:t>
            </w:r>
          </w:p>
        </w:tc>
        <w:tc>
          <w:tcPr>
            <w:tcW w:w="1660" w:type="dxa"/>
          </w:tcPr>
          <w:p w14:paraId="5DFB14CB" w14:textId="5E899695" w:rsidR="00F77F6D" w:rsidRPr="00F34BFD" w:rsidRDefault="000C00AF"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2022</w:t>
            </w:r>
          </w:p>
        </w:tc>
      </w:tr>
      <w:tr w:rsidR="007669E1" w:rsidRPr="007669E1" w14:paraId="5CE4F0D3" w14:textId="77777777" w:rsidTr="00D96E9E">
        <w:trPr>
          <w:trHeight w:val="91"/>
        </w:trPr>
        <w:tc>
          <w:tcPr>
            <w:tcW w:w="2425" w:type="dxa"/>
            <w:vMerge/>
          </w:tcPr>
          <w:p w14:paraId="7C95336A"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02E27481" w14:textId="74CB3D7F" w:rsidR="00F77F6D" w:rsidRPr="007669E1" w:rsidRDefault="00B966C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20,426.8</w:t>
            </w:r>
          </w:p>
        </w:tc>
        <w:tc>
          <w:tcPr>
            <w:tcW w:w="1385" w:type="dxa"/>
            <w:shd w:val="clear" w:color="auto" w:fill="D9D9D9" w:themeFill="background1" w:themeFillShade="D9"/>
            <w:vAlign w:val="bottom"/>
          </w:tcPr>
          <w:p w14:paraId="449C2A3E" w14:textId="340327E6" w:rsidR="00F77F6D" w:rsidRPr="007669E1" w:rsidRDefault="00B966C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22,200.0</w:t>
            </w:r>
          </w:p>
        </w:tc>
        <w:tc>
          <w:tcPr>
            <w:tcW w:w="1385" w:type="dxa"/>
            <w:gridSpan w:val="2"/>
            <w:shd w:val="clear" w:color="auto" w:fill="D9D9D9" w:themeFill="background1" w:themeFillShade="D9"/>
            <w:vAlign w:val="bottom"/>
          </w:tcPr>
          <w:p w14:paraId="360D5AE7" w14:textId="781E78A5" w:rsidR="00F77F6D" w:rsidRPr="007669E1" w:rsidRDefault="00B966C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21,501.0</w:t>
            </w:r>
          </w:p>
        </w:tc>
        <w:tc>
          <w:tcPr>
            <w:tcW w:w="1385" w:type="dxa"/>
            <w:shd w:val="clear" w:color="auto" w:fill="D9D9D9" w:themeFill="background1" w:themeFillShade="D9"/>
            <w:vAlign w:val="bottom"/>
          </w:tcPr>
          <w:p w14:paraId="39651A3F" w14:textId="440746D4" w:rsidR="00F77F6D" w:rsidRPr="007669E1" w:rsidRDefault="00B966C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24,334.0</w:t>
            </w:r>
          </w:p>
        </w:tc>
        <w:tc>
          <w:tcPr>
            <w:tcW w:w="1660" w:type="dxa"/>
            <w:shd w:val="clear" w:color="auto" w:fill="D9D9D9" w:themeFill="background1" w:themeFillShade="D9"/>
            <w:vAlign w:val="bottom"/>
          </w:tcPr>
          <w:p w14:paraId="76ACC3EA" w14:textId="66351AA4" w:rsidR="00F77F6D" w:rsidRPr="007669E1" w:rsidRDefault="00B966C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26,751.7</w:t>
            </w:r>
          </w:p>
        </w:tc>
      </w:tr>
    </w:tbl>
    <w:p w14:paraId="4066CFC1"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34BFD" w14:paraId="1CCA5FA5" w14:textId="77777777" w:rsidTr="006C2BDF">
        <w:tc>
          <w:tcPr>
            <w:tcW w:w="9625" w:type="dxa"/>
            <w:gridSpan w:val="7"/>
            <w:shd w:val="clear" w:color="auto" w:fill="D9D9D9" w:themeFill="background1" w:themeFillShade="D9"/>
          </w:tcPr>
          <w:p w14:paraId="690C6D4F" w14:textId="6AC3BA2A" w:rsidR="00F77F6D" w:rsidRPr="00F34BFD" w:rsidRDefault="00F77F6D" w:rsidP="00E90BA7">
            <w:pPr>
              <w:spacing w:before="20" w:after="20" w:line="240" w:lineRule="auto"/>
              <w:jc w:val="both"/>
              <w:rPr>
                <w:rFonts w:ascii="Segoe UI" w:hAnsi="Segoe UI" w:cs="Segoe UI"/>
                <w:b/>
                <w:bCs/>
                <w:sz w:val="18"/>
                <w:szCs w:val="18"/>
              </w:rPr>
            </w:pPr>
            <w:r w:rsidRPr="00F34BFD">
              <w:rPr>
                <w:rFonts w:ascii="Segoe UI" w:hAnsi="Segoe UI" w:cs="Segoe UI"/>
                <w:b/>
                <w:bCs/>
                <w:sz w:val="18"/>
                <w:szCs w:val="18"/>
              </w:rPr>
              <w:t>13. Exempting the supply of educational services</w:t>
            </w:r>
          </w:p>
        </w:tc>
      </w:tr>
      <w:tr w:rsidR="007669E1" w:rsidRPr="007669E1" w14:paraId="5142E71C" w14:textId="77777777" w:rsidTr="006C2BDF">
        <w:tc>
          <w:tcPr>
            <w:tcW w:w="2425" w:type="dxa"/>
          </w:tcPr>
          <w:p w14:paraId="1AC3FEA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6C0D31F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following supply of goods and services is exempt if provided by public and private education institutions, related directly to the educational process according to the Education Code; services for training children and teenagers in coteries, workshops, studios; services for children and teenagers using sports facilities; childcare services in preschool institutions; staff training and development services;</w:t>
            </w:r>
          </w:p>
        </w:tc>
      </w:tr>
      <w:tr w:rsidR="007669E1" w:rsidRPr="007669E1" w14:paraId="47362E2D" w14:textId="77777777" w:rsidTr="006C2BDF">
        <w:tc>
          <w:tcPr>
            <w:tcW w:w="2425" w:type="dxa"/>
          </w:tcPr>
          <w:p w14:paraId="0EA90C4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06495B0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7DAB1035" w14:textId="77777777" w:rsidTr="006C2BDF">
        <w:tc>
          <w:tcPr>
            <w:tcW w:w="2425" w:type="dxa"/>
          </w:tcPr>
          <w:p w14:paraId="04966040"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lastRenderedPageBreak/>
              <w:t>Beneficiaries</w:t>
            </w:r>
          </w:p>
        </w:tc>
        <w:tc>
          <w:tcPr>
            <w:tcW w:w="7200" w:type="dxa"/>
            <w:gridSpan w:val="6"/>
          </w:tcPr>
          <w:p w14:paraId="17F719F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individuals who are receiving education at various levels from registered educational institutions or operations.</w:t>
            </w:r>
          </w:p>
        </w:tc>
      </w:tr>
      <w:tr w:rsidR="007669E1" w:rsidRPr="007669E1" w14:paraId="7AD573C3" w14:textId="77777777" w:rsidTr="006C2BDF">
        <w:tc>
          <w:tcPr>
            <w:tcW w:w="2425" w:type="dxa"/>
          </w:tcPr>
          <w:p w14:paraId="2699C36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73EA33E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17527D22" w14:textId="77777777" w:rsidTr="006C2BDF">
        <w:tc>
          <w:tcPr>
            <w:tcW w:w="2425" w:type="dxa"/>
          </w:tcPr>
          <w:p w14:paraId="69C6FA0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1173821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 Exemption for educational materials, services and equipment is thereby a tax expenditure.  Many countries have a comparable tax expenditure for education-related supplies. The effect of an exempt supply is that the education supplier does not charge VAT on their outputs, nor can they claim input tax credits on expenses that are not directly related to education (for example, rent and utilities) they incurred to produce or distribute the education-related goods or services.</w:t>
            </w:r>
          </w:p>
        </w:tc>
      </w:tr>
      <w:tr w:rsidR="007669E1" w:rsidRPr="007669E1" w14:paraId="27C5020B" w14:textId="77777777" w:rsidTr="006C2BDF">
        <w:tc>
          <w:tcPr>
            <w:tcW w:w="2425" w:type="dxa"/>
          </w:tcPr>
          <w:p w14:paraId="52972D7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0CB8C75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103(5) of TC</w:t>
            </w:r>
          </w:p>
        </w:tc>
      </w:tr>
      <w:tr w:rsidR="00136C8F" w:rsidRPr="007669E1" w14:paraId="6315F070" w14:textId="77777777" w:rsidTr="006C2BDF">
        <w:trPr>
          <w:trHeight w:val="182"/>
        </w:trPr>
        <w:tc>
          <w:tcPr>
            <w:tcW w:w="2425" w:type="dxa"/>
            <w:vMerge w:val="restart"/>
          </w:tcPr>
          <w:p w14:paraId="4BEC2FD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3EF5499D"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2748B9AE" w14:textId="77777777" w:rsidTr="006C2BDF">
        <w:trPr>
          <w:trHeight w:val="182"/>
        </w:trPr>
        <w:tc>
          <w:tcPr>
            <w:tcW w:w="2425" w:type="dxa"/>
            <w:vMerge/>
          </w:tcPr>
          <w:p w14:paraId="5BB5E1CF"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6BA4BC54" w14:textId="25AF12E9"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4E13B3" w:rsidRPr="007669E1">
              <w:rPr>
                <w:rFonts w:ascii="Segoe UI" w:hAnsi="Segoe UI" w:cs="Segoe UI"/>
                <w:sz w:val="18"/>
                <w:szCs w:val="18"/>
              </w:rPr>
              <w:t xml:space="preserve"> 1998</w:t>
            </w:r>
          </w:p>
        </w:tc>
        <w:tc>
          <w:tcPr>
            <w:tcW w:w="3738" w:type="dxa"/>
            <w:gridSpan w:val="3"/>
          </w:tcPr>
          <w:p w14:paraId="29D9E591" w14:textId="2F824EC5"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679AB724" w14:textId="77777777" w:rsidTr="006C2BDF">
        <w:tc>
          <w:tcPr>
            <w:tcW w:w="2425" w:type="dxa"/>
          </w:tcPr>
          <w:p w14:paraId="2C07FF0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49D0BAC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792EF9BB" w14:textId="77777777" w:rsidTr="006C2BDF">
        <w:tc>
          <w:tcPr>
            <w:tcW w:w="2425" w:type="dxa"/>
          </w:tcPr>
          <w:p w14:paraId="3570BF2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416274F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73F6B2C1" w14:textId="77777777" w:rsidTr="006C2BDF">
        <w:tc>
          <w:tcPr>
            <w:tcW w:w="2425" w:type="dxa"/>
          </w:tcPr>
          <w:p w14:paraId="1A2F636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27048889"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752C5DAC" w14:textId="77777777" w:rsidTr="006C2BDF">
        <w:tc>
          <w:tcPr>
            <w:tcW w:w="2425" w:type="dxa"/>
          </w:tcPr>
          <w:p w14:paraId="5A347EC9"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2AF0DBC8" w14:textId="33A696EA" w:rsidR="00F77F6D" w:rsidRPr="007669E1" w:rsidRDefault="00796A8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01B7978C" w14:textId="77777777" w:rsidTr="006C2BDF">
        <w:trPr>
          <w:trHeight w:val="91"/>
        </w:trPr>
        <w:tc>
          <w:tcPr>
            <w:tcW w:w="2425" w:type="dxa"/>
            <w:vMerge w:val="restart"/>
          </w:tcPr>
          <w:p w14:paraId="42127D68"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5A61C43D"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73B2409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18658275"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094A77A2" w14:textId="0D04A983"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08DC2D04" w14:textId="6843B110" w:rsidR="00F77F6D"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19A8" w:rsidRPr="007669E1" w14:paraId="24C6CD7C" w14:textId="77777777" w:rsidTr="00851CF2">
        <w:trPr>
          <w:trHeight w:val="143"/>
        </w:trPr>
        <w:tc>
          <w:tcPr>
            <w:tcW w:w="2425" w:type="dxa"/>
            <w:vMerge/>
          </w:tcPr>
          <w:p w14:paraId="7B3D85F6"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02491FBD" w14:textId="6EF2E835" w:rsidR="00F77F6D" w:rsidRPr="007669E1" w:rsidRDefault="00796A89"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912,917.7</w:t>
            </w:r>
          </w:p>
        </w:tc>
        <w:tc>
          <w:tcPr>
            <w:tcW w:w="1385" w:type="dxa"/>
            <w:shd w:val="clear" w:color="auto" w:fill="D9D9D9" w:themeFill="background1" w:themeFillShade="D9"/>
            <w:vAlign w:val="bottom"/>
          </w:tcPr>
          <w:p w14:paraId="4A535952" w14:textId="77C33362" w:rsidR="00F77F6D" w:rsidRPr="007669E1" w:rsidRDefault="00796A89"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1,004,119.5</w:t>
            </w:r>
          </w:p>
        </w:tc>
        <w:tc>
          <w:tcPr>
            <w:tcW w:w="1385" w:type="dxa"/>
            <w:gridSpan w:val="2"/>
            <w:shd w:val="clear" w:color="auto" w:fill="D9D9D9" w:themeFill="background1" w:themeFillShade="D9"/>
            <w:vAlign w:val="bottom"/>
          </w:tcPr>
          <w:p w14:paraId="7A967974" w14:textId="169739CE" w:rsidR="00F77F6D" w:rsidRPr="007669E1" w:rsidRDefault="00796A89"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974,718.9</w:t>
            </w:r>
          </w:p>
        </w:tc>
        <w:tc>
          <w:tcPr>
            <w:tcW w:w="1385" w:type="dxa"/>
            <w:shd w:val="clear" w:color="auto" w:fill="D9D9D9" w:themeFill="background1" w:themeFillShade="D9"/>
            <w:vAlign w:val="bottom"/>
          </w:tcPr>
          <w:p w14:paraId="79BE3FBD" w14:textId="42914969" w:rsidR="00F77F6D" w:rsidRPr="007669E1" w:rsidRDefault="00796A89"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1,188,623.1</w:t>
            </w:r>
          </w:p>
        </w:tc>
        <w:tc>
          <w:tcPr>
            <w:tcW w:w="1660" w:type="dxa"/>
            <w:shd w:val="clear" w:color="auto" w:fill="D9D9D9" w:themeFill="background1" w:themeFillShade="D9"/>
            <w:vAlign w:val="bottom"/>
          </w:tcPr>
          <w:p w14:paraId="12A02562" w14:textId="5ABA161D" w:rsidR="00F77F6D" w:rsidRPr="007669E1" w:rsidRDefault="00796A89"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1,312,425.5</w:t>
            </w:r>
          </w:p>
        </w:tc>
      </w:tr>
    </w:tbl>
    <w:p w14:paraId="79C5E051"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31E465A5" w14:textId="77777777" w:rsidTr="006C2BDF">
        <w:tc>
          <w:tcPr>
            <w:tcW w:w="9625" w:type="dxa"/>
            <w:gridSpan w:val="7"/>
            <w:shd w:val="clear" w:color="auto" w:fill="D9D9D9" w:themeFill="background1" w:themeFillShade="D9"/>
          </w:tcPr>
          <w:p w14:paraId="4B34566D" w14:textId="7020E404"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14. Exempting services and goods used for the care of the sick and elderly</w:t>
            </w:r>
          </w:p>
        </w:tc>
      </w:tr>
      <w:tr w:rsidR="007669E1" w:rsidRPr="007669E1" w14:paraId="617249B3" w14:textId="77777777" w:rsidTr="006C2BDF">
        <w:tc>
          <w:tcPr>
            <w:tcW w:w="2425" w:type="dxa"/>
          </w:tcPr>
          <w:p w14:paraId="221C40D0"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30EF252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Exempting from VAT the care services for sick and elderly people, as well as goods, from the charitable organizations, intended for preparing of packages for needy elderly persons and distributed to them gratuitously.</w:t>
            </w:r>
          </w:p>
        </w:tc>
      </w:tr>
      <w:tr w:rsidR="007669E1" w:rsidRPr="007669E1" w14:paraId="3ECEA845" w14:textId="77777777" w:rsidTr="006C2BDF">
        <w:tc>
          <w:tcPr>
            <w:tcW w:w="2425" w:type="dxa"/>
          </w:tcPr>
          <w:p w14:paraId="788238C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36C8576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58BFD353" w14:textId="77777777" w:rsidTr="006C2BDF">
        <w:tc>
          <w:tcPr>
            <w:tcW w:w="2425" w:type="dxa"/>
          </w:tcPr>
          <w:p w14:paraId="191A3756"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1DC990A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sick and the elderly</w:t>
            </w:r>
          </w:p>
        </w:tc>
      </w:tr>
      <w:tr w:rsidR="007669E1" w:rsidRPr="007669E1" w14:paraId="01B986C1" w14:textId="77777777" w:rsidTr="006C2BDF">
        <w:tc>
          <w:tcPr>
            <w:tcW w:w="2425" w:type="dxa"/>
          </w:tcPr>
          <w:p w14:paraId="521B03D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7170715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26DBF579" w14:textId="77777777" w:rsidTr="006C2BDF">
        <w:tc>
          <w:tcPr>
            <w:tcW w:w="2425" w:type="dxa"/>
          </w:tcPr>
          <w:p w14:paraId="457353B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746020E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benchmark VAT base is all goods and services consumed in Moldova; this exemption for care-related supplies is thereby a tax expenditure.  Many countries have a comparable tax expenditure for care-related supplies. The effect of an exempt supply is that the care supplier does not charge VAT on their outputs, nor can they claim input tax credits on expenses that are not directly related to caregiving (for example, rent and utilities) they incurred to produce the care-related goods or services.</w:t>
            </w:r>
          </w:p>
        </w:tc>
      </w:tr>
      <w:tr w:rsidR="007669E1" w:rsidRPr="007669E1" w14:paraId="6B8A1E27" w14:textId="77777777" w:rsidTr="006C2BDF">
        <w:tc>
          <w:tcPr>
            <w:tcW w:w="2425" w:type="dxa"/>
          </w:tcPr>
          <w:p w14:paraId="5F64E09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3C0A206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103(9)</w:t>
            </w:r>
          </w:p>
        </w:tc>
      </w:tr>
      <w:tr w:rsidR="00136C8F" w:rsidRPr="007669E1" w14:paraId="1FF5890B" w14:textId="77777777" w:rsidTr="006C2BDF">
        <w:trPr>
          <w:trHeight w:val="182"/>
        </w:trPr>
        <w:tc>
          <w:tcPr>
            <w:tcW w:w="2425" w:type="dxa"/>
            <w:vMerge w:val="restart"/>
          </w:tcPr>
          <w:p w14:paraId="2CB3BF59"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06C07282"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6F769187" w14:textId="77777777" w:rsidTr="006C2BDF">
        <w:trPr>
          <w:trHeight w:val="182"/>
        </w:trPr>
        <w:tc>
          <w:tcPr>
            <w:tcW w:w="2425" w:type="dxa"/>
            <w:vMerge/>
          </w:tcPr>
          <w:p w14:paraId="29973E18"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4585F0EE" w14:textId="3698ABEE" w:rsidR="00F53AD0"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F53AD0" w:rsidRPr="007669E1">
              <w:rPr>
                <w:rFonts w:ascii="Segoe UI" w:hAnsi="Segoe UI" w:cs="Segoe UI"/>
                <w:sz w:val="18"/>
                <w:szCs w:val="18"/>
              </w:rPr>
              <w:t xml:space="preserve"> 01.01.1998 – services;</w:t>
            </w:r>
          </w:p>
          <w:p w14:paraId="2A35E30E" w14:textId="672EC67E" w:rsidR="00F77F6D" w:rsidRPr="007669E1" w:rsidRDefault="00F53AD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12.10.2000</w:t>
            </w:r>
            <w:r w:rsidR="00B56E94" w:rsidRPr="007669E1">
              <w:rPr>
                <w:rFonts w:ascii="Segoe UI" w:hAnsi="Segoe UI" w:cs="Segoe UI"/>
                <w:sz w:val="18"/>
                <w:szCs w:val="18"/>
              </w:rPr>
              <w:t xml:space="preserve"> – service and goods</w:t>
            </w:r>
          </w:p>
        </w:tc>
        <w:tc>
          <w:tcPr>
            <w:tcW w:w="3738" w:type="dxa"/>
            <w:gridSpan w:val="3"/>
          </w:tcPr>
          <w:p w14:paraId="70545CBC" w14:textId="3514A945"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05F8C6E6" w14:textId="77777777" w:rsidTr="006C2BDF">
        <w:tc>
          <w:tcPr>
            <w:tcW w:w="2425" w:type="dxa"/>
          </w:tcPr>
          <w:p w14:paraId="32B9E45A" w14:textId="77777777" w:rsidR="00517362" w:rsidRPr="000F2CA8" w:rsidRDefault="00517362"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207A115C" w14:textId="09F507A4"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05B37B91" w14:textId="77777777" w:rsidTr="006C2BDF">
        <w:tc>
          <w:tcPr>
            <w:tcW w:w="2425" w:type="dxa"/>
          </w:tcPr>
          <w:p w14:paraId="33F31C2E" w14:textId="77777777" w:rsidR="00517362" w:rsidRPr="000F2CA8" w:rsidRDefault="00517362"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108CD426" w14:textId="75248A34"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6802FB7B" w14:textId="77777777" w:rsidTr="006C2BDF">
        <w:tc>
          <w:tcPr>
            <w:tcW w:w="2425" w:type="dxa"/>
          </w:tcPr>
          <w:p w14:paraId="51982146" w14:textId="77777777" w:rsidR="00517362" w:rsidRPr="000F2CA8" w:rsidRDefault="00517362"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54414BBA" w14:textId="374EDA18"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6211F5F6" w14:textId="77777777" w:rsidTr="006C2BDF">
        <w:tc>
          <w:tcPr>
            <w:tcW w:w="2425" w:type="dxa"/>
          </w:tcPr>
          <w:p w14:paraId="55768083"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3E2D11D5" w14:textId="595A021E" w:rsidR="00E05468"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32D0BA90" w14:textId="77777777" w:rsidTr="006C2BDF">
        <w:trPr>
          <w:trHeight w:val="91"/>
        </w:trPr>
        <w:tc>
          <w:tcPr>
            <w:tcW w:w="2425" w:type="dxa"/>
            <w:vMerge w:val="restart"/>
          </w:tcPr>
          <w:p w14:paraId="6615D98C"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6F47C160"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2ED260D5"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57D9A704"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53E923E9" w14:textId="48A63471"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32138B38" w14:textId="1E37D6A7" w:rsidR="00E05468"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136C8F" w:rsidRPr="007669E1" w14:paraId="4ACC8EF4" w14:textId="77777777" w:rsidTr="006C2BDF">
        <w:trPr>
          <w:trHeight w:val="91"/>
        </w:trPr>
        <w:tc>
          <w:tcPr>
            <w:tcW w:w="2425" w:type="dxa"/>
            <w:vMerge/>
          </w:tcPr>
          <w:p w14:paraId="0C91EA47"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54D54F9A" w14:textId="167551A0" w:rsidR="00E05468" w:rsidRPr="007669E1" w:rsidRDefault="00AF45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165BAE6D" w14:textId="2DC91369" w:rsidR="00E05468" w:rsidRPr="007669E1" w:rsidRDefault="002949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563F3927" w14:textId="15FA6409" w:rsidR="00E05468" w:rsidRPr="007669E1" w:rsidRDefault="002949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528077CA" w14:textId="41DC6C49" w:rsidR="00E05468" w:rsidRPr="007669E1" w:rsidRDefault="002949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25806C6E" w14:textId="4032FD25" w:rsidR="00E05468" w:rsidRPr="007669E1" w:rsidRDefault="002949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2494FC10"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68B754E6" w14:textId="77777777" w:rsidTr="006C2BDF">
        <w:tc>
          <w:tcPr>
            <w:tcW w:w="9625" w:type="dxa"/>
            <w:gridSpan w:val="7"/>
            <w:shd w:val="clear" w:color="auto" w:fill="D9D9D9" w:themeFill="background1" w:themeFillShade="D9"/>
          </w:tcPr>
          <w:p w14:paraId="0296A7FD" w14:textId="71C9D48A" w:rsidR="00F77F6D" w:rsidRPr="000F2CA8" w:rsidRDefault="00F77F6D" w:rsidP="00E90BA7">
            <w:pPr>
              <w:keepNext/>
              <w:spacing w:before="20" w:after="20" w:line="240" w:lineRule="auto"/>
              <w:jc w:val="both"/>
              <w:rPr>
                <w:rFonts w:ascii="Segoe UI" w:hAnsi="Segoe UI" w:cs="Segoe UI"/>
                <w:b/>
                <w:bCs/>
                <w:sz w:val="18"/>
                <w:szCs w:val="18"/>
              </w:rPr>
            </w:pPr>
            <w:r w:rsidRPr="000F2CA8">
              <w:rPr>
                <w:rFonts w:ascii="Segoe UI" w:hAnsi="Segoe UI" w:cs="Segoe UI"/>
                <w:b/>
                <w:bCs/>
                <w:sz w:val="18"/>
                <w:szCs w:val="18"/>
              </w:rPr>
              <w:lastRenderedPageBreak/>
              <w:t xml:space="preserve">15. Exempting the supply of medical services and associated goods </w:t>
            </w:r>
          </w:p>
        </w:tc>
      </w:tr>
      <w:tr w:rsidR="007669E1" w:rsidRPr="007669E1" w14:paraId="0A22C7B2" w14:textId="77777777" w:rsidTr="006C2BDF">
        <w:tc>
          <w:tcPr>
            <w:tcW w:w="2425" w:type="dxa"/>
          </w:tcPr>
          <w:p w14:paraId="5C40DA0A" w14:textId="77777777" w:rsidR="00F77F6D" w:rsidRPr="000F2CA8" w:rsidRDefault="00F77F6D" w:rsidP="00E90BA7">
            <w:pPr>
              <w:keepNext/>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3EF9A45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following is exempt from VAT: The supply of medical services, except cosmetic services, air medical ambulance services; medical supplies, materials, articles, primary and secondary packaging used in the preparation and production of drugs authorized by the Ministry of Health, Labor and Social Protection, except for the ethyl alcohol, cosmetics, according to the list approved by the Government; wheelchairs (tariff heading 8713), orthopedic and prosthetic articles and apparatus (tariff heading 9021); treatment tickets (including those without accommodation) and holidays in spas, tourist service packages; the technical means used exclusively for purposes related to the prophylaxis of disability and the rehabilitation of disabled persons</w:t>
            </w:r>
          </w:p>
        </w:tc>
      </w:tr>
      <w:tr w:rsidR="007669E1" w:rsidRPr="007669E1" w14:paraId="0D6429FE" w14:textId="77777777" w:rsidTr="006C2BDF">
        <w:tc>
          <w:tcPr>
            <w:tcW w:w="2425" w:type="dxa"/>
          </w:tcPr>
          <w:p w14:paraId="7353B79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6DB6804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6A8DA1B1" w14:textId="77777777" w:rsidTr="006C2BDF">
        <w:tc>
          <w:tcPr>
            <w:tcW w:w="2425" w:type="dxa"/>
          </w:tcPr>
          <w:p w14:paraId="56ABB509"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144D0A3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Persons receiving medical care and services.</w:t>
            </w:r>
          </w:p>
        </w:tc>
      </w:tr>
      <w:tr w:rsidR="007669E1" w:rsidRPr="007669E1" w14:paraId="7E370B68" w14:textId="77777777" w:rsidTr="006C2BDF">
        <w:tc>
          <w:tcPr>
            <w:tcW w:w="2425" w:type="dxa"/>
          </w:tcPr>
          <w:p w14:paraId="5680E89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2A684BF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4CA7FBE3" w14:textId="77777777" w:rsidTr="006C2BDF">
        <w:tc>
          <w:tcPr>
            <w:tcW w:w="2425" w:type="dxa"/>
          </w:tcPr>
          <w:p w14:paraId="20BD9C5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25230C9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benchmark VAT base is all goods and services consumed in Moldova; this exemption for health-related supplies is thereby a tax expenditure.  Many countries have a comparable tax expenditure for health-related supplies. The effect of an exempt supply is that the healthcare supplier does not charge VAT on their outputs, nor can they claim input tax credits on expenses that are not directly related to health (for example, rent and utilities) they incurred to produce or distribute the health-related goods or services.</w:t>
            </w:r>
          </w:p>
        </w:tc>
      </w:tr>
      <w:tr w:rsidR="007669E1" w:rsidRPr="007669E1" w14:paraId="63566680" w14:textId="77777777" w:rsidTr="006C2BDF">
        <w:tc>
          <w:tcPr>
            <w:tcW w:w="2425" w:type="dxa"/>
          </w:tcPr>
          <w:p w14:paraId="6377224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6C6B16C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103(10)</w:t>
            </w:r>
          </w:p>
        </w:tc>
      </w:tr>
      <w:tr w:rsidR="00136C8F" w:rsidRPr="007669E1" w14:paraId="577C25E9" w14:textId="77777777" w:rsidTr="006C2BDF">
        <w:trPr>
          <w:trHeight w:val="182"/>
        </w:trPr>
        <w:tc>
          <w:tcPr>
            <w:tcW w:w="2425" w:type="dxa"/>
            <w:vMerge w:val="restart"/>
          </w:tcPr>
          <w:p w14:paraId="04A726F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1B8EFC92"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0D7C8909" w14:textId="77777777" w:rsidTr="006C2BDF">
        <w:trPr>
          <w:trHeight w:val="182"/>
        </w:trPr>
        <w:tc>
          <w:tcPr>
            <w:tcW w:w="2425" w:type="dxa"/>
            <w:vMerge/>
          </w:tcPr>
          <w:p w14:paraId="50C73050"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049550A5" w14:textId="77426C39"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4224B7" w:rsidRPr="007669E1">
              <w:rPr>
                <w:rFonts w:ascii="Segoe UI" w:hAnsi="Segoe UI" w:cs="Segoe UI"/>
                <w:sz w:val="18"/>
                <w:szCs w:val="18"/>
              </w:rPr>
              <w:t xml:space="preserve"> 1998</w:t>
            </w:r>
          </w:p>
        </w:tc>
        <w:tc>
          <w:tcPr>
            <w:tcW w:w="3738" w:type="dxa"/>
            <w:gridSpan w:val="3"/>
          </w:tcPr>
          <w:p w14:paraId="6F438CC6" w14:textId="74AE7D67"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45D6A0BD" w14:textId="77777777" w:rsidTr="006C2BDF">
        <w:tc>
          <w:tcPr>
            <w:tcW w:w="2425" w:type="dxa"/>
          </w:tcPr>
          <w:p w14:paraId="7DA1D08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43CA602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1139D8BC" w14:textId="77777777" w:rsidTr="006C2BDF">
        <w:tc>
          <w:tcPr>
            <w:tcW w:w="2425" w:type="dxa"/>
          </w:tcPr>
          <w:p w14:paraId="55E148D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3EB3C28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768AF93C" w14:textId="77777777" w:rsidTr="006C2BDF">
        <w:tc>
          <w:tcPr>
            <w:tcW w:w="2425" w:type="dxa"/>
          </w:tcPr>
          <w:p w14:paraId="733C6029"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6E420A1D"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6CE1CEFF" w14:textId="77777777" w:rsidTr="006C2BDF">
        <w:tc>
          <w:tcPr>
            <w:tcW w:w="2425" w:type="dxa"/>
          </w:tcPr>
          <w:p w14:paraId="4C8878F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2A968E67" w14:textId="28723E52" w:rsidR="00F77F6D" w:rsidRPr="007669E1" w:rsidRDefault="00A14BE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577F4A27" w14:textId="77777777" w:rsidTr="006C2BDF">
        <w:trPr>
          <w:trHeight w:val="91"/>
        </w:trPr>
        <w:tc>
          <w:tcPr>
            <w:tcW w:w="2425" w:type="dxa"/>
            <w:vMerge w:val="restart"/>
          </w:tcPr>
          <w:p w14:paraId="2DCEF4B7"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778ECF7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3CBB0BC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6EBEFC66"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2FE5B69D" w14:textId="23315AEE"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1A9B6BB2" w14:textId="3284E395" w:rsidR="00F77F6D"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19A8" w:rsidRPr="007669E1" w14:paraId="3BDCC30E" w14:textId="77777777" w:rsidTr="00851CF2">
        <w:trPr>
          <w:trHeight w:val="91"/>
        </w:trPr>
        <w:tc>
          <w:tcPr>
            <w:tcW w:w="2425" w:type="dxa"/>
            <w:vMerge/>
          </w:tcPr>
          <w:p w14:paraId="494CA6BD"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1CA58212" w14:textId="78C90361" w:rsidR="00F77F6D" w:rsidRPr="007669E1" w:rsidRDefault="00A14BE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787,558.4</w:t>
            </w:r>
          </w:p>
        </w:tc>
        <w:tc>
          <w:tcPr>
            <w:tcW w:w="1385" w:type="dxa"/>
            <w:shd w:val="clear" w:color="auto" w:fill="D9D9D9" w:themeFill="background1" w:themeFillShade="D9"/>
            <w:vAlign w:val="bottom"/>
          </w:tcPr>
          <w:p w14:paraId="147BA51D" w14:textId="5293A0D0" w:rsidR="00F77F6D" w:rsidRPr="007669E1" w:rsidRDefault="00A14BE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863,954.4</w:t>
            </w:r>
          </w:p>
        </w:tc>
        <w:tc>
          <w:tcPr>
            <w:tcW w:w="1385" w:type="dxa"/>
            <w:gridSpan w:val="2"/>
            <w:shd w:val="clear" w:color="auto" w:fill="D9D9D9" w:themeFill="background1" w:themeFillShade="D9"/>
            <w:vAlign w:val="bottom"/>
          </w:tcPr>
          <w:p w14:paraId="667A0254" w14:textId="048D4014" w:rsidR="00F77F6D" w:rsidRPr="007669E1" w:rsidRDefault="00A14BE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839,755.7</w:t>
            </w:r>
          </w:p>
        </w:tc>
        <w:tc>
          <w:tcPr>
            <w:tcW w:w="1385" w:type="dxa"/>
            <w:shd w:val="clear" w:color="auto" w:fill="D9D9D9" w:themeFill="background1" w:themeFillShade="D9"/>
            <w:vAlign w:val="bottom"/>
          </w:tcPr>
          <w:p w14:paraId="71B84494" w14:textId="39E0040D" w:rsidR="00F77F6D" w:rsidRPr="007669E1" w:rsidRDefault="00A14BE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1,023,246.0</w:t>
            </w:r>
          </w:p>
        </w:tc>
        <w:tc>
          <w:tcPr>
            <w:tcW w:w="1660" w:type="dxa"/>
            <w:shd w:val="clear" w:color="auto" w:fill="D9D9D9" w:themeFill="background1" w:themeFillShade="D9"/>
            <w:vAlign w:val="bottom"/>
          </w:tcPr>
          <w:p w14:paraId="452BC977" w14:textId="620836D2" w:rsidR="00F77F6D" w:rsidRPr="007669E1" w:rsidRDefault="00A14BEF"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1,128,040.5</w:t>
            </w:r>
          </w:p>
        </w:tc>
      </w:tr>
    </w:tbl>
    <w:p w14:paraId="1F33CE59"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630C26F4" w14:textId="77777777" w:rsidTr="006C2BDF">
        <w:tc>
          <w:tcPr>
            <w:tcW w:w="9625" w:type="dxa"/>
            <w:gridSpan w:val="7"/>
            <w:shd w:val="clear" w:color="auto" w:fill="D9D9D9" w:themeFill="background1" w:themeFillShade="D9"/>
          </w:tcPr>
          <w:p w14:paraId="34DED131" w14:textId="66EBB8ED"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16. Exempting the supply of goods and services in canteens of educational and healthcare institutions</w:t>
            </w:r>
          </w:p>
        </w:tc>
      </w:tr>
      <w:tr w:rsidR="007669E1" w:rsidRPr="007669E1" w14:paraId="1C9CBB50" w14:textId="77777777" w:rsidTr="006C2BDF">
        <w:tc>
          <w:tcPr>
            <w:tcW w:w="2425" w:type="dxa"/>
          </w:tcPr>
          <w:p w14:paraId="643F5CE5"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6DDB998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following is exempt from VAT: products of own production of the student canteens, school canteens and canteens of other education institutions, hospitals and pre-school institutions, canteens belonging to other institutions and organizations from the social-cultural sphere financed partly or entirely from the budget, as well as canteens specialized in feeding the needy elderly people on the charitable organizations’ expenses.</w:t>
            </w:r>
          </w:p>
        </w:tc>
      </w:tr>
      <w:tr w:rsidR="007669E1" w:rsidRPr="007669E1" w14:paraId="1861014D" w14:textId="77777777" w:rsidTr="006C2BDF">
        <w:tc>
          <w:tcPr>
            <w:tcW w:w="2425" w:type="dxa"/>
          </w:tcPr>
          <w:p w14:paraId="43CAB09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51E6A55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61FA966E" w14:textId="77777777" w:rsidTr="006C2BDF">
        <w:tc>
          <w:tcPr>
            <w:tcW w:w="2425" w:type="dxa"/>
          </w:tcPr>
          <w:p w14:paraId="5C7B9786"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0C70E47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Pupils and patients and hospital staff that consume canteen food</w:t>
            </w:r>
          </w:p>
        </w:tc>
      </w:tr>
      <w:tr w:rsidR="007669E1" w:rsidRPr="007669E1" w14:paraId="66CC341E" w14:textId="77777777" w:rsidTr="006C2BDF">
        <w:tc>
          <w:tcPr>
            <w:tcW w:w="2425" w:type="dxa"/>
          </w:tcPr>
          <w:p w14:paraId="6569DFF0"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29C0DC3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4AEBECA2" w14:textId="77777777" w:rsidTr="006C2BDF">
        <w:tc>
          <w:tcPr>
            <w:tcW w:w="2425" w:type="dxa"/>
          </w:tcPr>
          <w:p w14:paraId="42F8477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49D9FDD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benchmark VAT base is all goods and services consumed in Moldova; this exemption for the supply of canteen food is thereby a tax expenditure.  Many countries have a comparable tax expenditure. The effect of an exempt supply is that the supplier of canteen food does not charge VAT on their outputs, nor can they claim input tax credits on expenses.</w:t>
            </w:r>
          </w:p>
        </w:tc>
      </w:tr>
      <w:tr w:rsidR="007669E1" w:rsidRPr="007669E1" w14:paraId="605C5B99" w14:textId="77777777" w:rsidTr="006C2BDF">
        <w:tc>
          <w:tcPr>
            <w:tcW w:w="2425" w:type="dxa"/>
          </w:tcPr>
          <w:p w14:paraId="57E1E049"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0F663DC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103(11)</w:t>
            </w:r>
          </w:p>
        </w:tc>
      </w:tr>
      <w:tr w:rsidR="00136C8F" w:rsidRPr="007669E1" w14:paraId="1C01CC61" w14:textId="77777777" w:rsidTr="006C2BDF">
        <w:trPr>
          <w:trHeight w:val="182"/>
        </w:trPr>
        <w:tc>
          <w:tcPr>
            <w:tcW w:w="2425" w:type="dxa"/>
            <w:vMerge w:val="restart"/>
          </w:tcPr>
          <w:p w14:paraId="5232DCC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044D13EB"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550185EC" w14:textId="77777777" w:rsidTr="006C2BDF">
        <w:trPr>
          <w:trHeight w:val="182"/>
        </w:trPr>
        <w:tc>
          <w:tcPr>
            <w:tcW w:w="2425" w:type="dxa"/>
            <w:vMerge/>
          </w:tcPr>
          <w:p w14:paraId="0C0A6CF3"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0702533D" w14:textId="0B34134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5B213B" w:rsidRPr="007669E1">
              <w:rPr>
                <w:rFonts w:ascii="Segoe UI" w:hAnsi="Segoe UI" w:cs="Segoe UI"/>
                <w:sz w:val="18"/>
                <w:szCs w:val="18"/>
              </w:rPr>
              <w:t xml:space="preserve"> 1998</w:t>
            </w:r>
          </w:p>
        </w:tc>
        <w:tc>
          <w:tcPr>
            <w:tcW w:w="3738" w:type="dxa"/>
            <w:gridSpan w:val="3"/>
          </w:tcPr>
          <w:p w14:paraId="7F3FFE08" w14:textId="650DC13E"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586CDF9A" w14:textId="77777777" w:rsidTr="006C2BDF">
        <w:tc>
          <w:tcPr>
            <w:tcW w:w="2425" w:type="dxa"/>
          </w:tcPr>
          <w:p w14:paraId="367B82E1" w14:textId="77777777" w:rsidR="00351C9B" w:rsidRPr="000F2CA8" w:rsidRDefault="00351C9B"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3B58CAE7" w14:textId="4514EF6A"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2E937C35" w14:textId="77777777" w:rsidTr="006C2BDF">
        <w:tc>
          <w:tcPr>
            <w:tcW w:w="2425" w:type="dxa"/>
          </w:tcPr>
          <w:p w14:paraId="63CAEF0F" w14:textId="77777777" w:rsidR="00351C9B" w:rsidRPr="000F2CA8" w:rsidRDefault="00351C9B"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7B4203AA" w14:textId="30583B8C"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560B4C2B" w14:textId="77777777" w:rsidTr="006C2BDF">
        <w:tc>
          <w:tcPr>
            <w:tcW w:w="2425" w:type="dxa"/>
          </w:tcPr>
          <w:p w14:paraId="6B10C303" w14:textId="77777777" w:rsidR="00351C9B" w:rsidRPr="000F2CA8" w:rsidRDefault="00351C9B"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lastRenderedPageBreak/>
              <w:t>Number of Beneficiaries</w:t>
            </w:r>
          </w:p>
        </w:tc>
        <w:tc>
          <w:tcPr>
            <w:tcW w:w="7200" w:type="dxa"/>
            <w:gridSpan w:val="6"/>
          </w:tcPr>
          <w:p w14:paraId="7D16280C" w14:textId="4363262D" w:rsidR="00351C9B"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E09B598" w14:textId="77777777" w:rsidTr="006C2BDF">
        <w:tc>
          <w:tcPr>
            <w:tcW w:w="2425" w:type="dxa"/>
          </w:tcPr>
          <w:p w14:paraId="0A75F88C"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6ACCCE0D" w14:textId="0E4A4369" w:rsidR="00E05468" w:rsidRPr="007669E1" w:rsidRDefault="00351C9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068745D8" w14:textId="77777777" w:rsidTr="006C2BDF">
        <w:trPr>
          <w:trHeight w:val="91"/>
        </w:trPr>
        <w:tc>
          <w:tcPr>
            <w:tcW w:w="2425" w:type="dxa"/>
            <w:vMerge w:val="restart"/>
          </w:tcPr>
          <w:p w14:paraId="65885F35"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3BB97009"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540BE5CE"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677BF630"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19A06DED" w14:textId="702BF6CB"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3AA5D272" w14:textId="51B179FB" w:rsidR="00E05468"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136C8F" w:rsidRPr="007669E1" w14:paraId="6CEEE21D" w14:textId="77777777" w:rsidTr="006C2BDF">
        <w:trPr>
          <w:trHeight w:val="91"/>
        </w:trPr>
        <w:tc>
          <w:tcPr>
            <w:tcW w:w="2425" w:type="dxa"/>
            <w:vMerge/>
          </w:tcPr>
          <w:p w14:paraId="0E8F2E90"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25F9FB8B" w14:textId="7F2638FF" w:rsidR="00E05468" w:rsidRPr="007669E1" w:rsidRDefault="0093238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0233C3F0" w14:textId="7865968E" w:rsidR="00E05468" w:rsidRPr="007669E1" w:rsidRDefault="0093238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16F089C2" w14:textId="6C4DB29B" w:rsidR="00E05468" w:rsidRPr="007669E1" w:rsidRDefault="0093238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24E19A77" w14:textId="7BC9C93C" w:rsidR="00E05468" w:rsidRPr="007669E1" w:rsidRDefault="0093238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7DEFA08B" w14:textId="0739F66A" w:rsidR="00E05468" w:rsidRPr="007669E1" w:rsidRDefault="0093238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236568D9" w14:textId="7B3725A1"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75E87292" w14:textId="77777777" w:rsidTr="0095713A">
        <w:tc>
          <w:tcPr>
            <w:tcW w:w="9625" w:type="dxa"/>
            <w:gridSpan w:val="7"/>
            <w:shd w:val="clear" w:color="auto" w:fill="D9D9D9" w:themeFill="background1" w:themeFillShade="D9"/>
          </w:tcPr>
          <w:p w14:paraId="04741F7B" w14:textId="6F88FEEB"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17. VAT exemption of financial services</w:t>
            </w:r>
          </w:p>
        </w:tc>
      </w:tr>
      <w:tr w:rsidR="007669E1" w:rsidRPr="007669E1" w14:paraId="4DE931A4" w14:textId="77777777" w:rsidTr="0095713A">
        <w:tc>
          <w:tcPr>
            <w:tcW w:w="2425" w:type="dxa"/>
          </w:tcPr>
          <w:p w14:paraId="7180306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5DCE4991" w14:textId="75A8807E" w:rsidR="00F77F6D" w:rsidRPr="007669E1" w:rsidRDefault="00F77F6D" w:rsidP="00E90BA7">
            <w:pPr>
              <w:pStyle w:val="Default"/>
              <w:spacing w:before="20" w:after="20"/>
              <w:jc w:val="both"/>
              <w:rPr>
                <w:rFonts w:ascii="Segoe UI" w:hAnsi="Segoe UI" w:cs="Segoe UI"/>
                <w:sz w:val="18"/>
                <w:szCs w:val="18"/>
              </w:rPr>
            </w:pPr>
            <w:r w:rsidRPr="007669E1">
              <w:rPr>
                <w:rFonts w:ascii="Segoe UI" w:hAnsi="Segoe UI" w:cs="Segoe UI"/>
                <w:sz w:val="18"/>
                <w:szCs w:val="18"/>
              </w:rPr>
              <w:t xml:space="preserve">The following is exempt from VAT: a) granting or transferring credits, credit guarantees, other warranties for cash transactions and crediting, including management of loans, credits or credit guarantees by creditors; b) transactions related to deposit accounts, including savings accounts, settlement and budget accounts, credit transfers, including through payment service providers, debt securities, checks and other financial instruments, except for income from the sale of goods in the event of credit default, from the rendering of information, consultancy and expertise services, from the purchase and rent of broker’s places at the stock exchange, from rental, from cash collection and delivery services to clients, from services of receipt, storage and transfer of values, cash, securities and documents, revenues from fiduciary operations of management the clients’ goods, from the liquidation of the assets of the bankrupt companies, fees for providing clients with regulatory documentation; c) import of banknotes and metal coins in national currency, banknotes in foreign currency (including for numismatic purposes) and other operations related to the circulation of national currency and foreign currency, as well as import of goods by the National Bank of Moldova and other deliveries to/by the National Bank of Moldova with these goods; d) transactions related to the issuance of shares, bonds, bills of exchange and other securities, incl. trading and brokering operations on the capital market, transactions of the entity keeping the records of the securities holders; e) transactions related to derivative financial instruments, forward, options agreements and other financial operations; f) services related to investment funds management and qualified non-state pension funds; </w:t>
            </w:r>
            <w:r w:rsidR="009F7472" w:rsidRPr="007669E1">
              <w:rPr>
                <w:rFonts w:ascii="Segoe UI" w:hAnsi="Segoe UI" w:cs="Segoe UI"/>
                <w:sz w:val="18"/>
                <w:szCs w:val="18"/>
              </w:rPr>
              <w:t xml:space="preserve">and </w:t>
            </w:r>
            <w:r w:rsidRPr="007669E1">
              <w:rPr>
                <w:rFonts w:ascii="Segoe UI" w:hAnsi="Segoe UI" w:cs="Segoe UI"/>
                <w:sz w:val="18"/>
                <w:szCs w:val="18"/>
              </w:rPr>
              <w:t>g) insurance and/or reinsurance operations, including brokering services of those</w:t>
            </w:r>
            <w:r w:rsidR="009F7472" w:rsidRPr="007669E1">
              <w:rPr>
                <w:rFonts w:ascii="Segoe UI" w:hAnsi="Segoe UI" w:cs="Segoe UI"/>
                <w:sz w:val="18"/>
                <w:szCs w:val="18"/>
              </w:rPr>
              <w:t>.</w:t>
            </w:r>
          </w:p>
        </w:tc>
      </w:tr>
      <w:tr w:rsidR="007669E1" w:rsidRPr="007669E1" w14:paraId="5572BC78" w14:textId="77777777" w:rsidTr="0095713A">
        <w:tc>
          <w:tcPr>
            <w:tcW w:w="2425" w:type="dxa"/>
          </w:tcPr>
          <w:p w14:paraId="062244F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6BBD3A4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4A8C4BA7" w14:textId="77777777" w:rsidTr="0095713A">
        <w:tc>
          <w:tcPr>
            <w:tcW w:w="2425" w:type="dxa"/>
          </w:tcPr>
          <w:p w14:paraId="2DB5246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19436BD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and businesses using financial services provided in Moldova</w:t>
            </w:r>
          </w:p>
        </w:tc>
      </w:tr>
      <w:tr w:rsidR="007669E1" w:rsidRPr="007669E1" w14:paraId="6B05E106" w14:textId="77777777" w:rsidTr="0095713A">
        <w:tc>
          <w:tcPr>
            <w:tcW w:w="2425" w:type="dxa"/>
          </w:tcPr>
          <w:p w14:paraId="033F22E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2829EA1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1EB65795" w14:textId="77777777" w:rsidTr="0095713A">
        <w:tc>
          <w:tcPr>
            <w:tcW w:w="2425" w:type="dxa"/>
          </w:tcPr>
          <w:p w14:paraId="5B96994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3B82A9B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benchmark VAT base is all goods and services consumed in Moldova, including financial services. This exemption is therefore a tax expenditure.  With regard to life insurance, one should note that it is primarily a mechanism for long-term savings and estate planning rather than a good or service. Thus, exempting this type of insurance is part of the VAT benchmark tax base.</w:t>
            </w:r>
          </w:p>
        </w:tc>
      </w:tr>
      <w:tr w:rsidR="007669E1" w:rsidRPr="007669E1" w14:paraId="087BE65E" w14:textId="77777777" w:rsidTr="0095713A">
        <w:tc>
          <w:tcPr>
            <w:tcW w:w="2425" w:type="dxa"/>
          </w:tcPr>
          <w:p w14:paraId="544AB12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507A8CE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103(12)</w:t>
            </w:r>
          </w:p>
        </w:tc>
      </w:tr>
      <w:tr w:rsidR="00136C8F" w:rsidRPr="007669E1" w14:paraId="73B70659" w14:textId="77777777" w:rsidTr="0095713A">
        <w:trPr>
          <w:trHeight w:val="182"/>
        </w:trPr>
        <w:tc>
          <w:tcPr>
            <w:tcW w:w="2425" w:type="dxa"/>
            <w:vMerge w:val="restart"/>
          </w:tcPr>
          <w:p w14:paraId="144147F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2772A1D4"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35DC207B" w14:textId="77777777" w:rsidTr="0095713A">
        <w:trPr>
          <w:trHeight w:val="182"/>
        </w:trPr>
        <w:tc>
          <w:tcPr>
            <w:tcW w:w="2425" w:type="dxa"/>
            <w:vMerge/>
          </w:tcPr>
          <w:p w14:paraId="4F7B7759"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4E9E6447" w14:textId="680F82E6"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225306" w:rsidRPr="007669E1">
              <w:rPr>
                <w:rFonts w:ascii="Segoe UI" w:hAnsi="Segoe UI" w:cs="Segoe UI"/>
                <w:sz w:val="18"/>
                <w:szCs w:val="18"/>
              </w:rPr>
              <w:t xml:space="preserve"> 1998</w:t>
            </w:r>
          </w:p>
        </w:tc>
        <w:tc>
          <w:tcPr>
            <w:tcW w:w="3738" w:type="dxa"/>
            <w:gridSpan w:val="3"/>
          </w:tcPr>
          <w:p w14:paraId="2D79D48E" w14:textId="5BBB45DB"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BE17158" w14:textId="77777777" w:rsidTr="0095713A">
        <w:tc>
          <w:tcPr>
            <w:tcW w:w="2425" w:type="dxa"/>
          </w:tcPr>
          <w:p w14:paraId="58D6E0C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467B1BA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5F059591" w14:textId="77777777" w:rsidTr="0095713A">
        <w:tc>
          <w:tcPr>
            <w:tcW w:w="2425" w:type="dxa"/>
          </w:tcPr>
          <w:p w14:paraId="12C63156"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585F672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6B3A730A" w14:textId="77777777" w:rsidTr="0095713A">
        <w:tc>
          <w:tcPr>
            <w:tcW w:w="2425" w:type="dxa"/>
          </w:tcPr>
          <w:p w14:paraId="7447B74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7E505785"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4F3C2021" w14:textId="77777777" w:rsidTr="0095713A">
        <w:tc>
          <w:tcPr>
            <w:tcW w:w="2425" w:type="dxa"/>
          </w:tcPr>
          <w:p w14:paraId="3C5C2BDD"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370B800C" w14:textId="4E4D84CE" w:rsidR="00F77F6D" w:rsidRPr="007669E1" w:rsidRDefault="00A14BE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6E3355D1" w14:textId="77777777" w:rsidTr="0095713A">
        <w:trPr>
          <w:trHeight w:val="91"/>
        </w:trPr>
        <w:tc>
          <w:tcPr>
            <w:tcW w:w="2425" w:type="dxa"/>
            <w:vMerge w:val="restart"/>
          </w:tcPr>
          <w:p w14:paraId="50A96EAD"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0F07B0C7"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3515722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12C9DE7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65679ACC" w14:textId="61A7C826"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52AA66B7" w14:textId="7CB64420"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19A8" w:rsidRPr="007669E1" w14:paraId="74316E68" w14:textId="77777777" w:rsidTr="005435B3">
        <w:trPr>
          <w:trHeight w:val="91"/>
        </w:trPr>
        <w:tc>
          <w:tcPr>
            <w:tcW w:w="2425" w:type="dxa"/>
            <w:vMerge/>
          </w:tcPr>
          <w:p w14:paraId="42701CE0"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62109138" w14:textId="4D896789" w:rsidR="00F77F6D" w:rsidRPr="007669E1" w:rsidRDefault="00D2491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(2,201.3)</w:t>
            </w:r>
          </w:p>
        </w:tc>
        <w:tc>
          <w:tcPr>
            <w:tcW w:w="1385" w:type="dxa"/>
            <w:shd w:val="clear" w:color="auto" w:fill="D9D9D9" w:themeFill="background1" w:themeFillShade="D9"/>
            <w:vAlign w:val="bottom"/>
          </w:tcPr>
          <w:p w14:paraId="309FF500" w14:textId="59CF2A40" w:rsidR="00F77F6D" w:rsidRPr="007669E1" w:rsidRDefault="00D2491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(2,001.2)</w:t>
            </w:r>
          </w:p>
        </w:tc>
        <w:tc>
          <w:tcPr>
            <w:tcW w:w="1385" w:type="dxa"/>
            <w:gridSpan w:val="2"/>
            <w:shd w:val="clear" w:color="auto" w:fill="D9D9D9" w:themeFill="background1" w:themeFillShade="D9"/>
            <w:vAlign w:val="bottom"/>
          </w:tcPr>
          <w:p w14:paraId="0386CACF" w14:textId="04BF8F4D" w:rsidR="00F77F6D" w:rsidRPr="007669E1" w:rsidRDefault="00D2491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(2,101.3)</w:t>
            </w:r>
          </w:p>
        </w:tc>
        <w:tc>
          <w:tcPr>
            <w:tcW w:w="1385" w:type="dxa"/>
            <w:shd w:val="clear" w:color="auto" w:fill="D9D9D9" w:themeFill="background1" w:themeFillShade="D9"/>
            <w:vAlign w:val="bottom"/>
          </w:tcPr>
          <w:p w14:paraId="651F1773" w14:textId="144743BF" w:rsidR="00F77F6D" w:rsidRPr="007669E1" w:rsidRDefault="00D2491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(2,501.5)</w:t>
            </w:r>
          </w:p>
        </w:tc>
        <w:tc>
          <w:tcPr>
            <w:tcW w:w="1660" w:type="dxa"/>
            <w:shd w:val="clear" w:color="auto" w:fill="D9D9D9" w:themeFill="background1" w:themeFillShade="D9"/>
            <w:vAlign w:val="bottom"/>
          </w:tcPr>
          <w:p w14:paraId="74D39614" w14:textId="3A1D501C" w:rsidR="00F77F6D" w:rsidRPr="007669E1" w:rsidRDefault="00D24912"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(2,401.5)</w:t>
            </w:r>
          </w:p>
        </w:tc>
      </w:tr>
    </w:tbl>
    <w:p w14:paraId="27657069"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51CCF6F2" w14:textId="77777777" w:rsidTr="0095713A">
        <w:tc>
          <w:tcPr>
            <w:tcW w:w="9625" w:type="dxa"/>
            <w:gridSpan w:val="7"/>
            <w:shd w:val="clear" w:color="auto" w:fill="D9D9D9" w:themeFill="background1" w:themeFillShade="D9"/>
          </w:tcPr>
          <w:p w14:paraId="14B729D8" w14:textId="574B1A86" w:rsidR="00F77F6D" w:rsidRPr="000F2CA8" w:rsidRDefault="00F77F6D" w:rsidP="00E90BA7">
            <w:pPr>
              <w:keepNext/>
              <w:keepLines/>
              <w:spacing w:before="20" w:after="20" w:line="240" w:lineRule="auto"/>
              <w:jc w:val="both"/>
              <w:rPr>
                <w:rFonts w:ascii="Segoe UI" w:hAnsi="Segoe UI" w:cs="Segoe UI"/>
                <w:b/>
                <w:bCs/>
                <w:sz w:val="18"/>
                <w:szCs w:val="18"/>
              </w:rPr>
            </w:pPr>
            <w:r w:rsidRPr="000F2CA8">
              <w:rPr>
                <w:rFonts w:ascii="Segoe UI" w:hAnsi="Segoe UI" w:cs="Segoe UI"/>
                <w:b/>
                <w:bCs/>
                <w:sz w:val="18"/>
                <w:szCs w:val="18"/>
              </w:rPr>
              <w:lastRenderedPageBreak/>
              <w:t>18. VAT exemption of postal services</w:t>
            </w:r>
          </w:p>
        </w:tc>
      </w:tr>
      <w:tr w:rsidR="007669E1" w:rsidRPr="007669E1" w14:paraId="71911E53" w14:textId="77777777" w:rsidTr="0095713A">
        <w:tc>
          <w:tcPr>
            <w:tcW w:w="2425" w:type="dxa"/>
          </w:tcPr>
          <w:p w14:paraId="3F2A7396" w14:textId="77777777" w:rsidR="00F77F6D" w:rsidRPr="000F2CA8" w:rsidRDefault="00F77F6D" w:rsidP="00E90BA7">
            <w:pPr>
              <w:keepNext/>
              <w:keepLines/>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5AA11AE1" w14:textId="5467B45E" w:rsidR="00F77F6D" w:rsidRPr="007669E1" w:rsidRDefault="00F77F6D"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The supply of postal services, including the delivery of pensions, subsidies and indemnities is exempt from VAT</w:t>
            </w:r>
            <w:r w:rsidR="009F7472" w:rsidRPr="007669E1">
              <w:rPr>
                <w:rFonts w:ascii="Segoe UI" w:hAnsi="Segoe UI" w:cs="Segoe UI"/>
                <w:sz w:val="18"/>
                <w:szCs w:val="18"/>
              </w:rPr>
              <w:t>.</w:t>
            </w:r>
          </w:p>
        </w:tc>
      </w:tr>
      <w:tr w:rsidR="007669E1" w:rsidRPr="007669E1" w14:paraId="5538A5C0" w14:textId="77777777" w:rsidTr="0095713A">
        <w:tc>
          <w:tcPr>
            <w:tcW w:w="2425" w:type="dxa"/>
          </w:tcPr>
          <w:p w14:paraId="6745484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67F24B1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0C597036" w14:textId="77777777" w:rsidTr="0095713A">
        <w:tc>
          <w:tcPr>
            <w:tcW w:w="2425" w:type="dxa"/>
          </w:tcPr>
          <w:p w14:paraId="793B8725"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7BBC92D2" w14:textId="1FF242EB"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Households using postal services and recipients of pensions and subsidies</w:t>
            </w:r>
            <w:r w:rsidR="009F7472" w:rsidRPr="007669E1">
              <w:rPr>
                <w:rFonts w:ascii="Segoe UI" w:hAnsi="Segoe UI" w:cs="Segoe UI"/>
                <w:sz w:val="18"/>
                <w:szCs w:val="18"/>
              </w:rPr>
              <w:t>.</w:t>
            </w:r>
          </w:p>
        </w:tc>
      </w:tr>
      <w:tr w:rsidR="007669E1" w:rsidRPr="007669E1" w14:paraId="4143307A" w14:textId="77777777" w:rsidTr="0095713A">
        <w:tc>
          <w:tcPr>
            <w:tcW w:w="2425" w:type="dxa"/>
          </w:tcPr>
          <w:p w14:paraId="5E328D1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545AFA5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46AC43C5" w14:textId="77777777" w:rsidTr="0095713A">
        <w:tc>
          <w:tcPr>
            <w:tcW w:w="2425" w:type="dxa"/>
          </w:tcPr>
          <w:p w14:paraId="49A793B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3CDB5DDA" w14:textId="089CA9FC"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benchmark VAT base is all goods and services consumed in Moldova, including courier or mail delivery services</w:t>
            </w:r>
            <w:r w:rsidR="009F7472" w:rsidRPr="007669E1">
              <w:rPr>
                <w:rFonts w:ascii="Segoe UI" w:hAnsi="Segoe UI" w:cs="Segoe UI"/>
                <w:sz w:val="18"/>
                <w:szCs w:val="18"/>
              </w:rPr>
              <w:t xml:space="preserve"> should attract VAT at the standard rate of 20%</w:t>
            </w:r>
            <w:r w:rsidRPr="007669E1">
              <w:rPr>
                <w:rFonts w:ascii="Segoe UI" w:hAnsi="Segoe UI" w:cs="Segoe UI"/>
                <w:sz w:val="18"/>
                <w:szCs w:val="18"/>
              </w:rPr>
              <w:t xml:space="preserve">. This exemption is therefore a tax expenditure.  </w:t>
            </w:r>
          </w:p>
        </w:tc>
      </w:tr>
      <w:tr w:rsidR="007669E1" w:rsidRPr="007669E1" w14:paraId="4E15DDFF" w14:textId="77777777" w:rsidTr="0095713A">
        <w:tc>
          <w:tcPr>
            <w:tcW w:w="2425" w:type="dxa"/>
          </w:tcPr>
          <w:p w14:paraId="59B0B2A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6AC2CBE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103(13)</w:t>
            </w:r>
          </w:p>
        </w:tc>
      </w:tr>
      <w:tr w:rsidR="00136C8F" w:rsidRPr="007669E1" w14:paraId="6AA021F6" w14:textId="77777777" w:rsidTr="0095713A">
        <w:trPr>
          <w:trHeight w:val="182"/>
        </w:trPr>
        <w:tc>
          <w:tcPr>
            <w:tcW w:w="2425" w:type="dxa"/>
            <w:vMerge w:val="restart"/>
          </w:tcPr>
          <w:p w14:paraId="37F2617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68930127"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313F35C3" w14:textId="77777777" w:rsidTr="0095713A">
        <w:trPr>
          <w:trHeight w:val="182"/>
        </w:trPr>
        <w:tc>
          <w:tcPr>
            <w:tcW w:w="2425" w:type="dxa"/>
            <w:vMerge/>
          </w:tcPr>
          <w:p w14:paraId="1C43D0AE"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70A975C7" w14:textId="11CE5842"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215014" w:rsidRPr="007669E1">
              <w:rPr>
                <w:rFonts w:ascii="Segoe UI" w:hAnsi="Segoe UI" w:cs="Segoe UI"/>
                <w:sz w:val="18"/>
                <w:szCs w:val="18"/>
              </w:rPr>
              <w:t xml:space="preserve"> 1998</w:t>
            </w:r>
          </w:p>
        </w:tc>
        <w:tc>
          <w:tcPr>
            <w:tcW w:w="3738" w:type="dxa"/>
            <w:gridSpan w:val="3"/>
          </w:tcPr>
          <w:p w14:paraId="301859F1" w14:textId="3A73D6B3"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027D3C52" w14:textId="77777777" w:rsidTr="0095713A">
        <w:tc>
          <w:tcPr>
            <w:tcW w:w="2425" w:type="dxa"/>
          </w:tcPr>
          <w:p w14:paraId="60FE510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1778706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168C265F" w14:textId="77777777" w:rsidTr="0095713A">
        <w:tc>
          <w:tcPr>
            <w:tcW w:w="2425" w:type="dxa"/>
          </w:tcPr>
          <w:p w14:paraId="197FD6E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58642FD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4DE6F82E" w14:textId="77777777" w:rsidTr="0095713A">
        <w:tc>
          <w:tcPr>
            <w:tcW w:w="2425" w:type="dxa"/>
          </w:tcPr>
          <w:p w14:paraId="19A8C72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7AEC14CD"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5811F0B4" w14:textId="77777777" w:rsidTr="0095713A">
        <w:tc>
          <w:tcPr>
            <w:tcW w:w="2425" w:type="dxa"/>
          </w:tcPr>
          <w:p w14:paraId="30CBD25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1651B824" w14:textId="4DA9EF8C" w:rsidR="00F77F6D" w:rsidRPr="007669E1" w:rsidRDefault="00B4060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37C414E7" w14:textId="77777777" w:rsidTr="0095713A">
        <w:trPr>
          <w:trHeight w:val="91"/>
        </w:trPr>
        <w:tc>
          <w:tcPr>
            <w:tcW w:w="2425" w:type="dxa"/>
            <w:vMerge w:val="restart"/>
          </w:tcPr>
          <w:p w14:paraId="434C0900"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57021625"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06187EC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74C4835D"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31F07648" w14:textId="0EF37DC9"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70F6666B" w14:textId="6E74746C" w:rsidR="00F77F6D"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69E1" w:rsidRPr="007669E1" w14:paraId="0A95D773" w14:textId="77777777" w:rsidTr="005435B3">
        <w:trPr>
          <w:trHeight w:val="91"/>
        </w:trPr>
        <w:tc>
          <w:tcPr>
            <w:tcW w:w="2425" w:type="dxa"/>
            <w:vMerge/>
          </w:tcPr>
          <w:p w14:paraId="7862A979"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7C0C72B3" w14:textId="77607629" w:rsidR="00F77F6D" w:rsidRPr="007669E1" w:rsidRDefault="006357B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20,275.0</w:t>
            </w:r>
          </w:p>
        </w:tc>
        <w:tc>
          <w:tcPr>
            <w:tcW w:w="1385" w:type="dxa"/>
            <w:shd w:val="clear" w:color="auto" w:fill="D9D9D9" w:themeFill="background1" w:themeFillShade="D9"/>
            <w:vAlign w:val="bottom"/>
          </w:tcPr>
          <w:p w14:paraId="04994507" w14:textId="4AA1EA85" w:rsidR="00F77F6D" w:rsidRPr="007669E1" w:rsidRDefault="006357B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22,272.6</w:t>
            </w:r>
          </w:p>
        </w:tc>
        <w:tc>
          <w:tcPr>
            <w:tcW w:w="1385" w:type="dxa"/>
            <w:gridSpan w:val="2"/>
            <w:shd w:val="clear" w:color="auto" w:fill="D9D9D9" w:themeFill="background1" w:themeFillShade="D9"/>
            <w:vAlign w:val="bottom"/>
          </w:tcPr>
          <w:p w14:paraId="06F9C4BC" w14:textId="40AED23F" w:rsidR="00F77F6D" w:rsidRPr="007669E1" w:rsidRDefault="006357B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21,573.4</w:t>
            </w:r>
          </w:p>
        </w:tc>
        <w:tc>
          <w:tcPr>
            <w:tcW w:w="1385" w:type="dxa"/>
            <w:shd w:val="clear" w:color="auto" w:fill="D9D9D9" w:themeFill="background1" w:themeFillShade="D9"/>
            <w:vAlign w:val="bottom"/>
          </w:tcPr>
          <w:p w14:paraId="36FD13B3" w14:textId="0DC4A43D" w:rsidR="00F77F6D" w:rsidRPr="007669E1" w:rsidRDefault="006357B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26,367.5</w:t>
            </w:r>
          </w:p>
        </w:tc>
        <w:tc>
          <w:tcPr>
            <w:tcW w:w="1660" w:type="dxa"/>
            <w:shd w:val="clear" w:color="auto" w:fill="D9D9D9" w:themeFill="background1" w:themeFillShade="D9"/>
            <w:vAlign w:val="bottom"/>
          </w:tcPr>
          <w:p w14:paraId="25E984BC" w14:textId="4BDD7A79" w:rsidR="00F77F6D" w:rsidRPr="007669E1" w:rsidRDefault="006357B5"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29,164.1</w:t>
            </w:r>
          </w:p>
        </w:tc>
      </w:tr>
    </w:tbl>
    <w:p w14:paraId="5E6B9153"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46E4A376" w14:textId="77777777" w:rsidTr="00072C6F">
        <w:tc>
          <w:tcPr>
            <w:tcW w:w="9625" w:type="dxa"/>
            <w:gridSpan w:val="7"/>
            <w:shd w:val="clear" w:color="auto" w:fill="D9D9D9" w:themeFill="background1" w:themeFillShade="D9"/>
          </w:tcPr>
          <w:p w14:paraId="0039DD1F"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19. VAT exemption of gaming and gambling services</w:t>
            </w:r>
          </w:p>
        </w:tc>
      </w:tr>
      <w:tr w:rsidR="007669E1" w:rsidRPr="007669E1" w14:paraId="4FCA2820" w14:textId="77777777" w:rsidTr="00D75D26">
        <w:tc>
          <w:tcPr>
            <w:tcW w:w="2425" w:type="dxa"/>
          </w:tcPr>
          <w:p w14:paraId="4C5FBE5C"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1016A525"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following supply is exempt from VAT: gambling services rendered by entrepreneurs engaged in the gambling business (including the use of gaming machines), except for the services the value of which is partially or entirely included in the stake or entrance fee, and other services rendered to participants or audience; lotteries.</w:t>
            </w:r>
          </w:p>
        </w:tc>
      </w:tr>
      <w:tr w:rsidR="007669E1" w:rsidRPr="007669E1" w14:paraId="06402E1B" w14:textId="77777777" w:rsidTr="00D75D26">
        <w:tc>
          <w:tcPr>
            <w:tcW w:w="2425" w:type="dxa"/>
          </w:tcPr>
          <w:p w14:paraId="1972297F"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4BAEA6C2"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66299621" w14:textId="77777777" w:rsidTr="00D75D26">
        <w:tc>
          <w:tcPr>
            <w:tcW w:w="2425" w:type="dxa"/>
          </w:tcPr>
          <w:p w14:paraId="67357C2D"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09E9B74C" w14:textId="4C742C58"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People placing wagers or participating in games of chance and lotteries— i.e., gamblers</w:t>
            </w:r>
            <w:r w:rsidR="00B232EC" w:rsidRPr="007669E1">
              <w:rPr>
                <w:rFonts w:ascii="Segoe UI" w:hAnsi="Segoe UI" w:cs="Segoe UI"/>
                <w:sz w:val="18"/>
                <w:szCs w:val="18"/>
              </w:rPr>
              <w:t>.</w:t>
            </w:r>
          </w:p>
        </w:tc>
      </w:tr>
      <w:tr w:rsidR="007669E1" w:rsidRPr="007669E1" w14:paraId="715930FA" w14:textId="77777777" w:rsidTr="00D75D26">
        <w:tc>
          <w:tcPr>
            <w:tcW w:w="2425" w:type="dxa"/>
          </w:tcPr>
          <w:p w14:paraId="647160AE"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6C96D43E"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2CF26863" w14:textId="77777777" w:rsidTr="00D75D26">
        <w:tc>
          <w:tcPr>
            <w:tcW w:w="2425" w:type="dxa"/>
          </w:tcPr>
          <w:p w14:paraId="05B8DABD"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1FAC3823"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benchmark VAT base is all goods and services consumed in Moldova, so the exemption for gaming activities is a tax expenditure.</w:t>
            </w:r>
            <w:r w:rsidRPr="007669E1">
              <w:rPr>
                <w:rFonts w:ascii="Segoe UI" w:hAnsi="Segoe UI" w:cs="Segoe UI"/>
                <w:color w:val="000000"/>
                <w:sz w:val="18"/>
                <w:szCs w:val="18"/>
              </w:rPr>
              <w:t xml:space="preserve"> Gambling is structurally similar to property and casualty insurance and should be included in the benchmark tax base. </w:t>
            </w:r>
            <w:r w:rsidRPr="007669E1">
              <w:rPr>
                <w:rFonts w:ascii="Segoe UI" w:hAnsi="Segoe UI" w:cs="Segoe UI"/>
                <w:sz w:val="18"/>
                <w:szCs w:val="18"/>
              </w:rPr>
              <w:t>The margin of the casino or lottery is calculated as the difference (recorded daily or over some other reasonable period) between the cash received for tokens or lottery tickets and the winnings paid out on the redemption of tokens or tickets.</w:t>
            </w:r>
          </w:p>
        </w:tc>
      </w:tr>
      <w:tr w:rsidR="007669E1" w:rsidRPr="007669E1" w14:paraId="24643846" w14:textId="77777777" w:rsidTr="00D75D26">
        <w:tc>
          <w:tcPr>
            <w:tcW w:w="2425" w:type="dxa"/>
          </w:tcPr>
          <w:p w14:paraId="6A9B775A" w14:textId="77777777" w:rsidR="00072C6F" w:rsidRPr="000F2CA8" w:rsidRDefault="00072C6F" w:rsidP="00E90BA7">
            <w:pPr>
              <w:spacing w:before="20" w:after="20" w:line="240" w:lineRule="auto"/>
              <w:jc w:val="both"/>
              <w:rPr>
                <w:rFonts w:ascii="Segoe UI" w:hAnsi="Segoe UI" w:cs="Segoe UI"/>
                <w:b/>
                <w:bCs/>
                <w:sz w:val="18"/>
                <w:szCs w:val="18"/>
              </w:rPr>
            </w:pPr>
          </w:p>
        </w:tc>
        <w:tc>
          <w:tcPr>
            <w:tcW w:w="7200" w:type="dxa"/>
            <w:gridSpan w:val="6"/>
          </w:tcPr>
          <w:p w14:paraId="693EAC48" w14:textId="77777777" w:rsidR="00072C6F" w:rsidRPr="007669E1" w:rsidRDefault="00072C6F" w:rsidP="00E90BA7">
            <w:pPr>
              <w:spacing w:before="20" w:after="20" w:line="240" w:lineRule="auto"/>
              <w:jc w:val="both"/>
              <w:rPr>
                <w:rFonts w:ascii="Segoe UI" w:hAnsi="Segoe UI" w:cs="Segoe UI"/>
                <w:sz w:val="18"/>
                <w:szCs w:val="18"/>
              </w:rPr>
            </w:pPr>
          </w:p>
        </w:tc>
      </w:tr>
      <w:tr w:rsidR="007669E1" w:rsidRPr="007669E1" w14:paraId="44E39547" w14:textId="77777777" w:rsidTr="00D75D26">
        <w:tc>
          <w:tcPr>
            <w:tcW w:w="2425" w:type="dxa"/>
          </w:tcPr>
          <w:p w14:paraId="33CFA168"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3F6FF3AA"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103(14)</w:t>
            </w:r>
          </w:p>
        </w:tc>
      </w:tr>
      <w:tr w:rsidR="00136C8F" w:rsidRPr="007669E1" w14:paraId="2D578A32" w14:textId="77777777" w:rsidTr="00D75D26">
        <w:trPr>
          <w:trHeight w:val="182"/>
        </w:trPr>
        <w:tc>
          <w:tcPr>
            <w:tcW w:w="2425" w:type="dxa"/>
            <w:vMerge w:val="restart"/>
          </w:tcPr>
          <w:p w14:paraId="69E29A6F"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354B85C4" w14:textId="77777777" w:rsidR="00072C6F" w:rsidRPr="007669E1" w:rsidRDefault="00072C6F" w:rsidP="00E90BA7">
            <w:pPr>
              <w:spacing w:before="20" w:after="20" w:line="240" w:lineRule="auto"/>
              <w:jc w:val="both"/>
              <w:rPr>
                <w:rFonts w:ascii="Segoe UI" w:hAnsi="Segoe UI" w:cs="Segoe UI"/>
                <w:sz w:val="18"/>
                <w:szCs w:val="18"/>
              </w:rPr>
            </w:pPr>
          </w:p>
        </w:tc>
      </w:tr>
      <w:tr w:rsidR="00136C8F" w:rsidRPr="007669E1" w14:paraId="39781D6B" w14:textId="77777777" w:rsidTr="00D75D26">
        <w:trPr>
          <w:trHeight w:val="182"/>
        </w:trPr>
        <w:tc>
          <w:tcPr>
            <w:tcW w:w="2425" w:type="dxa"/>
            <w:vMerge/>
          </w:tcPr>
          <w:p w14:paraId="125D596A" w14:textId="77777777" w:rsidR="00072C6F" w:rsidRPr="000F2CA8" w:rsidRDefault="00072C6F" w:rsidP="00E90BA7">
            <w:pPr>
              <w:spacing w:before="20" w:after="20" w:line="240" w:lineRule="auto"/>
              <w:jc w:val="both"/>
              <w:rPr>
                <w:rFonts w:ascii="Segoe UI" w:hAnsi="Segoe UI" w:cs="Segoe UI"/>
                <w:b/>
                <w:bCs/>
                <w:sz w:val="18"/>
                <w:szCs w:val="18"/>
              </w:rPr>
            </w:pPr>
          </w:p>
        </w:tc>
        <w:tc>
          <w:tcPr>
            <w:tcW w:w="3462" w:type="dxa"/>
            <w:gridSpan w:val="3"/>
          </w:tcPr>
          <w:p w14:paraId="223BE24B" w14:textId="4F3360AE"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4B2E26" w:rsidRPr="007669E1">
              <w:rPr>
                <w:rFonts w:ascii="Segoe UI" w:hAnsi="Segoe UI" w:cs="Segoe UI"/>
                <w:sz w:val="18"/>
                <w:szCs w:val="18"/>
              </w:rPr>
              <w:t xml:space="preserve"> 1998</w:t>
            </w:r>
          </w:p>
        </w:tc>
        <w:tc>
          <w:tcPr>
            <w:tcW w:w="3738" w:type="dxa"/>
            <w:gridSpan w:val="3"/>
          </w:tcPr>
          <w:p w14:paraId="6E652638" w14:textId="09005956" w:rsidR="00072C6F"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629DA90B" w14:textId="77777777" w:rsidTr="00D75D26">
        <w:tc>
          <w:tcPr>
            <w:tcW w:w="2425" w:type="dxa"/>
          </w:tcPr>
          <w:p w14:paraId="500D5B13"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2B6BD380"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77E84F44" w14:textId="77777777" w:rsidTr="00D75D26">
        <w:tc>
          <w:tcPr>
            <w:tcW w:w="2425" w:type="dxa"/>
          </w:tcPr>
          <w:p w14:paraId="556AF924"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03E4B45F" w14:textId="77777777" w:rsidR="00072C6F" w:rsidRPr="007669E1" w:rsidRDefault="00072C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7516AAA3" w14:textId="77777777" w:rsidTr="00D75D26">
        <w:tc>
          <w:tcPr>
            <w:tcW w:w="2425" w:type="dxa"/>
          </w:tcPr>
          <w:p w14:paraId="2635CABB"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78AF387A" w14:textId="77777777" w:rsidR="00072C6F" w:rsidRPr="007669E1" w:rsidRDefault="00072C6F" w:rsidP="00E90BA7">
            <w:pPr>
              <w:spacing w:before="20" w:after="20" w:line="240" w:lineRule="auto"/>
              <w:jc w:val="both"/>
              <w:rPr>
                <w:rFonts w:ascii="Segoe UI" w:hAnsi="Segoe UI" w:cs="Segoe UI"/>
                <w:sz w:val="18"/>
                <w:szCs w:val="18"/>
              </w:rPr>
            </w:pPr>
          </w:p>
        </w:tc>
      </w:tr>
      <w:tr w:rsidR="007669E1" w:rsidRPr="007669E1" w14:paraId="7D470D3E" w14:textId="77777777" w:rsidTr="00D75D26">
        <w:tc>
          <w:tcPr>
            <w:tcW w:w="2425" w:type="dxa"/>
          </w:tcPr>
          <w:p w14:paraId="019D150C"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023D1B25" w14:textId="6024ED38" w:rsidR="00072C6F" w:rsidRPr="007669E1" w:rsidRDefault="006357B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072C6F"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2184DF43" w14:textId="77777777" w:rsidTr="00D75D26">
        <w:trPr>
          <w:trHeight w:val="91"/>
        </w:trPr>
        <w:tc>
          <w:tcPr>
            <w:tcW w:w="2425" w:type="dxa"/>
            <w:vMerge w:val="restart"/>
          </w:tcPr>
          <w:p w14:paraId="29D3EEB5" w14:textId="77777777" w:rsidR="00072C6F" w:rsidRPr="007669E1" w:rsidRDefault="00072C6F" w:rsidP="00E90BA7">
            <w:pPr>
              <w:spacing w:before="20" w:after="20" w:line="240" w:lineRule="auto"/>
              <w:jc w:val="both"/>
              <w:rPr>
                <w:rFonts w:ascii="Segoe UI" w:hAnsi="Segoe UI" w:cs="Segoe UI"/>
                <w:sz w:val="18"/>
                <w:szCs w:val="18"/>
              </w:rPr>
            </w:pPr>
          </w:p>
        </w:tc>
        <w:tc>
          <w:tcPr>
            <w:tcW w:w="1385" w:type="dxa"/>
          </w:tcPr>
          <w:p w14:paraId="4279658D"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4639BD38"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301CF5DF" w14:textId="77777777"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62112E65" w14:textId="32110FE0" w:rsidR="00072C6F" w:rsidRPr="000F2CA8" w:rsidRDefault="00072C6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482DD659" w14:textId="081B28FE" w:rsidR="00072C6F"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69E1" w:rsidRPr="007669E1" w14:paraId="226B6661" w14:textId="77777777" w:rsidTr="005435B3">
        <w:trPr>
          <w:trHeight w:val="91"/>
        </w:trPr>
        <w:tc>
          <w:tcPr>
            <w:tcW w:w="2425" w:type="dxa"/>
            <w:vMerge/>
          </w:tcPr>
          <w:p w14:paraId="0175D965" w14:textId="77777777" w:rsidR="00072C6F" w:rsidRPr="007669E1" w:rsidRDefault="00072C6F"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2121B92E" w14:textId="539AE10F" w:rsidR="00072C6F" w:rsidRPr="007669E1" w:rsidRDefault="007060D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41,473.5</w:t>
            </w:r>
          </w:p>
        </w:tc>
        <w:tc>
          <w:tcPr>
            <w:tcW w:w="1385" w:type="dxa"/>
            <w:shd w:val="clear" w:color="auto" w:fill="D9D9D9" w:themeFill="background1" w:themeFillShade="D9"/>
            <w:vAlign w:val="bottom"/>
          </w:tcPr>
          <w:p w14:paraId="25C9EA1D" w14:textId="77B8F0BC" w:rsidR="00072C6F" w:rsidRPr="007669E1" w:rsidRDefault="007060D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47,969.3</w:t>
            </w:r>
          </w:p>
        </w:tc>
        <w:tc>
          <w:tcPr>
            <w:tcW w:w="1385" w:type="dxa"/>
            <w:gridSpan w:val="2"/>
            <w:shd w:val="clear" w:color="auto" w:fill="D9D9D9" w:themeFill="background1" w:themeFillShade="D9"/>
            <w:vAlign w:val="bottom"/>
          </w:tcPr>
          <w:p w14:paraId="4E2715B1" w14:textId="0CF858E8" w:rsidR="00072C6F" w:rsidRPr="007669E1" w:rsidRDefault="007060D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45,470.9</w:t>
            </w:r>
          </w:p>
        </w:tc>
        <w:tc>
          <w:tcPr>
            <w:tcW w:w="1385" w:type="dxa"/>
            <w:shd w:val="clear" w:color="auto" w:fill="D9D9D9" w:themeFill="background1" w:themeFillShade="D9"/>
            <w:vAlign w:val="bottom"/>
          </w:tcPr>
          <w:p w14:paraId="4C77FD81" w14:textId="2E777275" w:rsidR="00072C6F" w:rsidRPr="007669E1" w:rsidRDefault="007060D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56,264.0</w:t>
            </w:r>
          </w:p>
        </w:tc>
        <w:tc>
          <w:tcPr>
            <w:tcW w:w="1660" w:type="dxa"/>
            <w:shd w:val="clear" w:color="auto" w:fill="D9D9D9" w:themeFill="background1" w:themeFillShade="D9"/>
            <w:vAlign w:val="bottom"/>
          </w:tcPr>
          <w:p w14:paraId="32452A10" w14:textId="376EB27E" w:rsidR="00072C6F" w:rsidRPr="007669E1" w:rsidRDefault="007060D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64,059.0</w:t>
            </w:r>
          </w:p>
        </w:tc>
      </w:tr>
    </w:tbl>
    <w:p w14:paraId="158F814F" w14:textId="3D607184" w:rsidR="00072C6F" w:rsidRPr="007669E1" w:rsidRDefault="00072C6F"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2B78611E" w14:textId="77777777" w:rsidTr="00B33EF0">
        <w:tc>
          <w:tcPr>
            <w:tcW w:w="9625" w:type="dxa"/>
            <w:gridSpan w:val="7"/>
            <w:shd w:val="clear" w:color="auto" w:fill="D9D9D9" w:themeFill="background1" w:themeFillShade="D9"/>
          </w:tcPr>
          <w:p w14:paraId="565C3C0B" w14:textId="3D9728D7" w:rsidR="00F77F6D" w:rsidRPr="000F2CA8" w:rsidRDefault="00F77F6D" w:rsidP="00E90BA7">
            <w:pPr>
              <w:keepNext/>
              <w:keepLines/>
              <w:spacing w:before="20" w:after="20" w:line="240" w:lineRule="auto"/>
              <w:jc w:val="both"/>
              <w:rPr>
                <w:rFonts w:ascii="Segoe UI" w:hAnsi="Segoe UI" w:cs="Segoe UI"/>
                <w:b/>
                <w:bCs/>
                <w:sz w:val="18"/>
                <w:szCs w:val="18"/>
              </w:rPr>
            </w:pPr>
            <w:r w:rsidRPr="000F2CA8">
              <w:rPr>
                <w:rFonts w:ascii="Segoe UI" w:hAnsi="Segoe UI" w:cs="Segoe UI"/>
                <w:b/>
                <w:bCs/>
                <w:sz w:val="18"/>
                <w:szCs w:val="18"/>
              </w:rPr>
              <w:lastRenderedPageBreak/>
              <w:t>20. VAT exemption for burial and crematorium services of human and animal bodies</w:t>
            </w:r>
          </w:p>
        </w:tc>
      </w:tr>
      <w:tr w:rsidR="007669E1" w:rsidRPr="007669E1" w14:paraId="5CD0E05D" w14:textId="77777777" w:rsidTr="00B33EF0">
        <w:tc>
          <w:tcPr>
            <w:tcW w:w="2425" w:type="dxa"/>
          </w:tcPr>
          <w:p w14:paraId="44327DB0"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600C8ED8" w14:textId="77777777" w:rsidR="00F77F6D" w:rsidRPr="007669E1" w:rsidRDefault="00F77F6D"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The following supply is exempt from VAT: burial and incineration services of human and animal bodies, and related activities: preparation of bodies for burial or incineration, embalming and services provided by funeral furnishers; rental of funeral rooms; rental or sale of burial places; maintenance of graves; fitting out and maintenance of cemeteries; transportation of bodies; rituals and ceremonies provided by religious organizations; organization of funerals and incineration ceremonies, manufacturing and/or delivery of coffins, wreaths.</w:t>
            </w:r>
          </w:p>
        </w:tc>
      </w:tr>
      <w:tr w:rsidR="007669E1" w:rsidRPr="007669E1" w14:paraId="21637C03" w14:textId="77777777" w:rsidTr="00B33EF0">
        <w:tc>
          <w:tcPr>
            <w:tcW w:w="2425" w:type="dxa"/>
          </w:tcPr>
          <w:p w14:paraId="543C3F3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26518B8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656B432F" w14:textId="77777777" w:rsidTr="00B33EF0">
        <w:tc>
          <w:tcPr>
            <w:tcW w:w="2425" w:type="dxa"/>
          </w:tcPr>
          <w:p w14:paraId="00994620"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1323F49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Families of the deceased</w:t>
            </w:r>
          </w:p>
        </w:tc>
      </w:tr>
      <w:tr w:rsidR="007669E1" w:rsidRPr="007669E1" w14:paraId="0B5C65FB" w14:textId="77777777" w:rsidTr="00B33EF0">
        <w:tc>
          <w:tcPr>
            <w:tcW w:w="2425" w:type="dxa"/>
          </w:tcPr>
          <w:p w14:paraId="5EFD50D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3713BD9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77CEBCBE" w14:textId="77777777" w:rsidTr="00B33EF0">
        <w:tc>
          <w:tcPr>
            <w:tcW w:w="2425" w:type="dxa"/>
          </w:tcPr>
          <w:p w14:paraId="72C0FCC9"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70AEAA78" w14:textId="231782F4"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benchmark VAT base is all goods and services consumed in Moldova, so the </w:t>
            </w:r>
            <w:r w:rsidR="00B232EC" w:rsidRPr="007669E1">
              <w:rPr>
                <w:rFonts w:ascii="Segoe UI" w:hAnsi="Segoe UI" w:cs="Segoe UI"/>
                <w:sz w:val="18"/>
                <w:szCs w:val="18"/>
              </w:rPr>
              <w:t xml:space="preserve">VAT </w:t>
            </w:r>
            <w:r w:rsidRPr="007669E1">
              <w:rPr>
                <w:rFonts w:ascii="Segoe UI" w:hAnsi="Segoe UI" w:cs="Segoe UI"/>
                <w:sz w:val="18"/>
                <w:szCs w:val="18"/>
              </w:rPr>
              <w:t xml:space="preserve">exemption </w:t>
            </w:r>
            <w:r w:rsidR="00B232EC" w:rsidRPr="007669E1">
              <w:rPr>
                <w:rFonts w:ascii="Segoe UI" w:hAnsi="Segoe UI" w:cs="Segoe UI"/>
                <w:sz w:val="18"/>
                <w:szCs w:val="18"/>
              </w:rPr>
              <w:t xml:space="preserve">of </w:t>
            </w:r>
            <w:r w:rsidRPr="007669E1">
              <w:rPr>
                <w:rFonts w:ascii="Segoe UI" w:hAnsi="Segoe UI" w:cs="Segoe UI"/>
                <w:sz w:val="18"/>
                <w:szCs w:val="18"/>
              </w:rPr>
              <w:t>burial/crematorium services is a tax expenditure.</w:t>
            </w:r>
          </w:p>
        </w:tc>
      </w:tr>
      <w:tr w:rsidR="007669E1" w:rsidRPr="007669E1" w14:paraId="70BF3781" w14:textId="77777777" w:rsidTr="00B33EF0">
        <w:tc>
          <w:tcPr>
            <w:tcW w:w="2425" w:type="dxa"/>
          </w:tcPr>
          <w:p w14:paraId="512BCEA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18A4438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103(15)</w:t>
            </w:r>
          </w:p>
        </w:tc>
      </w:tr>
      <w:tr w:rsidR="00136C8F" w:rsidRPr="007669E1" w14:paraId="181CC93B" w14:textId="77777777" w:rsidTr="00B33EF0">
        <w:trPr>
          <w:trHeight w:val="182"/>
        </w:trPr>
        <w:tc>
          <w:tcPr>
            <w:tcW w:w="2425" w:type="dxa"/>
            <w:vMerge w:val="restart"/>
          </w:tcPr>
          <w:p w14:paraId="72C1492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7C20F9D1"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2D75062D" w14:textId="77777777" w:rsidTr="00B33EF0">
        <w:trPr>
          <w:trHeight w:val="182"/>
        </w:trPr>
        <w:tc>
          <w:tcPr>
            <w:tcW w:w="2425" w:type="dxa"/>
            <w:vMerge/>
          </w:tcPr>
          <w:p w14:paraId="23608B1E"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49C5B798" w14:textId="05A1A5AA"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1F4151" w:rsidRPr="007669E1">
              <w:rPr>
                <w:rFonts w:ascii="Segoe UI" w:hAnsi="Segoe UI" w:cs="Segoe UI"/>
                <w:sz w:val="18"/>
                <w:szCs w:val="18"/>
              </w:rPr>
              <w:t>1998</w:t>
            </w:r>
          </w:p>
        </w:tc>
        <w:tc>
          <w:tcPr>
            <w:tcW w:w="3738" w:type="dxa"/>
            <w:gridSpan w:val="3"/>
          </w:tcPr>
          <w:p w14:paraId="412116D0" w14:textId="6D6FF695"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400B5C44" w14:textId="77777777" w:rsidTr="00B33EF0">
        <w:tc>
          <w:tcPr>
            <w:tcW w:w="2425" w:type="dxa"/>
          </w:tcPr>
          <w:p w14:paraId="7D7AB34D"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673D91B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581F736C" w14:textId="77777777" w:rsidTr="00B33EF0">
        <w:tc>
          <w:tcPr>
            <w:tcW w:w="2425" w:type="dxa"/>
          </w:tcPr>
          <w:p w14:paraId="0EDF672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2B863EA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20E133DF" w14:textId="77777777" w:rsidTr="00B33EF0">
        <w:tc>
          <w:tcPr>
            <w:tcW w:w="2425" w:type="dxa"/>
          </w:tcPr>
          <w:p w14:paraId="499BEABF"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7D898C88"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4BCEFF2D" w14:textId="77777777" w:rsidTr="00B33EF0">
        <w:tc>
          <w:tcPr>
            <w:tcW w:w="2425" w:type="dxa"/>
          </w:tcPr>
          <w:p w14:paraId="7A8FAC3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74CF3271" w14:textId="72F48D17" w:rsidR="00F77F6D" w:rsidRPr="007669E1" w:rsidRDefault="005D75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6790B7BE" w14:textId="77777777" w:rsidTr="00B33EF0">
        <w:trPr>
          <w:trHeight w:val="91"/>
        </w:trPr>
        <w:tc>
          <w:tcPr>
            <w:tcW w:w="2425" w:type="dxa"/>
            <w:vMerge w:val="restart"/>
          </w:tcPr>
          <w:p w14:paraId="5F20515D"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75DE4BD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6C0FE53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38D89FA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6970D60D" w14:textId="5EF25A2A"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28D0A683" w14:textId="4946E0D3" w:rsidR="00F77F6D"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69E1" w:rsidRPr="007669E1" w14:paraId="29863B94" w14:textId="77777777" w:rsidTr="005435B3">
        <w:trPr>
          <w:trHeight w:val="91"/>
        </w:trPr>
        <w:tc>
          <w:tcPr>
            <w:tcW w:w="2425" w:type="dxa"/>
            <w:vMerge/>
          </w:tcPr>
          <w:p w14:paraId="35E5F128"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51614C0B" w14:textId="2CC26A42" w:rsidR="00F77F6D" w:rsidRPr="007669E1" w:rsidRDefault="005D75F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5,514.5</w:t>
            </w:r>
          </w:p>
        </w:tc>
        <w:tc>
          <w:tcPr>
            <w:tcW w:w="1385" w:type="dxa"/>
            <w:shd w:val="clear" w:color="auto" w:fill="D9D9D9" w:themeFill="background1" w:themeFillShade="D9"/>
            <w:vAlign w:val="bottom"/>
          </w:tcPr>
          <w:p w14:paraId="1CAF2AE6" w14:textId="397341B1" w:rsidR="00F77F6D" w:rsidRPr="007669E1" w:rsidRDefault="005D75F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6,116.1</w:t>
            </w:r>
          </w:p>
        </w:tc>
        <w:tc>
          <w:tcPr>
            <w:tcW w:w="1385" w:type="dxa"/>
            <w:gridSpan w:val="2"/>
            <w:shd w:val="clear" w:color="auto" w:fill="D9D9D9" w:themeFill="background1" w:themeFillShade="D9"/>
            <w:vAlign w:val="bottom"/>
          </w:tcPr>
          <w:p w14:paraId="070D786C" w14:textId="15ABE35E" w:rsidR="00F77F6D" w:rsidRPr="007669E1" w:rsidRDefault="005D75F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5,915.5</w:t>
            </w:r>
          </w:p>
        </w:tc>
        <w:tc>
          <w:tcPr>
            <w:tcW w:w="1385" w:type="dxa"/>
            <w:shd w:val="clear" w:color="auto" w:fill="D9D9D9" w:themeFill="background1" w:themeFillShade="D9"/>
            <w:vAlign w:val="bottom"/>
          </w:tcPr>
          <w:p w14:paraId="2AD189EC" w14:textId="7E3E4C3C" w:rsidR="00F77F6D" w:rsidRPr="007669E1" w:rsidRDefault="005D75F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7,219.0</w:t>
            </w:r>
          </w:p>
        </w:tc>
        <w:tc>
          <w:tcPr>
            <w:tcW w:w="1660" w:type="dxa"/>
            <w:shd w:val="clear" w:color="auto" w:fill="D9D9D9" w:themeFill="background1" w:themeFillShade="D9"/>
            <w:vAlign w:val="bottom"/>
          </w:tcPr>
          <w:p w14:paraId="43A4EF89" w14:textId="36FF97C1" w:rsidR="00F77F6D" w:rsidRPr="007669E1" w:rsidRDefault="005D75F6"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8,021.1</w:t>
            </w:r>
          </w:p>
        </w:tc>
      </w:tr>
    </w:tbl>
    <w:p w14:paraId="6FFE435F" w14:textId="77777777" w:rsidR="00F77F6D" w:rsidRPr="007669E1" w:rsidRDefault="00F77F6D"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2042B9EC" w14:textId="77777777" w:rsidTr="00B33EF0">
        <w:tc>
          <w:tcPr>
            <w:tcW w:w="9625" w:type="dxa"/>
            <w:gridSpan w:val="7"/>
            <w:shd w:val="clear" w:color="auto" w:fill="D9D9D9" w:themeFill="background1" w:themeFillShade="D9"/>
          </w:tcPr>
          <w:p w14:paraId="086B87BB" w14:textId="75EDFA5C"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21. VAT exemption for utilities for the general public, rental of dwelling, water supply, sewage, heating, sanitation, elevators</w:t>
            </w:r>
          </w:p>
        </w:tc>
      </w:tr>
      <w:tr w:rsidR="007669E1" w:rsidRPr="007669E1" w14:paraId="21BC3D44" w14:textId="77777777" w:rsidTr="00B33EF0">
        <w:tc>
          <w:tcPr>
            <w:tcW w:w="2425" w:type="dxa"/>
          </w:tcPr>
          <w:p w14:paraId="3AE353EC"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3E175F9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following supply is exempt from VAT: utilities for the general public: rental of dwelling, technical services for the residential buildings, water supply, sewage, heating, sanitation, elevators;</w:t>
            </w:r>
          </w:p>
        </w:tc>
      </w:tr>
      <w:tr w:rsidR="007669E1" w:rsidRPr="007669E1" w14:paraId="792170DF" w14:textId="77777777" w:rsidTr="00B33EF0">
        <w:tc>
          <w:tcPr>
            <w:tcW w:w="2425" w:type="dxa"/>
          </w:tcPr>
          <w:p w14:paraId="4D871FC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53DA4F4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1765C164" w14:textId="77777777" w:rsidTr="00B33EF0">
        <w:tc>
          <w:tcPr>
            <w:tcW w:w="2425" w:type="dxa"/>
          </w:tcPr>
          <w:p w14:paraId="12F41FC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3A7436C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Households</w:t>
            </w:r>
          </w:p>
        </w:tc>
      </w:tr>
      <w:tr w:rsidR="007669E1" w:rsidRPr="007669E1" w14:paraId="64157C37" w14:textId="77777777" w:rsidTr="00B33EF0">
        <w:tc>
          <w:tcPr>
            <w:tcW w:w="2425" w:type="dxa"/>
          </w:tcPr>
          <w:p w14:paraId="35B8D80B"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0F44F91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w:t>
            </w:r>
          </w:p>
        </w:tc>
      </w:tr>
      <w:tr w:rsidR="007669E1" w:rsidRPr="007669E1" w14:paraId="3DC80BAF" w14:textId="77777777" w:rsidTr="00B33EF0">
        <w:tc>
          <w:tcPr>
            <w:tcW w:w="2425" w:type="dxa"/>
          </w:tcPr>
          <w:p w14:paraId="274B2A0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0998963B" w14:textId="5F5D1F5C"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benchmark VAT base is all goods and services consumed in Moldova, so the </w:t>
            </w:r>
            <w:r w:rsidR="00B232EC" w:rsidRPr="007669E1">
              <w:rPr>
                <w:rFonts w:ascii="Segoe UI" w:hAnsi="Segoe UI" w:cs="Segoe UI"/>
                <w:sz w:val="18"/>
                <w:szCs w:val="18"/>
              </w:rPr>
              <w:t xml:space="preserve">VAT </w:t>
            </w:r>
            <w:r w:rsidRPr="007669E1">
              <w:rPr>
                <w:rFonts w:ascii="Segoe UI" w:hAnsi="Segoe UI" w:cs="Segoe UI"/>
                <w:sz w:val="18"/>
                <w:szCs w:val="18"/>
              </w:rPr>
              <w:t>exemption of rental accommodation services is a tax expenditure.</w:t>
            </w:r>
          </w:p>
        </w:tc>
      </w:tr>
      <w:tr w:rsidR="007669E1" w:rsidRPr="007669E1" w14:paraId="101E07A8" w14:textId="77777777" w:rsidTr="00B33EF0">
        <w:tc>
          <w:tcPr>
            <w:tcW w:w="2425" w:type="dxa"/>
          </w:tcPr>
          <w:p w14:paraId="3E74FF8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297BDEC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103(16)</w:t>
            </w:r>
          </w:p>
        </w:tc>
      </w:tr>
      <w:tr w:rsidR="00136C8F" w:rsidRPr="007669E1" w14:paraId="52A5FCCA" w14:textId="77777777" w:rsidTr="00B33EF0">
        <w:trPr>
          <w:trHeight w:val="182"/>
        </w:trPr>
        <w:tc>
          <w:tcPr>
            <w:tcW w:w="2425" w:type="dxa"/>
            <w:vMerge w:val="restart"/>
          </w:tcPr>
          <w:p w14:paraId="6B18749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243CFC41"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1E88D200" w14:textId="77777777" w:rsidTr="00B33EF0">
        <w:trPr>
          <w:trHeight w:val="182"/>
        </w:trPr>
        <w:tc>
          <w:tcPr>
            <w:tcW w:w="2425" w:type="dxa"/>
            <w:vMerge/>
          </w:tcPr>
          <w:p w14:paraId="44DFAD8B"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5411975E" w14:textId="4E96115A"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003E64CC" w:rsidRPr="007669E1">
              <w:rPr>
                <w:rFonts w:ascii="Segoe UI" w:hAnsi="Segoe UI" w:cs="Segoe UI"/>
                <w:sz w:val="18"/>
                <w:szCs w:val="18"/>
              </w:rPr>
              <w:t xml:space="preserve"> 1998</w:t>
            </w:r>
          </w:p>
        </w:tc>
        <w:tc>
          <w:tcPr>
            <w:tcW w:w="3738" w:type="dxa"/>
            <w:gridSpan w:val="3"/>
          </w:tcPr>
          <w:p w14:paraId="41E8E43D" w14:textId="7B5390C3"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68E9559A" w14:textId="77777777" w:rsidTr="00B33EF0">
        <w:tc>
          <w:tcPr>
            <w:tcW w:w="2425" w:type="dxa"/>
          </w:tcPr>
          <w:p w14:paraId="01ED1BAD"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004B6EE1"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221104F6" w14:textId="77777777" w:rsidTr="00B33EF0">
        <w:tc>
          <w:tcPr>
            <w:tcW w:w="2425" w:type="dxa"/>
          </w:tcPr>
          <w:p w14:paraId="5A85D7B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5BB0A0AD"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4C39CEF5" w14:textId="77777777" w:rsidTr="00B33EF0">
        <w:tc>
          <w:tcPr>
            <w:tcW w:w="2425" w:type="dxa"/>
          </w:tcPr>
          <w:p w14:paraId="01F80B5E"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23D8B8E4"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4F88CA44" w14:textId="77777777" w:rsidTr="00B33EF0">
        <w:tc>
          <w:tcPr>
            <w:tcW w:w="2425" w:type="dxa"/>
          </w:tcPr>
          <w:p w14:paraId="60C56C76"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10DED472" w14:textId="31A3E409" w:rsidR="00F77F6D" w:rsidRPr="007669E1" w:rsidRDefault="00255D8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4A3EB3CD" w14:textId="77777777" w:rsidTr="00B33EF0">
        <w:trPr>
          <w:trHeight w:val="91"/>
        </w:trPr>
        <w:tc>
          <w:tcPr>
            <w:tcW w:w="2425" w:type="dxa"/>
            <w:vMerge w:val="restart"/>
          </w:tcPr>
          <w:p w14:paraId="4DC47D07"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05FD45B8"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606864F4"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1FF5DEED"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3675EE5C" w14:textId="066D87A1"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6546051A" w14:textId="10650837" w:rsidR="00F77F6D"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7669E1" w:rsidRPr="007669E1" w14:paraId="101EB7F3" w14:textId="77777777" w:rsidTr="005435B3">
        <w:trPr>
          <w:trHeight w:val="91"/>
        </w:trPr>
        <w:tc>
          <w:tcPr>
            <w:tcW w:w="2425" w:type="dxa"/>
            <w:vMerge/>
          </w:tcPr>
          <w:p w14:paraId="628494E4"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1350CB5E" w14:textId="32F8EE07" w:rsidR="00F77F6D" w:rsidRPr="007669E1" w:rsidRDefault="00255D8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113,259.9</w:t>
            </w:r>
          </w:p>
        </w:tc>
        <w:tc>
          <w:tcPr>
            <w:tcW w:w="1385" w:type="dxa"/>
            <w:shd w:val="clear" w:color="auto" w:fill="D9D9D9" w:themeFill="background1" w:themeFillShade="D9"/>
            <w:vAlign w:val="bottom"/>
          </w:tcPr>
          <w:p w14:paraId="1D969524" w14:textId="12D04169" w:rsidR="00F77F6D" w:rsidRPr="007669E1" w:rsidRDefault="00255D8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124,655.9</w:t>
            </w:r>
          </w:p>
        </w:tc>
        <w:tc>
          <w:tcPr>
            <w:tcW w:w="1385" w:type="dxa"/>
            <w:gridSpan w:val="2"/>
            <w:shd w:val="clear" w:color="auto" w:fill="D9D9D9" w:themeFill="background1" w:themeFillShade="D9"/>
            <w:vAlign w:val="bottom"/>
          </w:tcPr>
          <w:p w14:paraId="34E43E33" w14:textId="5A6A1BD4" w:rsidR="00F77F6D" w:rsidRPr="007669E1" w:rsidRDefault="00255D8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120,957.2</w:t>
            </w:r>
          </w:p>
        </w:tc>
        <w:tc>
          <w:tcPr>
            <w:tcW w:w="1385" w:type="dxa"/>
            <w:shd w:val="clear" w:color="auto" w:fill="D9D9D9" w:themeFill="background1" w:themeFillShade="D9"/>
            <w:vAlign w:val="bottom"/>
          </w:tcPr>
          <w:p w14:paraId="3333063E" w14:textId="33BA872E" w:rsidR="00F77F6D" w:rsidRPr="007669E1" w:rsidRDefault="00255D8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147,547.8</w:t>
            </w:r>
          </w:p>
        </w:tc>
        <w:tc>
          <w:tcPr>
            <w:tcW w:w="1660" w:type="dxa"/>
            <w:shd w:val="clear" w:color="auto" w:fill="D9D9D9" w:themeFill="background1" w:themeFillShade="D9"/>
            <w:vAlign w:val="bottom"/>
          </w:tcPr>
          <w:p w14:paraId="47833896" w14:textId="15E0D085" w:rsidR="00F77F6D" w:rsidRPr="007669E1" w:rsidRDefault="00255D8D" w:rsidP="00E90BA7">
            <w:pPr>
              <w:spacing w:before="20" w:after="20" w:line="240" w:lineRule="auto"/>
              <w:jc w:val="both"/>
              <w:rPr>
                <w:rFonts w:ascii="Segoe UI" w:hAnsi="Segoe UI" w:cs="Segoe UI"/>
                <w:i/>
                <w:sz w:val="18"/>
                <w:szCs w:val="18"/>
              </w:rPr>
            </w:pPr>
            <w:r w:rsidRPr="007669E1">
              <w:rPr>
                <w:rFonts w:ascii="Segoe UI" w:hAnsi="Segoe UI" w:cs="Segoe UI"/>
                <w:i/>
                <w:color w:val="000000"/>
                <w:sz w:val="18"/>
                <w:szCs w:val="18"/>
              </w:rPr>
              <w:t>162,942.3</w:t>
            </w:r>
          </w:p>
        </w:tc>
      </w:tr>
    </w:tbl>
    <w:p w14:paraId="51379949" w14:textId="77777777" w:rsidR="00F77F6D" w:rsidRPr="007669E1" w:rsidRDefault="00F77F6D" w:rsidP="00E90BA7">
      <w:pPr>
        <w:spacing w:before="20" w:after="20" w:line="240" w:lineRule="auto"/>
        <w:jc w:val="both"/>
        <w:rPr>
          <w:rFonts w:ascii="Segoe UI" w:hAnsi="Segoe UI" w:cs="Segoe UI"/>
          <w:b/>
          <w:sz w:val="18"/>
          <w:szCs w:val="18"/>
        </w:rPr>
      </w:pPr>
    </w:p>
    <w:tbl>
      <w:tblPr>
        <w:tblStyle w:val="TableGrid2"/>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7669E1" w14:paraId="7490447C" w14:textId="77777777" w:rsidTr="00B33EF0">
        <w:tc>
          <w:tcPr>
            <w:tcW w:w="9625" w:type="dxa"/>
            <w:gridSpan w:val="7"/>
            <w:shd w:val="clear" w:color="auto" w:fill="D9D9D9" w:themeFill="background1" w:themeFillShade="D9"/>
          </w:tcPr>
          <w:p w14:paraId="5D006E31" w14:textId="60F6ADBA" w:rsidR="00F77F6D" w:rsidRPr="007669E1" w:rsidRDefault="00F77F6D" w:rsidP="00E90BA7">
            <w:pPr>
              <w:keepNext/>
              <w:keepLines/>
              <w:spacing w:before="20" w:after="20"/>
              <w:jc w:val="both"/>
              <w:rPr>
                <w:rFonts w:ascii="Segoe UI" w:hAnsi="Segoe UI" w:cs="Segoe UI"/>
                <w:b/>
                <w:sz w:val="18"/>
                <w:szCs w:val="18"/>
              </w:rPr>
            </w:pPr>
            <w:r w:rsidRPr="007669E1">
              <w:rPr>
                <w:rFonts w:ascii="Segoe UI" w:hAnsi="Segoe UI" w:cs="Segoe UI"/>
                <w:b/>
                <w:sz w:val="18"/>
                <w:szCs w:val="18"/>
              </w:rPr>
              <w:lastRenderedPageBreak/>
              <w:t>22. Exempting the supply of editing of books and periodicals as well as publishing service with respect to such books/periodicals, copyright services</w:t>
            </w:r>
            <w:r w:rsidR="00B232EC" w:rsidRPr="007669E1">
              <w:rPr>
                <w:rFonts w:ascii="Segoe UI" w:hAnsi="Segoe UI" w:cs="Segoe UI"/>
                <w:b/>
                <w:sz w:val="18"/>
                <w:szCs w:val="18"/>
              </w:rPr>
              <w:t>,</w:t>
            </w:r>
            <w:r w:rsidRPr="007669E1">
              <w:rPr>
                <w:rFonts w:ascii="Segoe UI" w:hAnsi="Segoe UI" w:cs="Segoe UI"/>
                <w:b/>
                <w:sz w:val="18"/>
                <w:szCs w:val="18"/>
              </w:rPr>
              <w:t xml:space="preserve"> and other related rights used in the editing of books and periodicals</w:t>
            </w:r>
          </w:p>
        </w:tc>
      </w:tr>
      <w:tr w:rsidR="00F77F6D" w:rsidRPr="007669E1" w14:paraId="0DE99FBE" w14:textId="77777777" w:rsidTr="00B33EF0">
        <w:tc>
          <w:tcPr>
            <w:tcW w:w="2425" w:type="dxa"/>
          </w:tcPr>
          <w:p w14:paraId="5DA03E75"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Description</w:t>
            </w:r>
          </w:p>
        </w:tc>
        <w:tc>
          <w:tcPr>
            <w:tcW w:w="7200" w:type="dxa"/>
            <w:gridSpan w:val="6"/>
          </w:tcPr>
          <w:p w14:paraId="6789009E" w14:textId="31FB64D2" w:rsidR="00F77F6D" w:rsidRPr="007669E1" w:rsidRDefault="00F77F6D" w:rsidP="00E90BA7">
            <w:pPr>
              <w:keepNext/>
              <w:keepLines/>
              <w:spacing w:before="20" w:after="20"/>
              <w:jc w:val="both"/>
              <w:rPr>
                <w:rFonts w:ascii="Segoe UI" w:hAnsi="Segoe UI" w:cs="Segoe UI"/>
                <w:sz w:val="18"/>
                <w:szCs w:val="18"/>
              </w:rPr>
            </w:pPr>
            <w:r w:rsidRPr="007669E1">
              <w:rPr>
                <w:rFonts w:ascii="Segoe UI" w:hAnsi="Segoe UI" w:cs="Segoe UI"/>
                <w:sz w:val="18"/>
                <w:szCs w:val="18"/>
              </w:rPr>
              <w:t>Book production and periodical publications (except advertising and erotic ones) under tariff headings 4901, 4902, 490300000, 490400000 and 4905, as well as book and periodicals publishing services</w:t>
            </w:r>
            <w:r w:rsidR="00B232EC" w:rsidRPr="007669E1">
              <w:rPr>
                <w:rFonts w:ascii="Segoe UI" w:hAnsi="Segoe UI" w:cs="Segoe UI"/>
                <w:sz w:val="18"/>
                <w:szCs w:val="18"/>
              </w:rPr>
              <w:t>,</w:t>
            </w:r>
            <w:r w:rsidRPr="007669E1">
              <w:rPr>
                <w:rFonts w:ascii="Segoe UI" w:hAnsi="Segoe UI" w:cs="Segoe UI"/>
                <w:sz w:val="18"/>
                <w:szCs w:val="18"/>
              </w:rPr>
              <w:t xml:space="preserve"> and other related services, except those mentioned above are exempted from VAT deliveries.</w:t>
            </w:r>
          </w:p>
        </w:tc>
      </w:tr>
      <w:tr w:rsidR="00F77F6D" w:rsidRPr="007669E1" w14:paraId="1725FA19" w14:textId="77777777" w:rsidTr="00B33EF0">
        <w:tc>
          <w:tcPr>
            <w:tcW w:w="2425" w:type="dxa"/>
          </w:tcPr>
          <w:p w14:paraId="56A1F68B"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Type of Tax Affected</w:t>
            </w:r>
          </w:p>
        </w:tc>
        <w:tc>
          <w:tcPr>
            <w:tcW w:w="7200" w:type="dxa"/>
            <w:gridSpan w:val="6"/>
          </w:tcPr>
          <w:p w14:paraId="1E7C0705"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VAT</w:t>
            </w:r>
          </w:p>
        </w:tc>
      </w:tr>
      <w:tr w:rsidR="00F77F6D" w:rsidRPr="007669E1" w14:paraId="5BB53FB5" w14:textId="77777777" w:rsidTr="00B33EF0">
        <w:tc>
          <w:tcPr>
            <w:tcW w:w="2425" w:type="dxa"/>
          </w:tcPr>
          <w:p w14:paraId="26F85C29"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Beneficiaries</w:t>
            </w:r>
          </w:p>
        </w:tc>
        <w:tc>
          <w:tcPr>
            <w:tcW w:w="7200" w:type="dxa"/>
            <w:gridSpan w:val="6"/>
          </w:tcPr>
          <w:p w14:paraId="20F46AE3"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Producers of books and periodicals, as well as consumers of these goods</w:t>
            </w:r>
          </w:p>
        </w:tc>
      </w:tr>
      <w:tr w:rsidR="00F77F6D" w:rsidRPr="007669E1" w14:paraId="4192C4EC" w14:textId="77777777" w:rsidTr="00B33EF0">
        <w:tc>
          <w:tcPr>
            <w:tcW w:w="2425" w:type="dxa"/>
          </w:tcPr>
          <w:p w14:paraId="5359FA44"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Type of Measure</w:t>
            </w:r>
          </w:p>
        </w:tc>
        <w:tc>
          <w:tcPr>
            <w:tcW w:w="7200" w:type="dxa"/>
            <w:gridSpan w:val="6"/>
          </w:tcPr>
          <w:p w14:paraId="3DE2D1AE"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VAT Exemptions</w:t>
            </w:r>
          </w:p>
        </w:tc>
      </w:tr>
      <w:tr w:rsidR="00F77F6D" w:rsidRPr="007669E1" w14:paraId="0B0C4CAD" w14:textId="77777777" w:rsidTr="00B33EF0">
        <w:tc>
          <w:tcPr>
            <w:tcW w:w="2425" w:type="dxa"/>
          </w:tcPr>
          <w:p w14:paraId="36995ADE"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Reason why this Measure is not part of the Benchmark Tax System</w:t>
            </w:r>
          </w:p>
        </w:tc>
        <w:tc>
          <w:tcPr>
            <w:tcW w:w="7200" w:type="dxa"/>
            <w:gridSpan w:val="6"/>
          </w:tcPr>
          <w:p w14:paraId="343FB4EA" w14:textId="483AF7F1"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including books and periodicals, as well as publishing service to final consumers should be at the standard VAT rate.</w:t>
            </w:r>
            <w:r w:rsidR="00B232EC" w:rsidRPr="007669E1">
              <w:rPr>
                <w:rFonts w:ascii="Segoe UI" w:hAnsi="Segoe UI" w:cs="Segoe UI"/>
                <w:sz w:val="18"/>
                <w:szCs w:val="18"/>
              </w:rPr>
              <w:t xml:space="preserve"> This exemption is therefore a tax expenditure.</w:t>
            </w:r>
          </w:p>
        </w:tc>
      </w:tr>
      <w:tr w:rsidR="00F77F6D" w:rsidRPr="007669E1" w14:paraId="743A37F5" w14:textId="77777777" w:rsidTr="00B33EF0">
        <w:tc>
          <w:tcPr>
            <w:tcW w:w="2425" w:type="dxa"/>
          </w:tcPr>
          <w:p w14:paraId="71E65040"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Legal Reference</w:t>
            </w:r>
          </w:p>
        </w:tc>
        <w:tc>
          <w:tcPr>
            <w:tcW w:w="7200" w:type="dxa"/>
            <w:gridSpan w:val="6"/>
          </w:tcPr>
          <w:p w14:paraId="2BA1AB6D"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Art. 103(20) of TC</w:t>
            </w:r>
          </w:p>
        </w:tc>
      </w:tr>
      <w:tr w:rsidR="00F77F6D" w:rsidRPr="007669E1" w14:paraId="318006C6" w14:textId="77777777" w:rsidTr="00B33EF0">
        <w:trPr>
          <w:trHeight w:val="182"/>
        </w:trPr>
        <w:tc>
          <w:tcPr>
            <w:tcW w:w="2425" w:type="dxa"/>
            <w:vMerge w:val="restart"/>
          </w:tcPr>
          <w:p w14:paraId="78819727"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Implementation, Objectives, and History</w:t>
            </w:r>
          </w:p>
        </w:tc>
        <w:tc>
          <w:tcPr>
            <w:tcW w:w="7200" w:type="dxa"/>
            <w:gridSpan w:val="6"/>
          </w:tcPr>
          <w:p w14:paraId="1E90BBC4"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Fiscal support, to lower-income households by reducing expenditure on using books and periodicals</w:t>
            </w:r>
          </w:p>
        </w:tc>
      </w:tr>
      <w:tr w:rsidR="00F77F6D" w:rsidRPr="007669E1" w14:paraId="29FBE4D9" w14:textId="77777777" w:rsidTr="00B33EF0">
        <w:trPr>
          <w:trHeight w:val="182"/>
        </w:trPr>
        <w:tc>
          <w:tcPr>
            <w:tcW w:w="2425" w:type="dxa"/>
            <w:vMerge/>
          </w:tcPr>
          <w:p w14:paraId="1790B917" w14:textId="77777777" w:rsidR="00F77F6D" w:rsidRPr="007669E1" w:rsidRDefault="00F77F6D" w:rsidP="00E90BA7">
            <w:pPr>
              <w:spacing w:before="20" w:after="20"/>
              <w:jc w:val="both"/>
              <w:rPr>
                <w:rFonts w:ascii="Segoe UI" w:hAnsi="Segoe UI" w:cs="Segoe UI"/>
                <w:b/>
                <w:sz w:val="18"/>
                <w:szCs w:val="18"/>
              </w:rPr>
            </w:pPr>
          </w:p>
        </w:tc>
        <w:tc>
          <w:tcPr>
            <w:tcW w:w="3462" w:type="dxa"/>
            <w:gridSpan w:val="3"/>
          </w:tcPr>
          <w:p w14:paraId="2619750F"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Introduced in year: 2001</w:t>
            </w:r>
          </w:p>
        </w:tc>
        <w:tc>
          <w:tcPr>
            <w:tcW w:w="3738" w:type="dxa"/>
            <w:gridSpan w:val="3"/>
          </w:tcPr>
          <w:p w14:paraId="39AC81CA" w14:textId="4FE57290" w:rsidR="00F77F6D" w:rsidRPr="007669E1" w:rsidRDefault="0081296C" w:rsidP="00E90BA7">
            <w:pPr>
              <w:spacing w:before="20" w:after="20"/>
              <w:jc w:val="both"/>
              <w:rPr>
                <w:rFonts w:ascii="Segoe UI" w:hAnsi="Segoe UI" w:cs="Segoe UI"/>
                <w:sz w:val="18"/>
                <w:szCs w:val="18"/>
              </w:rPr>
            </w:pPr>
            <w:r w:rsidRPr="007669E1">
              <w:rPr>
                <w:rFonts w:ascii="Segoe UI" w:hAnsi="Segoe UI" w:cs="Segoe UI"/>
                <w:sz w:val="18"/>
                <w:szCs w:val="18"/>
              </w:rPr>
              <w:t>Expiry date: —</w:t>
            </w:r>
          </w:p>
        </w:tc>
      </w:tr>
      <w:tr w:rsidR="00F77F6D" w:rsidRPr="007669E1" w14:paraId="0F1EF174" w14:textId="77777777" w:rsidTr="00B33EF0">
        <w:tc>
          <w:tcPr>
            <w:tcW w:w="2425" w:type="dxa"/>
          </w:tcPr>
          <w:p w14:paraId="3F8710BB"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Source of Data</w:t>
            </w:r>
          </w:p>
        </w:tc>
        <w:tc>
          <w:tcPr>
            <w:tcW w:w="7200" w:type="dxa"/>
            <w:gridSpan w:val="6"/>
          </w:tcPr>
          <w:p w14:paraId="3B999CBE"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National accounts data</w:t>
            </w:r>
          </w:p>
        </w:tc>
      </w:tr>
      <w:tr w:rsidR="00F77F6D" w:rsidRPr="007669E1" w14:paraId="76AFC99E" w14:textId="77777777" w:rsidTr="00B33EF0">
        <w:tc>
          <w:tcPr>
            <w:tcW w:w="2425" w:type="dxa"/>
          </w:tcPr>
          <w:p w14:paraId="3121AD1C"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Estimation Method</w:t>
            </w:r>
          </w:p>
        </w:tc>
        <w:tc>
          <w:tcPr>
            <w:tcW w:w="7200" w:type="dxa"/>
            <w:gridSpan w:val="6"/>
          </w:tcPr>
          <w:p w14:paraId="73FAC6F6" w14:textId="77777777" w:rsidR="00F77F6D" w:rsidRPr="007669E1" w:rsidRDefault="00F77F6D" w:rsidP="00E90BA7">
            <w:pPr>
              <w:spacing w:before="20" w:after="20"/>
              <w:jc w:val="both"/>
              <w:rPr>
                <w:rFonts w:ascii="Segoe UI" w:hAnsi="Segoe UI" w:cs="Segoe UI"/>
                <w:sz w:val="18"/>
                <w:szCs w:val="18"/>
              </w:rPr>
            </w:pPr>
            <w:r w:rsidRPr="007669E1">
              <w:rPr>
                <w:rFonts w:ascii="Segoe UI" w:hAnsi="Segoe UI" w:cs="Segoe UI"/>
                <w:sz w:val="18"/>
                <w:szCs w:val="18"/>
              </w:rPr>
              <w:t>VAT model</w:t>
            </w:r>
          </w:p>
        </w:tc>
      </w:tr>
      <w:tr w:rsidR="00F77F6D" w:rsidRPr="007669E1" w14:paraId="388569F1" w14:textId="77777777" w:rsidTr="00B33EF0">
        <w:tc>
          <w:tcPr>
            <w:tcW w:w="2425" w:type="dxa"/>
          </w:tcPr>
          <w:p w14:paraId="50D6B526"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Number of Beneficiaries</w:t>
            </w:r>
          </w:p>
        </w:tc>
        <w:tc>
          <w:tcPr>
            <w:tcW w:w="7200" w:type="dxa"/>
            <w:gridSpan w:val="6"/>
          </w:tcPr>
          <w:p w14:paraId="57F04B4B" w14:textId="77777777" w:rsidR="00F77F6D" w:rsidRPr="007669E1" w:rsidRDefault="00F77F6D" w:rsidP="00E90BA7">
            <w:pPr>
              <w:spacing w:before="20" w:after="20"/>
              <w:jc w:val="both"/>
              <w:rPr>
                <w:rFonts w:ascii="Segoe UI" w:hAnsi="Segoe UI" w:cs="Segoe UI"/>
                <w:sz w:val="18"/>
                <w:szCs w:val="18"/>
              </w:rPr>
            </w:pPr>
          </w:p>
        </w:tc>
      </w:tr>
      <w:tr w:rsidR="00F77F6D" w:rsidRPr="007669E1" w14:paraId="022A1FEB" w14:textId="77777777" w:rsidTr="00B33EF0">
        <w:tc>
          <w:tcPr>
            <w:tcW w:w="2425" w:type="dxa"/>
          </w:tcPr>
          <w:p w14:paraId="713E1964"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Revenue Cost Reporting</w:t>
            </w:r>
          </w:p>
        </w:tc>
        <w:tc>
          <w:tcPr>
            <w:tcW w:w="7200" w:type="dxa"/>
            <w:gridSpan w:val="6"/>
          </w:tcPr>
          <w:p w14:paraId="7660FF2C" w14:textId="47EE7838" w:rsidR="00F77F6D" w:rsidRPr="007669E1" w:rsidRDefault="003E1B4F" w:rsidP="00E90BA7">
            <w:pPr>
              <w:spacing w:before="20" w:after="20"/>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F77F6D" w:rsidRPr="007669E1" w14:paraId="0B5DBE84" w14:textId="77777777" w:rsidTr="00B33EF0">
        <w:trPr>
          <w:trHeight w:val="91"/>
        </w:trPr>
        <w:tc>
          <w:tcPr>
            <w:tcW w:w="2425" w:type="dxa"/>
            <w:vMerge w:val="restart"/>
          </w:tcPr>
          <w:p w14:paraId="25172143" w14:textId="77777777" w:rsidR="00F77F6D" w:rsidRPr="007669E1" w:rsidRDefault="00F77F6D" w:rsidP="00E90BA7">
            <w:pPr>
              <w:spacing w:before="20" w:after="20"/>
              <w:jc w:val="both"/>
              <w:rPr>
                <w:rFonts w:ascii="Segoe UI" w:hAnsi="Segoe UI" w:cs="Segoe UI"/>
                <w:b/>
                <w:sz w:val="18"/>
                <w:szCs w:val="18"/>
              </w:rPr>
            </w:pPr>
          </w:p>
        </w:tc>
        <w:tc>
          <w:tcPr>
            <w:tcW w:w="1385" w:type="dxa"/>
          </w:tcPr>
          <w:p w14:paraId="0363C53D"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2018</w:t>
            </w:r>
          </w:p>
        </w:tc>
        <w:tc>
          <w:tcPr>
            <w:tcW w:w="1385" w:type="dxa"/>
          </w:tcPr>
          <w:p w14:paraId="25925AA0"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2019</w:t>
            </w:r>
          </w:p>
        </w:tc>
        <w:tc>
          <w:tcPr>
            <w:tcW w:w="1385" w:type="dxa"/>
            <w:gridSpan w:val="2"/>
          </w:tcPr>
          <w:p w14:paraId="7AAB7F11" w14:textId="7777777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2020</w:t>
            </w:r>
          </w:p>
        </w:tc>
        <w:tc>
          <w:tcPr>
            <w:tcW w:w="1385" w:type="dxa"/>
          </w:tcPr>
          <w:p w14:paraId="2036B24D" w14:textId="2DA17697" w:rsidR="00F77F6D" w:rsidRPr="007669E1" w:rsidRDefault="00F77F6D" w:rsidP="00E90BA7">
            <w:pPr>
              <w:spacing w:before="20" w:after="20"/>
              <w:jc w:val="both"/>
              <w:rPr>
                <w:rFonts w:ascii="Segoe UI" w:hAnsi="Segoe UI" w:cs="Segoe UI"/>
                <w:b/>
                <w:sz w:val="18"/>
                <w:szCs w:val="18"/>
              </w:rPr>
            </w:pPr>
            <w:r w:rsidRPr="007669E1">
              <w:rPr>
                <w:rFonts w:ascii="Segoe UI" w:hAnsi="Segoe UI" w:cs="Segoe UI"/>
                <w:b/>
                <w:sz w:val="18"/>
                <w:szCs w:val="18"/>
              </w:rPr>
              <w:t>2021</w:t>
            </w:r>
          </w:p>
        </w:tc>
        <w:tc>
          <w:tcPr>
            <w:tcW w:w="1660" w:type="dxa"/>
          </w:tcPr>
          <w:p w14:paraId="6D630904" w14:textId="7D78BB20" w:rsidR="00F77F6D" w:rsidRPr="007669E1" w:rsidRDefault="000C00AF" w:rsidP="00E90BA7">
            <w:pPr>
              <w:spacing w:before="20" w:after="20"/>
              <w:jc w:val="both"/>
              <w:rPr>
                <w:rFonts w:ascii="Segoe UI" w:hAnsi="Segoe UI" w:cs="Segoe UI"/>
                <w:b/>
                <w:sz w:val="18"/>
                <w:szCs w:val="18"/>
              </w:rPr>
            </w:pPr>
            <w:r w:rsidRPr="007669E1">
              <w:rPr>
                <w:rFonts w:ascii="Segoe UI" w:hAnsi="Segoe UI" w:cs="Segoe UI"/>
                <w:b/>
                <w:sz w:val="18"/>
                <w:szCs w:val="18"/>
              </w:rPr>
              <w:t>2022</w:t>
            </w:r>
          </w:p>
        </w:tc>
      </w:tr>
      <w:tr w:rsidR="003C7165" w:rsidRPr="007669E1" w14:paraId="293E0CFD" w14:textId="77777777" w:rsidTr="005435B3">
        <w:trPr>
          <w:trHeight w:val="91"/>
        </w:trPr>
        <w:tc>
          <w:tcPr>
            <w:tcW w:w="2425" w:type="dxa"/>
            <w:vMerge/>
          </w:tcPr>
          <w:p w14:paraId="26627C56" w14:textId="77777777" w:rsidR="00F77F6D" w:rsidRPr="007669E1" w:rsidRDefault="00F77F6D" w:rsidP="00E90BA7">
            <w:pPr>
              <w:spacing w:before="20" w:after="20"/>
              <w:jc w:val="both"/>
              <w:rPr>
                <w:rFonts w:ascii="Segoe UI" w:hAnsi="Segoe UI" w:cs="Segoe UI"/>
                <w:b/>
                <w:sz w:val="18"/>
                <w:szCs w:val="18"/>
              </w:rPr>
            </w:pPr>
          </w:p>
        </w:tc>
        <w:tc>
          <w:tcPr>
            <w:tcW w:w="1385" w:type="dxa"/>
            <w:shd w:val="clear" w:color="auto" w:fill="D9D9D9" w:themeFill="background1" w:themeFillShade="D9"/>
            <w:vAlign w:val="bottom"/>
          </w:tcPr>
          <w:p w14:paraId="2B48B36E" w14:textId="6AACF25F" w:rsidR="00F77F6D" w:rsidRPr="007669E1" w:rsidRDefault="003E1B4F" w:rsidP="00E90BA7">
            <w:pPr>
              <w:spacing w:before="20" w:after="20"/>
              <w:jc w:val="both"/>
              <w:rPr>
                <w:rFonts w:ascii="Segoe UI" w:hAnsi="Segoe UI" w:cs="Segoe UI"/>
                <w:i/>
                <w:sz w:val="18"/>
                <w:szCs w:val="18"/>
              </w:rPr>
            </w:pPr>
            <w:r w:rsidRPr="007669E1">
              <w:rPr>
                <w:rFonts w:ascii="Segoe UI" w:hAnsi="Segoe UI" w:cs="Segoe UI"/>
                <w:i/>
                <w:iCs/>
                <w:color w:val="000000"/>
                <w:sz w:val="18"/>
                <w:szCs w:val="18"/>
              </w:rPr>
              <w:t xml:space="preserve">98,873.8 </w:t>
            </w:r>
          </w:p>
        </w:tc>
        <w:tc>
          <w:tcPr>
            <w:tcW w:w="1385" w:type="dxa"/>
            <w:shd w:val="clear" w:color="auto" w:fill="D9D9D9" w:themeFill="background1" w:themeFillShade="D9"/>
            <w:vAlign w:val="bottom"/>
          </w:tcPr>
          <w:p w14:paraId="1F1841AE" w14:textId="12669D51" w:rsidR="00F77F6D" w:rsidRPr="007669E1" w:rsidRDefault="003E1B4F" w:rsidP="00E90BA7">
            <w:pPr>
              <w:spacing w:before="20" w:after="20"/>
              <w:jc w:val="both"/>
              <w:rPr>
                <w:rFonts w:ascii="Segoe UI" w:hAnsi="Segoe UI" w:cs="Segoe UI"/>
                <w:i/>
                <w:sz w:val="18"/>
                <w:szCs w:val="18"/>
              </w:rPr>
            </w:pPr>
            <w:r w:rsidRPr="007669E1">
              <w:rPr>
                <w:rFonts w:ascii="Segoe UI" w:hAnsi="Segoe UI" w:cs="Segoe UI"/>
                <w:i/>
                <w:iCs/>
                <w:color w:val="000000"/>
                <w:sz w:val="18"/>
                <w:szCs w:val="18"/>
              </w:rPr>
              <w:t xml:space="preserve">108,371.3 </w:t>
            </w:r>
          </w:p>
        </w:tc>
        <w:tc>
          <w:tcPr>
            <w:tcW w:w="1385" w:type="dxa"/>
            <w:gridSpan w:val="2"/>
            <w:shd w:val="clear" w:color="auto" w:fill="D9D9D9" w:themeFill="background1" w:themeFillShade="D9"/>
            <w:vAlign w:val="bottom"/>
          </w:tcPr>
          <w:p w14:paraId="009C64F7" w14:textId="01674A04" w:rsidR="00F77F6D" w:rsidRPr="007669E1" w:rsidRDefault="003E1B4F" w:rsidP="00E90BA7">
            <w:pPr>
              <w:spacing w:before="20" w:after="20"/>
              <w:jc w:val="both"/>
              <w:rPr>
                <w:rFonts w:ascii="Segoe UI" w:hAnsi="Segoe UI" w:cs="Segoe UI"/>
                <w:i/>
                <w:sz w:val="18"/>
                <w:szCs w:val="18"/>
              </w:rPr>
            </w:pPr>
            <w:r w:rsidRPr="007669E1">
              <w:rPr>
                <w:rFonts w:ascii="Segoe UI" w:hAnsi="Segoe UI" w:cs="Segoe UI"/>
                <w:i/>
                <w:iCs/>
                <w:color w:val="000000"/>
                <w:sz w:val="18"/>
                <w:szCs w:val="18"/>
              </w:rPr>
              <w:t xml:space="preserve">105,372.1 </w:t>
            </w:r>
          </w:p>
        </w:tc>
        <w:tc>
          <w:tcPr>
            <w:tcW w:w="1385" w:type="dxa"/>
            <w:shd w:val="clear" w:color="auto" w:fill="D9D9D9" w:themeFill="background1" w:themeFillShade="D9"/>
            <w:vAlign w:val="bottom"/>
          </w:tcPr>
          <w:p w14:paraId="0ADA066A" w14:textId="49299C3C" w:rsidR="00F77F6D" w:rsidRPr="007669E1" w:rsidRDefault="003E1B4F" w:rsidP="00E90BA7">
            <w:pPr>
              <w:spacing w:before="20" w:after="20"/>
              <w:jc w:val="both"/>
              <w:rPr>
                <w:rFonts w:ascii="Segoe UI" w:hAnsi="Segoe UI" w:cs="Segoe UI"/>
                <w:i/>
                <w:sz w:val="18"/>
                <w:szCs w:val="18"/>
              </w:rPr>
            </w:pPr>
            <w:r w:rsidRPr="007669E1">
              <w:rPr>
                <w:rFonts w:ascii="Segoe UI" w:hAnsi="Segoe UI" w:cs="Segoe UI"/>
                <w:i/>
                <w:iCs/>
                <w:color w:val="000000"/>
                <w:sz w:val="18"/>
                <w:szCs w:val="18"/>
              </w:rPr>
              <w:t xml:space="preserve">128,366.0 </w:t>
            </w:r>
          </w:p>
        </w:tc>
        <w:tc>
          <w:tcPr>
            <w:tcW w:w="1660" w:type="dxa"/>
            <w:shd w:val="clear" w:color="auto" w:fill="D9D9D9" w:themeFill="background1" w:themeFillShade="D9"/>
            <w:vAlign w:val="bottom"/>
          </w:tcPr>
          <w:p w14:paraId="6934CA34" w14:textId="0A69A924" w:rsidR="00F77F6D" w:rsidRPr="007669E1" w:rsidRDefault="003E1B4F" w:rsidP="00E90BA7">
            <w:pPr>
              <w:spacing w:before="20" w:after="20"/>
              <w:jc w:val="both"/>
              <w:rPr>
                <w:rFonts w:ascii="Segoe UI" w:hAnsi="Segoe UI" w:cs="Segoe UI"/>
                <w:i/>
                <w:sz w:val="18"/>
                <w:szCs w:val="18"/>
              </w:rPr>
            </w:pPr>
            <w:r w:rsidRPr="007669E1">
              <w:rPr>
                <w:rFonts w:ascii="Segoe UI" w:hAnsi="Segoe UI" w:cs="Segoe UI"/>
                <w:i/>
                <w:iCs/>
                <w:color w:val="000000"/>
                <w:sz w:val="18"/>
                <w:szCs w:val="18"/>
              </w:rPr>
              <w:t xml:space="preserve">141,562.5 </w:t>
            </w:r>
          </w:p>
        </w:tc>
      </w:tr>
    </w:tbl>
    <w:p w14:paraId="744DD320"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0F2CA8" w14:paraId="477EC293" w14:textId="77777777" w:rsidTr="00B33EF0">
        <w:tc>
          <w:tcPr>
            <w:tcW w:w="9625" w:type="dxa"/>
            <w:gridSpan w:val="7"/>
            <w:shd w:val="clear" w:color="auto" w:fill="D9D9D9" w:themeFill="background1" w:themeFillShade="D9"/>
          </w:tcPr>
          <w:p w14:paraId="68A971C7" w14:textId="57E24268"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23. Exempting the supply of fixed assets used as contributions to the owner’s equity of a co</w:t>
            </w:r>
            <w:r w:rsidR="1C19F368" w:rsidRPr="000F2CA8">
              <w:rPr>
                <w:rFonts w:ascii="Segoe UI" w:hAnsi="Segoe UI" w:cs="Segoe UI"/>
                <w:b/>
                <w:bCs/>
                <w:sz w:val="18"/>
                <w:szCs w:val="18"/>
              </w:rPr>
              <w:t>mpany</w:t>
            </w:r>
          </w:p>
        </w:tc>
      </w:tr>
      <w:tr w:rsidR="007669E1" w:rsidRPr="007669E1" w14:paraId="0ADEE2D1" w14:textId="77777777" w:rsidTr="00B33EF0">
        <w:tc>
          <w:tcPr>
            <w:tcW w:w="2425" w:type="dxa"/>
          </w:tcPr>
          <w:p w14:paraId="64FB4EBA"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Description</w:t>
            </w:r>
          </w:p>
        </w:tc>
        <w:tc>
          <w:tcPr>
            <w:tcW w:w="7200" w:type="dxa"/>
            <w:gridSpan w:val="6"/>
          </w:tcPr>
          <w:p w14:paraId="180820CC" w14:textId="2441AA2F"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Fixed assets used directly in the manufacture of products, the provision of services and/or the works performed, meant to be included in the statutory (share) capital are exempt from VAT</w:t>
            </w:r>
            <w:r w:rsidR="00B232EC" w:rsidRPr="007669E1">
              <w:rPr>
                <w:rFonts w:ascii="Segoe UI" w:hAnsi="Segoe UI" w:cs="Segoe UI"/>
                <w:sz w:val="18"/>
                <w:szCs w:val="18"/>
              </w:rPr>
              <w:t>.</w:t>
            </w:r>
          </w:p>
        </w:tc>
      </w:tr>
      <w:tr w:rsidR="007669E1" w:rsidRPr="007669E1" w14:paraId="787F5006" w14:textId="77777777" w:rsidTr="00B33EF0">
        <w:tc>
          <w:tcPr>
            <w:tcW w:w="2425" w:type="dxa"/>
          </w:tcPr>
          <w:p w14:paraId="23B021F3"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Tax Affected</w:t>
            </w:r>
          </w:p>
        </w:tc>
        <w:tc>
          <w:tcPr>
            <w:tcW w:w="7200" w:type="dxa"/>
            <w:gridSpan w:val="6"/>
          </w:tcPr>
          <w:p w14:paraId="37133FB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5B154DEB" w14:textId="77777777" w:rsidTr="00B33EF0">
        <w:tc>
          <w:tcPr>
            <w:tcW w:w="2425" w:type="dxa"/>
          </w:tcPr>
          <w:p w14:paraId="472DF781"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Beneficiaries</w:t>
            </w:r>
          </w:p>
        </w:tc>
        <w:tc>
          <w:tcPr>
            <w:tcW w:w="7200" w:type="dxa"/>
            <w:gridSpan w:val="6"/>
          </w:tcPr>
          <w:p w14:paraId="497CFD7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economic entities that include in the statutory (share) capital the fixed assets used directly in manufacturing products or providing services/works</w:t>
            </w:r>
          </w:p>
        </w:tc>
      </w:tr>
      <w:tr w:rsidR="007669E1" w:rsidRPr="007669E1" w14:paraId="27B4A011" w14:textId="77777777" w:rsidTr="00B33EF0">
        <w:tc>
          <w:tcPr>
            <w:tcW w:w="2425" w:type="dxa"/>
          </w:tcPr>
          <w:p w14:paraId="5B5B2256"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Type of Measure</w:t>
            </w:r>
          </w:p>
        </w:tc>
        <w:tc>
          <w:tcPr>
            <w:tcW w:w="7200" w:type="dxa"/>
            <w:gridSpan w:val="6"/>
          </w:tcPr>
          <w:p w14:paraId="524121A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037838E0" w14:textId="77777777" w:rsidTr="00B33EF0">
        <w:tc>
          <w:tcPr>
            <w:tcW w:w="2425" w:type="dxa"/>
          </w:tcPr>
          <w:p w14:paraId="576D7FF2"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Reason why this Measure is not part of the Benchmark Tax System</w:t>
            </w:r>
          </w:p>
        </w:tc>
        <w:tc>
          <w:tcPr>
            <w:tcW w:w="7200" w:type="dxa"/>
            <w:gridSpan w:val="6"/>
          </w:tcPr>
          <w:p w14:paraId="1ED2439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p>
        </w:tc>
      </w:tr>
      <w:tr w:rsidR="007669E1" w:rsidRPr="007669E1" w14:paraId="6E88CB49" w14:textId="77777777" w:rsidTr="00B33EF0">
        <w:tc>
          <w:tcPr>
            <w:tcW w:w="2425" w:type="dxa"/>
          </w:tcPr>
          <w:p w14:paraId="362A9941"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Legal Reference</w:t>
            </w:r>
          </w:p>
        </w:tc>
        <w:tc>
          <w:tcPr>
            <w:tcW w:w="7200" w:type="dxa"/>
            <w:gridSpan w:val="6"/>
          </w:tcPr>
          <w:p w14:paraId="1B462F1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103 (1) 29) TC</w:t>
            </w:r>
          </w:p>
        </w:tc>
      </w:tr>
      <w:tr w:rsidR="00136C8F" w:rsidRPr="007669E1" w14:paraId="30FEB751" w14:textId="77777777" w:rsidTr="00B33EF0">
        <w:trPr>
          <w:trHeight w:val="182"/>
        </w:trPr>
        <w:tc>
          <w:tcPr>
            <w:tcW w:w="2425" w:type="dxa"/>
            <w:vMerge w:val="restart"/>
          </w:tcPr>
          <w:p w14:paraId="10EB9221" w14:textId="77777777" w:rsidR="00F77F6D" w:rsidRPr="000F2CA8" w:rsidRDefault="00F77F6D"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Implementation, Objectives, and History</w:t>
            </w:r>
          </w:p>
        </w:tc>
        <w:tc>
          <w:tcPr>
            <w:tcW w:w="7200" w:type="dxa"/>
            <w:gridSpan w:val="6"/>
          </w:tcPr>
          <w:p w14:paraId="3851B0F7"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1FB6044E" w14:textId="77777777" w:rsidTr="00B33EF0">
        <w:trPr>
          <w:trHeight w:val="182"/>
        </w:trPr>
        <w:tc>
          <w:tcPr>
            <w:tcW w:w="2425" w:type="dxa"/>
            <w:vMerge/>
          </w:tcPr>
          <w:p w14:paraId="36CB721F" w14:textId="77777777" w:rsidR="00F77F6D" w:rsidRPr="000F2CA8" w:rsidRDefault="00F77F6D" w:rsidP="00E90BA7">
            <w:pPr>
              <w:spacing w:before="20" w:after="20" w:line="240" w:lineRule="auto"/>
              <w:jc w:val="both"/>
              <w:rPr>
                <w:rFonts w:ascii="Segoe UI" w:hAnsi="Segoe UI" w:cs="Segoe UI"/>
                <w:b/>
                <w:bCs/>
                <w:sz w:val="18"/>
                <w:szCs w:val="18"/>
              </w:rPr>
            </w:pPr>
          </w:p>
        </w:tc>
        <w:tc>
          <w:tcPr>
            <w:tcW w:w="3462" w:type="dxa"/>
            <w:gridSpan w:val="3"/>
          </w:tcPr>
          <w:p w14:paraId="35E5E4FB" w14:textId="0AA6AE62"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2014)</w:t>
            </w:r>
          </w:p>
        </w:tc>
        <w:tc>
          <w:tcPr>
            <w:tcW w:w="3738" w:type="dxa"/>
            <w:gridSpan w:val="3"/>
          </w:tcPr>
          <w:p w14:paraId="4F8E433B" w14:textId="3068E38B"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16177A39" w14:textId="77777777" w:rsidTr="00B33EF0">
        <w:tc>
          <w:tcPr>
            <w:tcW w:w="2425" w:type="dxa"/>
          </w:tcPr>
          <w:p w14:paraId="24CFDDF5" w14:textId="77777777" w:rsidR="00B547A9" w:rsidRPr="000F2CA8" w:rsidRDefault="00B547A9"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Source of Data</w:t>
            </w:r>
          </w:p>
        </w:tc>
        <w:tc>
          <w:tcPr>
            <w:tcW w:w="7200" w:type="dxa"/>
            <w:gridSpan w:val="6"/>
          </w:tcPr>
          <w:p w14:paraId="5582CDA1" w14:textId="5EAFAEC1" w:rsidR="00B547A9"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464EEE5" w14:textId="77777777" w:rsidTr="00B33EF0">
        <w:tc>
          <w:tcPr>
            <w:tcW w:w="2425" w:type="dxa"/>
          </w:tcPr>
          <w:p w14:paraId="1DB8A34B" w14:textId="77777777" w:rsidR="00B547A9" w:rsidRPr="000F2CA8" w:rsidRDefault="00B547A9"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Estimation Method</w:t>
            </w:r>
          </w:p>
        </w:tc>
        <w:tc>
          <w:tcPr>
            <w:tcW w:w="7200" w:type="dxa"/>
            <w:gridSpan w:val="6"/>
          </w:tcPr>
          <w:p w14:paraId="4F5D2BC4" w14:textId="6EBDF3F0" w:rsidR="00B547A9"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77EA99CE" w14:textId="77777777" w:rsidTr="00B33EF0">
        <w:tc>
          <w:tcPr>
            <w:tcW w:w="2425" w:type="dxa"/>
          </w:tcPr>
          <w:p w14:paraId="6F2DA839" w14:textId="77777777" w:rsidR="00B547A9" w:rsidRPr="000F2CA8" w:rsidRDefault="00B547A9"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Number of Beneficiaries</w:t>
            </w:r>
          </w:p>
        </w:tc>
        <w:tc>
          <w:tcPr>
            <w:tcW w:w="7200" w:type="dxa"/>
            <w:gridSpan w:val="6"/>
          </w:tcPr>
          <w:p w14:paraId="459B752A" w14:textId="366EF6C8" w:rsidR="00B547A9"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754360A6" w14:textId="77777777" w:rsidTr="00B33EF0">
        <w:tc>
          <w:tcPr>
            <w:tcW w:w="2425" w:type="dxa"/>
          </w:tcPr>
          <w:p w14:paraId="7E1B73F6"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Revenue Cost Reporting</w:t>
            </w:r>
          </w:p>
        </w:tc>
        <w:tc>
          <w:tcPr>
            <w:tcW w:w="7200" w:type="dxa"/>
            <w:gridSpan w:val="6"/>
          </w:tcPr>
          <w:p w14:paraId="7E3C9595" w14:textId="6879E057" w:rsidR="00E05468"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67C29CA9" w14:textId="77777777" w:rsidTr="00B33EF0">
        <w:trPr>
          <w:trHeight w:val="91"/>
        </w:trPr>
        <w:tc>
          <w:tcPr>
            <w:tcW w:w="2425" w:type="dxa"/>
            <w:vMerge w:val="restart"/>
          </w:tcPr>
          <w:p w14:paraId="34DFB352"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04EF23BD"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2018</w:t>
            </w:r>
          </w:p>
        </w:tc>
        <w:tc>
          <w:tcPr>
            <w:tcW w:w="1385" w:type="dxa"/>
          </w:tcPr>
          <w:p w14:paraId="653AC00E"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2019</w:t>
            </w:r>
          </w:p>
        </w:tc>
        <w:tc>
          <w:tcPr>
            <w:tcW w:w="1385" w:type="dxa"/>
            <w:gridSpan w:val="2"/>
          </w:tcPr>
          <w:p w14:paraId="19E6D458" w14:textId="77777777"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2020</w:t>
            </w:r>
          </w:p>
        </w:tc>
        <w:tc>
          <w:tcPr>
            <w:tcW w:w="1385" w:type="dxa"/>
          </w:tcPr>
          <w:p w14:paraId="476D0617" w14:textId="57DF19C2" w:rsidR="00E05468" w:rsidRPr="000F2CA8" w:rsidRDefault="00E05468"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2021</w:t>
            </w:r>
          </w:p>
        </w:tc>
        <w:tc>
          <w:tcPr>
            <w:tcW w:w="1660" w:type="dxa"/>
          </w:tcPr>
          <w:p w14:paraId="3C8F7D31" w14:textId="41907250" w:rsidR="00E05468" w:rsidRPr="000F2CA8" w:rsidRDefault="000C00AF" w:rsidP="00E90BA7">
            <w:pPr>
              <w:spacing w:before="20" w:after="20" w:line="240" w:lineRule="auto"/>
              <w:jc w:val="both"/>
              <w:rPr>
                <w:rFonts w:ascii="Segoe UI" w:hAnsi="Segoe UI" w:cs="Segoe UI"/>
                <w:b/>
                <w:bCs/>
                <w:sz w:val="18"/>
                <w:szCs w:val="18"/>
              </w:rPr>
            </w:pPr>
            <w:r w:rsidRPr="000F2CA8">
              <w:rPr>
                <w:rFonts w:ascii="Segoe UI" w:hAnsi="Segoe UI" w:cs="Segoe UI"/>
                <w:b/>
                <w:bCs/>
                <w:sz w:val="18"/>
                <w:szCs w:val="18"/>
              </w:rPr>
              <w:t>2022</w:t>
            </w:r>
          </w:p>
        </w:tc>
      </w:tr>
      <w:tr w:rsidR="00136C8F" w:rsidRPr="007669E1" w14:paraId="6B46B5C8" w14:textId="77777777" w:rsidTr="00B33EF0">
        <w:trPr>
          <w:trHeight w:val="91"/>
        </w:trPr>
        <w:tc>
          <w:tcPr>
            <w:tcW w:w="2425" w:type="dxa"/>
            <w:vMerge/>
          </w:tcPr>
          <w:p w14:paraId="3000F3C2"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2F9436B0" w14:textId="55AEFE79"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6402D647" w14:textId="35654A1D"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5BE3418D" w14:textId="09D9126E"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38569D4F" w14:textId="67A4BBE8"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6DDDA66E" w14:textId="35C9AB18"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12B8A22F"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32CBD69D" w14:textId="77777777" w:rsidTr="00B33EF0">
        <w:tc>
          <w:tcPr>
            <w:tcW w:w="9625" w:type="dxa"/>
            <w:gridSpan w:val="7"/>
            <w:shd w:val="clear" w:color="auto" w:fill="D9D9D9" w:themeFill="background1" w:themeFillShade="D9"/>
          </w:tcPr>
          <w:p w14:paraId="5A2E06E8" w14:textId="6744981F" w:rsidR="00F77F6D" w:rsidRPr="00F8111C" w:rsidRDefault="00F77F6D" w:rsidP="00E90BA7">
            <w:pPr>
              <w:keepNext/>
              <w:keepLines/>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24. Exempting the supply of services performed by entities operating in the field of science and innovation technologies</w:t>
            </w:r>
          </w:p>
        </w:tc>
      </w:tr>
      <w:tr w:rsidR="007669E1" w:rsidRPr="007669E1" w14:paraId="0AE94C99" w14:textId="77777777" w:rsidTr="00B33EF0">
        <w:tc>
          <w:tcPr>
            <w:tcW w:w="2425" w:type="dxa"/>
          </w:tcPr>
          <w:p w14:paraId="50F500D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622D9CE8" w14:textId="77777777" w:rsidR="00F77F6D" w:rsidRPr="007669E1" w:rsidRDefault="00F77F6D"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The supply of services performed by entities operating in the field of science and innovation technologies is exempt from VAT.</w:t>
            </w:r>
          </w:p>
        </w:tc>
      </w:tr>
      <w:tr w:rsidR="007669E1" w:rsidRPr="007669E1" w14:paraId="47073CE6" w14:textId="77777777" w:rsidTr="00B33EF0">
        <w:tc>
          <w:tcPr>
            <w:tcW w:w="2425" w:type="dxa"/>
          </w:tcPr>
          <w:p w14:paraId="332C34AB"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41ED489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5C9C3A72" w14:textId="77777777" w:rsidTr="00B33EF0">
        <w:tc>
          <w:tcPr>
            <w:tcW w:w="2425" w:type="dxa"/>
          </w:tcPr>
          <w:p w14:paraId="7BB80E2E"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5F04F79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Entities operating in the field of science and innovation technologies</w:t>
            </w:r>
          </w:p>
        </w:tc>
      </w:tr>
      <w:tr w:rsidR="007669E1" w:rsidRPr="007669E1" w14:paraId="564099C7" w14:textId="77777777" w:rsidTr="00B33EF0">
        <w:tc>
          <w:tcPr>
            <w:tcW w:w="2425" w:type="dxa"/>
          </w:tcPr>
          <w:p w14:paraId="707AFD47"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3953932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35765058" w14:textId="77777777" w:rsidTr="00B33EF0">
        <w:tc>
          <w:tcPr>
            <w:tcW w:w="2425" w:type="dxa"/>
          </w:tcPr>
          <w:p w14:paraId="07584EFF"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61DB4F19" w14:textId="5F037B80"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including services performed by entities operating in the field of science and innovation technologies, to final consumers should be at the standard VAT rate.</w:t>
            </w:r>
            <w:r w:rsidR="00B232EC" w:rsidRPr="007669E1">
              <w:rPr>
                <w:rFonts w:ascii="Segoe UI" w:hAnsi="Segoe UI" w:cs="Segoe UI"/>
                <w:sz w:val="18"/>
                <w:szCs w:val="18"/>
              </w:rPr>
              <w:t xml:space="preserve"> </w:t>
            </w:r>
          </w:p>
        </w:tc>
      </w:tr>
      <w:tr w:rsidR="007669E1" w:rsidRPr="007669E1" w14:paraId="32E7932D" w14:textId="77777777" w:rsidTr="00B33EF0">
        <w:tc>
          <w:tcPr>
            <w:tcW w:w="2425" w:type="dxa"/>
          </w:tcPr>
          <w:p w14:paraId="16F506C7"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5111CCB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Art.103 (1) 27) of TC</w:t>
            </w:r>
          </w:p>
        </w:tc>
      </w:tr>
      <w:tr w:rsidR="00136C8F" w:rsidRPr="007669E1" w14:paraId="61747B7B" w14:textId="77777777" w:rsidTr="00B33EF0">
        <w:trPr>
          <w:trHeight w:val="182"/>
        </w:trPr>
        <w:tc>
          <w:tcPr>
            <w:tcW w:w="2425" w:type="dxa"/>
            <w:vMerge w:val="restart"/>
          </w:tcPr>
          <w:p w14:paraId="7905E123"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719AF9F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in support of science and innovation sphere in the Republic of Moldova in terms of facilitating the services provided by accredited organizations in this field.</w:t>
            </w:r>
          </w:p>
        </w:tc>
      </w:tr>
      <w:tr w:rsidR="00136C8F" w:rsidRPr="007669E1" w14:paraId="6F1C1D91" w14:textId="77777777" w:rsidTr="00B33EF0">
        <w:trPr>
          <w:trHeight w:val="182"/>
        </w:trPr>
        <w:tc>
          <w:tcPr>
            <w:tcW w:w="2425" w:type="dxa"/>
            <w:vMerge/>
          </w:tcPr>
          <w:p w14:paraId="4CB1F62C" w14:textId="77777777" w:rsidR="00F77F6D" w:rsidRPr="00F8111C" w:rsidRDefault="00F77F6D" w:rsidP="00E90BA7">
            <w:pPr>
              <w:spacing w:before="20" w:after="20" w:line="240" w:lineRule="auto"/>
              <w:jc w:val="both"/>
              <w:rPr>
                <w:rFonts w:ascii="Segoe UI" w:hAnsi="Segoe UI" w:cs="Segoe UI"/>
                <w:b/>
                <w:bCs/>
                <w:sz w:val="18"/>
                <w:szCs w:val="18"/>
              </w:rPr>
            </w:pPr>
          </w:p>
        </w:tc>
        <w:tc>
          <w:tcPr>
            <w:tcW w:w="3462" w:type="dxa"/>
            <w:gridSpan w:val="3"/>
          </w:tcPr>
          <w:p w14:paraId="623DE3A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Until 2006, the exemption was applied for imported services</w:t>
            </w:r>
          </w:p>
        </w:tc>
        <w:tc>
          <w:tcPr>
            <w:tcW w:w="3738" w:type="dxa"/>
            <w:gridSpan w:val="3"/>
          </w:tcPr>
          <w:p w14:paraId="7B54610D" w14:textId="42EE0E2F"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58094534" w14:textId="77777777" w:rsidTr="00B33EF0">
        <w:tc>
          <w:tcPr>
            <w:tcW w:w="2425" w:type="dxa"/>
          </w:tcPr>
          <w:p w14:paraId="24A7289B"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3BCD8F8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accounts data</w:t>
            </w:r>
          </w:p>
        </w:tc>
      </w:tr>
      <w:tr w:rsidR="007669E1" w:rsidRPr="007669E1" w14:paraId="7B36BDBA" w14:textId="77777777" w:rsidTr="00B33EF0">
        <w:tc>
          <w:tcPr>
            <w:tcW w:w="2425" w:type="dxa"/>
          </w:tcPr>
          <w:p w14:paraId="76B0B713"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746C564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model</w:t>
            </w:r>
          </w:p>
        </w:tc>
      </w:tr>
      <w:tr w:rsidR="007669E1" w:rsidRPr="007669E1" w14:paraId="09FD8548" w14:textId="77777777" w:rsidTr="00B33EF0">
        <w:tc>
          <w:tcPr>
            <w:tcW w:w="2425" w:type="dxa"/>
          </w:tcPr>
          <w:p w14:paraId="7E1983F9"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33E8EDF4" w14:textId="77777777" w:rsidR="00F77F6D" w:rsidRPr="007669E1" w:rsidRDefault="00F77F6D" w:rsidP="00E90BA7">
            <w:pPr>
              <w:spacing w:before="20" w:after="20" w:line="240" w:lineRule="auto"/>
              <w:jc w:val="both"/>
              <w:rPr>
                <w:rFonts w:ascii="Segoe UI" w:hAnsi="Segoe UI" w:cs="Segoe UI"/>
                <w:sz w:val="18"/>
                <w:szCs w:val="18"/>
              </w:rPr>
            </w:pPr>
          </w:p>
        </w:tc>
      </w:tr>
      <w:tr w:rsidR="007669E1" w:rsidRPr="007669E1" w14:paraId="086169DF" w14:textId="77777777" w:rsidTr="00B33EF0">
        <w:tc>
          <w:tcPr>
            <w:tcW w:w="2425" w:type="dxa"/>
          </w:tcPr>
          <w:p w14:paraId="5DEED440"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2E5184D3" w14:textId="23CAE85B" w:rsidR="00F77F6D" w:rsidRPr="007669E1" w:rsidRDefault="00E4354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CF3A5E" w:rsidRPr="007669E1">
              <w:rPr>
                <w:rFonts w:ascii="Segoe UI" w:hAnsi="Segoe UI" w:cs="Segoe UI"/>
                <w:sz w:val="18"/>
                <w:szCs w:val="18"/>
              </w:rPr>
              <w:t xml:space="preserve"> </w:t>
            </w:r>
            <w:r w:rsidR="006C24F9" w:rsidRPr="007669E1">
              <w:rPr>
                <w:rFonts w:ascii="Segoe UI" w:hAnsi="Segoe UI" w:cs="Segoe UI"/>
                <w:sz w:val="18"/>
                <w:szCs w:val="18"/>
              </w:rPr>
              <w:t>MDL</w:t>
            </w:r>
          </w:p>
        </w:tc>
      </w:tr>
      <w:tr w:rsidR="00136C8F" w:rsidRPr="007669E1" w14:paraId="4444516F" w14:textId="77777777" w:rsidTr="00B33EF0">
        <w:trPr>
          <w:trHeight w:val="91"/>
        </w:trPr>
        <w:tc>
          <w:tcPr>
            <w:tcW w:w="2425" w:type="dxa"/>
            <w:vMerge w:val="restart"/>
          </w:tcPr>
          <w:p w14:paraId="1C2753F9"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tcPr>
          <w:p w14:paraId="2BCD47A2"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7D41D2F6"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614721A6"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00E2C7EF" w14:textId="6E23E7FA"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 xml:space="preserve">2021 </w:t>
            </w:r>
          </w:p>
        </w:tc>
        <w:tc>
          <w:tcPr>
            <w:tcW w:w="1660" w:type="dxa"/>
          </w:tcPr>
          <w:p w14:paraId="171CBB26" w14:textId="51DFB4D2" w:rsidR="00F77F6D"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669E1" w:rsidRPr="007669E1" w14:paraId="39F7BA7E" w14:textId="77777777" w:rsidTr="005435B3">
        <w:trPr>
          <w:trHeight w:val="91"/>
        </w:trPr>
        <w:tc>
          <w:tcPr>
            <w:tcW w:w="2425" w:type="dxa"/>
            <w:vMerge/>
          </w:tcPr>
          <w:p w14:paraId="0BF4F03F" w14:textId="77777777" w:rsidR="00F77F6D" w:rsidRPr="007669E1" w:rsidRDefault="00F77F6D" w:rsidP="00E90BA7">
            <w:pPr>
              <w:spacing w:before="20" w:after="20" w:line="240" w:lineRule="auto"/>
              <w:jc w:val="both"/>
              <w:rPr>
                <w:rFonts w:ascii="Segoe UI" w:hAnsi="Segoe UI" w:cs="Segoe UI"/>
                <w:sz w:val="18"/>
                <w:szCs w:val="18"/>
              </w:rPr>
            </w:pPr>
          </w:p>
        </w:tc>
        <w:tc>
          <w:tcPr>
            <w:tcW w:w="1385" w:type="dxa"/>
            <w:shd w:val="clear" w:color="auto" w:fill="D9D9D9" w:themeFill="background1" w:themeFillShade="D9"/>
            <w:vAlign w:val="bottom"/>
          </w:tcPr>
          <w:p w14:paraId="4EB165AC" w14:textId="1D28A55A" w:rsidR="00F77F6D" w:rsidRPr="007669E1" w:rsidRDefault="00E4354C"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1,646.7 </w:t>
            </w:r>
          </w:p>
        </w:tc>
        <w:tc>
          <w:tcPr>
            <w:tcW w:w="1385" w:type="dxa"/>
            <w:shd w:val="clear" w:color="auto" w:fill="D9D9D9" w:themeFill="background1" w:themeFillShade="D9"/>
            <w:vAlign w:val="bottom"/>
          </w:tcPr>
          <w:p w14:paraId="06964796" w14:textId="1C210ED7" w:rsidR="00F77F6D" w:rsidRPr="007669E1" w:rsidRDefault="00E4354C"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1,852.5 </w:t>
            </w:r>
          </w:p>
        </w:tc>
        <w:tc>
          <w:tcPr>
            <w:tcW w:w="1385" w:type="dxa"/>
            <w:gridSpan w:val="2"/>
            <w:shd w:val="clear" w:color="auto" w:fill="D9D9D9" w:themeFill="background1" w:themeFillShade="D9"/>
            <w:vAlign w:val="bottom"/>
          </w:tcPr>
          <w:p w14:paraId="4E44FFA3" w14:textId="38108D4C" w:rsidR="00F77F6D" w:rsidRPr="007669E1" w:rsidRDefault="00E4354C"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1,852.5 </w:t>
            </w:r>
          </w:p>
        </w:tc>
        <w:tc>
          <w:tcPr>
            <w:tcW w:w="1385" w:type="dxa"/>
            <w:shd w:val="clear" w:color="auto" w:fill="D9D9D9" w:themeFill="background1" w:themeFillShade="D9"/>
            <w:vAlign w:val="bottom"/>
          </w:tcPr>
          <w:p w14:paraId="480FE841" w14:textId="1BB5F625" w:rsidR="00F77F6D" w:rsidRPr="007669E1" w:rsidRDefault="00E4354C"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2,264.2 </w:t>
            </w:r>
          </w:p>
        </w:tc>
        <w:tc>
          <w:tcPr>
            <w:tcW w:w="1660" w:type="dxa"/>
            <w:shd w:val="clear" w:color="auto" w:fill="D9D9D9" w:themeFill="background1" w:themeFillShade="D9"/>
            <w:vAlign w:val="bottom"/>
          </w:tcPr>
          <w:p w14:paraId="254DEFDD" w14:textId="6F024B28" w:rsidR="00F77F6D" w:rsidRPr="007669E1" w:rsidRDefault="00E4354C" w:rsidP="00E90BA7">
            <w:pPr>
              <w:spacing w:before="20" w:after="20" w:line="240" w:lineRule="auto"/>
              <w:jc w:val="both"/>
              <w:rPr>
                <w:rFonts w:ascii="Segoe UI" w:hAnsi="Segoe UI" w:cs="Segoe UI"/>
                <w:i/>
                <w:sz w:val="18"/>
                <w:szCs w:val="18"/>
              </w:rPr>
            </w:pPr>
            <w:r w:rsidRPr="007669E1">
              <w:rPr>
                <w:rFonts w:ascii="Segoe UI" w:hAnsi="Segoe UI" w:cs="Segoe UI"/>
                <w:i/>
                <w:iCs/>
                <w:color w:val="000000"/>
                <w:sz w:val="18"/>
                <w:szCs w:val="18"/>
              </w:rPr>
              <w:t xml:space="preserve">2,470.0 </w:t>
            </w:r>
          </w:p>
        </w:tc>
      </w:tr>
    </w:tbl>
    <w:p w14:paraId="5646E64A"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136C8F" w:rsidRPr="007669E1" w14:paraId="31FB9979" w14:textId="77777777" w:rsidTr="00B33EF0">
        <w:tc>
          <w:tcPr>
            <w:tcW w:w="9625" w:type="dxa"/>
            <w:gridSpan w:val="7"/>
            <w:shd w:val="clear" w:color="auto" w:fill="D9D9D9" w:themeFill="background1" w:themeFillShade="D9"/>
          </w:tcPr>
          <w:p w14:paraId="78FD8C48" w14:textId="4D8CB959"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25. Exempting the supply of aircraft, helicopters and trains for passenger transportation, and related leasing services</w:t>
            </w:r>
          </w:p>
        </w:tc>
      </w:tr>
      <w:tr w:rsidR="00F77F6D" w:rsidRPr="007669E1" w14:paraId="0EE3E26A" w14:textId="77777777" w:rsidTr="00B33EF0">
        <w:tc>
          <w:tcPr>
            <w:tcW w:w="2425" w:type="dxa"/>
          </w:tcPr>
          <w:p w14:paraId="1C3B7F6A"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Description</w:t>
            </w:r>
          </w:p>
        </w:tc>
        <w:tc>
          <w:tcPr>
            <w:tcW w:w="7200" w:type="dxa"/>
            <w:gridSpan w:val="6"/>
          </w:tcPr>
          <w:p w14:paraId="3193D1C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supply of aircraft, helicopters and trains for passenger transportation, and related leasing services is exempt from VAT.</w:t>
            </w:r>
          </w:p>
        </w:tc>
      </w:tr>
      <w:tr w:rsidR="00F77F6D" w:rsidRPr="007669E1" w14:paraId="58D22F92" w14:textId="77777777" w:rsidTr="00B33EF0">
        <w:tc>
          <w:tcPr>
            <w:tcW w:w="2425" w:type="dxa"/>
          </w:tcPr>
          <w:p w14:paraId="5771C08B"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Type of Tax Affected</w:t>
            </w:r>
          </w:p>
        </w:tc>
        <w:tc>
          <w:tcPr>
            <w:tcW w:w="7200" w:type="dxa"/>
            <w:gridSpan w:val="6"/>
          </w:tcPr>
          <w:p w14:paraId="41F46BA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F77F6D" w:rsidRPr="007669E1" w14:paraId="6868B39F" w14:textId="77777777" w:rsidTr="00B33EF0">
        <w:tc>
          <w:tcPr>
            <w:tcW w:w="2425" w:type="dxa"/>
          </w:tcPr>
          <w:p w14:paraId="1277C856"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Beneficiaries</w:t>
            </w:r>
          </w:p>
        </w:tc>
        <w:tc>
          <w:tcPr>
            <w:tcW w:w="7200" w:type="dxa"/>
            <w:gridSpan w:val="6"/>
          </w:tcPr>
          <w:p w14:paraId="184D4BF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Entities that realize the import/supply of aircraft, helicopters and trains for passenger transportation and entities that offer related leasing services </w:t>
            </w:r>
          </w:p>
        </w:tc>
      </w:tr>
      <w:tr w:rsidR="00F77F6D" w:rsidRPr="007669E1" w14:paraId="13D5733B" w14:textId="77777777" w:rsidTr="00B33EF0">
        <w:tc>
          <w:tcPr>
            <w:tcW w:w="2425" w:type="dxa"/>
          </w:tcPr>
          <w:p w14:paraId="13BFD9FE"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Type of Measure</w:t>
            </w:r>
          </w:p>
        </w:tc>
        <w:tc>
          <w:tcPr>
            <w:tcW w:w="7200" w:type="dxa"/>
            <w:gridSpan w:val="6"/>
          </w:tcPr>
          <w:p w14:paraId="421AA915"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F77F6D" w:rsidRPr="007669E1" w14:paraId="6877AA09" w14:textId="77777777" w:rsidTr="00B33EF0">
        <w:tc>
          <w:tcPr>
            <w:tcW w:w="2425" w:type="dxa"/>
          </w:tcPr>
          <w:p w14:paraId="7EB267C9"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Reason why this Measure is not part of the Benchmark Tax System</w:t>
            </w:r>
          </w:p>
        </w:tc>
        <w:tc>
          <w:tcPr>
            <w:tcW w:w="7200" w:type="dxa"/>
            <w:gridSpan w:val="6"/>
          </w:tcPr>
          <w:p w14:paraId="1D44838E"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p>
        </w:tc>
      </w:tr>
      <w:tr w:rsidR="00F77F6D" w:rsidRPr="007669E1" w14:paraId="0D33D6CD" w14:textId="77777777" w:rsidTr="00B33EF0">
        <w:tc>
          <w:tcPr>
            <w:tcW w:w="2425" w:type="dxa"/>
          </w:tcPr>
          <w:p w14:paraId="51C31819"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Legal Reference</w:t>
            </w:r>
          </w:p>
        </w:tc>
        <w:tc>
          <w:tcPr>
            <w:tcW w:w="7200" w:type="dxa"/>
            <w:gridSpan w:val="6"/>
          </w:tcPr>
          <w:p w14:paraId="44806873"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Art.103 (1) (32) and (33) of TC</w:t>
            </w:r>
          </w:p>
        </w:tc>
      </w:tr>
      <w:tr w:rsidR="00F77F6D" w:rsidRPr="007669E1" w14:paraId="026D7D3D" w14:textId="77777777" w:rsidTr="00B33EF0">
        <w:trPr>
          <w:trHeight w:val="182"/>
        </w:trPr>
        <w:tc>
          <w:tcPr>
            <w:tcW w:w="2425" w:type="dxa"/>
            <w:vMerge w:val="restart"/>
          </w:tcPr>
          <w:p w14:paraId="18C433D7" w14:textId="77777777" w:rsidR="00F77F6D" w:rsidRPr="007669E1" w:rsidRDefault="00F77F6D"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Implementation, Objectives, and History</w:t>
            </w:r>
          </w:p>
        </w:tc>
        <w:tc>
          <w:tcPr>
            <w:tcW w:w="7200" w:type="dxa"/>
            <w:gridSpan w:val="6"/>
          </w:tcPr>
          <w:p w14:paraId="3A058FE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Fiscal support in the field of passenger transportation, in particular to the domain related to aircraft, helicopters and trains </w:t>
            </w:r>
          </w:p>
        </w:tc>
      </w:tr>
      <w:tr w:rsidR="00F77F6D" w:rsidRPr="007669E1" w14:paraId="62751DA9" w14:textId="77777777" w:rsidTr="00B33EF0">
        <w:trPr>
          <w:trHeight w:val="182"/>
        </w:trPr>
        <w:tc>
          <w:tcPr>
            <w:tcW w:w="2425" w:type="dxa"/>
            <w:vMerge/>
          </w:tcPr>
          <w:p w14:paraId="3D6A401D" w14:textId="77777777" w:rsidR="00F77F6D" w:rsidRPr="007669E1" w:rsidRDefault="00F77F6D" w:rsidP="00E90BA7">
            <w:pPr>
              <w:spacing w:before="20" w:after="20" w:line="240" w:lineRule="auto"/>
              <w:jc w:val="both"/>
              <w:rPr>
                <w:rFonts w:ascii="Segoe UI" w:hAnsi="Segoe UI" w:cs="Segoe UI"/>
                <w:b/>
                <w:sz w:val="18"/>
                <w:szCs w:val="18"/>
              </w:rPr>
            </w:pPr>
          </w:p>
        </w:tc>
        <w:tc>
          <w:tcPr>
            <w:tcW w:w="3462" w:type="dxa"/>
            <w:gridSpan w:val="3"/>
          </w:tcPr>
          <w:p w14:paraId="302A5FC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 May 2015</w:t>
            </w:r>
          </w:p>
        </w:tc>
        <w:tc>
          <w:tcPr>
            <w:tcW w:w="3738" w:type="dxa"/>
            <w:gridSpan w:val="3"/>
          </w:tcPr>
          <w:p w14:paraId="64A9D59F" w14:textId="41A2EDE0"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B547A9" w:rsidRPr="007669E1" w14:paraId="0DB7CD5E" w14:textId="77777777" w:rsidTr="00B33EF0">
        <w:tc>
          <w:tcPr>
            <w:tcW w:w="2425" w:type="dxa"/>
          </w:tcPr>
          <w:p w14:paraId="41FFC19F" w14:textId="77777777" w:rsidR="00B547A9" w:rsidRPr="007669E1" w:rsidRDefault="00B547A9"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Source of Data</w:t>
            </w:r>
          </w:p>
        </w:tc>
        <w:tc>
          <w:tcPr>
            <w:tcW w:w="7200" w:type="dxa"/>
            <w:gridSpan w:val="6"/>
          </w:tcPr>
          <w:p w14:paraId="0BB3D9D1" w14:textId="278F7552" w:rsidR="00B547A9"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B547A9" w:rsidRPr="007669E1" w14:paraId="566B7454" w14:textId="77777777" w:rsidTr="00B33EF0">
        <w:tc>
          <w:tcPr>
            <w:tcW w:w="2425" w:type="dxa"/>
          </w:tcPr>
          <w:p w14:paraId="5F4E4997" w14:textId="77777777" w:rsidR="00B547A9" w:rsidRPr="007669E1" w:rsidRDefault="00B547A9"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Estimation Method</w:t>
            </w:r>
          </w:p>
        </w:tc>
        <w:tc>
          <w:tcPr>
            <w:tcW w:w="7200" w:type="dxa"/>
            <w:gridSpan w:val="6"/>
          </w:tcPr>
          <w:p w14:paraId="596A19C5" w14:textId="7BFC5B35" w:rsidR="00B547A9"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B547A9" w:rsidRPr="007669E1" w14:paraId="47A3716E" w14:textId="77777777" w:rsidTr="00B33EF0">
        <w:tc>
          <w:tcPr>
            <w:tcW w:w="2425" w:type="dxa"/>
          </w:tcPr>
          <w:p w14:paraId="735AAB94" w14:textId="77777777" w:rsidR="00B547A9" w:rsidRPr="007669E1" w:rsidRDefault="00B547A9"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Number of Beneficiaries</w:t>
            </w:r>
          </w:p>
        </w:tc>
        <w:tc>
          <w:tcPr>
            <w:tcW w:w="7200" w:type="dxa"/>
            <w:gridSpan w:val="6"/>
          </w:tcPr>
          <w:p w14:paraId="787550A3" w14:textId="57C4B292" w:rsidR="00B547A9"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05468" w:rsidRPr="007669E1" w14:paraId="381F9024" w14:textId="77777777" w:rsidTr="00B33EF0">
        <w:tc>
          <w:tcPr>
            <w:tcW w:w="2425" w:type="dxa"/>
          </w:tcPr>
          <w:p w14:paraId="6443584F" w14:textId="77777777" w:rsidR="00E05468" w:rsidRPr="007669E1" w:rsidRDefault="00E05468"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Revenue Cost Reporting</w:t>
            </w:r>
          </w:p>
        </w:tc>
        <w:tc>
          <w:tcPr>
            <w:tcW w:w="7200" w:type="dxa"/>
            <w:gridSpan w:val="6"/>
          </w:tcPr>
          <w:p w14:paraId="069FB641" w14:textId="5A66F6A8" w:rsidR="00E05468" w:rsidRPr="007669E1" w:rsidRDefault="00B547A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E05468" w:rsidRPr="007669E1" w14:paraId="0DA318A0" w14:textId="77777777" w:rsidTr="00B33EF0">
        <w:trPr>
          <w:trHeight w:val="91"/>
        </w:trPr>
        <w:tc>
          <w:tcPr>
            <w:tcW w:w="2425" w:type="dxa"/>
            <w:vMerge w:val="restart"/>
          </w:tcPr>
          <w:p w14:paraId="2DE97538" w14:textId="77777777" w:rsidR="00E05468" w:rsidRPr="007669E1" w:rsidRDefault="00E05468" w:rsidP="00E90BA7">
            <w:pPr>
              <w:spacing w:before="20" w:after="20" w:line="240" w:lineRule="auto"/>
              <w:jc w:val="both"/>
              <w:rPr>
                <w:rFonts w:ascii="Segoe UI" w:hAnsi="Segoe UI" w:cs="Segoe UI"/>
                <w:b/>
                <w:sz w:val="18"/>
                <w:szCs w:val="18"/>
              </w:rPr>
            </w:pPr>
          </w:p>
        </w:tc>
        <w:tc>
          <w:tcPr>
            <w:tcW w:w="1385" w:type="dxa"/>
          </w:tcPr>
          <w:p w14:paraId="7042AB66" w14:textId="77777777" w:rsidR="00E05468" w:rsidRPr="007669E1" w:rsidRDefault="00E05468"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2018</w:t>
            </w:r>
          </w:p>
        </w:tc>
        <w:tc>
          <w:tcPr>
            <w:tcW w:w="1385" w:type="dxa"/>
          </w:tcPr>
          <w:p w14:paraId="48B661E3" w14:textId="77777777" w:rsidR="00E05468" w:rsidRPr="007669E1" w:rsidRDefault="00E05468"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2019</w:t>
            </w:r>
          </w:p>
        </w:tc>
        <w:tc>
          <w:tcPr>
            <w:tcW w:w="1385" w:type="dxa"/>
            <w:gridSpan w:val="2"/>
          </w:tcPr>
          <w:p w14:paraId="17D628CB" w14:textId="77777777" w:rsidR="00E05468" w:rsidRPr="007669E1" w:rsidRDefault="00E05468"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2020</w:t>
            </w:r>
          </w:p>
        </w:tc>
        <w:tc>
          <w:tcPr>
            <w:tcW w:w="1385" w:type="dxa"/>
          </w:tcPr>
          <w:p w14:paraId="0DE7B9BC" w14:textId="2BEAD887" w:rsidR="00E05468" w:rsidRPr="007669E1" w:rsidRDefault="00E05468"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2021</w:t>
            </w:r>
          </w:p>
        </w:tc>
        <w:tc>
          <w:tcPr>
            <w:tcW w:w="1660" w:type="dxa"/>
          </w:tcPr>
          <w:p w14:paraId="0DCD0770" w14:textId="4972D216" w:rsidR="00E05468" w:rsidRPr="007669E1" w:rsidRDefault="000C00AF" w:rsidP="00E90BA7">
            <w:pPr>
              <w:spacing w:before="20" w:after="20" w:line="240" w:lineRule="auto"/>
              <w:jc w:val="both"/>
              <w:rPr>
                <w:rFonts w:ascii="Segoe UI" w:hAnsi="Segoe UI" w:cs="Segoe UI"/>
                <w:b/>
                <w:sz w:val="18"/>
                <w:szCs w:val="18"/>
              </w:rPr>
            </w:pPr>
            <w:r w:rsidRPr="007669E1">
              <w:rPr>
                <w:rFonts w:ascii="Segoe UI" w:hAnsi="Segoe UI" w:cs="Segoe UI"/>
                <w:b/>
                <w:sz w:val="18"/>
                <w:szCs w:val="18"/>
              </w:rPr>
              <w:t>2022</w:t>
            </w:r>
          </w:p>
        </w:tc>
      </w:tr>
      <w:tr w:rsidR="00E05468" w:rsidRPr="007669E1" w14:paraId="6B166D22" w14:textId="77777777" w:rsidTr="00B33EF0">
        <w:trPr>
          <w:trHeight w:val="91"/>
        </w:trPr>
        <w:tc>
          <w:tcPr>
            <w:tcW w:w="2425" w:type="dxa"/>
            <w:vMerge/>
          </w:tcPr>
          <w:p w14:paraId="44F469CC" w14:textId="77777777" w:rsidR="00E05468" w:rsidRPr="007669E1" w:rsidRDefault="00E05468" w:rsidP="00E90BA7">
            <w:pPr>
              <w:spacing w:before="20" w:after="20" w:line="240" w:lineRule="auto"/>
              <w:jc w:val="both"/>
              <w:rPr>
                <w:rFonts w:ascii="Segoe UI" w:hAnsi="Segoe UI" w:cs="Segoe UI"/>
                <w:b/>
                <w:sz w:val="18"/>
                <w:szCs w:val="18"/>
              </w:rPr>
            </w:pPr>
          </w:p>
        </w:tc>
        <w:tc>
          <w:tcPr>
            <w:tcW w:w="1385" w:type="dxa"/>
          </w:tcPr>
          <w:p w14:paraId="6F8B8F5F" w14:textId="14B57C35"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58082EAA" w14:textId="116AB17B"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4CF3130A" w14:textId="45278650"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242E33F6" w14:textId="1858819C"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1B8C293B" w14:textId="1670E948"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5665B41A"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689F57A7" w14:textId="77777777" w:rsidTr="00B33EF0">
        <w:tc>
          <w:tcPr>
            <w:tcW w:w="9625" w:type="dxa"/>
            <w:gridSpan w:val="7"/>
            <w:shd w:val="clear" w:color="auto" w:fill="D9D9D9" w:themeFill="background1" w:themeFillShade="D9"/>
          </w:tcPr>
          <w:p w14:paraId="41335060" w14:textId="2AAF6E3D" w:rsidR="00F77F6D" w:rsidRPr="00F8111C" w:rsidRDefault="00F77F6D" w:rsidP="00E90BA7">
            <w:pPr>
              <w:keepNext/>
              <w:keepLines/>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26. Exempting the supply of air medical services</w:t>
            </w:r>
          </w:p>
        </w:tc>
      </w:tr>
      <w:tr w:rsidR="007669E1" w:rsidRPr="007669E1" w14:paraId="059370C8" w14:textId="77777777" w:rsidTr="00B33EF0">
        <w:tc>
          <w:tcPr>
            <w:tcW w:w="2425" w:type="dxa"/>
          </w:tcPr>
          <w:p w14:paraId="43F28745"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4A3C4798" w14:textId="77777777" w:rsidR="00F77F6D" w:rsidRPr="007669E1" w:rsidRDefault="00F77F6D"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Air medical ambulance services are exempt from VAT.</w:t>
            </w:r>
          </w:p>
        </w:tc>
      </w:tr>
      <w:tr w:rsidR="007669E1" w:rsidRPr="007669E1" w14:paraId="329ECCAB" w14:textId="77777777" w:rsidTr="00B33EF0">
        <w:tc>
          <w:tcPr>
            <w:tcW w:w="2425" w:type="dxa"/>
          </w:tcPr>
          <w:p w14:paraId="045A64FA"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1AE086C4"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60EB0F71" w14:textId="77777777" w:rsidTr="00B33EF0">
        <w:tc>
          <w:tcPr>
            <w:tcW w:w="2425" w:type="dxa"/>
          </w:tcPr>
          <w:p w14:paraId="111E9032"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5C8E79F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People receiving aerial medical services</w:t>
            </w:r>
          </w:p>
        </w:tc>
      </w:tr>
      <w:tr w:rsidR="007669E1" w:rsidRPr="007669E1" w14:paraId="493F51F3" w14:textId="77777777" w:rsidTr="00B33EF0">
        <w:tc>
          <w:tcPr>
            <w:tcW w:w="2425" w:type="dxa"/>
          </w:tcPr>
          <w:p w14:paraId="34BC39CB"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3401EF1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196385B5" w14:textId="77777777" w:rsidTr="00B33EF0">
        <w:tc>
          <w:tcPr>
            <w:tcW w:w="2425" w:type="dxa"/>
          </w:tcPr>
          <w:p w14:paraId="1D37C161"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7F026181" w14:textId="45038331"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Medical services are </w:t>
            </w:r>
            <w:r w:rsidR="00FA3164" w:rsidRPr="007669E1">
              <w:rPr>
                <w:rFonts w:ascii="Segoe UI" w:hAnsi="Segoe UI" w:cs="Segoe UI"/>
                <w:sz w:val="18"/>
                <w:szCs w:val="18"/>
              </w:rPr>
              <w:t>essential;</w:t>
            </w:r>
            <w:r w:rsidR="00B232EC" w:rsidRPr="007669E1">
              <w:rPr>
                <w:rFonts w:ascii="Segoe UI" w:hAnsi="Segoe UI" w:cs="Segoe UI"/>
                <w:sz w:val="18"/>
                <w:szCs w:val="18"/>
              </w:rPr>
              <w:t xml:space="preserve"> it is</w:t>
            </w:r>
            <w:r w:rsidRPr="007669E1">
              <w:rPr>
                <w:rFonts w:ascii="Segoe UI" w:hAnsi="Segoe UI" w:cs="Segoe UI"/>
                <w:sz w:val="18"/>
                <w:szCs w:val="18"/>
              </w:rPr>
              <w:t xml:space="preserve"> a</w:t>
            </w:r>
            <w:r w:rsidR="00B232EC" w:rsidRPr="007669E1">
              <w:rPr>
                <w:rFonts w:ascii="Segoe UI" w:hAnsi="Segoe UI" w:cs="Segoe UI"/>
                <w:sz w:val="18"/>
                <w:szCs w:val="18"/>
              </w:rPr>
              <w:t xml:space="preserve"> common</w:t>
            </w:r>
            <w:r w:rsidRPr="007669E1">
              <w:rPr>
                <w:rFonts w:ascii="Segoe UI" w:hAnsi="Segoe UI" w:cs="Segoe UI"/>
                <w:sz w:val="18"/>
                <w:szCs w:val="18"/>
              </w:rPr>
              <w:t xml:space="preserve"> exemption </w:t>
            </w:r>
            <w:r w:rsidR="00B232EC" w:rsidRPr="007669E1">
              <w:rPr>
                <w:rFonts w:ascii="Segoe UI" w:hAnsi="Segoe UI" w:cs="Segoe UI"/>
                <w:sz w:val="18"/>
                <w:szCs w:val="18"/>
              </w:rPr>
              <w:t>as it is</w:t>
            </w:r>
            <w:r w:rsidRPr="007669E1">
              <w:rPr>
                <w:rFonts w:ascii="Segoe UI" w:hAnsi="Segoe UI" w:cs="Segoe UI"/>
                <w:sz w:val="18"/>
                <w:szCs w:val="18"/>
              </w:rPr>
              <w:t xml:space="preserve"> justified</w:t>
            </w:r>
            <w:r w:rsidR="00B232EC" w:rsidRPr="007669E1">
              <w:rPr>
                <w:rFonts w:ascii="Segoe UI" w:hAnsi="Segoe UI" w:cs="Segoe UI"/>
                <w:sz w:val="18"/>
                <w:szCs w:val="18"/>
              </w:rPr>
              <w:t>. However,</w:t>
            </w:r>
            <w:r w:rsidRPr="007669E1">
              <w:rPr>
                <w:rFonts w:ascii="Segoe UI" w:hAnsi="Segoe UI" w:cs="Segoe UI"/>
                <w:sz w:val="18"/>
                <w:szCs w:val="18"/>
              </w:rPr>
              <w:t xml:space="preserve"> </w:t>
            </w:r>
            <w:r w:rsidR="00B232EC" w:rsidRPr="007669E1">
              <w:rPr>
                <w:rFonts w:ascii="Segoe UI" w:hAnsi="Segoe UI" w:cs="Segoe UI"/>
                <w:sz w:val="18"/>
                <w:szCs w:val="18"/>
              </w:rPr>
              <w:t xml:space="preserve">under a modern VAT, the benchmark tax regime provides that all final consumption of goods and services, including these special ambulance services, should attract VAT at the standard rate. Consequently, </w:t>
            </w:r>
            <w:r w:rsidRPr="007669E1">
              <w:rPr>
                <w:rFonts w:ascii="Segoe UI" w:hAnsi="Segoe UI" w:cs="Segoe UI"/>
                <w:sz w:val="18"/>
                <w:szCs w:val="18"/>
              </w:rPr>
              <w:t>it should be scored as a tax expenditure.</w:t>
            </w:r>
          </w:p>
        </w:tc>
      </w:tr>
      <w:tr w:rsidR="007669E1" w:rsidRPr="007669E1" w14:paraId="0B9C8043" w14:textId="77777777" w:rsidTr="00B33EF0">
        <w:tc>
          <w:tcPr>
            <w:tcW w:w="2425" w:type="dxa"/>
          </w:tcPr>
          <w:p w14:paraId="1A0D1D57"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042B490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Art.103 alin. (1) pct.10) of TC</w:t>
            </w:r>
          </w:p>
        </w:tc>
      </w:tr>
      <w:tr w:rsidR="00136C8F" w:rsidRPr="007669E1" w14:paraId="387BC83C" w14:textId="77777777" w:rsidTr="00B33EF0">
        <w:trPr>
          <w:trHeight w:val="182"/>
        </w:trPr>
        <w:tc>
          <w:tcPr>
            <w:tcW w:w="2425" w:type="dxa"/>
            <w:vMerge w:val="restart"/>
          </w:tcPr>
          <w:p w14:paraId="0DF1361A"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79B539E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in support of healthcare, consumers should not face an additional tax burden when being ill or falling sick.</w:t>
            </w:r>
          </w:p>
        </w:tc>
      </w:tr>
      <w:tr w:rsidR="00136C8F" w:rsidRPr="007669E1" w14:paraId="3575F1E5" w14:textId="77777777" w:rsidTr="00B33EF0">
        <w:trPr>
          <w:trHeight w:val="182"/>
        </w:trPr>
        <w:tc>
          <w:tcPr>
            <w:tcW w:w="2425" w:type="dxa"/>
            <w:vMerge/>
          </w:tcPr>
          <w:p w14:paraId="7FBD73F2" w14:textId="77777777" w:rsidR="00F77F6D" w:rsidRPr="00F8111C" w:rsidRDefault="00F77F6D" w:rsidP="00E90BA7">
            <w:pPr>
              <w:spacing w:before="20" w:after="20" w:line="240" w:lineRule="auto"/>
              <w:jc w:val="both"/>
              <w:rPr>
                <w:rFonts w:ascii="Segoe UI" w:hAnsi="Segoe UI" w:cs="Segoe UI"/>
                <w:b/>
                <w:bCs/>
                <w:sz w:val="18"/>
                <w:szCs w:val="18"/>
              </w:rPr>
            </w:pPr>
          </w:p>
        </w:tc>
        <w:tc>
          <w:tcPr>
            <w:tcW w:w="3462" w:type="dxa"/>
            <w:gridSpan w:val="3"/>
          </w:tcPr>
          <w:p w14:paraId="2215F61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 May 2015</w:t>
            </w:r>
          </w:p>
        </w:tc>
        <w:tc>
          <w:tcPr>
            <w:tcW w:w="3738" w:type="dxa"/>
            <w:gridSpan w:val="3"/>
          </w:tcPr>
          <w:p w14:paraId="3F8D9410" w14:textId="228C8B2F"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5D5485CE" w14:textId="77777777" w:rsidTr="00B33EF0">
        <w:tc>
          <w:tcPr>
            <w:tcW w:w="2425" w:type="dxa"/>
          </w:tcPr>
          <w:p w14:paraId="08CDADFE" w14:textId="77777777" w:rsidR="00C81EF6" w:rsidRPr="00F8111C" w:rsidRDefault="00C81EF6"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5598ADE8" w14:textId="0568A614" w:rsidR="00C81EF6"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EDE2EF2" w14:textId="77777777" w:rsidTr="00B33EF0">
        <w:tc>
          <w:tcPr>
            <w:tcW w:w="2425" w:type="dxa"/>
          </w:tcPr>
          <w:p w14:paraId="0E9E1897" w14:textId="77777777" w:rsidR="00C81EF6" w:rsidRPr="00F8111C" w:rsidRDefault="00C81EF6"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622209C8" w14:textId="2F1CDB75" w:rsidR="00C81EF6"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3CD9F88C" w14:textId="77777777" w:rsidTr="00B33EF0">
        <w:tc>
          <w:tcPr>
            <w:tcW w:w="2425" w:type="dxa"/>
          </w:tcPr>
          <w:p w14:paraId="3CBBEC55" w14:textId="77777777" w:rsidR="00C81EF6" w:rsidRPr="00F8111C" w:rsidRDefault="00C81EF6"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10663A5F" w14:textId="5B43293A" w:rsidR="00C81EF6"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37F473FE" w14:textId="77777777" w:rsidTr="00B33EF0">
        <w:tc>
          <w:tcPr>
            <w:tcW w:w="2425" w:type="dxa"/>
          </w:tcPr>
          <w:p w14:paraId="1120E8E1"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3692C74C" w14:textId="4721D51C" w:rsidR="00E05468"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7FE373D4" w14:textId="77777777" w:rsidTr="00B33EF0">
        <w:trPr>
          <w:trHeight w:val="91"/>
        </w:trPr>
        <w:tc>
          <w:tcPr>
            <w:tcW w:w="2425" w:type="dxa"/>
            <w:vMerge w:val="restart"/>
          </w:tcPr>
          <w:p w14:paraId="3812B8C2"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4146AA04"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4EF5367E"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30384DDA"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7B0F6202" w14:textId="09EC02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182FE150" w14:textId="7199C87E" w:rsidR="00E05468"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136C8F" w:rsidRPr="007669E1" w14:paraId="17570315" w14:textId="77777777" w:rsidTr="00B33EF0">
        <w:trPr>
          <w:trHeight w:val="91"/>
        </w:trPr>
        <w:tc>
          <w:tcPr>
            <w:tcW w:w="2425" w:type="dxa"/>
            <w:vMerge/>
          </w:tcPr>
          <w:p w14:paraId="53DF8DF1"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42552F31" w14:textId="32CCBC0E"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59004011" w14:textId="735722F9"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79A6C123" w14:textId="70E5AC01"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0D4C4A50" w14:textId="3604A4D0"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42CB966F" w14:textId="6B33A28A"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5E4C5119"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3BB3100A" w14:textId="77777777" w:rsidTr="00B33EF0">
        <w:tc>
          <w:tcPr>
            <w:tcW w:w="9625" w:type="dxa"/>
            <w:gridSpan w:val="7"/>
            <w:shd w:val="clear" w:color="auto" w:fill="D9D9D9" w:themeFill="background1" w:themeFillShade="D9"/>
          </w:tcPr>
          <w:p w14:paraId="30D021F2" w14:textId="314D7BC6"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 xml:space="preserve">27. Exempting the supply </w:t>
            </w:r>
            <w:r w:rsidR="008C5816" w:rsidRPr="00F8111C">
              <w:rPr>
                <w:rFonts w:ascii="Segoe UI" w:hAnsi="Segoe UI" w:cs="Segoe UI"/>
                <w:b/>
                <w:bCs/>
                <w:sz w:val="18"/>
                <w:szCs w:val="18"/>
              </w:rPr>
              <w:t xml:space="preserve">(and importation) </w:t>
            </w:r>
            <w:r w:rsidRPr="00F8111C">
              <w:rPr>
                <w:rFonts w:ascii="Segoe UI" w:hAnsi="Segoe UI" w:cs="Segoe UI"/>
                <w:b/>
                <w:bCs/>
                <w:sz w:val="18"/>
                <w:szCs w:val="18"/>
              </w:rPr>
              <w:t>of samples the value of which does not exceed MDL22,000</w:t>
            </w:r>
          </w:p>
        </w:tc>
      </w:tr>
      <w:tr w:rsidR="007669E1" w:rsidRPr="007669E1" w14:paraId="0A187F80" w14:textId="77777777" w:rsidTr="00B33EF0">
        <w:tc>
          <w:tcPr>
            <w:tcW w:w="2425" w:type="dxa"/>
          </w:tcPr>
          <w:p w14:paraId="5F7B2247"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11DEE50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import of goods samples with the intrinsic value not exceeding euro 22 for </w:t>
            </w:r>
          </w:p>
          <w:p w14:paraId="2F05BC6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an import shall be exempt from VAT without deduction right.</w:t>
            </w:r>
          </w:p>
        </w:tc>
      </w:tr>
      <w:tr w:rsidR="007669E1" w:rsidRPr="007669E1" w14:paraId="60A1563C" w14:textId="77777777" w:rsidTr="00B33EF0">
        <w:tc>
          <w:tcPr>
            <w:tcW w:w="2425" w:type="dxa"/>
          </w:tcPr>
          <w:p w14:paraId="68E0160F"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77BB1F0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3DAE2902" w14:textId="77777777" w:rsidTr="00B33EF0">
        <w:tc>
          <w:tcPr>
            <w:tcW w:w="2425" w:type="dxa"/>
          </w:tcPr>
          <w:p w14:paraId="287612CA"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54BBA4C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Sample importers and final consumers</w:t>
            </w:r>
          </w:p>
        </w:tc>
      </w:tr>
      <w:tr w:rsidR="007669E1" w:rsidRPr="007669E1" w14:paraId="632DC276" w14:textId="77777777" w:rsidTr="00B33EF0">
        <w:tc>
          <w:tcPr>
            <w:tcW w:w="2425" w:type="dxa"/>
          </w:tcPr>
          <w:p w14:paraId="5D68181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7D7095B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2770CBC5" w14:textId="77777777" w:rsidTr="00B33EF0">
        <w:tc>
          <w:tcPr>
            <w:tcW w:w="2425" w:type="dxa"/>
          </w:tcPr>
          <w:p w14:paraId="6D8A0F4B"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647995B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p>
        </w:tc>
      </w:tr>
      <w:tr w:rsidR="007669E1" w:rsidRPr="007669E1" w14:paraId="75D7EB41" w14:textId="77777777" w:rsidTr="00B33EF0">
        <w:tc>
          <w:tcPr>
            <w:tcW w:w="2425" w:type="dxa"/>
          </w:tcPr>
          <w:p w14:paraId="2D4612F1"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7451813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Art.103 alin. (9</w:t>
            </w:r>
            <w:r w:rsidRPr="007669E1">
              <w:rPr>
                <w:rFonts w:ascii="Segoe UI" w:hAnsi="Segoe UI" w:cs="Segoe UI"/>
                <w:sz w:val="18"/>
                <w:szCs w:val="18"/>
                <w:vertAlign w:val="superscript"/>
              </w:rPr>
              <w:t>7</w:t>
            </w:r>
            <w:r w:rsidRPr="007669E1">
              <w:rPr>
                <w:rFonts w:ascii="Segoe UI" w:hAnsi="Segoe UI" w:cs="Segoe UI"/>
                <w:sz w:val="18"/>
                <w:szCs w:val="18"/>
              </w:rPr>
              <w:t>)  of TC</w:t>
            </w:r>
          </w:p>
        </w:tc>
      </w:tr>
      <w:tr w:rsidR="00136C8F" w:rsidRPr="007669E1" w14:paraId="132F5E8D" w14:textId="77777777" w:rsidTr="00B33EF0">
        <w:trPr>
          <w:trHeight w:val="182"/>
        </w:trPr>
        <w:tc>
          <w:tcPr>
            <w:tcW w:w="2425" w:type="dxa"/>
            <w:vMerge w:val="restart"/>
          </w:tcPr>
          <w:p w14:paraId="7769249B"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17AE423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Non-taxation of imported objects for testing purposes</w:t>
            </w:r>
          </w:p>
        </w:tc>
      </w:tr>
      <w:tr w:rsidR="00136C8F" w:rsidRPr="007669E1" w14:paraId="108AD2FF" w14:textId="77777777" w:rsidTr="00B33EF0">
        <w:trPr>
          <w:trHeight w:val="182"/>
        </w:trPr>
        <w:tc>
          <w:tcPr>
            <w:tcW w:w="2425" w:type="dxa"/>
            <w:vMerge/>
          </w:tcPr>
          <w:p w14:paraId="1B4AF289" w14:textId="77777777" w:rsidR="00F77F6D" w:rsidRPr="00F8111C" w:rsidRDefault="00F77F6D" w:rsidP="00E90BA7">
            <w:pPr>
              <w:spacing w:before="20" w:after="20" w:line="240" w:lineRule="auto"/>
              <w:jc w:val="both"/>
              <w:rPr>
                <w:rFonts w:ascii="Segoe UI" w:hAnsi="Segoe UI" w:cs="Segoe UI"/>
                <w:b/>
                <w:bCs/>
                <w:sz w:val="18"/>
                <w:szCs w:val="18"/>
              </w:rPr>
            </w:pPr>
          </w:p>
        </w:tc>
        <w:tc>
          <w:tcPr>
            <w:tcW w:w="3462" w:type="dxa"/>
            <w:gridSpan w:val="3"/>
          </w:tcPr>
          <w:p w14:paraId="254724CC"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01 May 2015</w:t>
            </w:r>
          </w:p>
        </w:tc>
        <w:tc>
          <w:tcPr>
            <w:tcW w:w="3738" w:type="dxa"/>
            <w:gridSpan w:val="3"/>
          </w:tcPr>
          <w:p w14:paraId="355B7456" w14:textId="04C457A1"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3D0022E4" w14:textId="77777777" w:rsidTr="00B33EF0">
        <w:tc>
          <w:tcPr>
            <w:tcW w:w="2425" w:type="dxa"/>
          </w:tcPr>
          <w:p w14:paraId="38CD4C9D" w14:textId="77777777" w:rsidR="00C81EF6" w:rsidRPr="00F8111C" w:rsidRDefault="00C81EF6"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370103EB" w14:textId="45540290" w:rsidR="00C81EF6"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68EFF642" w14:textId="77777777" w:rsidTr="00B33EF0">
        <w:tc>
          <w:tcPr>
            <w:tcW w:w="2425" w:type="dxa"/>
          </w:tcPr>
          <w:p w14:paraId="49475A79" w14:textId="77777777" w:rsidR="00C81EF6" w:rsidRPr="00F8111C" w:rsidRDefault="00C81EF6"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51669F09" w14:textId="128D896C" w:rsidR="00C81EF6"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0ACF8A8E" w14:textId="77777777" w:rsidTr="00B33EF0">
        <w:tc>
          <w:tcPr>
            <w:tcW w:w="2425" w:type="dxa"/>
          </w:tcPr>
          <w:p w14:paraId="58C72195" w14:textId="77777777" w:rsidR="00C81EF6" w:rsidRPr="00F8111C" w:rsidRDefault="00C81EF6"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6A6048A3" w14:textId="08A0A8C9" w:rsidR="00C81EF6" w:rsidRPr="007669E1" w:rsidRDefault="00C81EF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05EE514B" w14:textId="77777777" w:rsidTr="00B33EF0">
        <w:tc>
          <w:tcPr>
            <w:tcW w:w="2425" w:type="dxa"/>
          </w:tcPr>
          <w:p w14:paraId="57032E4B"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3013E2BE" w14:textId="164E8E58" w:rsidR="00E05468" w:rsidRPr="007669E1" w:rsidRDefault="00D96E9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570EBAE8" w14:textId="77777777" w:rsidTr="00B33EF0">
        <w:trPr>
          <w:trHeight w:val="91"/>
        </w:trPr>
        <w:tc>
          <w:tcPr>
            <w:tcW w:w="2425" w:type="dxa"/>
            <w:vMerge w:val="restart"/>
          </w:tcPr>
          <w:p w14:paraId="22B15B8D"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0911F7A2"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1155B94D"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20B28256"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7B3EDC07" w14:textId="6CEB1CF5"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358C00FD" w14:textId="1F7F9C71" w:rsidR="00E05468"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136C8F" w:rsidRPr="007669E1" w14:paraId="19F87E79" w14:textId="77777777" w:rsidTr="00B33EF0">
        <w:trPr>
          <w:trHeight w:val="91"/>
        </w:trPr>
        <w:tc>
          <w:tcPr>
            <w:tcW w:w="2425" w:type="dxa"/>
            <w:vMerge/>
          </w:tcPr>
          <w:p w14:paraId="6B253DAE"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0EBC2F87" w14:textId="36EF8650"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6478167F" w14:textId="1E008069"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6E03F8C6" w14:textId="144AEB5A"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296BC0B0" w14:textId="19339FCF"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25CBE40D" w14:textId="6C867FF2"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6D18A0D3"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2716D083" w14:textId="77777777" w:rsidTr="0095713A">
        <w:tc>
          <w:tcPr>
            <w:tcW w:w="9625" w:type="dxa"/>
            <w:gridSpan w:val="7"/>
            <w:shd w:val="clear" w:color="auto" w:fill="D9D9D9" w:themeFill="background1" w:themeFillShade="D9"/>
          </w:tcPr>
          <w:p w14:paraId="5F1E43AB" w14:textId="4E588531"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28. Exempting the supply (and importation) of tractors and other agricultural machinery, provided that these are not rented or leased during 3 years from the date of importation or acquisition</w:t>
            </w:r>
          </w:p>
        </w:tc>
      </w:tr>
      <w:tr w:rsidR="007669E1" w:rsidRPr="007669E1" w14:paraId="18B3A320" w14:textId="77777777" w:rsidTr="0095713A">
        <w:tc>
          <w:tcPr>
            <w:tcW w:w="2425" w:type="dxa"/>
          </w:tcPr>
          <w:p w14:paraId="3149FFD1"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7EE7C0A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Agricultural tractors under tariff headings 870191100, 870192100, 870193100, </w:t>
            </w:r>
          </w:p>
          <w:p w14:paraId="1BD79F3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870194100, 870195100 and agricultural machinery under tariff headings 842449100, </w:t>
            </w:r>
          </w:p>
          <w:p w14:paraId="3A02D578"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842482100, 8432, 843320, 843330000, 843340000, 843351000, 843352000, 843353, </w:t>
            </w:r>
          </w:p>
          <w:p w14:paraId="19C43F0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843359, 8436, 8437 and parts thereof under tariff headings 8432, 8433 and 8437 are exempt from VAT</w:t>
            </w:r>
          </w:p>
        </w:tc>
      </w:tr>
      <w:tr w:rsidR="007669E1" w:rsidRPr="007669E1" w14:paraId="030C27C2" w14:textId="77777777" w:rsidTr="0095713A">
        <w:tc>
          <w:tcPr>
            <w:tcW w:w="2425" w:type="dxa"/>
          </w:tcPr>
          <w:p w14:paraId="3E85CE7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Type of Tax Affected</w:t>
            </w:r>
          </w:p>
        </w:tc>
        <w:tc>
          <w:tcPr>
            <w:tcW w:w="7200" w:type="dxa"/>
            <w:gridSpan w:val="6"/>
          </w:tcPr>
          <w:p w14:paraId="2E4E0B1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3A5FAAAA" w14:textId="77777777" w:rsidTr="0095713A">
        <w:tc>
          <w:tcPr>
            <w:tcW w:w="2425" w:type="dxa"/>
          </w:tcPr>
          <w:p w14:paraId="045DEC03"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2233DAD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Farmers and final consumers</w:t>
            </w:r>
          </w:p>
        </w:tc>
      </w:tr>
      <w:tr w:rsidR="007669E1" w:rsidRPr="007669E1" w14:paraId="26A3F899" w14:textId="77777777" w:rsidTr="0095713A">
        <w:tc>
          <w:tcPr>
            <w:tcW w:w="2425" w:type="dxa"/>
          </w:tcPr>
          <w:p w14:paraId="0322FF4F"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70A936B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27FB1FE2" w14:textId="77777777" w:rsidTr="0095713A">
        <w:tc>
          <w:tcPr>
            <w:tcW w:w="2425" w:type="dxa"/>
          </w:tcPr>
          <w:p w14:paraId="7B84DD52"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332B8787" w14:textId="5FED963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r w:rsidR="00DC7A63" w:rsidRPr="007669E1">
              <w:rPr>
                <w:rFonts w:ascii="Segoe UI" w:hAnsi="Segoe UI" w:cs="Segoe UI"/>
                <w:sz w:val="18"/>
                <w:szCs w:val="18"/>
              </w:rPr>
              <w:t xml:space="preserve"> The input VAT on agricultural implements could have been fully claimed by the vendor (farmer) that supplies agricultural produce</w:t>
            </w:r>
            <w:r w:rsidR="003675E2" w:rsidRPr="007669E1">
              <w:rPr>
                <w:rFonts w:ascii="Segoe UI" w:hAnsi="Segoe UI" w:cs="Segoe UI"/>
                <w:sz w:val="18"/>
                <w:szCs w:val="18"/>
              </w:rPr>
              <w:t xml:space="preserve"> at</w:t>
            </w:r>
            <w:r w:rsidR="00DC7A63" w:rsidRPr="007669E1">
              <w:rPr>
                <w:rFonts w:ascii="Segoe UI" w:hAnsi="Segoe UI" w:cs="Segoe UI"/>
                <w:sz w:val="18"/>
                <w:szCs w:val="18"/>
              </w:rPr>
              <w:t xml:space="preserve"> the standard VAT rate (no exemption).</w:t>
            </w:r>
          </w:p>
        </w:tc>
      </w:tr>
      <w:tr w:rsidR="007669E1" w:rsidRPr="007669E1" w14:paraId="2E436B04" w14:textId="77777777" w:rsidTr="0095713A">
        <w:tc>
          <w:tcPr>
            <w:tcW w:w="2425" w:type="dxa"/>
          </w:tcPr>
          <w:p w14:paraId="6802F2C5"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54286F5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Art.103 </w:t>
            </w:r>
          </w:p>
        </w:tc>
      </w:tr>
      <w:tr w:rsidR="00136C8F" w:rsidRPr="007669E1" w14:paraId="45AAC577" w14:textId="77777777" w:rsidTr="0095713A">
        <w:trPr>
          <w:trHeight w:val="182"/>
        </w:trPr>
        <w:tc>
          <w:tcPr>
            <w:tcW w:w="2425" w:type="dxa"/>
            <w:vMerge w:val="restart"/>
          </w:tcPr>
          <w:p w14:paraId="6B6D443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59DE713B"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Fiscal support for farmers and final consumers</w:t>
            </w:r>
          </w:p>
        </w:tc>
      </w:tr>
      <w:tr w:rsidR="00136C8F" w:rsidRPr="007669E1" w14:paraId="2B589345" w14:textId="77777777" w:rsidTr="0095713A">
        <w:trPr>
          <w:trHeight w:val="182"/>
        </w:trPr>
        <w:tc>
          <w:tcPr>
            <w:tcW w:w="2425" w:type="dxa"/>
            <w:vMerge/>
          </w:tcPr>
          <w:p w14:paraId="436648B0" w14:textId="77777777" w:rsidR="00F77F6D" w:rsidRPr="00F8111C" w:rsidRDefault="00F77F6D" w:rsidP="00E90BA7">
            <w:pPr>
              <w:spacing w:before="20" w:after="20" w:line="240" w:lineRule="auto"/>
              <w:jc w:val="both"/>
              <w:rPr>
                <w:rFonts w:ascii="Segoe UI" w:hAnsi="Segoe UI" w:cs="Segoe UI"/>
                <w:b/>
                <w:bCs/>
                <w:sz w:val="18"/>
                <w:szCs w:val="18"/>
              </w:rPr>
            </w:pPr>
          </w:p>
        </w:tc>
        <w:tc>
          <w:tcPr>
            <w:tcW w:w="3462" w:type="dxa"/>
            <w:gridSpan w:val="3"/>
          </w:tcPr>
          <w:p w14:paraId="45FF555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 January 2014</w:t>
            </w:r>
          </w:p>
        </w:tc>
        <w:tc>
          <w:tcPr>
            <w:tcW w:w="3738" w:type="dxa"/>
            <w:gridSpan w:val="3"/>
          </w:tcPr>
          <w:p w14:paraId="6F79B66E" w14:textId="7B626EE3"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2ED0A5A9" w14:textId="77777777" w:rsidTr="0095713A">
        <w:tc>
          <w:tcPr>
            <w:tcW w:w="2425" w:type="dxa"/>
          </w:tcPr>
          <w:p w14:paraId="00169AE8"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7E416BC7" w14:textId="6BA5EB15"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55D51D09" w14:textId="77777777" w:rsidTr="0095713A">
        <w:tc>
          <w:tcPr>
            <w:tcW w:w="2425" w:type="dxa"/>
          </w:tcPr>
          <w:p w14:paraId="157008F5"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06145A33" w14:textId="0E71AAD8"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03B1C934" w14:textId="77777777" w:rsidTr="0095713A">
        <w:tc>
          <w:tcPr>
            <w:tcW w:w="2425" w:type="dxa"/>
          </w:tcPr>
          <w:p w14:paraId="6BC7B92F"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681834E3" w14:textId="45F2C59C"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629C9C7" w14:textId="77777777" w:rsidTr="0095713A">
        <w:tc>
          <w:tcPr>
            <w:tcW w:w="2425" w:type="dxa"/>
          </w:tcPr>
          <w:p w14:paraId="5680701C"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1859C00F" w14:textId="1BECC27D" w:rsidR="00E05468"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52C0038B" w14:textId="77777777" w:rsidTr="0095713A">
        <w:trPr>
          <w:trHeight w:val="91"/>
        </w:trPr>
        <w:tc>
          <w:tcPr>
            <w:tcW w:w="2425" w:type="dxa"/>
            <w:vMerge w:val="restart"/>
          </w:tcPr>
          <w:p w14:paraId="4C2EB853"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37622A9C"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4C097013"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211D54BB"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7D485CE0" w14:textId="747AEEAC"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5C200080" w14:textId="303483E1" w:rsidR="00E05468"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136C8F" w:rsidRPr="007669E1" w14:paraId="3CD87A77" w14:textId="77777777" w:rsidTr="0095713A">
        <w:trPr>
          <w:trHeight w:val="91"/>
        </w:trPr>
        <w:tc>
          <w:tcPr>
            <w:tcW w:w="2425" w:type="dxa"/>
            <w:vMerge/>
          </w:tcPr>
          <w:p w14:paraId="2B54CB8E"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6F11DB2D" w14:textId="7EE74625"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1B125053" w14:textId="097AF48D"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28A0471C" w14:textId="4D04897B"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27D4D78A" w14:textId="421B1FBB"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2B5D7EDC" w14:textId="259D1FED"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57DEF814"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0A7D2D01" w14:textId="77777777" w:rsidTr="0095713A">
        <w:tc>
          <w:tcPr>
            <w:tcW w:w="9625" w:type="dxa"/>
            <w:gridSpan w:val="7"/>
            <w:shd w:val="clear" w:color="auto" w:fill="D9D9D9" w:themeFill="background1" w:themeFillShade="D9"/>
          </w:tcPr>
          <w:p w14:paraId="261B9057" w14:textId="6A28AC32" w:rsidR="00F77F6D" w:rsidRPr="00F8111C" w:rsidRDefault="003675E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29</w:t>
            </w:r>
            <w:r w:rsidR="00F77F6D" w:rsidRPr="00F8111C">
              <w:rPr>
                <w:rFonts w:ascii="Segoe UI" w:hAnsi="Segoe UI" w:cs="Segoe UI"/>
                <w:b/>
                <w:bCs/>
                <w:sz w:val="18"/>
                <w:szCs w:val="18"/>
              </w:rPr>
              <w:t>. Exempting the supply of goods and services for no consideration for the promotion of trade in the amount of 0.5% of sales return for the previous year</w:t>
            </w:r>
          </w:p>
        </w:tc>
      </w:tr>
      <w:tr w:rsidR="007669E1" w:rsidRPr="007669E1" w14:paraId="7E235B76" w14:textId="77777777" w:rsidTr="0095713A">
        <w:tc>
          <w:tcPr>
            <w:tcW w:w="2425" w:type="dxa"/>
          </w:tcPr>
          <w:p w14:paraId="7F34393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118388CA" w14:textId="452083E8"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Supply of goods and services made free of charge for the purpose of advertising and/or promoting</w:t>
            </w:r>
            <w:r w:rsidR="003675E2" w:rsidRPr="007669E1">
              <w:rPr>
                <w:rFonts w:ascii="Segoe UI" w:hAnsi="Segoe UI" w:cs="Segoe UI"/>
                <w:sz w:val="18"/>
                <w:szCs w:val="18"/>
              </w:rPr>
              <w:t>.</w:t>
            </w:r>
          </w:p>
        </w:tc>
      </w:tr>
      <w:tr w:rsidR="007669E1" w:rsidRPr="007669E1" w14:paraId="286D310A" w14:textId="77777777" w:rsidTr="0095713A">
        <w:tc>
          <w:tcPr>
            <w:tcW w:w="2425" w:type="dxa"/>
          </w:tcPr>
          <w:p w14:paraId="2D78B2E8"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0A743DA2"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4DB1E159" w14:textId="77777777" w:rsidTr="0095713A">
        <w:tc>
          <w:tcPr>
            <w:tcW w:w="2425" w:type="dxa"/>
          </w:tcPr>
          <w:p w14:paraId="7FFF278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7A9BFFD1"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economic entities that supply goods and services made free of charge for the purpose of advertising and/or promoting</w:t>
            </w:r>
          </w:p>
        </w:tc>
      </w:tr>
      <w:tr w:rsidR="007669E1" w:rsidRPr="007669E1" w14:paraId="7FEF819A" w14:textId="77777777" w:rsidTr="0095713A">
        <w:tc>
          <w:tcPr>
            <w:tcW w:w="2425" w:type="dxa"/>
          </w:tcPr>
          <w:p w14:paraId="3C1EE6E1"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088C0D86"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5A83E299" w14:textId="77777777" w:rsidTr="0095713A">
        <w:tc>
          <w:tcPr>
            <w:tcW w:w="2425" w:type="dxa"/>
          </w:tcPr>
          <w:p w14:paraId="224BEC6E"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55B9F8A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p>
        </w:tc>
      </w:tr>
      <w:tr w:rsidR="007669E1" w:rsidRPr="007669E1" w14:paraId="1F6BA615" w14:textId="77777777" w:rsidTr="0095713A">
        <w:tc>
          <w:tcPr>
            <w:tcW w:w="2425" w:type="dxa"/>
          </w:tcPr>
          <w:p w14:paraId="1098E492"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5485787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95 (2) c) TC</w:t>
            </w:r>
          </w:p>
        </w:tc>
      </w:tr>
      <w:tr w:rsidR="00136C8F" w:rsidRPr="007669E1" w14:paraId="606F3226" w14:textId="77777777" w:rsidTr="0095713A">
        <w:trPr>
          <w:trHeight w:val="182"/>
        </w:trPr>
        <w:tc>
          <w:tcPr>
            <w:tcW w:w="2425" w:type="dxa"/>
            <w:vMerge w:val="restart"/>
          </w:tcPr>
          <w:p w14:paraId="7FCF2B39"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3462" w:type="dxa"/>
            <w:gridSpan w:val="3"/>
          </w:tcPr>
          <w:p w14:paraId="49BA215E" w14:textId="77777777" w:rsidR="00F77F6D" w:rsidRPr="007669E1" w:rsidRDefault="00F77F6D" w:rsidP="00E90BA7">
            <w:pPr>
              <w:spacing w:before="20" w:after="20" w:line="240" w:lineRule="auto"/>
              <w:jc w:val="both"/>
              <w:rPr>
                <w:rFonts w:ascii="Segoe UI" w:hAnsi="Segoe UI" w:cs="Segoe UI"/>
                <w:sz w:val="18"/>
                <w:szCs w:val="18"/>
              </w:rPr>
            </w:pPr>
          </w:p>
        </w:tc>
        <w:tc>
          <w:tcPr>
            <w:tcW w:w="3738" w:type="dxa"/>
            <w:gridSpan w:val="3"/>
          </w:tcPr>
          <w:p w14:paraId="049EF023"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0C44214D" w14:textId="77777777" w:rsidTr="0095713A">
        <w:trPr>
          <w:trHeight w:val="182"/>
        </w:trPr>
        <w:tc>
          <w:tcPr>
            <w:tcW w:w="2425" w:type="dxa"/>
            <w:vMerge/>
          </w:tcPr>
          <w:p w14:paraId="24E3C7EE" w14:textId="77777777" w:rsidR="00F77F6D" w:rsidRPr="00F8111C" w:rsidRDefault="00F77F6D" w:rsidP="00E90BA7">
            <w:pPr>
              <w:spacing w:before="20" w:after="20" w:line="240" w:lineRule="auto"/>
              <w:jc w:val="both"/>
              <w:rPr>
                <w:rFonts w:ascii="Segoe UI" w:hAnsi="Segoe UI" w:cs="Segoe UI"/>
                <w:b/>
                <w:bCs/>
                <w:sz w:val="18"/>
                <w:szCs w:val="18"/>
              </w:rPr>
            </w:pPr>
          </w:p>
        </w:tc>
        <w:tc>
          <w:tcPr>
            <w:tcW w:w="3462" w:type="dxa"/>
            <w:gridSpan w:val="3"/>
          </w:tcPr>
          <w:p w14:paraId="5179AD0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Law 108/2009 (in force 1 January 2010)- 0,1%;  Law 288/2017 (in force 1 January 2018) – 0,5%</w:t>
            </w:r>
          </w:p>
        </w:tc>
        <w:tc>
          <w:tcPr>
            <w:tcW w:w="3738" w:type="dxa"/>
            <w:gridSpan w:val="3"/>
          </w:tcPr>
          <w:p w14:paraId="43F0E9BF" w14:textId="0A44EB89"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7425FB0B" w14:textId="77777777" w:rsidTr="0095713A">
        <w:tc>
          <w:tcPr>
            <w:tcW w:w="2425" w:type="dxa"/>
          </w:tcPr>
          <w:p w14:paraId="2CBE4371"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1A2E0FEF" w14:textId="5BD886EA"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597DE251" w14:textId="77777777" w:rsidTr="0095713A">
        <w:tc>
          <w:tcPr>
            <w:tcW w:w="2425" w:type="dxa"/>
          </w:tcPr>
          <w:p w14:paraId="701CD02D"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1C6B3FDE" w14:textId="6F7133D7"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40D196B1" w14:textId="77777777" w:rsidTr="0095713A">
        <w:tc>
          <w:tcPr>
            <w:tcW w:w="2425" w:type="dxa"/>
          </w:tcPr>
          <w:p w14:paraId="4D601FE2"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7BB3EE80" w14:textId="5AECE8CD"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2A8F7D33" w14:textId="77777777" w:rsidTr="0095713A">
        <w:tc>
          <w:tcPr>
            <w:tcW w:w="2425" w:type="dxa"/>
          </w:tcPr>
          <w:p w14:paraId="438ED73F"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59E468A6" w14:textId="7459700A" w:rsidR="00E05468"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349B1A68" w14:textId="77777777" w:rsidTr="0095713A">
        <w:trPr>
          <w:trHeight w:val="91"/>
        </w:trPr>
        <w:tc>
          <w:tcPr>
            <w:tcW w:w="2425" w:type="dxa"/>
            <w:vMerge w:val="restart"/>
          </w:tcPr>
          <w:p w14:paraId="5DC2DFA6"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180AC025"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6F7A00F0"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3682EB8D"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57935D82" w14:textId="342B0916"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4B772389" w14:textId="3F464A48" w:rsidR="00E05468"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136C8F" w:rsidRPr="007669E1" w14:paraId="48FFF63F" w14:textId="77777777" w:rsidTr="0095713A">
        <w:trPr>
          <w:trHeight w:val="91"/>
        </w:trPr>
        <w:tc>
          <w:tcPr>
            <w:tcW w:w="2425" w:type="dxa"/>
            <w:vMerge/>
          </w:tcPr>
          <w:p w14:paraId="3D50E73E"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63C3F8BB" w14:textId="17DE9C85"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702A1B83" w14:textId="5227507D"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1A6E5AEA" w14:textId="623B7691"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16A29342" w14:textId="1E4096A2"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75F8130E" w14:textId="2EDF854B"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1E96B9F6" w14:textId="77777777" w:rsidR="00F77F6D" w:rsidRPr="007669E1" w:rsidRDefault="00F77F6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7172C6FA" w14:textId="77777777" w:rsidTr="00B33EF0">
        <w:tc>
          <w:tcPr>
            <w:tcW w:w="9625" w:type="dxa"/>
            <w:gridSpan w:val="7"/>
            <w:shd w:val="clear" w:color="auto" w:fill="D9D9D9" w:themeFill="background1" w:themeFillShade="D9"/>
          </w:tcPr>
          <w:p w14:paraId="06E745F0" w14:textId="4313447A" w:rsidR="00F77F6D" w:rsidRPr="00F8111C" w:rsidRDefault="003675E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30</w:t>
            </w:r>
            <w:r w:rsidR="00F77F6D" w:rsidRPr="00F8111C">
              <w:rPr>
                <w:rFonts w:ascii="Segoe UI" w:hAnsi="Segoe UI" w:cs="Segoe UI"/>
                <w:b/>
                <w:bCs/>
                <w:sz w:val="18"/>
                <w:szCs w:val="18"/>
              </w:rPr>
              <w:t>. Exempting property transferred as a result of a company reorganization</w:t>
            </w:r>
          </w:p>
        </w:tc>
      </w:tr>
      <w:tr w:rsidR="007669E1" w:rsidRPr="007669E1" w14:paraId="472BE469" w14:textId="77777777" w:rsidTr="00B33EF0">
        <w:tc>
          <w:tcPr>
            <w:tcW w:w="2425" w:type="dxa"/>
          </w:tcPr>
          <w:p w14:paraId="5B4846E6"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7ED4DCE9"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property transferred as a result of a company reorganization is exempt from VAT.</w:t>
            </w:r>
          </w:p>
        </w:tc>
      </w:tr>
      <w:tr w:rsidR="007669E1" w:rsidRPr="007669E1" w14:paraId="0FB1AAB1" w14:textId="77777777" w:rsidTr="00B33EF0">
        <w:tc>
          <w:tcPr>
            <w:tcW w:w="2425" w:type="dxa"/>
          </w:tcPr>
          <w:p w14:paraId="79E65D18"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158E5077"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7669E1" w:rsidRPr="007669E1" w14:paraId="54ACCFCC" w14:textId="77777777" w:rsidTr="00B33EF0">
        <w:tc>
          <w:tcPr>
            <w:tcW w:w="2425" w:type="dxa"/>
          </w:tcPr>
          <w:p w14:paraId="2DEE0A64"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201159C0"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companies that realize the reorganization.</w:t>
            </w:r>
          </w:p>
        </w:tc>
      </w:tr>
      <w:tr w:rsidR="007669E1" w:rsidRPr="007669E1" w14:paraId="75BB26FD" w14:textId="77777777" w:rsidTr="00B33EF0">
        <w:tc>
          <w:tcPr>
            <w:tcW w:w="2425" w:type="dxa"/>
          </w:tcPr>
          <w:p w14:paraId="04ACB608"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70CFFA1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 exemptions</w:t>
            </w:r>
          </w:p>
        </w:tc>
      </w:tr>
      <w:tr w:rsidR="007669E1" w:rsidRPr="007669E1" w14:paraId="3B6158EA" w14:textId="77777777" w:rsidTr="00B33EF0">
        <w:tc>
          <w:tcPr>
            <w:tcW w:w="2425" w:type="dxa"/>
          </w:tcPr>
          <w:p w14:paraId="27D3ACE0"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Reason why this Measure is not part of the Benchmark Tax System</w:t>
            </w:r>
          </w:p>
        </w:tc>
        <w:tc>
          <w:tcPr>
            <w:tcW w:w="7200" w:type="dxa"/>
            <w:gridSpan w:val="6"/>
          </w:tcPr>
          <w:p w14:paraId="7E9BD5AD"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Under a modern VAT, the benchmark tax regime provides that all final consumption of goods and services to final consumers should be at the standard VAT rate.</w:t>
            </w:r>
          </w:p>
        </w:tc>
      </w:tr>
      <w:tr w:rsidR="007669E1" w:rsidRPr="007669E1" w14:paraId="52FE5741" w14:textId="77777777" w:rsidTr="00B33EF0">
        <w:tc>
          <w:tcPr>
            <w:tcW w:w="2425" w:type="dxa"/>
          </w:tcPr>
          <w:p w14:paraId="209CE7A5"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3E6F683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Art.95 (2) d) of TC</w:t>
            </w:r>
          </w:p>
        </w:tc>
      </w:tr>
      <w:tr w:rsidR="00136C8F" w:rsidRPr="007669E1" w14:paraId="65AD7395" w14:textId="77777777" w:rsidTr="00B33EF0">
        <w:trPr>
          <w:trHeight w:val="182"/>
        </w:trPr>
        <w:tc>
          <w:tcPr>
            <w:tcW w:w="2425" w:type="dxa"/>
            <w:vMerge w:val="restart"/>
          </w:tcPr>
          <w:p w14:paraId="02663ED2" w14:textId="77777777" w:rsidR="00F77F6D" w:rsidRPr="00F8111C" w:rsidRDefault="00F77F6D"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3462" w:type="dxa"/>
            <w:gridSpan w:val="3"/>
          </w:tcPr>
          <w:p w14:paraId="2784A87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property is exempt because</w:t>
            </w:r>
          </w:p>
          <w:p w14:paraId="27400DEA"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there is no transfer of ownership</w:t>
            </w:r>
          </w:p>
        </w:tc>
        <w:tc>
          <w:tcPr>
            <w:tcW w:w="3738" w:type="dxa"/>
            <w:gridSpan w:val="3"/>
          </w:tcPr>
          <w:p w14:paraId="5F62A053" w14:textId="77777777" w:rsidR="00F77F6D" w:rsidRPr="007669E1" w:rsidRDefault="00F77F6D" w:rsidP="00E90BA7">
            <w:pPr>
              <w:spacing w:before="20" w:after="20" w:line="240" w:lineRule="auto"/>
              <w:jc w:val="both"/>
              <w:rPr>
                <w:rFonts w:ascii="Segoe UI" w:hAnsi="Segoe UI" w:cs="Segoe UI"/>
                <w:sz w:val="18"/>
                <w:szCs w:val="18"/>
              </w:rPr>
            </w:pPr>
          </w:p>
        </w:tc>
      </w:tr>
      <w:tr w:rsidR="00136C8F" w:rsidRPr="007669E1" w14:paraId="47B8B84C" w14:textId="77777777" w:rsidTr="00B33EF0">
        <w:trPr>
          <w:trHeight w:val="182"/>
        </w:trPr>
        <w:tc>
          <w:tcPr>
            <w:tcW w:w="2425" w:type="dxa"/>
            <w:vMerge/>
          </w:tcPr>
          <w:p w14:paraId="4A37F664" w14:textId="77777777" w:rsidR="00F77F6D" w:rsidRPr="00F8111C" w:rsidRDefault="00F77F6D" w:rsidP="00E90BA7">
            <w:pPr>
              <w:spacing w:before="20" w:after="20" w:line="240" w:lineRule="auto"/>
              <w:jc w:val="both"/>
              <w:rPr>
                <w:rFonts w:ascii="Segoe UI" w:hAnsi="Segoe UI" w:cs="Segoe UI"/>
                <w:b/>
                <w:bCs/>
                <w:sz w:val="18"/>
                <w:szCs w:val="18"/>
              </w:rPr>
            </w:pPr>
          </w:p>
        </w:tc>
        <w:tc>
          <w:tcPr>
            <w:tcW w:w="3462" w:type="dxa"/>
            <w:gridSpan w:val="3"/>
          </w:tcPr>
          <w:p w14:paraId="5FF43D4F" w14:textId="77777777" w:rsidR="00F77F6D" w:rsidRPr="007669E1" w:rsidRDefault="00F77F6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2010</w:t>
            </w:r>
          </w:p>
        </w:tc>
        <w:tc>
          <w:tcPr>
            <w:tcW w:w="3738" w:type="dxa"/>
            <w:gridSpan w:val="3"/>
          </w:tcPr>
          <w:p w14:paraId="37E0D784" w14:textId="110C9DFF" w:rsidR="00F77F6D" w:rsidRPr="007669E1" w:rsidRDefault="008129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7669E1" w:rsidRPr="007669E1" w14:paraId="69B5B766" w14:textId="77777777" w:rsidTr="00B33EF0">
        <w:tc>
          <w:tcPr>
            <w:tcW w:w="2425" w:type="dxa"/>
          </w:tcPr>
          <w:p w14:paraId="1483112E"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0336D5D3" w14:textId="05970648"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A4ED72D" w14:textId="77777777" w:rsidTr="00B33EF0">
        <w:tc>
          <w:tcPr>
            <w:tcW w:w="2425" w:type="dxa"/>
          </w:tcPr>
          <w:p w14:paraId="7B49A34A"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530A398E" w14:textId="7AF8CFD8"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5A0EB5C1" w14:textId="77777777" w:rsidTr="00B33EF0">
        <w:tc>
          <w:tcPr>
            <w:tcW w:w="2425" w:type="dxa"/>
          </w:tcPr>
          <w:p w14:paraId="4DA1A3FA" w14:textId="77777777" w:rsidR="00517362" w:rsidRPr="00F8111C" w:rsidRDefault="00517362"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4D1C845D" w14:textId="5B935287" w:rsidR="00517362"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0D2F0A70" w14:textId="77777777" w:rsidTr="00B33EF0">
        <w:tc>
          <w:tcPr>
            <w:tcW w:w="2425" w:type="dxa"/>
          </w:tcPr>
          <w:p w14:paraId="015FA261"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4CE520FB" w14:textId="1E6699F5" w:rsidR="00E05468" w:rsidRPr="007669E1" w:rsidRDefault="0051736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E05468" w:rsidRPr="007669E1">
              <w:rPr>
                <w:rFonts w:ascii="Segoe UI" w:hAnsi="Segoe UI" w:cs="Segoe UI"/>
                <w:sz w:val="18"/>
                <w:szCs w:val="18"/>
              </w:rPr>
              <w:t>MDL</w:t>
            </w:r>
          </w:p>
        </w:tc>
      </w:tr>
      <w:tr w:rsidR="00136C8F" w:rsidRPr="007669E1" w14:paraId="3D054773" w14:textId="77777777" w:rsidTr="00B33EF0">
        <w:trPr>
          <w:trHeight w:val="91"/>
        </w:trPr>
        <w:tc>
          <w:tcPr>
            <w:tcW w:w="2425" w:type="dxa"/>
            <w:vMerge w:val="restart"/>
          </w:tcPr>
          <w:p w14:paraId="60B0340A" w14:textId="77777777" w:rsidR="00E05468" w:rsidRPr="007669E1" w:rsidRDefault="00E05468" w:rsidP="00E90BA7">
            <w:pPr>
              <w:spacing w:before="20" w:after="20" w:line="240" w:lineRule="auto"/>
              <w:jc w:val="both"/>
              <w:rPr>
                <w:rFonts w:ascii="Segoe UI" w:hAnsi="Segoe UI" w:cs="Segoe UI"/>
                <w:sz w:val="18"/>
                <w:szCs w:val="18"/>
              </w:rPr>
            </w:pPr>
          </w:p>
        </w:tc>
        <w:tc>
          <w:tcPr>
            <w:tcW w:w="1385" w:type="dxa"/>
          </w:tcPr>
          <w:p w14:paraId="62C95D2A"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620805EC"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68D81DA0" w14:textId="77777777"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45F57CBC" w14:textId="26957B60" w:rsidR="00E05468" w:rsidRPr="00F8111C" w:rsidRDefault="00E05468"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75BF0A91" w14:textId="3FD2C208" w:rsidR="00E05468"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136C8F" w:rsidRPr="007669E1" w14:paraId="1C1BCB03" w14:textId="77777777" w:rsidTr="00B33EF0">
        <w:trPr>
          <w:trHeight w:val="91"/>
        </w:trPr>
        <w:tc>
          <w:tcPr>
            <w:tcW w:w="2425" w:type="dxa"/>
            <w:vMerge/>
          </w:tcPr>
          <w:p w14:paraId="0E92DA7A" w14:textId="77777777" w:rsidR="00E05468" w:rsidRPr="007669E1" w:rsidRDefault="00E05468" w:rsidP="00E90BA7">
            <w:pPr>
              <w:keepNext/>
              <w:keepLines/>
              <w:spacing w:before="20" w:after="20" w:line="240" w:lineRule="auto"/>
              <w:jc w:val="both"/>
              <w:rPr>
                <w:rFonts w:ascii="Segoe UI" w:hAnsi="Segoe UI" w:cs="Segoe UI"/>
                <w:sz w:val="18"/>
                <w:szCs w:val="18"/>
              </w:rPr>
            </w:pPr>
          </w:p>
        </w:tc>
        <w:tc>
          <w:tcPr>
            <w:tcW w:w="1385" w:type="dxa"/>
          </w:tcPr>
          <w:p w14:paraId="32D429AD" w14:textId="500949D0" w:rsidR="00E05468" w:rsidRPr="007669E1" w:rsidRDefault="00FA3164"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104FA3E6" w14:textId="0F6199EA" w:rsidR="00E05468" w:rsidRPr="007669E1" w:rsidRDefault="00FA3164"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gridSpan w:val="2"/>
          </w:tcPr>
          <w:p w14:paraId="5A4F5E0F" w14:textId="2E5A6852" w:rsidR="00E05468" w:rsidRPr="007669E1" w:rsidRDefault="00FA31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tcPr>
          <w:p w14:paraId="31D8456F" w14:textId="5D60E21C" w:rsidR="00E05468" w:rsidRPr="007669E1" w:rsidRDefault="001512C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660" w:type="dxa"/>
          </w:tcPr>
          <w:p w14:paraId="50EC80F3" w14:textId="68CF4195" w:rsidR="00E05468" w:rsidRPr="007669E1" w:rsidRDefault="001512C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5BA4EC43"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23B94D97" w14:textId="77777777" w:rsidTr="00FB2DAB">
        <w:tc>
          <w:tcPr>
            <w:tcW w:w="9625" w:type="dxa"/>
            <w:gridSpan w:val="7"/>
            <w:shd w:val="clear" w:color="auto" w:fill="D9D9D9" w:themeFill="background1" w:themeFillShade="D9"/>
          </w:tcPr>
          <w:p w14:paraId="6108A54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31. Exemption for goods imported for personal use or consumption</w:t>
            </w:r>
          </w:p>
        </w:tc>
      </w:tr>
      <w:tr w:rsidR="00C943A7" w:rsidRPr="007669E1" w14:paraId="5E3D8056" w14:textId="77777777" w:rsidTr="00FB2DAB">
        <w:tc>
          <w:tcPr>
            <w:tcW w:w="2425" w:type="dxa"/>
          </w:tcPr>
          <w:p w14:paraId="16E2678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06AB9A4A"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natural persons for non-commercial purposes and whose value or quantity does not exceed the prescribed limits (EUR 300 for goods imported by land transport, EUR 430 for goods imported by air or sea transport) are not subject to VAT.</w:t>
            </w:r>
          </w:p>
          <w:p w14:paraId="004ACB59"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In addition, VAT is not charged on certain goods imported by travelers, including objects of personal use, alcoholic and tobacco products up to prescribed limits, and fuel contained in the tank of a vehicle.</w:t>
            </w:r>
          </w:p>
          <w:p w14:paraId="5067CD3A"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is not charged on occasional cargo lots shipped directly to a resident of Moldova when the intrinsic value of the goods does not exceed EUR 150 per cargo lot. This exemption does not apply to alcohol and tobacco products, perfumes and eau de toilette.</w:t>
            </w:r>
          </w:p>
          <w:p w14:paraId="3939173E"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is also not charged on non-commercial goods received by a natural person from another natural person, provided the value of those goods do not exceed EUR 150. Limits also apply to the shipments of alcohol and tobacco products and perfumes and eau de toilette.</w:t>
            </w:r>
          </w:p>
        </w:tc>
      </w:tr>
      <w:tr w:rsidR="00C943A7" w:rsidRPr="007669E1" w14:paraId="39687334" w14:textId="77777777" w:rsidTr="00FB2DAB">
        <w:tc>
          <w:tcPr>
            <w:tcW w:w="2425" w:type="dxa"/>
          </w:tcPr>
          <w:p w14:paraId="787142C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2C1B967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65476AD0" w14:textId="77777777" w:rsidTr="00FB2DAB">
        <w:tc>
          <w:tcPr>
            <w:tcW w:w="2425" w:type="dxa"/>
          </w:tcPr>
          <w:p w14:paraId="7718642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7DC763A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w:t>
            </w:r>
          </w:p>
        </w:tc>
      </w:tr>
      <w:tr w:rsidR="00C943A7" w:rsidRPr="007669E1" w14:paraId="236959AC" w14:textId="77777777" w:rsidTr="00FB2DAB">
        <w:tc>
          <w:tcPr>
            <w:tcW w:w="2425" w:type="dxa"/>
          </w:tcPr>
          <w:p w14:paraId="7FD9A9B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5C50D0D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F23A683" w14:textId="77777777" w:rsidTr="00FB2DAB">
        <w:tc>
          <w:tcPr>
            <w:tcW w:w="2425" w:type="dxa"/>
          </w:tcPr>
          <w:p w14:paraId="1BA1D57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2A8799C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0219F39C" w14:textId="77777777" w:rsidTr="00FB2DAB">
        <w:tc>
          <w:tcPr>
            <w:tcW w:w="2425" w:type="dxa"/>
          </w:tcPr>
          <w:p w14:paraId="05B7B80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741C70A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219 and 232 and 272 to 274</w:t>
            </w:r>
          </w:p>
        </w:tc>
      </w:tr>
      <w:tr w:rsidR="00C943A7" w:rsidRPr="007669E1" w14:paraId="5885B8CD" w14:textId="77777777" w:rsidTr="00FB2DAB">
        <w:trPr>
          <w:trHeight w:val="182"/>
        </w:trPr>
        <w:tc>
          <w:tcPr>
            <w:tcW w:w="2425" w:type="dxa"/>
            <w:vMerge w:val="restart"/>
          </w:tcPr>
          <w:p w14:paraId="38A36BC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706AB5C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measures are intended to simplify the administration of the tax system.</w:t>
            </w:r>
          </w:p>
          <w:p w14:paraId="48CC167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special treatment of shipments by international mail was introduced into Law No. 1569/2002 by Law No. 122 of 16 August 2019.</w:t>
            </w:r>
          </w:p>
        </w:tc>
      </w:tr>
      <w:tr w:rsidR="00C943A7" w:rsidRPr="007669E1" w14:paraId="08F34179" w14:textId="77777777" w:rsidTr="00FB2DAB">
        <w:trPr>
          <w:trHeight w:val="182"/>
        </w:trPr>
        <w:tc>
          <w:tcPr>
            <w:tcW w:w="2425" w:type="dxa"/>
            <w:vMerge/>
          </w:tcPr>
          <w:p w14:paraId="1D0F82D1"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771A467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60D57E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BC6DCA4" w14:textId="77777777" w:rsidTr="00FB2DAB">
        <w:tc>
          <w:tcPr>
            <w:tcW w:w="2425" w:type="dxa"/>
          </w:tcPr>
          <w:p w14:paraId="772363A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23B3977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4433D66" w14:textId="77777777" w:rsidTr="00FB2DAB">
        <w:tc>
          <w:tcPr>
            <w:tcW w:w="2425" w:type="dxa"/>
          </w:tcPr>
          <w:p w14:paraId="570B57B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6930128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9152E16" w14:textId="77777777" w:rsidTr="00FB2DAB">
        <w:tc>
          <w:tcPr>
            <w:tcW w:w="2425" w:type="dxa"/>
          </w:tcPr>
          <w:p w14:paraId="52975E0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13FF02A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11B7AE3" w14:textId="77777777" w:rsidTr="00FB2DAB">
        <w:tc>
          <w:tcPr>
            <w:tcW w:w="2425" w:type="dxa"/>
          </w:tcPr>
          <w:p w14:paraId="7C95DA0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1BDA4F2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482BC01" w14:textId="77777777" w:rsidTr="00FB2DAB">
        <w:trPr>
          <w:trHeight w:val="91"/>
        </w:trPr>
        <w:tc>
          <w:tcPr>
            <w:tcW w:w="2425" w:type="dxa"/>
            <w:vMerge w:val="restart"/>
          </w:tcPr>
          <w:p w14:paraId="364629A3"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3CB81D8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7E513FD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0E0B3B1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5FE6409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1F49926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6AECB251" w14:textId="77777777" w:rsidTr="00FB2DAB">
        <w:trPr>
          <w:trHeight w:val="305"/>
        </w:trPr>
        <w:tc>
          <w:tcPr>
            <w:tcW w:w="2425" w:type="dxa"/>
            <w:vMerge/>
          </w:tcPr>
          <w:p w14:paraId="067367DB"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463E8D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57E8675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09D1F371"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5674E04F"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CCE219F"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1581BA4D"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7ABA055C" w14:textId="77777777" w:rsidTr="00FB2DAB">
        <w:tc>
          <w:tcPr>
            <w:tcW w:w="9625" w:type="dxa"/>
            <w:gridSpan w:val="7"/>
            <w:shd w:val="clear" w:color="auto" w:fill="D9D9D9" w:themeFill="background1" w:themeFillShade="D9"/>
          </w:tcPr>
          <w:p w14:paraId="2CD4CC9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32. Exemption from VAT for personal goods inherited or imported upon establishing residence in Moldova</w:t>
            </w:r>
          </w:p>
        </w:tc>
      </w:tr>
      <w:tr w:rsidR="00C943A7" w:rsidRPr="007669E1" w14:paraId="4D8BD86F" w14:textId="77777777" w:rsidTr="00FB2DAB">
        <w:tc>
          <w:tcPr>
            <w:tcW w:w="2425" w:type="dxa"/>
          </w:tcPr>
          <w:p w14:paraId="4D6C9D5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Description</w:t>
            </w:r>
          </w:p>
        </w:tc>
        <w:tc>
          <w:tcPr>
            <w:tcW w:w="7200" w:type="dxa"/>
            <w:gridSpan w:val="6"/>
          </w:tcPr>
          <w:p w14:paraId="5ADC3937"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not charged on personal goods that are inherited or imported when establishing residence in Moldova or studying in Moldova. The exemption does not extend to alcoholic and tobacco products, nor to goods used in the exercise of a trade or profession. Goods inherited by legal persons that are non-profit organizations are also exempt.</w:t>
            </w:r>
          </w:p>
        </w:tc>
      </w:tr>
      <w:tr w:rsidR="00C943A7" w:rsidRPr="007669E1" w14:paraId="3A36DB22" w14:textId="77777777" w:rsidTr="00FB2DAB">
        <w:tc>
          <w:tcPr>
            <w:tcW w:w="2425" w:type="dxa"/>
          </w:tcPr>
          <w:p w14:paraId="08FAF1E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1E1F84D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B8F00B2" w14:textId="77777777" w:rsidTr="00FB2DAB">
        <w:tc>
          <w:tcPr>
            <w:tcW w:w="2425" w:type="dxa"/>
          </w:tcPr>
          <w:p w14:paraId="65816A5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30D94DE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non-profit organizations</w:t>
            </w:r>
          </w:p>
        </w:tc>
      </w:tr>
      <w:tr w:rsidR="00C943A7" w:rsidRPr="007669E1" w14:paraId="6F98D4E7" w14:textId="77777777" w:rsidTr="00FB2DAB">
        <w:tc>
          <w:tcPr>
            <w:tcW w:w="2425" w:type="dxa"/>
          </w:tcPr>
          <w:p w14:paraId="581A7BB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0B08E72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BD993E7" w14:textId="77777777" w:rsidTr="00FB2DAB">
        <w:tc>
          <w:tcPr>
            <w:tcW w:w="2425" w:type="dxa"/>
          </w:tcPr>
          <w:p w14:paraId="552C86E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2840DFE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65CDF0AA" w14:textId="77777777" w:rsidTr="00FB2DAB">
        <w:tc>
          <w:tcPr>
            <w:tcW w:w="2425" w:type="dxa"/>
          </w:tcPr>
          <w:p w14:paraId="450BE49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744DC00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199 to 208</w:t>
            </w:r>
          </w:p>
        </w:tc>
      </w:tr>
      <w:tr w:rsidR="00C943A7" w:rsidRPr="007669E1" w14:paraId="283A7333" w14:textId="77777777" w:rsidTr="00FB2DAB">
        <w:trPr>
          <w:trHeight w:val="182"/>
        </w:trPr>
        <w:tc>
          <w:tcPr>
            <w:tcW w:w="2425" w:type="dxa"/>
            <w:vMerge w:val="restart"/>
          </w:tcPr>
          <w:p w14:paraId="2896954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33E9B7B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moving to Moldova for individuals.</w:t>
            </w:r>
          </w:p>
        </w:tc>
      </w:tr>
      <w:tr w:rsidR="00C943A7" w:rsidRPr="007669E1" w14:paraId="2F1056A4" w14:textId="77777777" w:rsidTr="00FB2DAB">
        <w:trPr>
          <w:trHeight w:val="182"/>
        </w:trPr>
        <w:tc>
          <w:tcPr>
            <w:tcW w:w="2425" w:type="dxa"/>
            <w:vMerge/>
          </w:tcPr>
          <w:p w14:paraId="65624570"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060ED8B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029BD39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B2566E0" w14:textId="77777777" w:rsidTr="00FB2DAB">
        <w:tc>
          <w:tcPr>
            <w:tcW w:w="2425" w:type="dxa"/>
          </w:tcPr>
          <w:p w14:paraId="20D899D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30918EF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E921656" w14:textId="77777777" w:rsidTr="00FB2DAB">
        <w:tc>
          <w:tcPr>
            <w:tcW w:w="2425" w:type="dxa"/>
          </w:tcPr>
          <w:p w14:paraId="44E8897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27EEC89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AA9479F" w14:textId="77777777" w:rsidTr="00FB2DAB">
        <w:tc>
          <w:tcPr>
            <w:tcW w:w="2425" w:type="dxa"/>
          </w:tcPr>
          <w:p w14:paraId="156F8DA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739AF4A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CA99C2F" w14:textId="77777777" w:rsidTr="00FB2DAB">
        <w:tc>
          <w:tcPr>
            <w:tcW w:w="2425" w:type="dxa"/>
          </w:tcPr>
          <w:p w14:paraId="6B2D703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49368C1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5018C78" w14:textId="77777777" w:rsidTr="00FB2DAB">
        <w:trPr>
          <w:trHeight w:val="91"/>
        </w:trPr>
        <w:tc>
          <w:tcPr>
            <w:tcW w:w="2425" w:type="dxa"/>
            <w:vMerge w:val="restart"/>
          </w:tcPr>
          <w:p w14:paraId="21D98FA4"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326854E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678D0E7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29708CB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5DD3767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1474843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20D1A079" w14:textId="77777777" w:rsidTr="00FB2DAB">
        <w:trPr>
          <w:trHeight w:val="305"/>
        </w:trPr>
        <w:tc>
          <w:tcPr>
            <w:tcW w:w="2425" w:type="dxa"/>
            <w:vMerge/>
          </w:tcPr>
          <w:p w14:paraId="3776CAE9"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353150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055A72D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79F4EFB5"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449CDCC7"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0CE9908"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25061042"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4CFE48E2" w14:textId="77777777" w:rsidTr="00FB2DAB">
        <w:tc>
          <w:tcPr>
            <w:tcW w:w="9625" w:type="dxa"/>
            <w:gridSpan w:val="7"/>
            <w:shd w:val="clear" w:color="auto" w:fill="D9D9D9" w:themeFill="background1" w:themeFillShade="D9"/>
          </w:tcPr>
          <w:p w14:paraId="74AA86B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33. Exemption from VAT for honorary decorations and awards</w:t>
            </w:r>
          </w:p>
        </w:tc>
      </w:tr>
      <w:tr w:rsidR="00C943A7" w:rsidRPr="007669E1" w14:paraId="31D7AB2A" w14:textId="77777777" w:rsidTr="00FB2DAB">
        <w:tc>
          <w:tcPr>
            <w:tcW w:w="2425" w:type="dxa"/>
          </w:tcPr>
          <w:p w14:paraId="523EE76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5241654A"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Certain honorary decorations and non-commercial awards conferred abroad to residents of Moldova are exempt from VAT.</w:t>
            </w:r>
          </w:p>
        </w:tc>
      </w:tr>
      <w:tr w:rsidR="00C943A7" w:rsidRPr="007669E1" w14:paraId="5CC665C3" w14:textId="77777777" w:rsidTr="00FB2DAB">
        <w:tc>
          <w:tcPr>
            <w:tcW w:w="2425" w:type="dxa"/>
          </w:tcPr>
          <w:p w14:paraId="39CE379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37373A5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429BB6C6" w14:textId="77777777" w:rsidTr="00FB2DAB">
        <w:tc>
          <w:tcPr>
            <w:tcW w:w="2425" w:type="dxa"/>
          </w:tcPr>
          <w:p w14:paraId="423AC63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63D3777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granted foreign awards</w:t>
            </w:r>
          </w:p>
        </w:tc>
      </w:tr>
      <w:tr w:rsidR="00C943A7" w:rsidRPr="007669E1" w14:paraId="214FC7E9" w14:textId="77777777" w:rsidTr="00FB2DAB">
        <w:tc>
          <w:tcPr>
            <w:tcW w:w="2425" w:type="dxa"/>
          </w:tcPr>
          <w:p w14:paraId="6ABFA4E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5525AC4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FEF29FA" w14:textId="77777777" w:rsidTr="00FB2DAB">
        <w:tc>
          <w:tcPr>
            <w:tcW w:w="2425" w:type="dxa"/>
          </w:tcPr>
          <w:p w14:paraId="0CB5097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1839E41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7AAD7248" w14:textId="77777777" w:rsidTr="00FB2DAB">
        <w:tc>
          <w:tcPr>
            <w:tcW w:w="2425" w:type="dxa"/>
          </w:tcPr>
          <w:p w14:paraId="152A58C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149D896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250</w:t>
            </w:r>
          </w:p>
        </w:tc>
      </w:tr>
      <w:tr w:rsidR="00C943A7" w:rsidRPr="007669E1" w14:paraId="00A5E7F5" w14:textId="77777777" w:rsidTr="00FB2DAB">
        <w:trPr>
          <w:trHeight w:val="182"/>
        </w:trPr>
        <w:tc>
          <w:tcPr>
            <w:tcW w:w="2425" w:type="dxa"/>
            <w:vMerge w:val="restart"/>
          </w:tcPr>
          <w:p w14:paraId="6B063EF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69ABACC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recognizes the non-commercial nature of such awards.</w:t>
            </w:r>
          </w:p>
          <w:p w14:paraId="7A11318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D82772D" w14:textId="77777777" w:rsidTr="00FB2DAB">
        <w:trPr>
          <w:trHeight w:val="182"/>
        </w:trPr>
        <w:tc>
          <w:tcPr>
            <w:tcW w:w="2425" w:type="dxa"/>
            <w:vMerge/>
          </w:tcPr>
          <w:p w14:paraId="77C0424C"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25BC427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424EA0F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7F7B88A" w14:textId="77777777" w:rsidTr="00FB2DAB">
        <w:tc>
          <w:tcPr>
            <w:tcW w:w="2425" w:type="dxa"/>
          </w:tcPr>
          <w:p w14:paraId="7122E9D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6370C30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0F96601" w14:textId="77777777" w:rsidTr="00FB2DAB">
        <w:tc>
          <w:tcPr>
            <w:tcW w:w="2425" w:type="dxa"/>
          </w:tcPr>
          <w:p w14:paraId="756F78C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50791A7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0F72B80" w14:textId="77777777" w:rsidTr="00FB2DAB">
        <w:tc>
          <w:tcPr>
            <w:tcW w:w="2425" w:type="dxa"/>
          </w:tcPr>
          <w:p w14:paraId="0ACB0A3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2A54596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7F27C9B" w14:textId="77777777" w:rsidTr="00FB2DAB">
        <w:tc>
          <w:tcPr>
            <w:tcW w:w="2425" w:type="dxa"/>
          </w:tcPr>
          <w:p w14:paraId="254C87D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04053C9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E891C83" w14:textId="77777777" w:rsidTr="00FB2DAB">
        <w:trPr>
          <w:trHeight w:val="91"/>
        </w:trPr>
        <w:tc>
          <w:tcPr>
            <w:tcW w:w="2425" w:type="dxa"/>
            <w:vMerge w:val="restart"/>
          </w:tcPr>
          <w:p w14:paraId="0CA31F4A" w14:textId="77777777" w:rsidR="00686B7E" w:rsidRPr="00F8111C" w:rsidRDefault="00686B7E" w:rsidP="00E90BA7">
            <w:pPr>
              <w:spacing w:before="20" w:after="20" w:line="240" w:lineRule="auto"/>
              <w:jc w:val="both"/>
              <w:rPr>
                <w:rFonts w:ascii="Segoe UI" w:hAnsi="Segoe UI" w:cs="Segoe UI"/>
                <w:b/>
                <w:bCs/>
                <w:sz w:val="18"/>
                <w:szCs w:val="18"/>
              </w:rPr>
            </w:pPr>
          </w:p>
        </w:tc>
        <w:tc>
          <w:tcPr>
            <w:tcW w:w="1385" w:type="dxa"/>
          </w:tcPr>
          <w:p w14:paraId="68F414E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76D3A70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30BBBD1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2D51030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17EDF2D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52693D90" w14:textId="77777777" w:rsidTr="00FB2DAB">
        <w:trPr>
          <w:trHeight w:val="305"/>
        </w:trPr>
        <w:tc>
          <w:tcPr>
            <w:tcW w:w="2425" w:type="dxa"/>
            <w:vMerge/>
          </w:tcPr>
          <w:p w14:paraId="0D17863D"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5A8591EC" w14:textId="3643B872"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13BFAAD" w14:textId="5F07B5A5"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050CA6ED" w14:textId="45D06FAE"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516C9109" w14:textId="68593FE6"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4D04F649" w14:textId="42F544A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A6B9E7F"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52F38EC7" w14:textId="77777777" w:rsidTr="00FB2DAB">
        <w:tc>
          <w:tcPr>
            <w:tcW w:w="9625" w:type="dxa"/>
            <w:gridSpan w:val="7"/>
            <w:shd w:val="clear" w:color="auto" w:fill="D9D9D9" w:themeFill="background1" w:themeFillShade="D9"/>
          </w:tcPr>
          <w:p w14:paraId="7DAC382A" w14:textId="6AE26F06"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 xml:space="preserve">34. Exemption from VAT for </w:t>
            </w:r>
            <w:r w:rsidR="00AA4C7B" w:rsidRPr="00F8111C">
              <w:rPr>
                <w:rFonts w:ascii="Segoe UI" w:hAnsi="Segoe UI" w:cs="Segoe UI"/>
                <w:b/>
                <w:bCs/>
                <w:sz w:val="18"/>
                <w:szCs w:val="18"/>
              </w:rPr>
              <w:t xml:space="preserve">imported </w:t>
            </w:r>
            <w:r w:rsidRPr="00F8111C">
              <w:rPr>
                <w:rFonts w:ascii="Segoe UI" w:hAnsi="Segoe UI" w:cs="Segoe UI"/>
                <w:b/>
                <w:bCs/>
                <w:sz w:val="18"/>
                <w:szCs w:val="18"/>
              </w:rPr>
              <w:t>funerary goods</w:t>
            </w:r>
          </w:p>
        </w:tc>
      </w:tr>
      <w:tr w:rsidR="00C943A7" w:rsidRPr="007669E1" w14:paraId="6EE58ED4" w14:textId="77777777" w:rsidTr="00FB2DAB">
        <w:tc>
          <w:tcPr>
            <w:tcW w:w="2425" w:type="dxa"/>
          </w:tcPr>
          <w:p w14:paraId="64B95B4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35F0B892"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designated organizations and used for the construction, maintenance or decoration of cemeteries or graves and monuments of war victims from foreign countries who are buried in Moldova are exempt from VAT. Remains of individuals who died abroad, along with flowers, funeral wreaths and other usual decorative objects accompanying them, are also exempt from VAT</w:t>
            </w:r>
          </w:p>
        </w:tc>
      </w:tr>
      <w:tr w:rsidR="00C943A7" w:rsidRPr="007669E1" w14:paraId="44C2F71F" w14:textId="77777777" w:rsidTr="00FB2DAB">
        <w:tc>
          <w:tcPr>
            <w:tcW w:w="2425" w:type="dxa"/>
          </w:tcPr>
          <w:p w14:paraId="77A55A6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Type of Tax Affected</w:t>
            </w:r>
          </w:p>
        </w:tc>
        <w:tc>
          <w:tcPr>
            <w:tcW w:w="7200" w:type="dxa"/>
            <w:gridSpan w:val="6"/>
          </w:tcPr>
          <w:p w14:paraId="1D89A67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2F65F815" w14:textId="77777777" w:rsidTr="00FB2DAB">
        <w:tc>
          <w:tcPr>
            <w:tcW w:w="2425" w:type="dxa"/>
          </w:tcPr>
          <w:p w14:paraId="068F315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3E64784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Mourning individuals</w:t>
            </w:r>
          </w:p>
        </w:tc>
      </w:tr>
      <w:tr w:rsidR="00C943A7" w:rsidRPr="007669E1" w14:paraId="1F8F432C" w14:textId="77777777" w:rsidTr="00FB2DAB">
        <w:tc>
          <w:tcPr>
            <w:tcW w:w="2425" w:type="dxa"/>
          </w:tcPr>
          <w:p w14:paraId="75EB066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5460C5C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451D8D6" w14:textId="77777777" w:rsidTr="00FB2DAB">
        <w:tc>
          <w:tcPr>
            <w:tcW w:w="2425" w:type="dxa"/>
          </w:tcPr>
          <w:p w14:paraId="5610C27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5C00C35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66D69D72" w14:textId="77777777" w:rsidTr="00FB2DAB">
        <w:tc>
          <w:tcPr>
            <w:tcW w:w="2425" w:type="dxa"/>
          </w:tcPr>
          <w:p w14:paraId="72F85E7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3D4DA59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275 and 276</w:t>
            </w:r>
          </w:p>
        </w:tc>
      </w:tr>
      <w:tr w:rsidR="00C943A7" w:rsidRPr="007669E1" w14:paraId="0B257609" w14:textId="77777777" w:rsidTr="00FB2DAB">
        <w:trPr>
          <w:trHeight w:val="182"/>
        </w:trPr>
        <w:tc>
          <w:tcPr>
            <w:tcW w:w="2425" w:type="dxa"/>
            <w:vMerge w:val="restart"/>
          </w:tcPr>
          <w:p w14:paraId="5263077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3C222D0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mourning individuals.</w:t>
            </w:r>
          </w:p>
          <w:p w14:paraId="06266CB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3598B921" w14:textId="77777777" w:rsidTr="00FB2DAB">
        <w:trPr>
          <w:trHeight w:val="182"/>
        </w:trPr>
        <w:tc>
          <w:tcPr>
            <w:tcW w:w="2425" w:type="dxa"/>
            <w:vMerge/>
          </w:tcPr>
          <w:p w14:paraId="372DEAAC"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7790932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006B75F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DE830F6" w14:textId="77777777" w:rsidTr="00FB2DAB">
        <w:tc>
          <w:tcPr>
            <w:tcW w:w="2425" w:type="dxa"/>
          </w:tcPr>
          <w:p w14:paraId="3F02F64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6FAE546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FEBB0CF" w14:textId="77777777" w:rsidTr="00FB2DAB">
        <w:tc>
          <w:tcPr>
            <w:tcW w:w="2425" w:type="dxa"/>
          </w:tcPr>
          <w:p w14:paraId="1FAAFC8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7DA577A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5359E4B" w14:textId="77777777" w:rsidTr="00FB2DAB">
        <w:tc>
          <w:tcPr>
            <w:tcW w:w="2425" w:type="dxa"/>
          </w:tcPr>
          <w:p w14:paraId="1FEAD423"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0ED8FB8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7BEBEE6" w14:textId="77777777" w:rsidTr="00FB2DAB">
        <w:tc>
          <w:tcPr>
            <w:tcW w:w="2425" w:type="dxa"/>
          </w:tcPr>
          <w:p w14:paraId="6506649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414D90F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88A992A" w14:textId="77777777" w:rsidTr="00FB2DAB">
        <w:trPr>
          <w:trHeight w:val="91"/>
        </w:trPr>
        <w:tc>
          <w:tcPr>
            <w:tcW w:w="2425" w:type="dxa"/>
            <w:vMerge w:val="restart"/>
          </w:tcPr>
          <w:p w14:paraId="4BAE6ABA"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7D412DF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488E73F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1C03ACF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540F383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66ECE14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0A7F5169" w14:textId="77777777" w:rsidTr="00FB2DAB">
        <w:trPr>
          <w:trHeight w:val="305"/>
        </w:trPr>
        <w:tc>
          <w:tcPr>
            <w:tcW w:w="2425" w:type="dxa"/>
            <w:vMerge/>
          </w:tcPr>
          <w:p w14:paraId="6822A138"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38FCDB1" w14:textId="56579C4C"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0ED2CBCE" w14:textId="7A140372"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7E162C5" w14:textId="6CD52592"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2C96FD9A" w14:textId="480F474D"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378BD536" w14:textId="0D2F3928"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162E5FC"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4757DD0C" w14:textId="77777777" w:rsidTr="00FB2DAB">
        <w:tc>
          <w:tcPr>
            <w:tcW w:w="9625" w:type="dxa"/>
            <w:gridSpan w:val="7"/>
            <w:shd w:val="clear" w:color="auto" w:fill="D9D9D9" w:themeFill="background1" w:themeFillShade="D9"/>
          </w:tcPr>
          <w:p w14:paraId="5A1DE14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35. Exemption from VAT for goods imported for trade promotion purposes</w:t>
            </w:r>
          </w:p>
        </w:tc>
      </w:tr>
      <w:tr w:rsidR="00C943A7" w:rsidRPr="007669E1" w14:paraId="7CE7A381" w14:textId="77777777" w:rsidTr="00FB2DAB">
        <w:tc>
          <w:tcPr>
            <w:tcW w:w="2425" w:type="dxa"/>
          </w:tcPr>
          <w:p w14:paraId="10C7EC0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60B78EA1"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is not charged on certain goods imported for trade promotion purposes, including samples of goods, printed advertising materials, and goods intended for presentation at trade fair or other similar events.</w:t>
            </w:r>
          </w:p>
        </w:tc>
      </w:tr>
      <w:tr w:rsidR="00C943A7" w:rsidRPr="007669E1" w14:paraId="6106A0E3" w14:textId="77777777" w:rsidTr="00FB2DAB">
        <w:tc>
          <w:tcPr>
            <w:tcW w:w="2425" w:type="dxa"/>
          </w:tcPr>
          <w:p w14:paraId="5D78971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7648C6F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6DE70A82" w14:textId="77777777" w:rsidTr="00FB2DAB">
        <w:tc>
          <w:tcPr>
            <w:tcW w:w="2425" w:type="dxa"/>
          </w:tcPr>
          <w:p w14:paraId="565721A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67B38AF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Trade promoters</w:t>
            </w:r>
          </w:p>
        </w:tc>
      </w:tr>
      <w:tr w:rsidR="00C943A7" w:rsidRPr="007669E1" w14:paraId="5236070E" w14:textId="77777777" w:rsidTr="00FB2DAB">
        <w:tc>
          <w:tcPr>
            <w:tcW w:w="2425" w:type="dxa"/>
          </w:tcPr>
          <w:p w14:paraId="538B02D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16F8648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7B8340D" w14:textId="77777777" w:rsidTr="00FB2DAB">
        <w:tc>
          <w:tcPr>
            <w:tcW w:w="2425" w:type="dxa"/>
          </w:tcPr>
          <w:p w14:paraId="7DB986C3"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5173EF8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1DC86C61" w14:textId="77777777" w:rsidTr="00FB2DAB">
        <w:tc>
          <w:tcPr>
            <w:tcW w:w="2425" w:type="dxa"/>
          </w:tcPr>
          <w:p w14:paraId="20B1D12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60B1BDB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253 to 259</w:t>
            </w:r>
          </w:p>
        </w:tc>
      </w:tr>
      <w:tr w:rsidR="00C943A7" w:rsidRPr="007669E1" w14:paraId="5BB4C992" w14:textId="77777777" w:rsidTr="00FB2DAB">
        <w:trPr>
          <w:trHeight w:val="182"/>
        </w:trPr>
        <w:tc>
          <w:tcPr>
            <w:tcW w:w="2425" w:type="dxa"/>
            <w:vMerge w:val="restart"/>
          </w:tcPr>
          <w:p w14:paraId="2CF2769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6CBD59C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trade.</w:t>
            </w:r>
          </w:p>
          <w:p w14:paraId="3729DA9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87E7AF0" w14:textId="77777777" w:rsidTr="00FB2DAB">
        <w:trPr>
          <w:trHeight w:val="182"/>
        </w:trPr>
        <w:tc>
          <w:tcPr>
            <w:tcW w:w="2425" w:type="dxa"/>
            <w:vMerge/>
          </w:tcPr>
          <w:p w14:paraId="41A5CEA4"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10F532F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29AFCDF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3C673A5" w14:textId="77777777" w:rsidTr="00FB2DAB">
        <w:tc>
          <w:tcPr>
            <w:tcW w:w="2425" w:type="dxa"/>
          </w:tcPr>
          <w:p w14:paraId="073F381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1F5750E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E8CD710" w14:textId="77777777" w:rsidTr="00FB2DAB">
        <w:tc>
          <w:tcPr>
            <w:tcW w:w="2425" w:type="dxa"/>
          </w:tcPr>
          <w:p w14:paraId="1F4F6BB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44E41F2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D58A856" w14:textId="77777777" w:rsidTr="00FB2DAB">
        <w:tc>
          <w:tcPr>
            <w:tcW w:w="2425" w:type="dxa"/>
          </w:tcPr>
          <w:p w14:paraId="7C23793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77EE55A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059B8E7" w14:textId="77777777" w:rsidTr="00FB2DAB">
        <w:tc>
          <w:tcPr>
            <w:tcW w:w="2425" w:type="dxa"/>
          </w:tcPr>
          <w:p w14:paraId="1D3E956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04F75A8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E3F13DE" w14:textId="77777777" w:rsidTr="00FB2DAB">
        <w:trPr>
          <w:trHeight w:val="91"/>
        </w:trPr>
        <w:tc>
          <w:tcPr>
            <w:tcW w:w="2425" w:type="dxa"/>
            <w:vMerge w:val="restart"/>
          </w:tcPr>
          <w:p w14:paraId="2D173C0D" w14:textId="77777777" w:rsidR="00686B7E" w:rsidRPr="00F8111C" w:rsidRDefault="00686B7E" w:rsidP="00E90BA7">
            <w:pPr>
              <w:spacing w:before="20" w:after="20" w:line="240" w:lineRule="auto"/>
              <w:jc w:val="both"/>
              <w:rPr>
                <w:rFonts w:ascii="Segoe UI" w:hAnsi="Segoe UI" w:cs="Segoe UI"/>
                <w:b/>
                <w:bCs/>
                <w:sz w:val="18"/>
                <w:szCs w:val="18"/>
              </w:rPr>
            </w:pPr>
          </w:p>
        </w:tc>
        <w:tc>
          <w:tcPr>
            <w:tcW w:w="1385" w:type="dxa"/>
          </w:tcPr>
          <w:p w14:paraId="6F67992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746B9CF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5F70F53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0B7BF7D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2DE03AD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4731B209" w14:textId="77777777" w:rsidTr="00FB2DAB">
        <w:trPr>
          <w:trHeight w:val="305"/>
        </w:trPr>
        <w:tc>
          <w:tcPr>
            <w:tcW w:w="2425" w:type="dxa"/>
            <w:vMerge/>
          </w:tcPr>
          <w:p w14:paraId="24E9EE7D"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3D6EE5C9" w14:textId="67B06163"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62722895" w14:textId="7494F318"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08BD0CB" w14:textId="113EE1A6"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1ED5CE78" w14:textId="34634F95"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0B5E9974" w14:textId="60F0DC65"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887D444"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562E04C2" w14:textId="77777777" w:rsidTr="00FB2DAB">
        <w:tc>
          <w:tcPr>
            <w:tcW w:w="9625" w:type="dxa"/>
            <w:gridSpan w:val="7"/>
            <w:shd w:val="clear" w:color="auto" w:fill="D9D9D9" w:themeFill="background1" w:themeFillShade="D9"/>
          </w:tcPr>
          <w:p w14:paraId="6DE71C1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36. Exemption from VAT for gifts received in the context of international relations</w:t>
            </w:r>
          </w:p>
        </w:tc>
      </w:tr>
      <w:tr w:rsidR="00C943A7" w:rsidRPr="007669E1" w14:paraId="0DAFCADC" w14:textId="77777777" w:rsidTr="00FB2DAB">
        <w:tc>
          <w:tcPr>
            <w:tcW w:w="2425" w:type="dxa"/>
          </w:tcPr>
          <w:p w14:paraId="3E79754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5495B0E3"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Official gifts received or to be received from a foreign country or certain foreign organizations are exempt from VAT.</w:t>
            </w:r>
          </w:p>
        </w:tc>
      </w:tr>
      <w:tr w:rsidR="00C943A7" w:rsidRPr="007669E1" w14:paraId="0E5CC9CD" w14:textId="77777777" w:rsidTr="00FB2DAB">
        <w:tc>
          <w:tcPr>
            <w:tcW w:w="2425" w:type="dxa"/>
          </w:tcPr>
          <w:p w14:paraId="2C061DF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01B8172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5DB7F0F" w14:textId="77777777" w:rsidTr="00FB2DAB">
        <w:tc>
          <w:tcPr>
            <w:tcW w:w="2425" w:type="dxa"/>
          </w:tcPr>
          <w:p w14:paraId="18B66B6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29434C8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granted foreign awards</w:t>
            </w:r>
          </w:p>
        </w:tc>
      </w:tr>
      <w:tr w:rsidR="00C943A7" w:rsidRPr="007669E1" w14:paraId="36B1E92D" w14:textId="77777777" w:rsidTr="00FB2DAB">
        <w:tc>
          <w:tcPr>
            <w:tcW w:w="2425" w:type="dxa"/>
          </w:tcPr>
          <w:p w14:paraId="20A615C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1E9E370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281C79B" w14:textId="77777777" w:rsidTr="00FB2DAB">
        <w:tc>
          <w:tcPr>
            <w:tcW w:w="2425" w:type="dxa"/>
          </w:tcPr>
          <w:p w14:paraId="624B30D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Reason why this Measure is not part of the Benchmark Tax System</w:t>
            </w:r>
          </w:p>
        </w:tc>
        <w:tc>
          <w:tcPr>
            <w:tcW w:w="7200" w:type="dxa"/>
            <w:gridSpan w:val="6"/>
          </w:tcPr>
          <w:p w14:paraId="799CE17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3AA9BAE1" w14:textId="77777777" w:rsidTr="00FB2DAB">
        <w:tc>
          <w:tcPr>
            <w:tcW w:w="2425" w:type="dxa"/>
          </w:tcPr>
          <w:p w14:paraId="17D33C1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1DB4C30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251</w:t>
            </w:r>
          </w:p>
        </w:tc>
      </w:tr>
      <w:tr w:rsidR="00C943A7" w:rsidRPr="007669E1" w14:paraId="7194EAAB" w14:textId="77777777" w:rsidTr="00FB2DAB">
        <w:trPr>
          <w:trHeight w:val="182"/>
        </w:trPr>
        <w:tc>
          <w:tcPr>
            <w:tcW w:w="2425" w:type="dxa"/>
            <w:vMerge w:val="restart"/>
          </w:tcPr>
          <w:p w14:paraId="1C732873"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08E38E0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relations.</w:t>
            </w:r>
          </w:p>
          <w:p w14:paraId="1CCCA2F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445A8C6B" w14:textId="77777777" w:rsidTr="00FB2DAB">
        <w:trPr>
          <w:trHeight w:val="182"/>
        </w:trPr>
        <w:tc>
          <w:tcPr>
            <w:tcW w:w="2425" w:type="dxa"/>
            <w:vMerge/>
          </w:tcPr>
          <w:p w14:paraId="78FB9582"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66A391F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2C228BD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92CCF4F" w14:textId="77777777" w:rsidTr="00FB2DAB">
        <w:tc>
          <w:tcPr>
            <w:tcW w:w="2425" w:type="dxa"/>
          </w:tcPr>
          <w:p w14:paraId="60C9C74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37EDCF0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36CF6D5" w14:textId="77777777" w:rsidTr="00FB2DAB">
        <w:tc>
          <w:tcPr>
            <w:tcW w:w="2425" w:type="dxa"/>
          </w:tcPr>
          <w:p w14:paraId="0719DC4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0624235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67999FD" w14:textId="77777777" w:rsidTr="00FB2DAB">
        <w:tc>
          <w:tcPr>
            <w:tcW w:w="2425" w:type="dxa"/>
          </w:tcPr>
          <w:p w14:paraId="764619A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7A51FD9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7F54645" w14:textId="77777777" w:rsidTr="00FB2DAB">
        <w:tc>
          <w:tcPr>
            <w:tcW w:w="2425" w:type="dxa"/>
          </w:tcPr>
          <w:p w14:paraId="7215518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36E69BD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32F56A2" w14:textId="77777777" w:rsidTr="00FB2DAB">
        <w:trPr>
          <w:trHeight w:val="91"/>
        </w:trPr>
        <w:tc>
          <w:tcPr>
            <w:tcW w:w="2425" w:type="dxa"/>
            <w:vMerge w:val="restart"/>
          </w:tcPr>
          <w:p w14:paraId="2795A3A1"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32B313C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1B0BA82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293E52E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56FF625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1E6CE8E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7D21F313" w14:textId="77777777" w:rsidTr="00FB2DAB">
        <w:trPr>
          <w:trHeight w:val="305"/>
        </w:trPr>
        <w:tc>
          <w:tcPr>
            <w:tcW w:w="2425" w:type="dxa"/>
            <w:vMerge/>
          </w:tcPr>
          <w:p w14:paraId="5A1B5C97"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6BC0197" w14:textId="134403A8"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595FDE8" w14:textId="334D0C43"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63A9760" w14:textId="2DDC4414"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0CE45DF" w14:textId="762C6FA8"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445B4990" w14:textId="21C4694F"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A7710F9"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07A90309" w14:textId="77777777" w:rsidTr="00FB2DAB">
        <w:tc>
          <w:tcPr>
            <w:tcW w:w="9625" w:type="dxa"/>
            <w:gridSpan w:val="7"/>
            <w:shd w:val="clear" w:color="auto" w:fill="D9D9D9" w:themeFill="background1" w:themeFillShade="D9"/>
          </w:tcPr>
          <w:p w14:paraId="64D2D7A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37. Exemption from VAT for goods intended for heads of state</w:t>
            </w:r>
          </w:p>
        </w:tc>
      </w:tr>
      <w:tr w:rsidR="00C943A7" w:rsidRPr="007669E1" w14:paraId="6C828E6B" w14:textId="77777777" w:rsidTr="00FB2DAB">
        <w:tc>
          <w:tcPr>
            <w:tcW w:w="2425" w:type="dxa"/>
          </w:tcPr>
          <w:p w14:paraId="79E6150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0AC2C169"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Gifts offered to heads of state during official events, as well as goods for the use or consumption of foreign heads of state or official representatives, are exempt from VAT on a reciprocal basis.</w:t>
            </w:r>
          </w:p>
        </w:tc>
      </w:tr>
      <w:tr w:rsidR="00C943A7" w:rsidRPr="007669E1" w14:paraId="1CD07751" w14:textId="77777777" w:rsidTr="00FB2DAB">
        <w:tc>
          <w:tcPr>
            <w:tcW w:w="2425" w:type="dxa"/>
          </w:tcPr>
          <w:p w14:paraId="679E7E5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4661463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30A2A638" w14:textId="77777777" w:rsidTr="00FB2DAB">
        <w:tc>
          <w:tcPr>
            <w:tcW w:w="2425" w:type="dxa"/>
          </w:tcPr>
          <w:p w14:paraId="047E1A2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74BDCE5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Heads of state</w:t>
            </w:r>
          </w:p>
        </w:tc>
      </w:tr>
      <w:tr w:rsidR="00C943A7" w:rsidRPr="007669E1" w14:paraId="7771559B" w14:textId="77777777" w:rsidTr="00FB2DAB">
        <w:tc>
          <w:tcPr>
            <w:tcW w:w="2425" w:type="dxa"/>
          </w:tcPr>
          <w:p w14:paraId="6ACF837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35F447C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9AD4F85" w14:textId="77777777" w:rsidTr="00FB2DAB">
        <w:tc>
          <w:tcPr>
            <w:tcW w:w="2425" w:type="dxa"/>
          </w:tcPr>
          <w:p w14:paraId="51EE18B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3637E73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1F83A47C" w14:textId="77777777" w:rsidTr="00FB2DAB">
        <w:tc>
          <w:tcPr>
            <w:tcW w:w="2425" w:type="dxa"/>
          </w:tcPr>
          <w:p w14:paraId="28D0597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5C03F96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252</w:t>
            </w:r>
          </w:p>
        </w:tc>
      </w:tr>
      <w:tr w:rsidR="00C943A7" w:rsidRPr="007669E1" w14:paraId="0D8DC9A6" w14:textId="77777777" w:rsidTr="00FB2DAB">
        <w:trPr>
          <w:trHeight w:val="182"/>
        </w:trPr>
        <w:tc>
          <w:tcPr>
            <w:tcW w:w="2425" w:type="dxa"/>
            <w:vMerge w:val="restart"/>
          </w:tcPr>
          <w:p w14:paraId="1849E82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665B5E4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relations.</w:t>
            </w:r>
          </w:p>
          <w:p w14:paraId="5A3DBD2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4E8A517A" w14:textId="77777777" w:rsidTr="00FB2DAB">
        <w:trPr>
          <w:trHeight w:val="182"/>
        </w:trPr>
        <w:tc>
          <w:tcPr>
            <w:tcW w:w="2425" w:type="dxa"/>
            <w:vMerge/>
          </w:tcPr>
          <w:p w14:paraId="137DA84B"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56AE078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6D64C94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32F3DA4" w14:textId="77777777" w:rsidTr="00FB2DAB">
        <w:tc>
          <w:tcPr>
            <w:tcW w:w="2425" w:type="dxa"/>
          </w:tcPr>
          <w:p w14:paraId="2B64A77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4F783FA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AE147A6" w14:textId="77777777" w:rsidTr="00FB2DAB">
        <w:tc>
          <w:tcPr>
            <w:tcW w:w="2425" w:type="dxa"/>
          </w:tcPr>
          <w:p w14:paraId="565C911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383741B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2E73BB5" w14:textId="77777777" w:rsidTr="00FB2DAB">
        <w:tc>
          <w:tcPr>
            <w:tcW w:w="2425" w:type="dxa"/>
          </w:tcPr>
          <w:p w14:paraId="6F86854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16B46DD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B9EEA12" w14:textId="77777777" w:rsidTr="00FB2DAB">
        <w:tc>
          <w:tcPr>
            <w:tcW w:w="2425" w:type="dxa"/>
          </w:tcPr>
          <w:p w14:paraId="1BEA5DB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091A93A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3F884B4" w14:textId="77777777" w:rsidTr="00FB2DAB">
        <w:trPr>
          <w:trHeight w:val="91"/>
        </w:trPr>
        <w:tc>
          <w:tcPr>
            <w:tcW w:w="2425" w:type="dxa"/>
            <w:vMerge w:val="restart"/>
          </w:tcPr>
          <w:p w14:paraId="7A86992A"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8AEDE4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0792847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1AEFA87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771D8BC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438943B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58CF6D3F" w14:textId="77777777" w:rsidTr="00FB2DAB">
        <w:trPr>
          <w:trHeight w:val="305"/>
        </w:trPr>
        <w:tc>
          <w:tcPr>
            <w:tcW w:w="2425" w:type="dxa"/>
            <w:vMerge/>
          </w:tcPr>
          <w:p w14:paraId="7007951A"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DEFEA9F" w14:textId="0708B71F"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2808D06C" w14:textId="7465D54F"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530800B" w14:textId="01B5289F"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60AD2AC4" w14:textId="1DE4050D"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6E4E9C4F" w14:textId="4FA27A6C"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89EEF1E"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0C4A8B4C" w14:textId="77777777" w:rsidTr="00FB2DAB">
        <w:tc>
          <w:tcPr>
            <w:tcW w:w="9625" w:type="dxa"/>
            <w:gridSpan w:val="7"/>
            <w:shd w:val="clear" w:color="auto" w:fill="D9D9D9" w:themeFill="background1" w:themeFillShade="D9"/>
          </w:tcPr>
          <w:p w14:paraId="7448149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38. Exemption from VAT for various official documents and goods</w:t>
            </w:r>
          </w:p>
        </w:tc>
      </w:tr>
      <w:tr w:rsidR="00C943A7" w:rsidRPr="007669E1" w14:paraId="151B83DF" w14:textId="77777777" w:rsidTr="00FB2DAB">
        <w:tc>
          <w:tcPr>
            <w:tcW w:w="2425" w:type="dxa"/>
          </w:tcPr>
          <w:p w14:paraId="22CE9D2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6B6ECF81"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Official and other documents and goods listed in article 269 of the Customs Code are exempt from VAT, including: foreign official documents sent to the government of Moldova or intended for free distribution in Moldova; objects to be presented as evidence or for other similar purposes to the courts or other authorities in Moldova; official printed forms of a foreign country; photos, slides and molds for photos, sent to press agencies or newspaper or magazine publishers.</w:t>
            </w:r>
          </w:p>
        </w:tc>
      </w:tr>
      <w:tr w:rsidR="00C943A7" w:rsidRPr="007669E1" w14:paraId="699C0A77" w14:textId="77777777" w:rsidTr="00FB2DAB">
        <w:tc>
          <w:tcPr>
            <w:tcW w:w="2425" w:type="dxa"/>
          </w:tcPr>
          <w:p w14:paraId="5B9ECD2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7631A53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2108C60E" w14:textId="77777777" w:rsidTr="00FB2DAB">
        <w:tc>
          <w:tcPr>
            <w:tcW w:w="2425" w:type="dxa"/>
          </w:tcPr>
          <w:p w14:paraId="224A6F3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1C987D39" w14:textId="77777777" w:rsidR="00686B7E" w:rsidRPr="007669E1" w:rsidRDefault="00686B7E" w:rsidP="00E90BA7">
            <w:pPr>
              <w:spacing w:before="20" w:after="20" w:line="240" w:lineRule="auto"/>
              <w:jc w:val="both"/>
              <w:rPr>
                <w:rFonts w:ascii="Segoe UI" w:hAnsi="Segoe UI" w:cs="Segoe UI"/>
                <w:sz w:val="18"/>
                <w:szCs w:val="18"/>
              </w:rPr>
            </w:pPr>
          </w:p>
        </w:tc>
      </w:tr>
      <w:tr w:rsidR="00C943A7" w:rsidRPr="007669E1" w14:paraId="0C834B10" w14:textId="77777777" w:rsidTr="00FB2DAB">
        <w:tc>
          <w:tcPr>
            <w:tcW w:w="2425" w:type="dxa"/>
          </w:tcPr>
          <w:p w14:paraId="68A2D27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4970EEB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251CB79" w14:textId="77777777" w:rsidTr="00FB2DAB">
        <w:tc>
          <w:tcPr>
            <w:tcW w:w="2425" w:type="dxa"/>
          </w:tcPr>
          <w:p w14:paraId="23E3511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Reason why this Measure is not part of the Benchmark Tax System</w:t>
            </w:r>
          </w:p>
        </w:tc>
        <w:tc>
          <w:tcPr>
            <w:tcW w:w="7200" w:type="dxa"/>
            <w:gridSpan w:val="6"/>
          </w:tcPr>
          <w:p w14:paraId="62AAECF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319DF27F" w14:textId="77777777" w:rsidTr="00FB2DAB">
        <w:tc>
          <w:tcPr>
            <w:tcW w:w="2425" w:type="dxa"/>
          </w:tcPr>
          <w:p w14:paraId="26F7B19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076465B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269</w:t>
            </w:r>
          </w:p>
        </w:tc>
      </w:tr>
      <w:tr w:rsidR="00C943A7" w:rsidRPr="007669E1" w14:paraId="57678E5F" w14:textId="77777777" w:rsidTr="00FB2DAB">
        <w:trPr>
          <w:trHeight w:val="182"/>
        </w:trPr>
        <w:tc>
          <w:tcPr>
            <w:tcW w:w="2425" w:type="dxa"/>
            <w:vMerge w:val="restart"/>
          </w:tcPr>
          <w:p w14:paraId="136CB8A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4CF468D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1D266BD0" w14:textId="77777777" w:rsidTr="00FB2DAB">
        <w:trPr>
          <w:trHeight w:val="182"/>
        </w:trPr>
        <w:tc>
          <w:tcPr>
            <w:tcW w:w="2425" w:type="dxa"/>
            <w:vMerge/>
          </w:tcPr>
          <w:p w14:paraId="3ACDB32B"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005F5E9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65BCF59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DE3B619" w14:textId="77777777" w:rsidTr="00FB2DAB">
        <w:tc>
          <w:tcPr>
            <w:tcW w:w="2425" w:type="dxa"/>
          </w:tcPr>
          <w:p w14:paraId="6602D723"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16044BF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412C9EC" w14:textId="77777777" w:rsidTr="00FB2DAB">
        <w:tc>
          <w:tcPr>
            <w:tcW w:w="2425" w:type="dxa"/>
          </w:tcPr>
          <w:p w14:paraId="63CDB5B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65C14F7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F276EFD" w14:textId="77777777" w:rsidTr="00FB2DAB">
        <w:tc>
          <w:tcPr>
            <w:tcW w:w="2425" w:type="dxa"/>
          </w:tcPr>
          <w:p w14:paraId="1FD92AF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6952237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AFF9214" w14:textId="77777777" w:rsidTr="00FB2DAB">
        <w:tc>
          <w:tcPr>
            <w:tcW w:w="2425" w:type="dxa"/>
          </w:tcPr>
          <w:p w14:paraId="76D9A2D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1648340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2A883E9" w14:textId="77777777" w:rsidTr="00FB2DAB">
        <w:trPr>
          <w:trHeight w:val="91"/>
        </w:trPr>
        <w:tc>
          <w:tcPr>
            <w:tcW w:w="2425" w:type="dxa"/>
            <w:vMerge w:val="restart"/>
          </w:tcPr>
          <w:p w14:paraId="6993FE4D"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D8FC5A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3F9FB22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6C8150A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380057D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00366AB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4C646160" w14:textId="77777777" w:rsidTr="00FB2DAB">
        <w:trPr>
          <w:trHeight w:val="305"/>
        </w:trPr>
        <w:tc>
          <w:tcPr>
            <w:tcW w:w="2425" w:type="dxa"/>
            <w:vMerge/>
          </w:tcPr>
          <w:p w14:paraId="55D95989"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0E4CC779" w14:textId="5E1F9DDE"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328D133F" w14:textId="7DF82A55"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9282AC1" w14:textId="347CF32B"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4FD2A45" w14:textId="38898EDD"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3F4B7215" w14:textId="103A90C0"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41F8803C"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703F350B" w14:textId="77777777" w:rsidTr="00FB2DAB">
        <w:tc>
          <w:tcPr>
            <w:tcW w:w="9625" w:type="dxa"/>
            <w:gridSpan w:val="7"/>
            <w:shd w:val="clear" w:color="auto" w:fill="D9D9D9" w:themeFill="background1" w:themeFillShade="D9"/>
          </w:tcPr>
          <w:p w14:paraId="755C47E6" w14:textId="77777777" w:rsidR="00686B7E" w:rsidRPr="00F8111C" w:rsidRDefault="00686B7E" w:rsidP="00E90BA7">
            <w:pPr>
              <w:keepNext/>
              <w:spacing w:before="20" w:after="20" w:line="240" w:lineRule="auto"/>
              <w:jc w:val="both"/>
              <w:rPr>
                <w:rFonts w:ascii="Segoe UI" w:hAnsi="Segoe UI" w:cs="Segoe UI"/>
                <w:b/>
                <w:bCs/>
                <w:sz w:val="18"/>
                <w:szCs w:val="18"/>
              </w:rPr>
            </w:pPr>
            <w:r w:rsidRPr="00F8111C">
              <w:rPr>
                <w:rFonts w:ascii="Segoe UI" w:hAnsi="Segoe UI" w:cs="Segoe UI"/>
                <w:b/>
                <w:bCs/>
                <w:sz w:val="18"/>
                <w:szCs w:val="18"/>
              </w:rPr>
              <w:t>39. Exemption from VAT for international aid</w:t>
            </w:r>
          </w:p>
        </w:tc>
      </w:tr>
      <w:tr w:rsidR="00C943A7" w:rsidRPr="007669E1" w14:paraId="35ECA428" w14:textId="77777777" w:rsidTr="00FB2DAB">
        <w:tc>
          <w:tcPr>
            <w:tcW w:w="2425" w:type="dxa"/>
          </w:tcPr>
          <w:p w14:paraId="43E2D5D1" w14:textId="77777777" w:rsidR="00686B7E" w:rsidRPr="00F8111C" w:rsidRDefault="00686B7E" w:rsidP="00E90BA7">
            <w:pPr>
              <w:keepNext/>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70317F46"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is not charged on goods donated and/or imported by state institutions or other philanthropic governmental organizations to be distributed free of charge to needy persons. Also exempt are donated office equipment and supplies to be used exclusively for operational needs or for the fulfillment of philanthropic purposes.</w:t>
            </w:r>
          </w:p>
        </w:tc>
      </w:tr>
      <w:tr w:rsidR="00C943A7" w:rsidRPr="007669E1" w14:paraId="36607C14" w14:textId="77777777" w:rsidTr="00FB2DAB">
        <w:tc>
          <w:tcPr>
            <w:tcW w:w="2425" w:type="dxa"/>
          </w:tcPr>
          <w:p w14:paraId="5262529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210776A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68382523" w14:textId="77777777" w:rsidTr="00FB2DAB">
        <w:tc>
          <w:tcPr>
            <w:tcW w:w="2425" w:type="dxa"/>
          </w:tcPr>
          <w:p w14:paraId="2E84CBB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37879A5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institutions or other philanthropic governmental organizations</w:t>
            </w:r>
          </w:p>
        </w:tc>
      </w:tr>
      <w:tr w:rsidR="00C943A7" w:rsidRPr="007669E1" w14:paraId="3A9349B8" w14:textId="77777777" w:rsidTr="00FB2DAB">
        <w:tc>
          <w:tcPr>
            <w:tcW w:w="2425" w:type="dxa"/>
          </w:tcPr>
          <w:p w14:paraId="4CF5986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04E404A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94C54F0" w14:textId="77777777" w:rsidTr="00FB2DAB">
        <w:tc>
          <w:tcPr>
            <w:tcW w:w="2425" w:type="dxa"/>
          </w:tcPr>
          <w:p w14:paraId="3F7FE38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284850B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5CC0B292" w14:textId="77777777" w:rsidTr="00FB2DAB">
        <w:tc>
          <w:tcPr>
            <w:tcW w:w="2425" w:type="dxa"/>
          </w:tcPr>
          <w:p w14:paraId="006375B3"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02A706E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 to 277</w:t>
            </w:r>
            <w:r w:rsidRPr="007669E1">
              <w:rPr>
                <w:rFonts w:ascii="Segoe UI" w:hAnsi="Segoe UI" w:cs="Segoe UI"/>
                <w:sz w:val="18"/>
                <w:szCs w:val="18"/>
                <w:vertAlign w:val="superscript"/>
              </w:rPr>
              <w:t>4</w:t>
            </w:r>
          </w:p>
        </w:tc>
      </w:tr>
      <w:tr w:rsidR="00C943A7" w:rsidRPr="007669E1" w14:paraId="5403C4F1" w14:textId="77777777" w:rsidTr="00FB2DAB">
        <w:trPr>
          <w:trHeight w:val="182"/>
        </w:trPr>
        <w:tc>
          <w:tcPr>
            <w:tcW w:w="2425" w:type="dxa"/>
            <w:vMerge w:val="restart"/>
          </w:tcPr>
          <w:p w14:paraId="678F6D6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04651BA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the provision of international aid.</w:t>
            </w:r>
          </w:p>
          <w:p w14:paraId="35E2AC9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7DE3B700" w14:textId="77777777" w:rsidTr="00FB2DAB">
        <w:trPr>
          <w:trHeight w:val="182"/>
        </w:trPr>
        <w:tc>
          <w:tcPr>
            <w:tcW w:w="2425" w:type="dxa"/>
            <w:vMerge/>
          </w:tcPr>
          <w:p w14:paraId="2FA73236"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3C3E013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1C2167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1C192CF" w14:textId="77777777" w:rsidTr="00FB2DAB">
        <w:tc>
          <w:tcPr>
            <w:tcW w:w="2425" w:type="dxa"/>
          </w:tcPr>
          <w:p w14:paraId="23F085E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5D4E593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D314281" w14:textId="77777777" w:rsidTr="00FB2DAB">
        <w:tc>
          <w:tcPr>
            <w:tcW w:w="2425" w:type="dxa"/>
          </w:tcPr>
          <w:p w14:paraId="1A29E465"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542BBE5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353D710" w14:textId="77777777" w:rsidTr="00FB2DAB">
        <w:tc>
          <w:tcPr>
            <w:tcW w:w="2425" w:type="dxa"/>
          </w:tcPr>
          <w:p w14:paraId="55D12C3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549A6CF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3011C41" w14:textId="77777777" w:rsidTr="00FB2DAB">
        <w:tc>
          <w:tcPr>
            <w:tcW w:w="2425" w:type="dxa"/>
          </w:tcPr>
          <w:p w14:paraId="026E60A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5F7E7FF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3D315AC" w14:textId="77777777" w:rsidTr="00FB2DAB">
        <w:trPr>
          <w:trHeight w:val="91"/>
        </w:trPr>
        <w:tc>
          <w:tcPr>
            <w:tcW w:w="2425" w:type="dxa"/>
            <w:vMerge w:val="restart"/>
          </w:tcPr>
          <w:p w14:paraId="2CA5A016"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8FB47D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0B006A9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2A04CD2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153F763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3EA7BB8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44B4125F" w14:textId="77777777" w:rsidTr="00FB2DAB">
        <w:trPr>
          <w:trHeight w:val="305"/>
        </w:trPr>
        <w:tc>
          <w:tcPr>
            <w:tcW w:w="2425" w:type="dxa"/>
            <w:vMerge/>
          </w:tcPr>
          <w:p w14:paraId="13F32E38"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7340DFCD" w14:textId="31CFCEC6"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AD6A3ED" w14:textId="0C3C3E2D"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375B76AB" w14:textId="7E29F952"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AE4411B" w14:textId="2B4EA8BD"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31A2917C" w14:textId="03AC2E82"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4B319590"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60B85548" w14:textId="77777777" w:rsidTr="00FB2DAB">
        <w:tc>
          <w:tcPr>
            <w:tcW w:w="9625" w:type="dxa"/>
            <w:gridSpan w:val="7"/>
            <w:shd w:val="clear" w:color="auto" w:fill="D9D9D9" w:themeFill="background1" w:themeFillShade="D9"/>
          </w:tcPr>
          <w:p w14:paraId="484380F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40. Exemption from VAT for goods for the use of disaster victims</w:t>
            </w:r>
          </w:p>
        </w:tc>
      </w:tr>
      <w:tr w:rsidR="00C943A7" w:rsidRPr="007669E1" w14:paraId="09B5DDCD" w14:textId="77777777" w:rsidTr="00FB2DAB">
        <w:tc>
          <w:tcPr>
            <w:tcW w:w="2425" w:type="dxa"/>
          </w:tcPr>
          <w:p w14:paraId="1AAC902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69234909"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intended for free distribution to victims of disasters in Moldova, as well as goods imported by state institutions and governmental rescue organizations for their activity, are exempt from VAT.</w:t>
            </w:r>
          </w:p>
        </w:tc>
      </w:tr>
      <w:tr w:rsidR="00C943A7" w:rsidRPr="007669E1" w14:paraId="08954A24" w14:textId="77777777" w:rsidTr="00FB2DAB">
        <w:tc>
          <w:tcPr>
            <w:tcW w:w="2425" w:type="dxa"/>
          </w:tcPr>
          <w:p w14:paraId="210ABAC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33ACD5D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07A50AD" w14:textId="77777777" w:rsidTr="00FB2DAB">
        <w:tc>
          <w:tcPr>
            <w:tcW w:w="2425" w:type="dxa"/>
          </w:tcPr>
          <w:p w14:paraId="624A0C2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4DC16CD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Disaster victims</w:t>
            </w:r>
          </w:p>
        </w:tc>
      </w:tr>
      <w:tr w:rsidR="00C943A7" w:rsidRPr="007669E1" w14:paraId="003C9D7C" w14:textId="77777777" w:rsidTr="00FB2DAB">
        <w:tc>
          <w:tcPr>
            <w:tcW w:w="2425" w:type="dxa"/>
          </w:tcPr>
          <w:p w14:paraId="3F75B00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20EEB25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49E289B" w14:textId="77777777" w:rsidTr="00FB2DAB">
        <w:tc>
          <w:tcPr>
            <w:tcW w:w="2425" w:type="dxa"/>
          </w:tcPr>
          <w:p w14:paraId="3072446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2AB749F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1578405E" w14:textId="77777777" w:rsidTr="00FB2DAB">
        <w:tc>
          <w:tcPr>
            <w:tcW w:w="2425" w:type="dxa"/>
          </w:tcPr>
          <w:p w14:paraId="528896E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5D11F88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12</w:t>
            </w:r>
            <w:r w:rsidRPr="007669E1">
              <w:rPr>
                <w:rFonts w:ascii="Segoe UI" w:hAnsi="Segoe UI" w:cs="Segoe UI"/>
                <w:sz w:val="18"/>
                <w:szCs w:val="18"/>
              </w:rPr>
              <w:t xml:space="preserve"> to 277</w:t>
            </w:r>
            <w:r w:rsidRPr="007669E1">
              <w:rPr>
                <w:rFonts w:ascii="Segoe UI" w:hAnsi="Segoe UI" w:cs="Segoe UI"/>
                <w:sz w:val="18"/>
                <w:szCs w:val="18"/>
                <w:vertAlign w:val="superscript"/>
              </w:rPr>
              <w:t>17</w:t>
            </w:r>
          </w:p>
        </w:tc>
      </w:tr>
      <w:tr w:rsidR="00C943A7" w:rsidRPr="007669E1" w14:paraId="7A1A9D24" w14:textId="77777777" w:rsidTr="00FB2DAB">
        <w:trPr>
          <w:trHeight w:val="182"/>
        </w:trPr>
        <w:tc>
          <w:tcPr>
            <w:tcW w:w="2425" w:type="dxa"/>
            <w:vMerge w:val="restart"/>
          </w:tcPr>
          <w:p w14:paraId="414A0A2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Implementation Objectives, and History</w:t>
            </w:r>
          </w:p>
        </w:tc>
        <w:tc>
          <w:tcPr>
            <w:tcW w:w="7200" w:type="dxa"/>
            <w:gridSpan w:val="6"/>
          </w:tcPr>
          <w:p w14:paraId="50742FE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disaster victims.</w:t>
            </w:r>
          </w:p>
          <w:p w14:paraId="145E20B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67F5E5C6" w14:textId="77777777" w:rsidTr="00FB2DAB">
        <w:trPr>
          <w:trHeight w:val="182"/>
        </w:trPr>
        <w:tc>
          <w:tcPr>
            <w:tcW w:w="2425" w:type="dxa"/>
            <w:vMerge/>
          </w:tcPr>
          <w:p w14:paraId="6A0B6DE7"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538432A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196F9B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5581252" w14:textId="77777777" w:rsidTr="00FB2DAB">
        <w:tc>
          <w:tcPr>
            <w:tcW w:w="2425" w:type="dxa"/>
          </w:tcPr>
          <w:p w14:paraId="5F7CBB0A"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4F204DD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7B4BB0D" w14:textId="77777777" w:rsidTr="00FB2DAB">
        <w:tc>
          <w:tcPr>
            <w:tcW w:w="2425" w:type="dxa"/>
          </w:tcPr>
          <w:p w14:paraId="3EC39102"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6F9EBC8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2282AF" w14:textId="77777777" w:rsidTr="00FB2DAB">
        <w:tc>
          <w:tcPr>
            <w:tcW w:w="2425" w:type="dxa"/>
          </w:tcPr>
          <w:p w14:paraId="2B78BA5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5192570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B5B2AD0" w14:textId="77777777" w:rsidTr="00FB2DAB">
        <w:tc>
          <w:tcPr>
            <w:tcW w:w="2425" w:type="dxa"/>
          </w:tcPr>
          <w:p w14:paraId="24FC622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014EE95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A474DCF" w14:textId="77777777" w:rsidTr="00FB2DAB">
        <w:trPr>
          <w:trHeight w:val="91"/>
        </w:trPr>
        <w:tc>
          <w:tcPr>
            <w:tcW w:w="2425" w:type="dxa"/>
            <w:vMerge w:val="restart"/>
          </w:tcPr>
          <w:p w14:paraId="038656D8"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53BE3CE9"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4433A96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0CF7EBA8"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1E1847D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2488418C"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200E3013" w14:textId="77777777" w:rsidTr="00FB2DAB">
        <w:trPr>
          <w:trHeight w:val="305"/>
        </w:trPr>
        <w:tc>
          <w:tcPr>
            <w:tcW w:w="2425" w:type="dxa"/>
            <w:vMerge/>
          </w:tcPr>
          <w:p w14:paraId="3C80CFA6"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34AAD7CA" w14:textId="7F80EE84"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9253AF9" w14:textId="104B2E20"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4542D16" w14:textId="2F3531F5"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6C527B88" w14:textId="26CA3D8D"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335A08BE" w14:textId="37A810E2"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B571494"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8111C" w14:paraId="19AAECB9" w14:textId="77777777" w:rsidTr="00FB2DAB">
        <w:tc>
          <w:tcPr>
            <w:tcW w:w="9625" w:type="dxa"/>
            <w:gridSpan w:val="7"/>
            <w:shd w:val="clear" w:color="auto" w:fill="D9D9D9" w:themeFill="background1" w:themeFillShade="D9"/>
          </w:tcPr>
          <w:p w14:paraId="36BD5D24"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41. Exemption from VAT for goods for the use of disabled persons</w:t>
            </w:r>
          </w:p>
        </w:tc>
      </w:tr>
      <w:tr w:rsidR="00C943A7" w:rsidRPr="007669E1" w14:paraId="522F4196" w14:textId="77777777" w:rsidTr="00FB2DAB">
        <w:tc>
          <w:tcPr>
            <w:tcW w:w="2425" w:type="dxa"/>
          </w:tcPr>
          <w:p w14:paraId="4D4822FD"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63731D13"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specially designed for the educational, scientific or cultural development of the blind are exempt from VAT. Similarly, goods specially designed for the education, employment or social promotion of persons with physical or mental disabilities, other than the blind, are exempt from VAT.</w:t>
            </w:r>
          </w:p>
        </w:tc>
      </w:tr>
      <w:tr w:rsidR="00C943A7" w:rsidRPr="007669E1" w14:paraId="7EA04633" w14:textId="77777777" w:rsidTr="00FB2DAB">
        <w:tc>
          <w:tcPr>
            <w:tcW w:w="2425" w:type="dxa"/>
          </w:tcPr>
          <w:p w14:paraId="79F3EF9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1E3BFE8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0854D9CC" w14:textId="77777777" w:rsidTr="00FB2DAB">
        <w:tc>
          <w:tcPr>
            <w:tcW w:w="2425" w:type="dxa"/>
          </w:tcPr>
          <w:p w14:paraId="65B2057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798898A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Disabled individuals</w:t>
            </w:r>
          </w:p>
        </w:tc>
      </w:tr>
      <w:tr w:rsidR="00C943A7" w:rsidRPr="007669E1" w14:paraId="5A2CE034" w14:textId="77777777" w:rsidTr="00FB2DAB">
        <w:tc>
          <w:tcPr>
            <w:tcW w:w="2425" w:type="dxa"/>
          </w:tcPr>
          <w:p w14:paraId="3A34114B"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7A884E3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7D0BB5E" w14:textId="77777777" w:rsidTr="00FB2DAB">
        <w:tc>
          <w:tcPr>
            <w:tcW w:w="2425" w:type="dxa"/>
          </w:tcPr>
          <w:p w14:paraId="06A2177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136AEB4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62CB00CF" w14:textId="77777777" w:rsidTr="00FB2DAB">
        <w:tc>
          <w:tcPr>
            <w:tcW w:w="2425" w:type="dxa"/>
          </w:tcPr>
          <w:p w14:paraId="6DB0BDF1"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3073BA9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5</w:t>
            </w:r>
            <w:r w:rsidRPr="007669E1">
              <w:rPr>
                <w:rFonts w:ascii="Segoe UI" w:hAnsi="Segoe UI" w:cs="Segoe UI"/>
                <w:sz w:val="18"/>
                <w:szCs w:val="18"/>
              </w:rPr>
              <w:t xml:space="preserve"> to 277</w:t>
            </w:r>
            <w:r w:rsidRPr="007669E1">
              <w:rPr>
                <w:rFonts w:ascii="Segoe UI" w:hAnsi="Segoe UI" w:cs="Segoe UI"/>
                <w:sz w:val="18"/>
                <w:szCs w:val="18"/>
                <w:vertAlign w:val="superscript"/>
              </w:rPr>
              <w:t>11</w:t>
            </w:r>
          </w:p>
        </w:tc>
      </w:tr>
      <w:tr w:rsidR="00C943A7" w:rsidRPr="007669E1" w14:paraId="0C99325C" w14:textId="77777777" w:rsidTr="00FB2DAB">
        <w:trPr>
          <w:trHeight w:val="182"/>
        </w:trPr>
        <w:tc>
          <w:tcPr>
            <w:tcW w:w="2425" w:type="dxa"/>
            <w:vMerge w:val="restart"/>
          </w:tcPr>
          <w:p w14:paraId="20EAF4FF"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70C58E6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disabled individuals.</w:t>
            </w:r>
          </w:p>
          <w:p w14:paraId="65F53FB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1D3E084E" w14:textId="77777777" w:rsidTr="00FB2DAB">
        <w:trPr>
          <w:trHeight w:val="182"/>
        </w:trPr>
        <w:tc>
          <w:tcPr>
            <w:tcW w:w="2425" w:type="dxa"/>
            <w:vMerge/>
          </w:tcPr>
          <w:p w14:paraId="6C2DAAB7" w14:textId="77777777" w:rsidR="00686B7E" w:rsidRPr="00F8111C" w:rsidRDefault="00686B7E" w:rsidP="00E90BA7">
            <w:pPr>
              <w:spacing w:before="20" w:after="20" w:line="240" w:lineRule="auto"/>
              <w:jc w:val="both"/>
              <w:rPr>
                <w:rFonts w:ascii="Segoe UI" w:hAnsi="Segoe UI" w:cs="Segoe UI"/>
                <w:b/>
                <w:bCs/>
                <w:sz w:val="18"/>
                <w:szCs w:val="18"/>
              </w:rPr>
            </w:pPr>
          </w:p>
        </w:tc>
        <w:tc>
          <w:tcPr>
            <w:tcW w:w="3462" w:type="dxa"/>
            <w:gridSpan w:val="3"/>
          </w:tcPr>
          <w:p w14:paraId="2EFB30A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5857DF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D24541A" w14:textId="77777777" w:rsidTr="00FB2DAB">
        <w:tc>
          <w:tcPr>
            <w:tcW w:w="2425" w:type="dxa"/>
          </w:tcPr>
          <w:p w14:paraId="6FD16C2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5030045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0556C8F" w14:textId="77777777" w:rsidTr="00FB2DAB">
        <w:tc>
          <w:tcPr>
            <w:tcW w:w="2425" w:type="dxa"/>
          </w:tcPr>
          <w:p w14:paraId="55BB4E0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0DAC26B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E03B34" w14:textId="77777777" w:rsidTr="00FB2DAB">
        <w:tc>
          <w:tcPr>
            <w:tcW w:w="2425" w:type="dxa"/>
          </w:tcPr>
          <w:p w14:paraId="0832610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0FC0EA1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0DB0A6D" w14:textId="77777777" w:rsidTr="00FB2DAB">
        <w:tc>
          <w:tcPr>
            <w:tcW w:w="2425" w:type="dxa"/>
          </w:tcPr>
          <w:p w14:paraId="134C4077"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6F51D16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401571E" w14:textId="77777777" w:rsidTr="00FB2DAB">
        <w:trPr>
          <w:trHeight w:val="91"/>
        </w:trPr>
        <w:tc>
          <w:tcPr>
            <w:tcW w:w="2425" w:type="dxa"/>
            <w:vMerge w:val="restart"/>
          </w:tcPr>
          <w:p w14:paraId="5E2BBF74"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4F5CA66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3068680E"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306CA220"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52947293"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23FC6026" w14:textId="77777777" w:rsidR="00686B7E" w:rsidRPr="00F8111C" w:rsidRDefault="00686B7E"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775F01" w:rsidRPr="007669E1" w14:paraId="26FED803" w14:textId="77777777" w:rsidTr="00FB2DAB">
        <w:trPr>
          <w:trHeight w:val="305"/>
        </w:trPr>
        <w:tc>
          <w:tcPr>
            <w:tcW w:w="2425" w:type="dxa"/>
            <w:vMerge/>
          </w:tcPr>
          <w:p w14:paraId="6277CE0C"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29288C62" w14:textId="459C6C9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39E6645" w14:textId="1CFEC96E"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3EC6104D" w14:textId="75823C00"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F6C2C65" w14:textId="2044D14D"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03EFF10B" w14:textId="0B1E2FD9"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9B1BA97"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202E63" w14:paraId="6268CCD4" w14:textId="77777777" w:rsidTr="00FB2DAB">
        <w:tc>
          <w:tcPr>
            <w:tcW w:w="9625" w:type="dxa"/>
            <w:gridSpan w:val="7"/>
            <w:shd w:val="clear" w:color="auto" w:fill="D9D9D9" w:themeFill="background1" w:themeFillShade="D9"/>
          </w:tcPr>
          <w:p w14:paraId="525001FB"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42. Exemption from VAT for reference substances for quality control of medicines</w:t>
            </w:r>
          </w:p>
        </w:tc>
      </w:tr>
      <w:tr w:rsidR="00C943A7" w:rsidRPr="007669E1" w14:paraId="7431FC40" w14:textId="77777777" w:rsidTr="00FB2DAB">
        <w:tc>
          <w:tcPr>
            <w:tcW w:w="2425" w:type="dxa"/>
          </w:tcPr>
          <w:p w14:paraId="6986C844"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Description</w:t>
            </w:r>
          </w:p>
        </w:tc>
        <w:tc>
          <w:tcPr>
            <w:tcW w:w="7200" w:type="dxa"/>
            <w:gridSpan w:val="6"/>
          </w:tcPr>
          <w:p w14:paraId="72BDBE14"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Samples of reference substances approved by the World Health Organization for the control of the quality of materials used in the manufacture of medicines are exempt from VAT.</w:t>
            </w:r>
          </w:p>
        </w:tc>
      </w:tr>
      <w:tr w:rsidR="00C943A7" w:rsidRPr="007669E1" w14:paraId="3BAD6DE0" w14:textId="77777777" w:rsidTr="00FB2DAB">
        <w:tc>
          <w:tcPr>
            <w:tcW w:w="2425" w:type="dxa"/>
          </w:tcPr>
          <w:p w14:paraId="3CA70E2C"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Type of Tax Affected</w:t>
            </w:r>
          </w:p>
        </w:tc>
        <w:tc>
          <w:tcPr>
            <w:tcW w:w="7200" w:type="dxa"/>
            <w:gridSpan w:val="6"/>
          </w:tcPr>
          <w:p w14:paraId="6FD78F9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60B4691D" w14:textId="77777777" w:rsidTr="00FB2DAB">
        <w:tc>
          <w:tcPr>
            <w:tcW w:w="2425" w:type="dxa"/>
          </w:tcPr>
          <w:p w14:paraId="075CFD53"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Beneficiaries</w:t>
            </w:r>
          </w:p>
        </w:tc>
        <w:tc>
          <w:tcPr>
            <w:tcW w:w="7200" w:type="dxa"/>
            <w:gridSpan w:val="6"/>
          </w:tcPr>
          <w:p w14:paraId="156F0F8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Manufacturers of medicines</w:t>
            </w:r>
          </w:p>
        </w:tc>
      </w:tr>
      <w:tr w:rsidR="00C943A7" w:rsidRPr="007669E1" w14:paraId="4D333488" w14:textId="77777777" w:rsidTr="00FB2DAB">
        <w:tc>
          <w:tcPr>
            <w:tcW w:w="2425" w:type="dxa"/>
          </w:tcPr>
          <w:p w14:paraId="04317606"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Type of Measure</w:t>
            </w:r>
          </w:p>
        </w:tc>
        <w:tc>
          <w:tcPr>
            <w:tcW w:w="7200" w:type="dxa"/>
            <w:gridSpan w:val="6"/>
          </w:tcPr>
          <w:p w14:paraId="78897AA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6621165" w14:textId="77777777" w:rsidTr="00FB2DAB">
        <w:tc>
          <w:tcPr>
            <w:tcW w:w="2425" w:type="dxa"/>
          </w:tcPr>
          <w:p w14:paraId="4073138F"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Reason why this Measure is not part of the Benchmark Tax System</w:t>
            </w:r>
          </w:p>
        </w:tc>
        <w:tc>
          <w:tcPr>
            <w:tcW w:w="7200" w:type="dxa"/>
            <w:gridSpan w:val="6"/>
          </w:tcPr>
          <w:p w14:paraId="19C219B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306360ED" w14:textId="77777777" w:rsidTr="00FB2DAB">
        <w:tc>
          <w:tcPr>
            <w:tcW w:w="2425" w:type="dxa"/>
          </w:tcPr>
          <w:p w14:paraId="3B423033"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Legal Reference</w:t>
            </w:r>
          </w:p>
        </w:tc>
        <w:tc>
          <w:tcPr>
            <w:tcW w:w="7200" w:type="dxa"/>
            <w:gridSpan w:val="6"/>
          </w:tcPr>
          <w:p w14:paraId="753FEC9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248</w:t>
            </w:r>
          </w:p>
        </w:tc>
      </w:tr>
      <w:tr w:rsidR="00C943A7" w:rsidRPr="007669E1" w14:paraId="7B84C46B" w14:textId="77777777" w:rsidTr="00FB2DAB">
        <w:trPr>
          <w:trHeight w:val="182"/>
        </w:trPr>
        <w:tc>
          <w:tcPr>
            <w:tcW w:w="2425" w:type="dxa"/>
            <w:vMerge w:val="restart"/>
          </w:tcPr>
          <w:p w14:paraId="6F8A2D73"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Implementation Objectives, and History</w:t>
            </w:r>
          </w:p>
        </w:tc>
        <w:tc>
          <w:tcPr>
            <w:tcW w:w="7200" w:type="dxa"/>
            <w:gridSpan w:val="6"/>
          </w:tcPr>
          <w:p w14:paraId="22FE8E5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production of medicines in Moldova.</w:t>
            </w:r>
          </w:p>
          <w:p w14:paraId="1AA65E8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EFEA6B8" w14:textId="77777777" w:rsidTr="00FB2DAB">
        <w:trPr>
          <w:trHeight w:val="182"/>
        </w:trPr>
        <w:tc>
          <w:tcPr>
            <w:tcW w:w="2425" w:type="dxa"/>
            <w:vMerge/>
          </w:tcPr>
          <w:p w14:paraId="2F702E3D" w14:textId="77777777" w:rsidR="00686B7E" w:rsidRPr="00202E63" w:rsidRDefault="00686B7E" w:rsidP="00E90BA7">
            <w:pPr>
              <w:spacing w:before="20" w:after="20" w:line="240" w:lineRule="auto"/>
              <w:jc w:val="both"/>
              <w:rPr>
                <w:rFonts w:ascii="Segoe UI" w:hAnsi="Segoe UI" w:cs="Segoe UI"/>
                <w:b/>
                <w:bCs/>
                <w:sz w:val="18"/>
                <w:szCs w:val="18"/>
              </w:rPr>
            </w:pPr>
          </w:p>
        </w:tc>
        <w:tc>
          <w:tcPr>
            <w:tcW w:w="3462" w:type="dxa"/>
            <w:gridSpan w:val="3"/>
          </w:tcPr>
          <w:p w14:paraId="7DAAAD4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year:2023</w:t>
            </w:r>
          </w:p>
        </w:tc>
        <w:tc>
          <w:tcPr>
            <w:tcW w:w="3738" w:type="dxa"/>
            <w:gridSpan w:val="3"/>
          </w:tcPr>
          <w:p w14:paraId="17C5815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4A1136C" w14:textId="77777777" w:rsidTr="00FB2DAB">
        <w:tc>
          <w:tcPr>
            <w:tcW w:w="2425" w:type="dxa"/>
          </w:tcPr>
          <w:p w14:paraId="5A4E8D5A"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lastRenderedPageBreak/>
              <w:t>Source of Data</w:t>
            </w:r>
          </w:p>
        </w:tc>
        <w:tc>
          <w:tcPr>
            <w:tcW w:w="7200" w:type="dxa"/>
            <w:gridSpan w:val="6"/>
          </w:tcPr>
          <w:p w14:paraId="12918B7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1A00E7F" w14:textId="77777777" w:rsidTr="00FB2DAB">
        <w:tc>
          <w:tcPr>
            <w:tcW w:w="2425" w:type="dxa"/>
          </w:tcPr>
          <w:p w14:paraId="62730E58"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Estimation Method</w:t>
            </w:r>
          </w:p>
        </w:tc>
        <w:tc>
          <w:tcPr>
            <w:tcW w:w="7200" w:type="dxa"/>
            <w:gridSpan w:val="6"/>
          </w:tcPr>
          <w:p w14:paraId="72FA266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E8B777D" w14:textId="77777777" w:rsidTr="00FB2DAB">
        <w:tc>
          <w:tcPr>
            <w:tcW w:w="2425" w:type="dxa"/>
          </w:tcPr>
          <w:p w14:paraId="7458BFED"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Number of Beneficiaries</w:t>
            </w:r>
          </w:p>
        </w:tc>
        <w:tc>
          <w:tcPr>
            <w:tcW w:w="7200" w:type="dxa"/>
            <w:gridSpan w:val="6"/>
          </w:tcPr>
          <w:p w14:paraId="0BC7E43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0DDE0A8" w14:textId="77777777" w:rsidTr="00FB2DAB">
        <w:tc>
          <w:tcPr>
            <w:tcW w:w="2425" w:type="dxa"/>
          </w:tcPr>
          <w:p w14:paraId="1773B7E6"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Revenue Cost Reporting</w:t>
            </w:r>
          </w:p>
        </w:tc>
        <w:tc>
          <w:tcPr>
            <w:tcW w:w="7200" w:type="dxa"/>
            <w:gridSpan w:val="6"/>
          </w:tcPr>
          <w:p w14:paraId="4D62C2F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578E5B7" w14:textId="77777777" w:rsidTr="00FB2DAB">
        <w:trPr>
          <w:trHeight w:val="91"/>
        </w:trPr>
        <w:tc>
          <w:tcPr>
            <w:tcW w:w="2425" w:type="dxa"/>
            <w:vMerge w:val="restart"/>
          </w:tcPr>
          <w:p w14:paraId="3B007AF4"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C79A807"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2018</w:t>
            </w:r>
          </w:p>
        </w:tc>
        <w:tc>
          <w:tcPr>
            <w:tcW w:w="1385" w:type="dxa"/>
          </w:tcPr>
          <w:p w14:paraId="022FCFAA"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2019</w:t>
            </w:r>
          </w:p>
        </w:tc>
        <w:tc>
          <w:tcPr>
            <w:tcW w:w="1385" w:type="dxa"/>
            <w:gridSpan w:val="2"/>
          </w:tcPr>
          <w:p w14:paraId="7F3E6C4B"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2020</w:t>
            </w:r>
          </w:p>
        </w:tc>
        <w:tc>
          <w:tcPr>
            <w:tcW w:w="1385" w:type="dxa"/>
          </w:tcPr>
          <w:p w14:paraId="18CD7AA7"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2021</w:t>
            </w:r>
          </w:p>
        </w:tc>
        <w:tc>
          <w:tcPr>
            <w:tcW w:w="1660" w:type="dxa"/>
          </w:tcPr>
          <w:p w14:paraId="1DE71763"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2022</w:t>
            </w:r>
          </w:p>
        </w:tc>
      </w:tr>
      <w:tr w:rsidR="00775F01" w:rsidRPr="007669E1" w14:paraId="28E4455F" w14:textId="77777777" w:rsidTr="00FB2DAB">
        <w:trPr>
          <w:trHeight w:val="305"/>
        </w:trPr>
        <w:tc>
          <w:tcPr>
            <w:tcW w:w="2425" w:type="dxa"/>
            <w:vMerge/>
          </w:tcPr>
          <w:p w14:paraId="4A117286"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A635EBE" w14:textId="440FCE5D"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71364D40" w14:textId="2D6C924A"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B3E9339" w14:textId="3934E5D1"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AA2DF07" w14:textId="3D6160F6"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552E9E9" w14:textId="5BD195A2"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8460A0D"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202E63" w14:paraId="2091294A" w14:textId="77777777" w:rsidTr="00FB2DAB">
        <w:tc>
          <w:tcPr>
            <w:tcW w:w="9625" w:type="dxa"/>
            <w:gridSpan w:val="7"/>
            <w:shd w:val="clear" w:color="auto" w:fill="D9D9D9" w:themeFill="background1" w:themeFillShade="D9"/>
          </w:tcPr>
          <w:p w14:paraId="11FC8BF0"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43. Exemption from VAT for certain medical products and instruments</w:t>
            </w:r>
          </w:p>
        </w:tc>
      </w:tr>
      <w:tr w:rsidR="00C943A7" w:rsidRPr="007669E1" w14:paraId="20304AE9" w14:textId="77777777" w:rsidTr="00FB2DAB">
        <w:tc>
          <w:tcPr>
            <w:tcW w:w="2425" w:type="dxa"/>
          </w:tcPr>
          <w:p w14:paraId="7BE9D113"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Description</w:t>
            </w:r>
          </w:p>
        </w:tc>
        <w:tc>
          <w:tcPr>
            <w:tcW w:w="7200" w:type="dxa"/>
            <w:gridSpan w:val="6"/>
          </w:tcPr>
          <w:p w14:paraId="5406B3E5"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VAT is not charged on imports by accredited institutions and laboratories of human blood and its derivatives and reagents used to determine blood groups and tissue types to be used for non-commercial medical or scientific purposes.</w:t>
            </w:r>
          </w:p>
        </w:tc>
      </w:tr>
      <w:tr w:rsidR="00C943A7" w:rsidRPr="007669E1" w14:paraId="01C47927" w14:textId="77777777" w:rsidTr="00FB2DAB">
        <w:tc>
          <w:tcPr>
            <w:tcW w:w="2425" w:type="dxa"/>
          </w:tcPr>
          <w:p w14:paraId="77B683A4"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Type of Tax Affected</w:t>
            </w:r>
          </w:p>
        </w:tc>
        <w:tc>
          <w:tcPr>
            <w:tcW w:w="7200" w:type="dxa"/>
            <w:gridSpan w:val="6"/>
          </w:tcPr>
          <w:p w14:paraId="2FE510D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798C0582" w14:textId="77777777" w:rsidTr="00FB2DAB">
        <w:tc>
          <w:tcPr>
            <w:tcW w:w="2425" w:type="dxa"/>
          </w:tcPr>
          <w:p w14:paraId="69688D9B"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Beneficiaries</w:t>
            </w:r>
          </w:p>
        </w:tc>
        <w:tc>
          <w:tcPr>
            <w:tcW w:w="7200" w:type="dxa"/>
            <w:gridSpan w:val="6"/>
          </w:tcPr>
          <w:p w14:paraId="6B0D553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Accredited institutions and laboratories</w:t>
            </w:r>
          </w:p>
        </w:tc>
      </w:tr>
      <w:tr w:rsidR="00C943A7" w:rsidRPr="007669E1" w14:paraId="56A2E895" w14:textId="77777777" w:rsidTr="00FB2DAB">
        <w:tc>
          <w:tcPr>
            <w:tcW w:w="2425" w:type="dxa"/>
          </w:tcPr>
          <w:p w14:paraId="0BBC5247"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Type of Measure</w:t>
            </w:r>
          </w:p>
        </w:tc>
        <w:tc>
          <w:tcPr>
            <w:tcW w:w="7200" w:type="dxa"/>
            <w:gridSpan w:val="6"/>
          </w:tcPr>
          <w:p w14:paraId="52AD1F9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95CB8E9" w14:textId="77777777" w:rsidTr="00FB2DAB">
        <w:tc>
          <w:tcPr>
            <w:tcW w:w="2425" w:type="dxa"/>
          </w:tcPr>
          <w:p w14:paraId="42C18375"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Reason why this Measure is not part of the Benchmark Tax System</w:t>
            </w:r>
          </w:p>
        </w:tc>
        <w:tc>
          <w:tcPr>
            <w:tcW w:w="7200" w:type="dxa"/>
            <w:gridSpan w:val="6"/>
          </w:tcPr>
          <w:p w14:paraId="14DCE57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4B8F56D5" w14:textId="77777777" w:rsidTr="00FB2DAB">
        <w:tc>
          <w:tcPr>
            <w:tcW w:w="2425" w:type="dxa"/>
          </w:tcPr>
          <w:p w14:paraId="752EADF0"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Legal Reference</w:t>
            </w:r>
          </w:p>
        </w:tc>
        <w:tc>
          <w:tcPr>
            <w:tcW w:w="7200" w:type="dxa"/>
            <w:gridSpan w:val="6"/>
          </w:tcPr>
          <w:p w14:paraId="1AD3D49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243 to 247</w:t>
            </w:r>
          </w:p>
        </w:tc>
      </w:tr>
      <w:tr w:rsidR="00C943A7" w:rsidRPr="007669E1" w14:paraId="2574CBB7" w14:textId="77777777" w:rsidTr="00FB2DAB">
        <w:trPr>
          <w:trHeight w:val="182"/>
        </w:trPr>
        <w:tc>
          <w:tcPr>
            <w:tcW w:w="2425" w:type="dxa"/>
            <w:vMerge w:val="restart"/>
          </w:tcPr>
          <w:p w14:paraId="55030923"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Implementation Objectives, and History</w:t>
            </w:r>
          </w:p>
        </w:tc>
        <w:tc>
          <w:tcPr>
            <w:tcW w:w="7200" w:type="dxa"/>
            <w:gridSpan w:val="6"/>
          </w:tcPr>
          <w:p w14:paraId="708262C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medical and scientific research.</w:t>
            </w:r>
          </w:p>
          <w:p w14:paraId="5515193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7F0415EC" w14:textId="77777777" w:rsidTr="00FB2DAB">
        <w:trPr>
          <w:trHeight w:val="182"/>
        </w:trPr>
        <w:tc>
          <w:tcPr>
            <w:tcW w:w="2425" w:type="dxa"/>
            <w:vMerge/>
          </w:tcPr>
          <w:p w14:paraId="0CB7ED92" w14:textId="77777777" w:rsidR="00686B7E" w:rsidRPr="00202E63" w:rsidRDefault="00686B7E" w:rsidP="00E90BA7">
            <w:pPr>
              <w:spacing w:before="20" w:after="20" w:line="240" w:lineRule="auto"/>
              <w:jc w:val="both"/>
              <w:rPr>
                <w:rFonts w:ascii="Segoe UI" w:hAnsi="Segoe UI" w:cs="Segoe UI"/>
                <w:b/>
                <w:bCs/>
                <w:sz w:val="18"/>
                <w:szCs w:val="18"/>
              </w:rPr>
            </w:pPr>
          </w:p>
        </w:tc>
        <w:tc>
          <w:tcPr>
            <w:tcW w:w="3462" w:type="dxa"/>
            <w:gridSpan w:val="3"/>
          </w:tcPr>
          <w:p w14:paraId="0721B57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33B24E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10BFC09" w14:textId="77777777" w:rsidTr="00FB2DAB">
        <w:tc>
          <w:tcPr>
            <w:tcW w:w="2425" w:type="dxa"/>
          </w:tcPr>
          <w:p w14:paraId="5AC9F4AC"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Source of Data</w:t>
            </w:r>
          </w:p>
        </w:tc>
        <w:tc>
          <w:tcPr>
            <w:tcW w:w="7200" w:type="dxa"/>
            <w:gridSpan w:val="6"/>
          </w:tcPr>
          <w:p w14:paraId="10BC40B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73D19BF" w14:textId="77777777" w:rsidTr="00FB2DAB">
        <w:tc>
          <w:tcPr>
            <w:tcW w:w="2425" w:type="dxa"/>
          </w:tcPr>
          <w:p w14:paraId="63D09E4A"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Estimation Method</w:t>
            </w:r>
          </w:p>
        </w:tc>
        <w:tc>
          <w:tcPr>
            <w:tcW w:w="7200" w:type="dxa"/>
            <w:gridSpan w:val="6"/>
          </w:tcPr>
          <w:p w14:paraId="55555F7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406F8E8" w14:textId="77777777" w:rsidTr="00FB2DAB">
        <w:tc>
          <w:tcPr>
            <w:tcW w:w="2425" w:type="dxa"/>
          </w:tcPr>
          <w:p w14:paraId="0E119E57"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Number of Beneficiaries</w:t>
            </w:r>
          </w:p>
        </w:tc>
        <w:tc>
          <w:tcPr>
            <w:tcW w:w="7200" w:type="dxa"/>
            <w:gridSpan w:val="6"/>
          </w:tcPr>
          <w:p w14:paraId="54F41CF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B5D6995" w14:textId="77777777" w:rsidTr="00FB2DAB">
        <w:tc>
          <w:tcPr>
            <w:tcW w:w="2425" w:type="dxa"/>
          </w:tcPr>
          <w:p w14:paraId="0A87AE55" w14:textId="77777777" w:rsidR="00686B7E" w:rsidRPr="00202E63" w:rsidRDefault="00686B7E" w:rsidP="00E90BA7">
            <w:pPr>
              <w:spacing w:before="20" w:after="20" w:line="240" w:lineRule="auto"/>
              <w:jc w:val="both"/>
              <w:rPr>
                <w:rFonts w:ascii="Segoe UI" w:hAnsi="Segoe UI" w:cs="Segoe UI"/>
                <w:b/>
                <w:bCs/>
                <w:sz w:val="18"/>
                <w:szCs w:val="18"/>
              </w:rPr>
            </w:pPr>
            <w:r w:rsidRPr="00202E63">
              <w:rPr>
                <w:rFonts w:ascii="Segoe UI" w:hAnsi="Segoe UI" w:cs="Segoe UI"/>
                <w:b/>
                <w:bCs/>
                <w:sz w:val="18"/>
                <w:szCs w:val="18"/>
              </w:rPr>
              <w:t>Revenue Cost Reporting</w:t>
            </w:r>
          </w:p>
        </w:tc>
        <w:tc>
          <w:tcPr>
            <w:tcW w:w="7200" w:type="dxa"/>
            <w:gridSpan w:val="6"/>
          </w:tcPr>
          <w:p w14:paraId="1237A26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6CE985F" w14:textId="77777777" w:rsidTr="00FB2DAB">
        <w:trPr>
          <w:trHeight w:val="91"/>
        </w:trPr>
        <w:tc>
          <w:tcPr>
            <w:tcW w:w="2425" w:type="dxa"/>
            <w:vMerge w:val="restart"/>
          </w:tcPr>
          <w:p w14:paraId="49A86D1E"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5D6EF8A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05452570"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48B9F13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20676EF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3B181AF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2556092E" w14:textId="77777777" w:rsidTr="00FB2DAB">
        <w:trPr>
          <w:trHeight w:val="305"/>
        </w:trPr>
        <w:tc>
          <w:tcPr>
            <w:tcW w:w="2425" w:type="dxa"/>
            <w:vMerge/>
          </w:tcPr>
          <w:p w14:paraId="5EB841E9"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5DC579D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7BDFD9A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5AF11B3"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846D512"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068F39A"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70AADFF5"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5845F597" w14:textId="77777777" w:rsidTr="00FB2DAB">
        <w:tc>
          <w:tcPr>
            <w:tcW w:w="9625" w:type="dxa"/>
            <w:gridSpan w:val="7"/>
            <w:shd w:val="clear" w:color="auto" w:fill="D9D9D9" w:themeFill="background1" w:themeFillShade="D9"/>
          </w:tcPr>
          <w:p w14:paraId="665EA75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44. Exemption from VAT for educational, scientific and cultural materials</w:t>
            </w:r>
          </w:p>
        </w:tc>
      </w:tr>
      <w:tr w:rsidR="00C943A7" w:rsidRPr="007669E1" w14:paraId="26ADF62F" w14:textId="77777777" w:rsidTr="00FB2DAB">
        <w:tc>
          <w:tcPr>
            <w:tcW w:w="2425" w:type="dxa"/>
          </w:tcPr>
          <w:p w14:paraId="0EEB84E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7C56BD6D"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Educational and scientific materials (such as scientific instruments and devices, laboratory animals, biological and chemical substances) imported for non-commercial purposes by public and private educational and research institutions are exempt from VAT.</w:t>
            </w:r>
          </w:p>
        </w:tc>
      </w:tr>
      <w:tr w:rsidR="00C943A7" w:rsidRPr="007669E1" w14:paraId="2A525670" w14:textId="77777777" w:rsidTr="00FB2DAB">
        <w:tc>
          <w:tcPr>
            <w:tcW w:w="2425" w:type="dxa"/>
          </w:tcPr>
          <w:p w14:paraId="7ACA3F0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3BE0636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4A9EC8E8" w14:textId="77777777" w:rsidTr="00FB2DAB">
        <w:tc>
          <w:tcPr>
            <w:tcW w:w="2425" w:type="dxa"/>
          </w:tcPr>
          <w:p w14:paraId="33CACF5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06822A5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Educational, scientific and cultural institutions</w:t>
            </w:r>
          </w:p>
        </w:tc>
      </w:tr>
      <w:tr w:rsidR="00C943A7" w:rsidRPr="007669E1" w14:paraId="6C591C68" w14:textId="77777777" w:rsidTr="00FB2DAB">
        <w:tc>
          <w:tcPr>
            <w:tcW w:w="2425" w:type="dxa"/>
          </w:tcPr>
          <w:p w14:paraId="488E57C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17CB466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AE951A0" w14:textId="77777777" w:rsidTr="00FB2DAB">
        <w:tc>
          <w:tcPr>
            <w:tcW w:w="2425" w:type="dxa"/>
          </w:tcPr>
          <w:p w14:paraId="31A3C20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7258921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0EA6B224" w14:textId="77777777" w:rsidTr="00FB2DAB">
        <w:tc>
          <w:tcPr>
            <w:tcW w:w="2425" w:type="dxa"/>
          </w:tcPr>
          <w:p w14:paraId="73ED35D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6E38A88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233 to 242</w:t>
            </w:r>
          </w:p>
        </w:tc>
      </w:tr>
      <w:tr w:rsidR="00C943A7" w:rsidRPr="007669E1" w14:paraId="3FA8F873" w14:textId="77777777" w:rsidTr="00FB2DAB">
        <w:trPr>
          <w:trHeight w:val="182"/>
        </w:trPr>
        <w:tc>
          <w:tcPr>
            <w:tcW w:w="2425" w:type="dxa"/>
            <w:vMerge w:val="restart"/>
          </w:tcPr>
          <w:p w14:paraId="2C0CDA3C"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041CEA6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education, scientific research and culture.</w:t>
            </w:r>
          </w:p>
          <w:p w14:paraId="6458D9D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135F68C2" w14:textId="77777777" w:rsidTr="00FB2DAB">
        <w:trPr>
          <w:trHeight w:val="182"/>
        </w:trPr>
        <w:tc>
          <w:tcPr>
            <w:tcW w:w="2425" w:type="dxa"/>
            <w:vMerge/>
          </w:tcPr>
          <w:p w14:paraId="50501F3B"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2CCAF0E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008898E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5F6FB21" w14:textId="77777777" w:rsidTr="00FB2DAB">
        <w:tc>
          <w:tcPr>
            <w:tcW w:w="2425" w:type="dxa"/>
          </w:tcPr>
          <w:p w14:paraId="4E4297D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6BC815B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D98EA75" w14:textId="77777777" w:rsidTr="00FB2DAB">
        <w:tc>
          <w:tcPr>
            <w:tcW w:w="2425" w:type="dxa"/>
          </w:tcPr>
          <w:p w14:paraId="1F0D0A6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52554DD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E630F2E" w14:textId="77777777" w:rsidTr="00FB2DAB">
        <w:tc>
          <w:tcPr>
            <w:tcW w:w="2425" w:type="dxa"/>
          </w:tcPr>
          <w:p w14:paraId="5E6755C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3D53AEB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F15C69F" w14:textId="77777777" w:rsidTr="00FB2DAB">
        <w:tc>
          <w:tcPr>
            <w:tcW w:w="2425" w:type="dxa"/>
          </w:tcPr>
          <w:p w14:paraId="494A29F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3D396CF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EDB9283" w14:textId="77777777" w:rsidTr="00FB2DAB">
        <w:trPr>
          <w:trHeight w:val="91"/>
        </w:trPr>
        <w:tc>
          <w:tcPr>
            <w:tcW w:w="2425" w:type="dxa"/>
            <w:vMerge w:val="restart"/>
          </w:tcPr>
          <w:p w14:paraId="6171B6DF"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281858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1DECFAF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27659F6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00A187B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4FE13C8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7005F849" w14:textId="77777777" w:rsidTr="00FB2DAB">
        <w:trPr>
          <w:trHeight w:val="305"/>
        </w:trPr>
        <w:tc>
          <w:tcPr>
            <w:tcW w:w="2425" w:type="dxa"/>
            <w:vMerge/>
          </w:tcPr>
          <w:p w14:paraId="18906284"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76201AE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48B4C53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9FDC855"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77FB556B"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0008E356"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30130281"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027A8E69" w14:textId="77777777" w:rsidTr="00FB2DAB">
        <w:tc>
          <w:tcPr>
            <w:tcW w:w="9625" w:type="dxa"/>
            <w:gridSpan w:val="7"/>
            <w:shd w:val="clear" w:color="auto" w:fill="D9D9D9" w:themeFill="background1" w:themeFillShade="D9"/>
          </w:tcPr>
          <w:p w14:paraId="6453EB6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45. Exemption from VAT for goods imported for examination, analysis or testing</w:t>
            </w:r>
          </w:p>
        </w:tc>
      </w:tr>
      <w:tr w:rsidR="00C943A7" w:rsidRPr="007669E1" w14:paraId="0A9415F1" w14:textId="77777777" w:rsidTr="00FB2DAB">
        <w:tc>
          <w:tcPr>
            <w:tcW w:w="2425" w:type="dxa"/>
          </w:tcPr>
          <w:p w14:paraId="32B60A4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0CB4AE6C"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to be subjected to examination, analysis or testing to determine their composition, quality or other technical characteristics for the purpose of information or industrial or commercial research and outside of sales promotion operations are exempt from VAT.</w:t>
            </w:r>
          </w:p>
        </w:tc>
      </w:tr>
      <w:tr w:rsidR="00C943A7" w:rsidRPr="007669E1" w14:paraId="2A5A4FA7" w14:textId="77777777" w:rsidTr="00FB2DAB">
        <w:tc>
          <w:tcPr>
            <w:tcW w:w="2425" w:type="dxa"/>
          </w:tcPr>
          <w:p w14:paraId="6E1A749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07F703D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CEB8C4E" w14:textId="77777777" w:rsidTr="00FB2DAB">
        <w:tc>
          <w:tcPr>
            <w:tcW w:w="2425" w:type="dxa"/>
          </w:tcPr>
          <w:p w14:paraId="65AE94A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7588D1F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conducting industrial or commercial research</w:t>
            </w:r>
          </w:p>
        </w:tc>
      </w:tr>
      <w:tr w:rsidR="00C943A7" w:rsidRPr="007669E1" w14:paraId="36A7E7F4" w14:textId="77777777" w:rsidTr="00FB2DAB">
        <w:tc>
          <w:tcPr>
            <w:tcW w:w="2425" w:type="dxa"/>
          </w:tcPr>
          <w:p w14:paraId="1372602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25E0A85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0EEB027" w14:textId="77777777" w:rsidTr="00FB2DAB">
        <w:tc>
          <w:tcPr>
            <w:tcW w:w="2425" w:type="dxa"/>
          </w:tcPr>
          <w:p w14:paraId="627A524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09B286E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0AD02EE7" w14:textId="77777777" w:rsidTr="00FB2DAB">
        <w:tc>
          <w:tcPr>
            <w:tcW w:w="2425" w:type="dxa"/>
          </w:tcPr>
          <w:p w14:paraId="7FE8864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1674684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260 to 266</w:t>
            </w:r>
          </w:p>
        </w:tc>
      </w:tr>
      <w:tr w:rsidR="00C943A7" w:rsidRPr="007669E1" w14:paraId="0C3BA12B" w14:textId="77777777" w:rsidTr="00FB2DAB">
        <w:trPr>
          <w:trHeight w:val="182"/>
        </w:trPr>
        <w:tc>
          <w:tcPr>
            <w:tcW w:w="2425" w:type="dxa"/>
            <w:vMerge w:val="restart"/>
          </w:tcPr>
          <w:p w14:paraId="6FA40A9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033819C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industrial and commercial research.</w:t>
            </w:r>
          </w:p>
          <w:p w14:paraId="1A42B58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8B9708A" w14:textId="77777777" w:rsidTr="00FB2DAB">
        <w:trPr>
          <w:trHeight w:val="182"/>
        </w:trPr>
        <w:tc>
          <w:tcPr>
            <w:tcW w:w="2425" w:type="dxa"/>
            <w:vMerge/>
          </w:tcPr>
          <w:p w14:paraId="66A2A8EA"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0936FEF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DE0EB8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8C67ABE" w14:textId="77777777" w:rsidTr="00FB2DAB">
        <w:tc>
          <w:tcPr>
            <w:tcW w:w="2425" w:type="dxa"/>
          </w:tcPr>
          <w:p w14:paraId="5D1F42A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134E2AA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5BB0225" w14:textId="77777777" w:rsidTr="00FB2DAB">
        <w:tc>
          <w:tcPr>
            <w:tcW w:w="2425" w:type="dxa"/>
          </w:tcPr>
          <w:p w14:paraId="315FA87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3DCE7DC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E5C6D1D" w14:textId="77777777" w:rsidTr="00FB2DAB">
        <w:tc>
          <w:tcPr>
            <w:tcW w:w="2425" w:type="dxa"/>
          </w:tcPr>
          <w:p w14:paraId="624E25A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6B0733D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018D57E" w14:textId="77777777" w:rsidTr="00FB2DAB">
        <w:tc>
          <w:tcPr>
            <w:tcW w:w="2425" w:type="dxa"/>
          </w:tcPr>
          <w:p w14:paraId="0AD2B96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511F129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5235A59" w14:textId="77777777" w:rsidTr="00FB2DAB">
        <w:trPr>
          <w:trHeight w:val="91"/>
        </w:trPr>
        <w:tc>
          <w:tcPr>
            <w:tcW w:w="2425" w:type="dxa"/>
            <w:vMerge w:val="restart"/>
          </w:tcPr>
          <w:p w14:paraId="43C303D0"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2B760F8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6B3E035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4512BF8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7B4B5EC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15811C3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2F0ABF3E" w14:textId="77777777" w:rsidTr="00FB2DAB">
        <w:trPr>
          <w:trHeight w:val="305"/>
        </w:trPr>
        <w:tc>
          <w:tcPr>
            <w:tcW w:w="2425" w:type="dxa"/>
            <w:vMerge/>
          </w:tcPr>
          <w:p w14:paraId="084DB3F2"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27FCF37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2E1466E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FBBB95A"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FC295F3"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26FF6678"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4A578976"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329412D5" w14:textId="77777777" w:rsidTr="00FB2DAB">
        <w:tc>
          <w:tcPr>
            <w:tcW w:w="9625" w:type="dxa"/>
            <w:gridSpan w:val="7"/>
            <w:shd w:val="clear" w:color="auto" w:fill="D9D9D9" w:themeFill="background1" w:themeFillShade="D9"/>
          </w:tcPr>
          <w:p w14:paraId="1B4148D7"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46. Exemption from VAT for pharmaceutical products used at international sporting events</w:t>
            </w:r>
          </w:p>
        </w:tc>
      </w:tr>
      <w:tr w:rsidR="00C943A7" w:rsidRPr="007669E1" w14:paraId="0131E390" w14:textId="77777777" w:rsidTr="00FB2DAB">
        <w:tc>
          <w:tcPr>
            <w:tcW w:w="2425" w:type="dxa"/>
          </w:tcPr>
          <w:p w14:paraId="75A34E17"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14F7CAF5"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Pharmaceutical products intended to be used by people or animals coming from foreign countries to participate in international sporting events organized in Moldova are exempt from VAT.</w:t>
            </w:r>
          </w:p>
        </w:tc>
      </w:tr>
      <w:tr w:rsidR="00C943A7" w:rsidRPr="007669E1" w14:paraId="0917DC12" w14:textId="77777777" w:rsidTr="00FB2DAB">
        <w:tc>
          <w:tcPr>
            <w:tcW w:w="2425" w:type="dxa"/>
          </w:tcPr>
          <w:p w14:paraId="71F3B48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2D614EC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3E6AF56" w14:textId="77777777" w:rsidTr="00FB2DAB">
        <w:tc>
          <w:tcPr>
            <w:tcW w:w="2425" w:type="dxa"/>
          </w:tcPr>
          <w:p w14:paraId="736265B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20E5331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athletes competing in Moldova</w:t>
            </w:r>
          </w:p>
        </w:tc>
      </w:tr>
      <w:tr w:rsidR="00C943A7" w:rsidRPr="007669E1" w14:paraId="0AAFDF4F" w14:textId="77777777" w:rsidTr="00FB2DAB">
        <w:tc>
          <w:tcPr>
            <w:tcW w:w="2425" w:type="dxa"/>
          </w:tcPr>
          <w:p w14:paraId="13E13AE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429C8BE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5FC8DEC" w14:textId="77777777" w:rsidTr="00FB2DAB">
        <w:tc>
          <w:tcPr>
            <w:tcW w:w="2425" w:type="dxa"/>
          </w:tcPr>
          <w:p w14:paraId="18168AA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33D10D6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7DF090A9" w14:textId="77777777" w:rsidTr="00FB2DAB">
        <w:tc>
          <w:tcPr>
            <w:tcW w:w="2425" w:type="dxa"/>
          </w:tcPr>
          <w:p w14:paraId="74DD7E9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704E110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249</w:t>
            </w:r>
          </w:p>
        </w:tc>
      </w:tr>
      <w:tr w:rsidR="00C943A7" w:rsidRPr="007669E1" w14:paraId="1271EAC3" w14:textId="77777777" w:rsidTr="00FB2DAB">
        <w:trPr>
          <w:trHeight w:val="182"/>
        </w:trPr>
        <w:tc>
          <w:tcPr>
            <w:tcW w:w="2425" w:type="dxa"/>
            <w:vMerge w:val="restart"/>
          </w:tcPr>
          <w:p w14:paraId="10EA901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11A797F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organization of international sporting events in Moldova.</w:t>
            </w:r>
          </w:p>
          <w:p w14:paraId="657D494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3254F01B" w14:textId="77777777" w:rsidTr="00FB2DAB">
        <w:trPr>
          <w:trHeight w:val="182"/>
        </w:trPr>
        <w:tc>
          <w:tcPr>
            <w:tcW w:w="2425" w:type="dxa"/>
            <w:vMerge/>
          </w:tcPr>
          <w:p w14:paraId="374801DF"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607CA95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29796CF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BB8068B" w14:textId="77777777" w:rsidTr="00FB2DAB">
        <w:tc>
          <w:tcPr>
            <w:tcW w:w="2425" w:type="dxa"/>
          </w:tcPr>
          <w:p w14:paraId="7F8C092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3A47489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75C9282" w14:textId="77777777" w:rsidTr="00FB2DAB">
        <w:tc>
          <w:tcPr>
            <w:tcW w:w="2425" w:type="dxa"/>
          </w:tcPr>
          <w:p w14:paraId="3DDFE5D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5181B07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E9C299D" w14:textId="77777777" w:rsidTr="00FB2DAB">
        <w:tc>
          <w:tcPr>
            <w:tcW w:w="2425" w:type="dxa"/>
          </w:tcPr>
          <w:p w14:paraId="356D830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4548A2D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A59BE34" w14:textId="77777777" w:rsidTr="00FB2DAB">
        <w:tc>
          <w:tcPr>
            <w:tcW w:w="2425" w:type="dxa"/>
          </w:tcPr>
          <w:p w14:paraId="17F52A27"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335EE3E6" w14:textId="77777777" w:rsidR="00686B7E" w:rsidRPr="007669E1" w:rsidRDefault="00686B7E"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750EB25" w14:textId="77777777" w:rsidTr="00FB2DAB">
        <w:trPr>
          <w:trHeight w:val="91"/>
        </w:trPr>
        <w:tc>
          <w:tcPr>
            <w:tcW w:w="2425" w:type="dxa"/>
            <w:vMerge w:val="restart"/>
          </w:tcPr>
          <w:p w14:paraId="3FE2ADF4" w14:textId="77777777" w:rsidR="00686B7E" w:rsidRPr="007669E1" w:rsidRDefault="00686B7E" w:rsidP="00E90BA7">
            <w:pPr>
              <w:keepNext/>
              <w:keepLines/>
              <w:spacing w:before="20" w:after="20" w:line="240" w:lineRule="auto"/>
              <w:jc w:val="both"/>
              <w:rPr>
                <w:rFonts w:ascii="Segoe UI" w:hAnsi="Segoe UI" w:cs="Segoe UI"/>
                <w:sz w:val="18"/>
                <w:szCs w:val="18"/>
              </w:rPr>
            </w:pPr>
          </w:p>
        </w:tc>
        <w:tc>
          <w:tcPr>
            <w:tcW w:w="1385" w:type="dxa"/>
          </w:tcPr>
          <w:p w14:paraId="7638340B"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653171FF"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34EF21F9"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54F71B3B"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26DC951B"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46A55DE4" w14:textId="77777777" w:rsidTr="00FB2DAB">
        <w:trPr>
          <w:trHeight w:val="305"/>
        </w:trPr>
        <w:tc>
          <w:tcPr>
            <w:tcW w:w="2425" w:type="dxa"/>
            <w:vMerge/>
          </w:tcPr>
          <w:p w14:paraId="7659EF70" w14:textId="77777777" w:rsidR="00686B7E" w:rsidRPr="007669E1" w:rsidRDefault="00686B7E" w:rsidP="00E90BA7">
            <w:pPr>
              <w:keepNext/>
              <w:keepLines/>
              <w:spacing w:before="20" w:after="20" w:line="240" w:lineRule="auto"/>
              <w:jc w:val="both"/>
              <w:rPr>
                <w:rFonts w:ascii="Segoe UI" w:hAnsi="Segoe UI" w:cs="Segoe UI"/>
                <w:sz w:val="18"/>
                <w:szCs w:val="18"/>
              </w:rPr>
            </w:pPr>
          </w:p>
        </w:tc>
        <w:tc>
          <w:tcPr>
            <w:tcW w:w="1385" w:type="dxa"/>
          </w:tcPr>
          <w:p w14:paraId="73438569" w14:textId="77777777" w:rsidR="00686B7E" w:rsidRPr="007669E1" w:rsidRDefault="00686B7E"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0061F260" w14:textId="77777777" w:rsidR="00686B7E" w:rsidRPr="007669E1" w:rsidRDefault="00686B7E"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89C0FA3" w14:textId="77777777" w:rsidR="00686B7E" w:rsidRPr="007669E1" w:rsidRDefault="00686B7E" w:rsidP="00E90BA7">
            <w:pPr>
              <w:keepNext/>
              <w:keepLines/>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2610B3FD" w14:textId="77777777" w:rsidR="00686B7E" w:rsidRPr="007669E1" w:rsidRDefault="00686B7E" w:rsidP="00E90BA7">
            <w:pPr>
              <w:keepNext/>
              <w:keepLines/>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69D5B59E" w14:textId="77777777" w:rsidR="00686B7E" w:rsidRPr="007669E1" w:rsidRDefault="00686B7E" w:rsidP="00E90BA7">
            <w:pPr>
              <w:keepNext/>
              <w:keepLines/>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10FD875"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7744D763" w14:textId="77777777" w:rsidTr="00FB2DAB">
        <w:tc>
          <w:tcPr>
            <w:tcW w:w="9625" w:type="dxa"/>
            <w:gridSpan w:val="7"/>
            <w:shd w:val="clear" w:color="auto" w:fill="D9D9D9" w:themeFill="background1" w:themeFillShade="D9"/>
          </w:tcPr>
          <w:p w14:paraId="67EFD82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lastRenderedPageBreak/>
              <w:t>47. Exemption from VAT for goods intended for the State Agency for Intellectual Property</w:t>
            </w:r>
          </w:p>
        </w:tc>
      </w:tr>
      <w:tr w:rsidR="00C943A7" w:rsidRPr="007669E1" w14:paraId="72C692D7" w14:textId="77777777" w:rsidTr="00FB2DAB">
        <w:tc>
          <w:tcPr>
            <w:tcW w:w="2425" w:type="dxa"/>
          </w:tcPr>
          <w:p w14:paraId="2707F52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77542970"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Books, publications and documents, as well as audiovisual materials of an educational, scientific or cultural nature of the United Nations or any of its specialized institutions, intended for the State Agency for Intellectual Property, are exempt from VAT.</w:t>
            </w:r>
          </w:p>
        </w:tc>
      </w:tr>
      <w:tr w:rsidR="00C943A7" w:rsidRPr="007669E1" w14:paraId="04C75B83" w14:textId="77777777" w:rsidTr="00FB2DAB">
        <w:tc>
          <w:tcPr>
            <w:tcW w:w="2425" w:type="dxa"/>
          </w:tcPr>
          <w:p w14:paraId="46FC245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520AD62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5D21A8EF" w14:textId="77777777" w:rsidTr="00FB2DAB">
        <w:tc>
          <w:tcPr>
            <w:tcW w:w="2425" w:type="dxa"/>
          </w:tcPr>
          <w:p w14:paraId="6F0E57E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145006C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Agency for Intellectual Property</w:t>
            </w:r>
          </w:p>
        </w:tc>
      </w:tr>
      <w:tr w:rsidR="00C943A7" w:rsidRPr="007669E1" w14:paraId="4302BDF9" w14:textId="77777777" w:rsidTr="00FB2DAB">
        <w:tc>
          <w:tcPr>
            <w:tcW w:w="2425" w:type="dxa"/>
          </w:tcPr>
          <w:p w14:paraId="6F5AB71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062E8DC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BF1F012" w14:textId="77777777" w:rsidTr="00FB2DAB">
        <w:tc>
          <w:tcPr>
            <w:tcW w:w="2425" w:type="dxa"/>
          </w:tcPr>
          <w:p w14:paraId="5B3EE4C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16DA9E2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486C4791" w14:textId="77777777" w:rsidTr="00FB2DAB">
        <w:tc>
          <w:tcPr>
            <w:tcW w:w="2425" w:type="dxa"/>
          </w:tcPr>
          <w:p w14:paraId="6B93BB5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1D8668B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267</w:t>
            </w:r>
          </w:p>
        </w:tc>
      </w:tr>
      <w:tr w:rsidR="00C943A7" w:rsidRPr="007669E1" w14:paraId="25949B6E" w14:textId="77777777" w:rsidTr="00FB2DAB">
        <w:trPr>
          <w:trHeight w:val="182"/>
        </w:trPr>
        <w:tc>
          <w:tcPr>
            <w:tcW w:w="2425" w:type="dxa"/>
            <w:vMerge w:val="restart"/>
          </w:tcPr>
          <w:p w14:paraId="7D024EA7"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5C9059B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work of the State Agency for Intellectual Property.</w:t>
            </w:r>
          </w:p>
          <w:p w14:paraId="28CEEE3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C3B0672" w14:textId="77777777" w:rsidTr="00FB2DAB">
        <w:trPr>
          <w:trHeight w:val="182"/>
        </w:trPr>
        <w:tc>
          <w:tcPr>
            <w:tcW w:w="2425" w:type="dxa"/>
            <w:vMerge/>
          </w:tcPr>
          <w:p w14:paraId="511B8554"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27D6D47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7A190C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9E26F65" w14:textId="77777777" w:rsidTr="00FB2DAB">
        <w:tc>
          <w:tcPr>
            <w:tcW w:w="2425" w:type="dxa"/>
          </w:tcPr>
          <w:p w14:paraId="4F72FE1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098A4E1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16B0D1A" w14:textId="77777777" w:rsidTr="00FB2DAB">
        <w:tc>
          <w:tcPr>
            <w:tcW w:w="2425" w:type="dxa"/>
          </w:tcPr>
          <w:p w14:paraId="1ED8418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69565E4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9C29667" w14:textId="77777777" w:rsidTr="00FB2DAB">
        <w:tc>
          <w:tcPr>
            <w:tcW w:w="2425" w:type="dxa"/>
          </w:tcPr>
          <w:p w14:paraId="72E2735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746FA2B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7E4F687" w14:textId="77777777" w:rsidTr="00FB2DAB">
        <w:tc>
          <w:tcPr>
            <w:tcW w:w="2425" w:type="dxa"/>
          </w:tcPr>
          <w:p w14:paraId="3910EFB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59C93AE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D81DA34" w14:textId="77777777" w:rsidTr="00FB2DAB">
        <w:trPr>
          <w:trHeight w:val="91"/>
        </w:trPr>
        <w:tc>
          <w:tcPr>
            <w:tcW w:w="2425" w:type="dxa"/>
            <w:vMerge w:val="restart"/>
          </w:tcPr>
          <w:p w14:paraId="45D24746"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2F05250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736ADDF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65D1B40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38F3669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6CB3EC6C"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003F7170" w14:textId="77777777" w:rsidTr="00FB2DAB">
        <w:trPr>
          <w:trHeight w:val="305"/>
        </w:trPr>
        <w:tc>
          <w:tcPr>
            <w:tcW w:w="2425" w:type="dxa"/>
            <w:vMerge/>
          </w:tcPr>
          <w:p w14:paraId="099CD72F"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60F7D4D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EACB00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1EA6678"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7869E694"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1BFA591"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CEF8D49"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3FA20F39" w14:textId="77777777" w:rsidTr="00FB2DAB">
        <w:tc>
          <w:tcPr>
            <w:tcW w:w="9625" w:type="dxa"/>
            <w:gridSpan w:val="7"/>
            <w:shd w:val="clear" w:color="auto" w:fill="D9D9D9" w:themeFill="background1" w:themeFillShade="D9"/>
          </w:tcPr>
          <w:p w14:paraId="2D0BFAD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48. Exemption from VAT for tourist information materials</w:t>
            </w:r>
          </w:p>
        </w:tc>
      </w:tr>
      <w:tr w:rsidR="00C943A7" w:rsidRPr="007669E1" w14:paraId="7B994FAB" w14:textId="77777777" w:rsidTr="00FB2DAB">
        <w:tc>
          <w:tcPr>
            <w:tcW w:w="2425" w:type="dxa"/>
          </w:tcPr>
          <w:p w14:paraId="472EDBB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6BB0E049"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Materials (documentation, hotel directories, etc.) intended to be distributed free of charge with the main purpose of encouraging the public to visit foreign countries and participate in cultural, touristic meetings or events are exempt from VAT, provided that such materials do not contain more than 25% foreign private commercial advertising. Reference materials provided to accredited representatives or correspondents appointed by foreign travel agencies are also exempt from VAT.</w:t>
            </w:r>
          </w:p>
        </w:tc>
      </w:tr>
      <w:tr w:rsidR="00C943A7" w:rsidRPr="007669E1" w14:paraId="7BD43E22" w14:textId="77777777" w:rsidTr="00FB2DAB">
        <w:tc>
          <w:tcPr>
            <w:tcW w:w="2425" w:type="dxa"/>
          </w:tcPr>
          <w:p w14:paraId="43925CC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60FD989A"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3F66B24C" w14:textId="77777777" w:rsidTr="00FB2DAB">
        <w:tc>
          <w:tcPr>
            <w:tcW w:w="2425" w:type="dxa"/>
          </w:tcPr>
          <w:p w14:paraId="186097A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4CA70B3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tourism promoters</w:t>
            </w:r>
          </w:p>
        </w:tc>
      </w:tr>
      <w:tr w:rsidR="00C943A7" w:rsidRPr="007669E1" w14:paraId="37A3D271" w14:textId="77777777" w:rsidTr="00FB2DAB">
        <w:tc>
          <w:tcPr>
            <w:tcW w:w="2425" w:type="dxa"/>
          </w:tcPr>
          <w:p w14:paraId="61D2DB9C"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713FCCE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1E7CD25" w14:textId="77777777" w:rsidTr="00FB2DAB">
        <w:tc>
          <w:tcPr>
            <w:tcW w:w="2425" w:type="dxa"/>
          </w:tcPr>
          <w:p w14:paraId="22CD18E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31407C2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0A02CA9A" w14:textId="77777777" w:rsidTr="00FB2DAB">
        <w:tc>
          <w:tcPr>
            <w:tcW w:w="2425" w:type="dxa"/>
          </w:tcPr>
          <w:p w14:paraId="04B5CA47"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4D1DC45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268</w:t>
            </w:r>
          </w:p>
        </w:tc>
      </w:tr>
      <w:tr w:rsidR="00C943A7" w:rsidRPr="007669E1" w14:paraId="62F3D409" w14:textId="77777777" w:rsidTr="00FB2DAB">
        <w:trPr>
          <w:trHeight w:val="182"/>
        </w:trPr>
        <w:tc>
          <w:tcPr>
            <w:tcW w:w="2425" w:type="dxa"/>
            <w:vMerge w:val="restart"/>
          </w:tcPr>
          <w:p w14:paraId="28232CD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687D1FF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international tourism.</w:t>
            </w:r>
          </w:p>
          <w:p w14:paraId="233FD5A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7D6BF9CD" w14:textId="77777777" w:rsidTr="00FB2DAB">
        <w:trPr>
          <w:trHeight w:val="182"/>
        </w:trPr>
        <w:tc>
          <w:tcPr>
            <w:tcW w:w="2425" w:type="dxa"/>
            <w:vMerge/>
          </w:tcPr>
          <w:p w14:paraId="3F1A46D8"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6E1CA3A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5BC05AE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E0CDA5D" w14:textId="77777777" w:rsidTr="00FB2DAB">
        <w:tc>
          <w:tcPr>
            <w:tcW w:w="2425" w:type="dxa"/>
          </w:tcPr>
          <w:p w14:paraId="325B1BE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6C4AD65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D08DBDB" w14:textId="77777777" w:rsidTr="00FB2DAB">
        <w:tc>
          <w:tcPr>
            <w:tcW w:w="2425" w:type="dxa"/>
          </w:tcPr>
          <w:p w14:paraId="1E21DBD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13FC31A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4FC97CC" w14:textId="77777777" w:rsidTr="00FB2DAB">
        <w:tc>
          <w:tcPr>
            <w:tcW w:w="2425" w:type="dxa"/>
          </w:tcPr>
          <w:p w14:paraId="67E74FC0"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2FEB67D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E7F49A5" w14:textId="77777777" w:rsidTr="00FB2DAB">
        <w:tc>
          <w:tcPr>
            <w:tcW w:w="2425" w:type="dxa"/>
          </w:tcPr>
          <w:p w14:paraId="19585962"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6D69CA35" w14:textId="77777777" w:rsidR="00686B7E" w:rsidRPr="007669E1" w:rsidRDefault="00686B7E"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3A083F2" w14:textId="77777777" w:rsidTr="00FB2DAB">
        <w:trPr>
          <w:trHeight w:val="91"/>
        </w:trPr>
        <w:tc>
          <w:tcPr>
            <w:tcW w:w="2425" w:type="dxa"/>
            <w:vMerge w:val="restart"/>
          </w:tcPr>
          <w:p w14:paraId="4438F21E" w14:textId="77777777" w:rsidR="00686B7E" w:rsidRPr="007669E1" w:rsidRDefault="00686B7E" w:rsidP="00E90BA7">
            <w:pPr>
              <w:keepNext/>
              <w:keepLines/>
              <w:spacing w:before="20" w:after="20" w:line="240" w:lineRule="auto"/>
              <w:jc w:val="both"/>
              <w:rPr>
                <w:rFonts w:ascii="Segoe UI" w:hAnsi="Segoe UI" w:cs="Segoe UI"/>
                <w:sz w:val="18"/>
                <w:szCs w:val="18"/>
              </w:rPr>
            </w:pPr>
          </w:p>
        </w:tc>
        <w:tc>
          <w:tcPr>
            <w:tcW w:w="1385" w:type="dxa"/>
          </w:tcPr>
          <w:p w14:paraId="57AD450F"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2D3F3A53"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6DAD4EE0"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2CB7E794"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263BEA84" w14:textId="77777777" w:rsidR="00686B7E" w:rsidRPr="00D25834" w:rsidRDefault="00686B7E" w:rsidP="00E90BA7">
            <w:pPr>
              <w:keepNext/>
              <w:keepLines/>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64260D9C" w14:textId="77777777" w:rsidTr="00FB2DAB">
        <w:trPr>
          <w:trHeight w:val="305"/>
        </w:trPr>
        <w:tc>
          <w:tcPr>
            <w:tcW w:w="2425" w:type="dxa"/>
            <w:vMerge/>
          </w:tcPr>
          <w:p w14:paraId="1FF2CB62" w14:textId="77777777" w:rsidR="00686B7E" w:rsidRPr="007669E1" w:rsidRDefault="00686B7E" w:rsidP="00E90BA7">
            <w:pPr>
              <w:keepNext/>
              <w:keepLines/>
              <w:spacing w:before="20" w:after="20" w:line="240" w:lineRule="auto"/>
              <w:jc w:val="both"/>
              <w:rPr>
                <w:rFonts w:ascii="Segoe UI" w:hAnsi="Segoe UI" w:cs="Segoe UI"/>
                <w:sz w:val="18"/>
                <w:szCs w:val="18"/>
              </w:rPr>
            </w:pPr>
          </w:p>
        </w:tc>
        <w:tc>
          <w:tcPr>
            <w:tcW w:w="1385" w:type="dxa"/>
          </w:tcPr>
          <w:p w14:paraId="40713ABB" w14:textId="77777777" w:rsidR="00686B7E" w:rsidRPr="007669E1" w:rsidRDefault="00686B7E"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2E6E063" w14:textId="77777777" w:rsidR="00686B7E" w:rsidRPr="007669E1" w:rsidRDefault="00686B7E" w:rsidP="00E90BA7">
            <w:pPr>
              <w:keepNext/>
              <w:keepLines/>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E3B289A" w14:textId="77777777" w:rsidR="00686B7E" w:rsidRPr="007669E1" w:rsidRDefault="00686B7E" w:rsidP="00E90BA7">
            <w:pPr>
              <w:keepNext/>
              <w:keepLines/>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E9198B4" w14:textId="77777777" w:rsidR="00686B7E" w:rsidRPr="007669E1" w:rsidRDefault="00686B7E" w:rsidP="00E90BA7">
            <w:pPr>
              <w:keepNext/>
              <w:keepLines/>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729BF57F" w14:textId="77777777" w:rsidR="00686B7E" w:rsidRPr="007669E1" w:rsidRDefault="00686B7E" w:rsidP="00E90BA7">
            <w:pPr>
              <w:keepNext/>
              <w:keepLines/>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2E4F8E8"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04EA3DDC" w14:textId="77777777" w:rsidTr="00FB2DAB">
        <w:tc>
          <w:tcPr>
            <w:tcW w:w="9625" w:type="dxa"/>
            <w:gridSpan w:val="7"/>
            <w:shd w:val="clear" w:color="auto" w:fill="D9D9D9" w:themeFill="background1" w:themeFillShade="D9"/>
          </w:tcPr>
          <w:p w14:paraId="452DB0F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lastRenderedPageBreak/>
              <w:t>49. Exemption from VAT for packing and similar materials</w:t>
            </w:r>
          </w:p>
        </w:tc>
      </w:tr>
      <w:tr w:rsidR="00C943A7" w:rsidRPr="007669E1" w14:paraId="70F26A8B" w14:textId="77777777" w:rsidTr="00FB2DAB">
        <w:tc>
          <w:tcPr>
            <w:tcW w:w="2425" w:type="dxa"/>
          </w:tcPr>
          <w:p w14:paraId="2953E3C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12556438"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Materials used for packaging and protection of goods during their transport from a foreign country (e.g., ropes, plastic, cardboard), as well as straw bedding, fodder and feed of any kind, loaded on the means of transport used to transport animals from a foreign country, are exempt from VAT.</w:t>
            </w:r>
          </w:p>
        </w:tc>
      </w:tr>
      <w:tr w:rsidR="00C943A7" w:rsidRPr="007669E1" w14:paraId="6D2CF31F" w14:textId="77777777" w:rsidTr="00FB2DAB">
        <w:tc>
          <w:tcPr>
            <w:tcW w:w="2425" w:type="dxa"/>
          </w:tcPr>
          <w:p w14:paraId="1EEE4B29"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36C636B1"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61772471" w14:textId="77777777" w:rsidTr="00FB2DAB">
        <w:tc>
          <w:tcPr>
            <w:tcW w:w="2425" w:type="dxa"/>
          </w:tcPr>
          <w:p w14:paraId="7077EFC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4435DD4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Importers</w:t>
            </w:r>
          </w:p>
        </w:tc>
      </w:tr>
      <w:tr w:rsidR="00C943A7" w:rsidRPr="007669E1" w14:paraId="796BEAA0" w14:textId="77777777" w:rsidTr="00FB2DAB">
        <w:tc>
          <w:tcPr>
            <w:tcW w:w="2425" w:type="dxa"/>
          </w:tcPr>
          <w:p w14:paraId="32BDE49C"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39F7FB2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D78AF50" w14:textId="77777777" w:rsidTr="00FB2DAB">
        <w:tc>
          <w:tcPr>
            <w:tcW w:w="2425" w:type="dxa"/>
          </w:tcPr>
          <w:p w14:paraId="3C14F0F0"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0A6C07E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451B3C3B" w14:textId="77777777" w:rsidTr="00FB2DAB">
        <w:tc>
          <w:tcPr>
            <w:tcW w:w="2425" w:type="dxa"/>
          </w:tcPr>
          <w:p w14:paraId="49EA9450"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47488B7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270 and 271</w:t>
            </w:r>
          </w:p>
        </w:tc>
      </w:tr>
      <w:tr w:rsidR="00C943A7" w:rsidRPr="007669E1" w14:paraId="5B0D2A22" w14:textId="77777777" w:rsidTr="00FB2DAB">
        <w:trPr>
          <w:trHeight w:val="182"/>
        </w:trPr>
        <w:tc>
          <w:tcPr>
            <w:tcW w:w="2425" w:type="dxa"/>
            <w:vMerge w:val="restart"/>
          </w:tcPr>
          <w:p w14:paraId="40E281C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4C99305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international trade.</w:t>
            </w:r>
          </w:p>
          <w:p w14:paraId="2BE0684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1D9958A" w14:textId="77777777" w:rsidTr="00FB2DAB">
        <w:trPr>
          <w:trHeight w:val="182"/>
        </w:trPr>
        <w:tc>
          <w:tcPr>
            <w:tcW w:w="2425" w:type="dxa"/>
            <w:vMerge/>
          </w:tcPr>
          <w:p w14:paraId="231638FD"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2695053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DF52D5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20B11EC" w14:textId="77777777" w:rsidTr="00FB2DAB">
        <w:tc>
          <w:tcPr>
            <w:tcW w:w="2425" w:type="dxa"/>
          </w:tcPr>
          <w:p w14:paraId="134A795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2B1CFC6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6453547" w14:textId="77777777" w:rsidTr="00FB2DAB">
        <w:tc>
          <w:tcPr>
            <w:tcW w:w="2425" w:type="dxa"/>
          </w:tcPr>
          <w:p w14:paraId="4DBB47C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24BE5EB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739A906" w14:textId="77777777" w:rsidTr="00FB2DAB">
        <w:tc>
          <w:tcPr>
            <w:tcW w:w="2425" w:type="dxa"/>
          </w:tcPr>
          <w:p w14:paraId="1819BC9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2E65820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6835A82" w14:textId="77777777" w:rsidTr="00FB2DAB">
        <w:tc>
          <w:tcPr>
            <w:tcW w:w="2425" w:type="dxa"/>
          </w:tcPr>
          <w:p w14:paraId="4A160F4A"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4B5567F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9E2BE3F" w14:textId="77777777" w:rsidTr="00FB2DAB">
        <w:trPr>
          <w:trHeight w:val="91"/>
        </w:trPr>
        <w:tc>
          <w:tcPr>
            <w:tcW w:w="2425" w:type="dxa"/>
            <w:vMerge w:val="restart"/>
          </w:tcPr>
          <w:p w14:paraId="183401E6"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E3991C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219A1BC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302808F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0AEBDE1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15B4F33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19ED84A1" w14:textId="77777777" w:rsidTr="00FB2DAB">
        <w:trPr>
          <w:trHeight w:val="305"/>
        </w:trPr>
        <w:tc>
          <w:tcPr>
            <w:tcW w:w="2425" w:type="dxa"/>
            <w:vMerge/>
          </w:tcPr>
          <w:p w14:paraId="6AA9651B"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7F989E1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CF4C32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4F05675"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331C0C9"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66BDC9A4"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4805C51E"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4CD530F6" w14:textId="77777777" w:rsidTr="00FB2DAB">
        <w:tc>
          <w:tcPr>
            <w:tcW w:w="9625" w:type="dxa"/>
            <w:gridSpan w:val="7"/>
            <w:shd w:val="clear" w:color="auto" w:fill="D9D9D9" w:themeFill="background1" w:themeFillShade="D9"/>
          </w:tcPr>
          <w:p w14:paraId="2067E55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50. Exemption from VAT for the transfer of foreign businesses to Moldova</w:t>
            </w:r>
          </w:p>
        </w:tc>
      </w:tr>
      <w:tr w:rsidR="00C943A7" w:rsidRPr="007669E1" w14:paraId="2B438A3B" w14:textId="77777777" w:rsidTr="00FB2DAB">
        <w:tc>
          <w:tcPr>
            <w:tcW w:w="2425" w:type="dxa"/>
          </w:tcPr>
          <w:p w14:paraId="29C433B9"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6700F854"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production and other equipment (including livestock) belonging to independent economic operators in the production or service sector (including professionals and not-for-profit legal persons) that permanently cease their activities in a foreign country and move to Moldova to carry out similar activities are exempt from VAT.</w:t>
            </w:r>
          </w:p>
        </w:tc>
      </w:tr>
      <w:tr w:rsidR="00C943A7" w:rsidRPr="007669E1" w14:paraId="6A7AD272" w14:textId="77777777" w:rsidTr="00FB2DAB">
        <w:tc>
          <w:tcPr>
            <w:tcW w:w="2425" w:type="dxa"/>
          </w:tcPr>
          <w:p w14:paraId="591AB97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714B229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2C976E3" w14:textId="77777777" w:rsidTr="00FB2DAB">
        <w:tc>
          <w:tcPr>
            <w:tcW w:w="2425" w:type="dxa"/>
          </w:tcPr>
          <w:p w14:paraId="04E8464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5DDD6DC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businesses moving to Moldova</w:t>
            </w:r>
          </w:p>
        </w:tc>
      </w:tr>
      <w:tr w:rsidR="00C943A7" w:rsidRPr="007669E1" w14:paraId="13142BE7" w14:textId="77777777" w:rsidTr="00FB2DAB">
        <w:tc>
          <w:tcPr>
            <w:tcW w:w="2425" w:type="dxa"/>
          </w:tcPr>
          <w:p w14:paraId="55E2A52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72E695F7"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A22CF20" w14:textId="77777777" w:rsidTr="00FB2DAB">
        <w:tc>
          <w:tcPr>
            <w:tcW w:w="2425" w:type="dxa"/>
          </w:tcPr>
          <w:p w14:paraId="07E50A79"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78CF775B"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2FC80BD8" w14:textId="77777777" w:rsidTr="00FB2DAB">
        <w:tc>
          <w:tcPr>
            <w:tcW w:w="2425" w:type="dxa"/>
          </w:tcPr>
          <w:p w14:paraId="3470DC3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68BCD86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18</w:t>
            </w:r>
            <w:r w:rsidRPr="007669E1">
              <w:rPr>
                <w:rFonts w:ascii="Segoe UI" w:hAnsi="Segoe UI" w:cs="Segoe UI"/>
                <w:sz w:val="18"/>
                <w:szCs w:val="18"/>
              </w:rPr>
              <w:t xml:space="preserve"> to 277</w:t>
            </w:r>
            <w:r w:rsidRPr="007669E1">
              <w:rPr>
                <w:rFonts w:ascii="Segoe UI" w:hAnsi="Segoe UI" w:cs="Segoe UI"/>
                <w:sz w:val="18"/>
                <w:szCs w:val="18"/>
                <w:vertAlign w:val="superscript"/>
              </w:rPr>
              <w:t>24</w:t>
            </w:r>
          </w:p>
        </w:tc>
      </w:tr>
      <w:tr w:rsidR="00C943A7" w:rsidRPr="007669E1" w14:paraId="4E996397" w14:textId="77777777" w:rsidTr="00FB2DAB">
        <w:trPr>
          <w:trHeight w:val="182"/>
        </w:trPr>
        <w:tc>
          <w:tcPr>
            <w:tcW w:w="2425" w:type="dxa"/>
            <w:vMerge w:val="restart"/>
          </w:tcPr>
          <w:p w14:paraId="287B1810"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1556F94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increase the attractiveness of Moldova as a place to conduct business.</w:t>
            </w:r>
          </w:p>
          <w:p w14:paraId="44A6D07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3C174AD3" w14:textId="77777777" w:rsidTr="00FB2DAB">
        <w:trPr>
          <w:trHeight w:val="182"/>
        </w:trPr>
        <w:tc>
          <w:tcPr>
            <w:tcW w:w="2425" w:type="dxa"/>
            <w:vMerge/>
          </w:tcPr>
          <w:p w14:paraId="6D8E6E52"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0C2B312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0099EA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891D30B" w14:textId="77777777" w:rsidTr="00FB2DAB">
        <w:tc>
          <w:tcPr>
            <w:tcW w:w="2425" w:type="dxa"/>
          </w:tcPr>
          <w:p w14:paraId="649E4D4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28087C35"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7C04420" w14:textId="77777777" w:rsidTr="00FB2DAB">
        <w:tc>
          <w:tcPr>
            <w:tcW w:w="2425" w:type="dxa"/>
          </w:tcPr>
          <w:p w14:paraId="3D5A4C60"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4C30D09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9EC0140" w14:textId="77777777" w:rsidTr="00FB2DAB">
        <w:tc>
          <w:tcPr>
            <w:tcW w:w="2425" w:type="dxa"/>
          </w:tcPr>
          <w:p w14:paraId="7602235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4B13994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CB579CC" w14:textId="77777777" w:rsidTr="00FB2DAB">
        <w:tc>
          <w:tcPr>
            <w:tcW w:w="2425" w:type="dxa"/>
          </w:tcPr>
          <w:p w14:paraId="7DF8C08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4AFED16F"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52422AB" w14:textId="77777777" w:rsidTr="00FB2DAB">
        <w:trPr>
          <w:trHeight w:val="91"/>
        </w:trPr>
        <w:tc>
          <w:tcPr>
            <w:tcW w:w="2425" w:type="dxa"/>
            <w:vMerge w:val="restart"/>
          </w:tcPr>
          <w:p w14:paraId="490E6538"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484DF49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71ACA66F"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0779D3E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67C32E31"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45CFEF8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2361D328" w14:textId="77777777" w:rsidTr="00FB2DAB">
        <w:trPr>
          <w:trHeight w:val="305"/>
        </w:trPr>
        <w:tc>
          <w:tcPr>
            <w:tcW w:w="2425" w:type="dxa"/>
            <w:vMerge/>
          </w:tcPr>
          <w:p w14:paraId="6652EF28"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6ADC71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23BBBD5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45B4902"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6D0CB77A"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BE7B6F0"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7AEE6152" w14:textId="77777777" w:rsidR="00686B7E" w:rsidRPr="007669E1" w:rsidRDefault="00686B7E"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15B4D363" w14:textId="77777777" w:rsidTr="00FB2DAB">
        <w:tc>
          <w:tcPr>
            <w:tcW w:w="9625" w:type="dxa"/>
            <w:gridSpan w:val="7"/>
            <w:shd w:val="clear" w:color="auto" w:fill="D9D9D9" w:themeFill="background1" w:themeFillShade="D9"/>
          </w:tcPr>
          <w:p w14:paraId="2618850C"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lastRenderedPageBreak/>
              <w:t>51. Exemption from VAT for the manufacture of goods intended for exports</w:t>
            </w:r>
          </w:p>
        </w:tc>
      </w:tr>
      <w:tr w:rsidR="00C943A7" w:rsidRPr="007669E1" w14:paraId="1E6126AD" w14:textId="77777777" w:rsidTr="00FB2DAB">
        <w:tc>
          <w:tcPr>
            <w:tcW w:w="2425" w:type="dxa"/>
          </w:tcPr>
          <w:p w14:paraId="551E2F04"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01FE932F" w14:textId="77777777" w:rsidR="00686B7E" w:rsidRPr="007669E1" w:rsidRDefault="00686B7E"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No VAT is charged on raw materials, materials, accessories and primary packaging that are to be used in the exclusive manufacture of goods intended for export, provided production takes place within 180 days of the import. This exemption does not cover excisable goods and other prescribed food items.</w:t>
            </w:r>
          </w:p>
        </w:tc>
      </w:tr>
      <w:tr w:rsidR="00C943A7" w:rsidRPr="007669E1" w14:paraId="178B4AB2" w14:textId="77777777" w:rsidTr="00FB2DAB">
        <w:tc>
          <w:tcPr>
            <w:tcW w:w="2425" w:type="dxa"/>
          </w:tcPr>
          <w:p w14:paraId="101581F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24276CF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VAT</w:t>
            </w:r>
          </w:p>
        </w:tc>
      </w:tr>
      <w:tr w:rsidR="00C943A7" w:rsidRPr="007669E1" w14:paraId="192CCB9E" w14:textId="77777777" w:rsidTr="00FB2DAB">
        <w:tc>
          <w:tcPr>
            <w:tcW w:w="2425" w:type="dxa"/>
          </w:tcPr>
          <w:p w14:paraId="55BD4CC7"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5A375E62"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Exporters</w:t>
            </w:r>
          </w:p>
        </w:tc>
      </w:tr>
      <w:tr w:rsidR="00C943A7" w:rsidRPr="007669E1" w14:paraId="7B55BD0B" w14:textId="77777777" w:rsidTr="00FB2DAB">
        <w:tc>
          <w:tcPr>
            <w:tcW w:w="2425" w:type="dxa"/>
          </w:tcPr>
          <w:p w14:paraId="668C2318"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292B407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7EE143A" w14:textId="77777777" w:rsidTr="00FB2DAB">
        <w:tc>
          <w:tcPr>
            <w:tcW w:w="2425" w:type="dxa"/>
          </w:tcPr>
          <w:p w14:paraId="234253B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4291A18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VAT are considered tax expenditures.</w:t>
            </w:r>
          </w:p>
        </w:tc>
      </w:tr>
      <w:tr w:rsidR="00C943A7" w:rsidRPr="007669E1" w14:paraId="7A2B40F9" w14:textId="77777777" w:rsidTr="00FB2DAB">
        <w:tc>
          <w:tcPr>
            <w:tcW w:w="2425" w:type="dxa"/>
          </w:tcPr>
          <w:p w14:paraId="338AD5A7"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703346AD"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25</w:t>
            </w:r>
            <w:r w:rsidRPr="007669E1">
              <w:rPr>
                <w:rFonts w:ascii="Segoe UI" w:hAnsi="Segoe UI" w:cs="Segoe UI"/>
                <w:sz w:val="18"/>
                <w:szCs w:val="18"/>
              </w:rPr>
              <w:t xml:space="preserve"> to 277</w:t>
            </w:r>
            <w:r w:rsidRPr="007669E1">
              <w:rPr>
                <w:rFonts w:ascii="Segoe UI" w:hAnsi="Segoe UI" w:cs="Segoe UI"/>
                <w:sz w:val="18"/>
                <w:szCs w:val="18"/>
                <w:vertAlign w:val="superscript"/>
              </w:rPr>
              <w:t>26</w:t>
            </w:r>
          </w:p>
        </w:tc>
      </w:tr>
      <w:tr w:rsidR="00C943A7" w:rsidRPr="007669E1" w14:paraId="5E69D4FE" w14:textId="77777777" w:rsidTr="00FB2DAB">
        <w:trPr>
          <w:trHeight w:val="182"/>
        </w:trPr>
        <w:tc>
          <w:tcPr>
            <w:tcW w:w="2425" w:type="dxa"/>
            <w:vMerge w:val="restart"/>
          </w:tcPr>
          <w:p w14:paraId="68688079"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0C159114"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exporting activities out of Moldova.</w:t>
            </w:r>
          </w:p>
          <w:p w14:paraId="326B6E0E"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3A830B2F" w14:textId="77777777" w:rsidTr="00FB2DAB">
        <w:trPr>
          <w:trHeight w:val="182"/>
        </w:trPr>
        <w:tc>
          <w:tcPr>
            <w:tcW w:w="2425" w:type="dxa"/>
            <w:vMerge/>
          </w:tcPr>
          <w:p w14:paraId="1D1D002C" w14:textId="77777777" w:rsidR="00686B7E" w:rsidRPr="00D25834" w:rsidRDefault="00686B7E" w:rsidP="00E90BA7">
            <w:pPr>
              <w:spacing w:before="20" w:after="20" w:line="240" w:lineRule="auto"/>
              <w:jc w:val="both"/>
              <w:rPr>
                <w:rFonts w:ascii="Segoe UI" w:hAnsi="Segoe UI" w:cs="Segoe UI"/>
                <w:b/>
                <w:bCs/>
                <w:sz w:val="18"/>
                <w:szCs w:val="18"/>
              </w:rPr>
            </w:pPr>
          </w:p>
        </w:tc>
        <w:tc>
          <w:tcPr>
            <w:tcW w:w="3462" w:type="dxa"/>
            <w:gridSpan w:val="3"/>
          </w:tcPr>
          <w:p w14:paraId="7C9C610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6439A4C"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B505EB5" w14:textId="77777777" w:rsidTr="00FB2DAB">
        <w:tc>
          <w:tcPr>
            <w:tcW w:w="2425" w:type="dxa"/>
          </w:tcPr>
          <w:p w14:paraId="5050DF0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4989821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0B3CFB9" w14:textId="77777777" w:rsidTr="00FB2DAB">
        <w:tc>
          <w:tcPr>
            <w:tcW w:w="2425" w:type="dxa"/>
          </w:tcPr>
          <w:p w14:paraId="154E21FE"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717AD7C0"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2419BA0" w14:textId="77777777" w:rsidTr="00FB2DAB">
        <w:tc>
          <w:tcPr>
            <w:tcW w:w="2425" w:type="dxa"/>
          </w:tcPr>
          <w:p w14:paraId="5D34A022"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46F00D78"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AFF674" w14:textId="77777777" w:rsidTr="00FB2DAB">
        <w:tc>
          <w:tcPr>
            <w:tcW w:w="2425" w:type="dxa"/>
          </w:tcPr>
          <w:p w14:paraId="29FBF33D"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41AF21C9"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68829A6" w14:textId="77777777" w:rsidTr="00FB2DAB">
        <w:trPr>
          <w:trHeight w:val="91"/>
        </w:trPr>
        <w:tc>
          <w:tcPr>
            <w:tcW w:w="2425" w:type="dxa"/>
            <w:vMerge w:val="restart"/>
          </w:tcPr>
          <w:p w14:paraId="578EC98F"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1BD751E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2E6D2A43"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2CFB1A0B"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3822D956"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2BF87AB5" w14:textId="77777777" w:rsidR="00686B7E" w:rsidRPr="00D25834" w:rsidRDefault="00686B7E"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3C214D5B" w14:textId="77777777" w:rsidTr="00FB2DAB">
        <w:trPr>
          <w:trHeight w:val="305"/>
        </w:trPr>
        <w:tc>
          <w:tcPr>
            <w:tcW w:w="2425" w:type="dxa"/>
            <w:vMerge/>
          </w:tcPr>
          <w:p w14:paraId="60B2B279" w14:textId="77777777" w:rsidR="00686B7E" w:rsidRPr="007669E1" w:rsidRDefault="00686B7E" w:rsidP="00E90BA7">
            <w:pPr>
              <w:spacing w:before="20" w:after="20" w:line="240" w:lineRule="auto"/>
              <w:jc w:val="both"/>
              <w:rPr>
                <w:rFonts w:ascii="Segoe UI" w:hAnsi="Segoe UI" w:cs="Segoe UI"/>
                <w:sz w:val="18"/>
                <w:szCs w:val="18"/>
              </w:rPr>
            </w:pPr>
          </w:p>
        </w:tc>
        <w:tc>
          <w:tcPr>
            <w:tcW w:w="1385" w:type="dxa"/>
          </w:tcPr>
          <w:p w14:paraId="4275BED3"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3A266996" w14:textId="77777777" w:rsidR="00686B7E" w:rsidRPr="007669E1" w:rsidRDefault="00686B7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EAD7D86"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10B57C50"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D6EBBA4" w14:textId="77777777" w:rsidR="00686B7E" w:rsidRPr="007669E1" w:rsidRDefault="00686B7E"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64A18089" w14:textId="77777777" w:rsidR="00686B7E" w:rsidRPr="007669E1" w:rsidRDefault="00686B7E" w:rsidP="00E90BA7">
      <w:pPr>
        <w:spacing w:before="20" w:after="20" w:line="240" w:lineRule="auto"/>
        <w:jc w:val="both"/>
        <w:rPr>
          <w:rFonts w:ascii="Segoe UI" w:hAnsi="Segoe UI" w:cs="Segoe UI"/>
          <w:sz w:val="18"/>
          <w:szCs w:val="18"/>
        </w:rPr>
      </w:pPr>
    </w:p>
    <w:p w14:paraId="0B31F7BE" w14:textId="68E3483F" w:rsidR="009E71AA" w:rsidRPr="007669E1" w:rsidRDefault="009E71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br w:type="page"/>
      </w:r>
    </w:p>
    <w:p w14:paraId="20313704" w14:textId="77777777" w:rsidR="007E7377" w:rsidRPr="007669E1" w:rsidRDefault="007E7377" w:rsidP="00E90BA7">
      <w:pPr>
        <w:pStyle w:val="Heading2"/>
        <w:spacing w:before="20" w:after="20" w:line="240" w:lineRule="auto"/>
        <w:jc w:val="both"/>
        <w:rPr>
          <w:rFonts w:ascii="Segoe UI" w:hAnsi="Segoe UI" w:cs="Segoe UI"/>
          <w:color w:val="0070C0"/>
          <w:sz w:val="18"/>
          <w:szCs w:val="18"/>
        </w:rPr>
      </w:pPr>
      <w:bookmarkStart w:id="53" w:name="_Toc123505922"/>
      <w:bookmarkStart w:id="54" w:name="_Toc126555844"/>
      <w:r w:rsidRPr="007669E1">
        <w:rPr>
          <w:rFonts w:ascii="Segoe UI" w:hAnsi="Segoe UI" w:cs="Segoe UI"/>
          <w:sz w:val="18"/>
          <w:szCs w:val="18"/>
        </w:rPr>
        <w:lastRenderedPageBreak/>
        <w:t>Appendix 4:</w:t>
      </w:r>
      <w:r w:rsidRPr="007669E1">
        <w:rPr>
          <w:rFonts w:ascii="Segoe UI" w:hAnsi="Segoe UI" w:cs="Segoe UI"/>
          <w:sz w:val="18"/>
          <w:szCs w:val="18"/>
        </w:rPr>
        <w:tab/>
        <w:t>Excise Duties—Tax Expenditures Summary Sheets</w:t>
      </w:r>
      <w:bookmarkEnd w:id="53"/>
      <w:bookmarkEnd w:id="54"/>
    </w:p>
    <w:p w14:paraId="1B1860F5"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396FE439" w14:textId="77777777" w:rsidTr="001D5220">
        <w:tc>
          <w:tcPr>
            <w:tcW w:w="9625" w:type="dxa"/>
            <w:gridSpan w:val="7"/>
            <w:shd w:val="clear" w:color="auto" w:fill="D9D9D9" w:themeFill="background1" w:themeFillShade="D9"/>
          </w:tcPr>
          <w:p w14:paraId="114C5BF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1. Exemption from excise duties for wines</w:t>
            </w:r>
          </w:p>
        </w:tc>
      </w:tr>
      <w:tr w:rsidR="00C943A7" w:rsidRPr="007669E1" w14:paraId="0ED89F18" w14:textId="77777777" w:rsidTr="001D5220">
        <w:tc>
          <w:tcPr>
            <w:tcW w:w="2425" w:type="dxa"/>
          </w:tcPr>
          <w:p w14:paraId="149336F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6EB0C73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Wines (including fortified wines) and unfermented grape must under tariff heading 2204 are not subject to excise duties.</w:t>
            </w:r>
          </w:p>
        </w:tc>
      </w:tr>
      <w:tr w:rsidR="00C943A7" w:rsidRPr="007669E1" w14:paraId="11F2A195" w14:textId="77777777" w:rsidTr="001D5220">
        <w:tc>
          <w:tcPr>
            <w:tcW w:w="2425" w:type="dxa"/>
          </w:tcPr>
          <w:p w14:paraId="275C221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1494224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33649AB8" w14:textId="77777777" w:rsidTr="001D5220">
        <w:tc>
          <w:tcPr>
            <w:tcW w:w="2425" w:type="dxa"/>
          </w:tcPr>
          <w:p w14:paraId="242D8AA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022DD58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Consumers, producers and importers of wines</w:t>
            </w:r>
          </w:p>
        </w:tc>
      </w:tr>
      <w:tr w:rsidR="00C943A7" w:rsidRPr="007669E1" w14:paraId="31093038" w14:textId="77777777" w:rsidTr="001D5220">
        <w:tc>
          <w:tcPr>
            <w:tcW w:w="2425" w:type="dxa"/>
          </w:tcPr>
          <w:p w14:paraId="35904B0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7B9C2A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A44C197" w14:textId="77777777" w:rsidTr="001D5220">
        <w:tc>
          <w:tcPr>
            <w:tcW w:w="2425" w:type="dxa"/>
          </w:tcPr>
          <w:p w14:paraId="488BB47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329787E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2F16AEA9" w14:textId="77777777" w:rsidTr="001D5220">
        <w:tc>
          <w:tcPr>
            <w:tcW w:w="2425" w:type="dxa"/>
          </w:tcPr>
          <w:p w14:paraId="3AC3AB8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7F99171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annex 1 to Title IV</w:t>
            </w:r>
          </w:p>
        </w:tc>
      </w:tr>
      <w:tr w:rsidR="00C943A7" w:rsidRPr="007669E1" w14:paraId="6ABB01F6" w14:textId="77777777" w:rsidTr="001D5220">
        <w:trPr>
          <w:trHeight w:val="182"/>
        </w:trPr>
        <w:tc>
          <w:tcPr>
            <w:tcW w:w="2425" w:type="dxa"/>
            <w:vMerge w:val="restart"/>
          </w:tcPr>
          <w:p w14:paraId="143747F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27D0758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wine producers as well as to reduce the consumption of low-quality or counterfeit wines.</w:t>
            </w:r>
          </w:p>
          <w:p w14:paraId="033A32C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Still wines, sparkling wines, other wines, grape must and other fermented or partially fermented grape must under tariff headings 220410, 220421, ex. 220421101, 220429 and 220430 were subject to excise duties from 1997 until January 13, 2012 pursuant to annex 1 to Title IV of the Tax Code.</w:t>
            </w:r>
          </w:p>
        </w:tc>
      </w:tr>
      <w:tr w:rsidR="00C943A7" w:rsidRPr="007669E1" w14:paraId="5841F1C0" w14:textId="77777777" w:rsidTr="001D5220">
        <w:trPr>
          <w:trHeight w:val="182"/>
        </w:trPr>
        <w:tc>
          <w:tcPr>
            <w:tcW w:w="2425" w:type="dxa"/>
            <w:vMerge/>
          </w:tcPr>
          <w:p w14:paraId="23473C5F"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7EE3D89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2012</w:t>
            </w:r>
          </w:p>
        </w:tc>
        <w:tc>
          <w:tcPr>
            <w:tcW w:w="3738" w:type="dxa"/>
            <w:gridSpan w:val="3"/>
          </w:tcPr>
          <w:p w14:paraId="05F9B92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FCCA091" w14:textId="77777777" w:rsidTr="001D5220">
        <w:tc>
          <w:tcPr>
            <w:tcW w:w="2425" w:type="dxa"/>
          </w:tcPr>
          <w:p w14:paraId="74E43CFF"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7304F23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Bureau of Statistics, National Vine and Wine Bureau, other</w:t>
            </w:r>
          </w:p>
        </w:tc>
      </w:tr>
      <w:tr w:rsidR="00C943A7" w:rsidRPr="007669E1" w14:paraId="2C081767" w14:textId="77777777" w:rsidTr="001D5220">
        <w:tc>
          <w:tcPr>
            <w:tcW w:w="2425" w:type="dxa"/>
          </w:tcPr>
          <w:p w14:paraId="08388EE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7CCEFE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value of this tax expenditure is calculated by multiplying the estimated taxable base by the benchmark excise duty rates for wine. The taxable base (expressed in liters) is estimated as the sum of the total domestic production and imports of wines, minus exports of wines, changes in stocks, and consumption by foreign visitors. The benchmark rates correspond to the rates applicable to pure alcohol, expressed on an equivalent-alcohol content basis, assuming an average 12% of alcohol contents in wines.</w:t>
            </w:r>
          </w:p>
        </w:tc>
      </w:tr>
      <w:tr w:rsidR="00C943A7" w:rsidRPr="007669E1" w14:paraId="49E33A11" w14:textId="77777777" w:rsidTr="001D5220">
        <w:tc>
          <w:tcPr>
            <w:tcW w:w="2425" w:type="dxa"/>
          </w:tcPr>
          <w:p w14:paraId="4D769C7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5A5D57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2234FD6" w14:textId="77777777" w:rsidTr="001D5220">
        <w:tc>
          <w:tcPr>
            <w:tcW w:w="2425" w:type="dxa"/>
          </w:tcPr>
          <w:p w14:paraId="2D376BC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422F783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83BF0EB" w14:textId="77777777" w:rsidTr="001D5220">
        <w:trPr>
          <w:trHeight w:val="91"/>
        </w:trPr>
        <w:tc>
          <w:tcPr>
            <w:tcW w:w="2425" w:type="dxa"/>
            <w:vMerge w:val="restart"/>
          </w:tcPr>
          <w:p w14:paraId="0FBAA2A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5FDC4D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737466F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539EA77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088B276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5D740DA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55820E16" w14:textId="77777777" w:rsidTr="001D5220">
        <w:trPr>
          <w:trHeight w:val="305"/>
        </w:trPr>
        <w:tc>
          <w:tcPr>
            <w:tcW w:w="2425" w:type="dxa"/>
            <w:vMerge/>
          </w:tcPr>
          <w:p w14:paraId="3E9644E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5DD5F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468,487.5</w:t>
            </w:r>
          </w:p>
        </w:tc>
        <w:tc>
          <w:tcPr>
            <w:tcW w:w="1385" w:type="dxa"/>
          </w:tcPr>
          <w:p w14:paraId="38B6E2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415,681.2</w:t>
            </w:r>
          </w:p>
        </w:tc>
        <w:tc>
          <w:tcPr>
            <w:tcW w:w="1385" w:type="dxa"/>
            <w:gridSpan w:val="2"/>
            <w:shd w:val="clear" w:color="auto" w:fill="auto"/>
          </w:tcPr>
          <w:p w14:paraId="5B2C0B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621,451.3</w:t>
            </w:r>
          </w:p>
        </w:tc>
        <w:tc>
          <w:tcPr>
            <w:tcW w:w="1385" w:type="dxa"/>
            <w:shd w:val="clear" w:color="auto" w:fill="auto"/>
          </w:tcPr>
          <w:p w14:paraId="43C57E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752,892.0</w:t>
            </w:r>
          </w:p>
        </w:tc>
        <w:tc>
          <w:tcPr>
            <w:tcW w:w="1660" w:type="dxa"/>
            <w:shd w:val="clear" w:color="auto" w:fill="BFBFBF" w:themeFill="background1" w:themeFillShade="BF"/>
          </w:tcPr>
          <w:p w14:paraId="0AA0CA6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1,330,649.2</w:t>
            </w:r>
          </w:p>
        </w:tc>
      </w:tr>
    </w:tbl>
    <w:p w14:paraId="6ABB67D5"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0D185F57" w14:textId="77777777" w:rsidTr="001D5220">
        <w:tc>
          <w:tcPr>
            <w:tcW w:w="9625" w:type="dxa"/>
            <w:gridSpan w:val="7"/>
            <w:shd w:val="clear" w:color="auto" w:fill="D9D9D9" w:themeFill="background1" w:themeFillShade="D9"/>
          </w:tcPr>
          <w:p w14:paraId="711D537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 Exemption from excise duties for ethyl alcohol for pharmaceutical use</w:t>
            </w:r>
          </w:p>
        </w:tc>
      </w:tr>
      <w:tr w:rsidR="00C943A7" w:rsidRPr="007669E1" w14:paraId="081CD777" w14:textId="77777777" w:rsidTr="001D5220">
        <w:tc>
          <w:tcPr>
            <w:tcW w:w="2425" w:type="dxa"/>
          </w:tcPr>
          <w:p w14:paraId="7B0E555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6FED9292"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Undenatured ethyl alcohol intended for pharmaceutical production and use in medicine is exempt from excise duties, up to an annual quota established by the government.</w:t>
            </w:r>
          </w:p>
        </w:tc>
      </w:tr>
      <w:tr w:rsidR="00C943A7" w:rsidRPr="007669E1" w14:paraId="6A33F82B" w14:textId="77777777" w:rsidTr="001D5220">
        <w:tc>
          <w:tcPr>
            <w:tcW w:w="2425" w:type="dxa"/>
          </w:tcPr>
          <w:p w14:paraId="55829D6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0EDDB34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6FFE7B6D" w14:textId="77777777" w:rsidTr="001D5220">
        <w:tc>
          <w:tcPr>
            <w:tcW w:w="2425" w:type="dxa"/>
          </w:tcPr>
          <w:p w14:paraId="66C4851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1C331D7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Manufacturers of pharmaceutical products and medical institutions</w:t>
            </w:r>
          </w:p>
        </w:tc>
      </w:tr>
      <w:tr w:rsidR="00C943A7" w:rsidRPr="007669E1" w14:paraId="45C8EA1C" w14:textId="77777777" w:rsidTr="001D5220">
        <w:tc>
          <w:tcPr>
            <w:tcW w:w="2425" w:type="dxa"/>
          </w:tcPr>
          <w:p w14:paraId="10D207F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6487B8C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30EC43A" w14:textId="77777777" w:rsidTr="001D5220">
        <w:tc>
          <w:tcPr>
            <w:tcW w:w="2425" w:type="dxa"/>
          </w:tcPr>
          <w:p w14:paraId="47CA0E0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2D885AC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7EBF21C7" w14:textId="77777777" w:rsidTr="001D5220">
        <w:tc>
          <w:tcPr>
            <w:tcW w:w="2425" w:type="dxa"/>
          </w:tcPr>
          <w:p w14:paraId="488AD9A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11CCF42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(15)</w:t>
            </w:r>
          </w:p>
        </w:tc>
      </w:tr>
      <w:tr w:rsidR="00C943A7" w:rsidRPr="007669E1" w14:paraId="13E43346" w14:textId="77777777" w:rsidTr="001D5220">
        <w:trPr>
          <w:trHeight w:val="182"/>
        </w:trPr>
        <w:tc>
          <w:tcPr>
            <w:tcW w:w="2425" w:type="dxa"/>
            <w:vMerge w:val="restart"/>
          </w:tcPr>
          <w:p w14:paraId="057FD68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145640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production of pharmaceutical products in Moldova.</w:t>
            </w:r>
          </w:p>
          <w:p w14:paraId="4BFDFC2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Law no. 71/2015.</w:t>
            </w:r>
          </w:p>
          <w:p w14:paraId="69C05E0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Until July 5, 2002, the amounts of excise duties paid to the budget for alcohol purchased for the purpose of its use in medicine were transferred to settlements with the budget. Pursuant to Law no. 1128/2002, as of July 5, 2022, these amounts are returned according </w:t>
            </w:r>
            <w:r w:rsidRPr="007669E1">
              <w:rPr>
                <w:rFonts w:ascii="Segoe UI" w:hAnsi="Segoe UI" w:cs="Segoe UI"/>
                <w:sz w:val="18"/>
                <w:szCs w:val="18"/>
              </w:rPr>
              <w:lastRenderedPageBreak/>
              <w:t>to the regulation approved by the Government (annex 1 to the Tax Code, point 4 of the notes).</w:t>
            </w:r>
          </w:p>
        </w:tc>
      </w:tr>
      <w:tr w:rsidR="00C943A7" w:rsidRPr="007669E1" w14:paraId="7BD27936" w14:textId="77777777" w:rsidTr="001D5220">
        <w:trPr>
          <w:trHeight w:val="182"/>
        </w:trPr>
        <w:tc>
          <w:tcPr>
            <w:tcW w:w="2425" w:type="dxa"/>
            <w:vMerge/>
          </w:tcPr>
          <w:p w14:paraId="348FBA28"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08E54D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2015</w:t>
            </w:r>
          </w:p>
        </w:tc>
        <w:tc>
          <w:tcPr>
            <w:tcW w:w="3738" w:type="dxa"/>
            <w:gridSpan w:val="3"/>
          </w:tcPr>
          <w:p w14:paraId="5FCAA2C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B41E267" w14:textId="77777777" w:rsidTr="001D5220">
        <w:tc>
          <w:tcPr>
            <w:tcW w:w="2425" w:type="dxa"/>
          </w:tcPr>
          <w:p w14:paraId="5481082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75236E0D" w14:textId="4727751E" w:rsidR="007E7377" w:rsidRPr="007669E1" w:rsidRDefault="291EB46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w:t>
            </w:r>
            <w:r w:rsidR="007E7377" w:rsidRPr="007669E1">
              <w:rPr>
                <w:rFonts w:ascii="Segoe UI" w:hAnsi="Segoe UI" w:cs="Segoe UI"/>
                <w:sz w:val="18"/>
                <w:szCs w:val="18"/>
              </w:rPr>
              <w:t xml:space="preserve"> and Customs Service</w:t>
            </w:r>
          </w:p>
        </w:tc>
      </w:tr>
      <w:tr w:rsidR="00C943A7" w:rsidRPr="007669E1" w14:paraId="64DA8E75" w14:textId="77777777" w:rsidTr="001D5220">
        <w:tc>
          <w:tcPr>
            <w:tcW w:w="2425" w:type="dxa"/>
          </w:tcPr>
          <w:p w14:paraId="5997890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25706B8C"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4437E152" w14:textId="77777777" w:rsidTr="001D5220">
        <w:tc>
          <w:tcPr>
            <w:tcW w:w="2425" w:type="dxa"/>
          </w:tcPr>
          <w:p w14:paraId="2F980BF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771037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22C61DA" w14:textId="77777777" w:rsidTr="001D5220">
        <w:tc>
          <w:tcPr>
            <w:tcW w:w="2425" w:type="dxa"/>
          </w:tcPr>
          <w:p w14:paraId="2ECBEA8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5FF0C11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1ABE16A" w14:textId="77777777" w:rsidTr="001D5220">
        <w:trPr>
          <w:trHeight w:val="91"/>
        </w:trPr>
        <w:tc>
          <w:tcPr>
            <w:tcW w:w="2425" w:type="dxa"/>
            <w:vMerge w:val="restart"/>
          </w:tcPr>
          <w:p w14:paraId="6BB2C18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3B685D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4C39A5C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5A99BC3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56D6DD5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0BF6AF3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7C394D54" w14:textId="77777777" w:rsidTr="001D5220">
        <w:trPr>
          <w:trHeight w:val="305"/>
        </w:trPr>
        <w:tc>
          <w:tcPr>
            <w:tcW w:w="2425" w:type="dxa"/>
            <w:vMerge/>
          </w:tcPr>
          <w:p w14:paraId="09F3679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9D9DBA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5,997.3</w:t>
            </w:r>
          </w:p>
        </w:tc>
        <w:tc>
          <w:tcPr>
            <w:tcW w:w="1385" w:type="dxa"/>
            <w:shd w:val="clear" w:color="auto" w:fill="auto"/>
          </w:tcPr>
          <w:p w14:paraId="15CC80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31,339.9</w:t>
            </w:r>
          </w:p>
        </w:tc>
        <w:tc>
          <w:tcPr>
            <w:tcW w:w="1385" w:type="dxa"/>
            <w:gridSpan w:val="2"/>
            <w:shd w:val="clear" w:color="auto" w:fill="auto"/>
          </w:tcPr>
          <w:p w14:paraId="6170E24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28,403.6</w:t>
            </w:r>
          </w:p>
        </w:tc>
        <w:tc>
          <w:tcPr>
            <w:tcW w:w="1385" w:type="dxa"/>
            <w:shd w:val="clear" w:color="auto" w:fill="auto"/>
          </w:tcPr>
          <w:p w14:paraId="42A5CCE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36,803.1</w:t>
            </w:r>
          </w:p>
        </w:tc>
        <w:tc>
          <w:tcPr>
            <w:tcW w:w="1660" w:type="dxa"/>
            <w:shd w:val="clear" w:color="auto" w:fill="BFBFBF" w:themeFill="background1" w:themeFillShade="BF"/>
          </w:tcPr>
          <w:p w14:paraId="6DB2B79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42,323.4</w:t>
            </w:r>
          </w:p>
        </w:tc>
      </w:tr>
    </w:tbl>
    <w:p w14:paraId="618AB939"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72270054" w14:textId="77777777" w:rsidTr="001D5220">
        <w:tc>
          <w:tcPr>
            <w:tcW w:w="9625" w:type="dxa"/>
            <w:gridSpan w:val="7"/>
            <w:shd w:val="clear" w:color="auto" w:fill="D9D9D9" w:themeFill="background1" w:themeFillShade="D9"/>
          </w:tcPr>
          <w:p w14:paraId="077D6F6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3. Exemption from excise duties for ethyl alcohol for use in the perfumery and cosmetics industry</w:t>
            </w:r>
          </w:p>
        </w:tc>
      </w:tr>
      <w:tr w:rsidR="00C943A7" w:rsidRPr="007669E1" w14:paraId="1617C2CE" w14:textId="77777777" w:rsidTr="001D5220">
        <w:tc>
          <w:tcPr>
            <w:tcW w:w="2425" w:type="dxa"/>
          </w:tcPr>
          <w:p w14:paraId="5D448EC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2A26304D"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Undenatured ethyl alcohol intended for use in the perfumery and cosmetics industry for the manufacturing of cosmetic products is exempt from excise duties, up to an annual quota established by the government. Undenatured ethyl alcohol used by taxpayers active in the perfumery and cosmetics industry as well as in the field of production and marketing of alcoholic products is not exempt from excise duties.</w:t>
            </w:r>
          </w:p>
        </w:tc>
      </w:tr>
      <w:tr w:rsidR="00C943A7" w:rsidRPr="007669E1" w14:paraId="49E3C0A2" w14:textId="77777777" w:rsidTr="001D5220">
        <w:tc>
          <w:tcPr>
            <w:tcW w:w="2425" w:type="dxa"/>
          </w:tcPr>
          <w:p w14:paraId="2899219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15AA860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57E9547F" w14:textId="77777777" w:rsidTr="001D5220">
        <w:tc>
          <w:tcPr>
            <w:tcW w:w="2425" w:type="dxa"/>
          </w:tcPr>
          <w:p w14:paraId="4161F2C0"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65AA78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Manufacturers of perfumes and cosmetics</w:t>
            </w:r>
          </w:p>
        </w:tc>
      </w:tr>
      <w:tr w:rsidR="00C943A7" w:rsidRPr="007669E1" w14:paraId="178DF153" w14:textId="77777777" w:rsidTr="001D5220">
        <w:tc>
          <w:tcPr>
            <w:tcW w:w="2425" w:type="dxa"/>
          </w:tcPr>
          <w:p w14:paraId="2D5B67E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26AEB62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E2BC105" w14:textId="77777777" w:rsidTr="001D5220">
        <w:tc>
          <w:tcPr>
            <w:tcW w:w="2425" w:type="dxa"/>
          </w:tcPr>
          <w:p w14:paraId="3B6FAEC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469005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45EA2D65" w14:textId="77777777" w:rsidTr="001D5220">
        <w:tc>
          <w:tcPr>
            <w:tcW w:w="2425" w:type="dxa"/>
          </w:tcPr>
          <w:p w14:paraId="0F98A1A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6D7F40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(16)</w:t>
            </w:r>
          </w:p>
        </w:tc>
      </w:tr>
      <w:tr w:rsidR="00C943A7" w:rsidRPr="007669E1" w14:paraId="00ACC507" w14:textId="77777777" w:rsidTr="001D5220">
        <w:trPr>
          <w:trHeight w:val="182"/>
        </w:trPr>
        <w:tc>
          <w:tcPr>
            <w:tcW w:w="2425" w:type="dxa"/>
            <w:vMerge w:val="restart"/>
          </w:tcPr>
          <w:p w14:paraId="43DC542F"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7696566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perfumery and cosmetics industry.</w:t>
            </w:r>
          </w:p>
          <w:p w14:paraId="007DAAA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Law no. 45/2003.</w:t>
            </w:r>
          </w:p>
          <w:p w14:paraId="700783A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As of January 1, 2023, the exemption is restricted to alcohol used for the manufacturing of cosmetic products alone.</w:t>
            </w:r>
          </w:p>
          <w:p w14:paraId="6B5395F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Until July 5, 2002, the amounts of excise duties paid to the budget for alcohol purchased for use in the perfumery were transferred to settlements with the budget. Pursuant to Law no. 1128/2002, as of July 5, 2022, these amounts are returned according to the regulation approved by the Government (annex 1 to Title IV of the Tax Code, point 4 of the notes).</w:t>
            </w:r>
          </w:p>
        </w:tc>
      </w:tr>
      <w:tr w:rsidR="00C943A7" w:rsidRPr="007669E1" w14:paraId="35BDC2CB" w14:textId="77777777" w:rsidTr="001D5220">
        <w:trPr>
          <w:trHeight w:val="182"/>
        </w:trPr>
        <w:tc>
          <w:tcPr>
            <w:tcW w:w="2425" w:type="dxa"/>
            <w:vMerge/>
          </w:tcPr>
          <w:p w14:paraId="7F0F5C1B"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0B4D6B5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2003</w:t>
            </w:r>
          </w:p>
        </w:tc>
        <w:tc>
          <w:tcPr>
            <w:tcW w:w="3738" w:type="dxa"/>
            <w:gridSpan w:val="3"/>
          </w:tcPr>
          <w:p w14:paraId="341C1E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E7FA76B" w14:textId="77777777" w:rsidTr="001D5220">
        <w:tc>
          <w:tcPr>
            <w:tcW w:w="2425" w:type="dxa"/>
          </w:tcPr>
          <w:p w14:paraId="4BE6AC8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6B769003" w14:textId="3C13A411" w:rsidR="007E7377" w:rsidRPr="007669E1" w:rsidRDefault="283D1DF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w:t>
            </w:r>
            <w:r w:rsidR="007E7377" w:rsidRPr="007669E1">
              <w:rPr>
                <w:rFonts w:ascii="Segoe UI" w:hAnsi="Segoe UI" w:cs="Segoe UI"/>
                <w:sz w:val="18"/>
                <w:szCs w:val="18"/>
              </w:rPr>
              <w:t xml:space="preserve"> and Customs Service</w:t>
            </w:r>
          </w:p>
        </w:tc>
      </w:tr>
      <w:tr w:rsidR="00C943A7" w:rsidRPr="007669E1" w14:paraId="7D718286" w14:textId="77777777" w:rsidTr="001D5220">
        <w:tc>
          <w:tcPr>
            <w:tcW w:w="2425" w:type="dxa"/>
          </w:tcPr>
          <w:p w14:paraId="4246961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28F9424E"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3D301405" w14:textId="77777777" w:rsidTr="001D5220">
        <w:tc>
          <w:tcPr>
            <w:tcW w:w="2425" w:type="dxa"/>
          </w:tcPr>
          <w:p w14:paraId="06A946D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271073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AE5FD3F" w14:textId="77777777" w:rsidTr="001D5220">
        <w:tc>
          <w:tcPr>
            <w:tcW w:w="2425" w:type="dxa"/>
          </w:tcPr>
          <w:p w14:paraId="787CD05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67509EB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4162315" w14:textId="77777777" w:rsidTr="001D5220">
        <w:trPr>
          <w:trHeight w:val="91"/>
        </w:trPr>
        <w:tc>
          <w:tcPr>
            <w:tcW w:w="2425" w:type="dxa"/>
            <w:vMerge w:val="restart"/>
          </w:tcPr>
          <w:p w14:paraId="04310BC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89E1D2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14D2043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57F7922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4FAEF7E0"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0668231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48AA8181" w14:textId="77777777" w:rsidTr="001D5220">
        <w:trPr>
          <w:trHeight w:val="305"/>
        </w:trPr>
        <w:tc>
          <w:tcPr>
            <w:tcW w:w="2425" w:type="dxa"/>
            <w:vMerge/>
          </w:tcPr>
          <w:p w14:paraId="404CC9A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CE0CA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6B84D1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28,138.7</w:t>
            </w:r>
          </w:p>
        </w:tc>
        <w:tc>
          <w:tcPr>
            <w:tcW w:w="1385" w:type="dxa"/>
            <w:gridSpan w:val="2"/>
            <w:shd w:val="clear" w:color="auto" w:fill="auto"/>
          </w:tcPr>
          <w:p w14:paraId="5772BFD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206,957.6</w:t>
            </w:r>
          </w:p>
        </w:tc>
        <w:tc>
          <w:tcPr>
            <w:tcW w:w="1385" w:type="dxa"/>
            <w:shd w:val="clear" w:color="auto" w:fill="auto"/>
          </w:tcPr>
          <w:p w14:paraId="6836ED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215,804.8</w:t>
            </w:r>
          </w:p>
        </w:tc>
        <w:tc>
          <w:tcPr>
            <w:tcW w:w="1660" w:type="dxa"/>
            <w:shd w:val="clear" w:color="auto" w:fill="BFBFBF" w:themeFill="background1" w:themeFillShade="BF"/>
          </w:tcPr>
          <w:p w14:paraId="1E33EA2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248,174.9</w:t>
            </w:r>
          </w:p>
        </w:tc>
      </w:tr>
    </w:tbl>
    <w:p w14:paraId="17E0F93E"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64DF26F9" w14:textId="77777777" w:rsidTr="001D5220">
        <w:tc>
          <w:tcPr>
            <w:tcW w:w="9625" w:type="dxa"/>
            <w:gridSpan w:val="7"/>
            <w:shd w:val="clear" w:color="auto" w:fill="D9D9D9" w:themeFill="background1" w:themeFillShade="D9"/>
          </w:tcPr>
          <w:p w14:paraId="6CDC922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4. Exemption from excise duties for domestically-produced alcoholic products</w:t>
            </w:r>
          </w:p>
        </w:tc>
      </w:tr>
      <w:tr w:rsidR="00C943A7" w:rsidRPr="007669E1" w14:paraId="63B5281E" w14:textId="77777777" w:rsidTr="001D5220">
        <w:tc>
          <w:tcPr>
            <w:tcW w:w="2425" w:type="dxa"/>
          </w:tcPr>
          <w:p w14:paraId="5FE70BC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3DBBABA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Beer, wine under tariff heading 2205 and fermented beverages produced by a natural person who does not carry out entrepreneurial activity, and consumed by him and his family members, are exempt from excise duties.</w:t>
            </w:r>
          </w:p>
        </w:tc>
      </w:tr>
      <w:tr w:rsidR="00C943A7" w:rsidRPr="007669E1" w14:paraId="5C0B970A" w14:textId="77777777" w:rsidTr="001D5220">
        <w:tc>
          <w:tcPr>
            <w:tcW w:w="2425" w:type="dxa"/>
          </w:tcPr>
          <w:p w14:paraId="37D0E9C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64A654A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64926FA8" w14:textId="77777777" w:rsidTr="001D5220">
        <w:tc>
          <w:tcPr>
            <w:tcW w:w="2425" w:type="dxa"/>
          </w:tcPr>
          <w:p w14:paraId="43AE2FD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0C6D9FA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Households</w:t>
            </w:r>
          </w:p>
        </w:tc>
      </w:tr>
      <w:tr w:rsidR="00C943A7" w:rsidRPr="007669E1" w14:paraId="4EA530D3" w14:textId="77777777" w:rsidTr="001D5220">
        <w:tc>
          <w:tcPr>
            <w:tcW w:w="2425" w:type="dxa"/>
          </w:tcPr>
          <w:p w14:paraId="60D25D6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0155AB9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B290144" w14:textId="77777777" w:rsidTr="001D5220">
        <w:tc>
          <w:tcPr>
            <w:tcW w:w="2425" w:type="dxa"/>
          </w:tcPr>
          <w:p w14:paraId="324EEE7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lastRenderedPageBreak/>
              <w:t>Reason why this Measure is not part of the Benchmark Tax System</w:t>
            </w:r>
          </w:p>
        </w:tc>
        <w:tc>
          <w:tcPr>
            <w:tcW w:w="7200" w:type="dxa"/>
            <w:gridSpan w:val="6"/>
          </w:tcPr>
          <w:p w14:paraId="191FFC9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7CE23991" w14:textId="77777777" w:rsidTr="001D5220">
        <w:tc>
          <w:tcPr>
            <w:tcW w:w="2425" w:type="dxa"/>
          </w:tcPr>
          <w:p w14:paraId="6F228F8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1BEA0C2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(19)</w:t>
            </w:r>
          </w:p>
        </w:tc>
      </w:tr>
      <w:tr w:rsidR="00C943A7" w:rsidRPr="007669E1" w14:paraId="15D70194" w14:textId="77777777" w:rsidTr="001D5220">
        <w:trPr>
          <w:trHeight w:val="182"/>
        </w:trPr>
        <w:tc>
          <w:tcPr>
            <w:tcW w:w="2425" w:type="dxa"/>
            <w:vMerge w:val="restart"/>
          </w:tcPr>
          <w:p w14:paraId="0DC76F5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3707BD5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simplify the administration of the tax system and is harmonized with the EU Council Directive 92/83/EEC of 19 October 1992 on the harmonization of the structures of excise duties on alcohol and alcoholic beverages.</w:t>
            </w:r>
          </w:p>
          <w:p w14:paraId="3EF69C4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Law no. 288/2017, effective as of 2018.</w:t>
            </w:r>
          </w:p>
        </w:tc>
      </w:tr>
      <w:tr w:rsidR="00C943A7" w:rsidRPr="007669E1" w14:paraId="72E7EF45" w14:textId="77777777" w:rsidTr="001D5220">
        <w:trPr>
          <w:trHeight w:val="182"/>
        </w:trPr>
        <w:tc>
          <w:tcPr>
            <w:tcW w:w="2425" w:type="dxa"/>
            <w:vMerge/>
          </w:tcPr>
          <w:p w14:paraId="746448CE"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4649EFF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2018</w:t>
            </w:r>
          </w:p>
        </w:tc>
        <w:tc>
          <w:tcPr>
            <w:tcW w:w="3738" w:type="dxa"/>
            <w:gridSpan w:val="3"/>
          </w:tcPr>
          <w:p w14:paraId="1D87843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B770952" w14:textId="77777777" w:rsidTr="001D5220">
        <w:tc>
          <w:tcPr>
            <w:tcW w:w="2425" w:type="dxa"/>
          </w:tcPr>
          <w:p w14:paraId="46D31A3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2BA2467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2EFAC6D" w14:textId="77777777" w:rsidTr="001D5220">
        <w:tc>
          <w:tcPr>
            <w:tcW w:w="2425" w:type="dxa"/>
          </w:tcPr>
          <w:p w14:paraId="70AD557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44B3DB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57FC67D" w14:textId="77777777" w:rsidTr="001D5220">
        <w:tc>
          <w:tcPr>
            <w:tcW w:w="2425" w:type="dxa"/>
          </w:tcPr>
          <w:p w14:paraId="7FB69A9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1B54F67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6EA6DF3" w14:textId="77777777" w:rsidTr="001D5220">
        <w:tc>
          <w:tcPr>
            <w:tcW w:w="2425" w:type="dxa"/>
          </w:tcPr>
          <w:p w14:paraId="31EE770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2459750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C4F396F" w14:textId="77777777" w:rsidTr="001D5220">
        <w:trPr>
          <w:trHeight w:val="91"/>
        </w:trPr>
        <w:tc>
          <w:tcPr>
            <w:tcW w:w="2425" w:type="dxa"/>
            <w:vMerge w:val="restart"/>
          </w:tcPr>
          <w:p w14:paraId="3A88BAC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A7314C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1BF1DD8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28CB805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2206973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71E2FEA0"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1DFEAA44" w14:textId="77777777" w:rsidTr="001D5220">
        <w:trPr>
          <w:trHeight w:val="305"/>
        </w:trPr>
        <w:tc>
          <w:tcPr>
            <w:tcW w:w="2425" w:type="dxa"/>
            <w:vMerge/>
          </w:tcPr>
          <w:p w14:paraId="765B342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3ECE4C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5210B4A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65EE494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017DD28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302658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79438099"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0CB0DC52" w14:textId="77777777" w:rsidTr="001D5220">
        <w:tc>
          <w:tcPr>
            <w:tcW w:w="9625" w:type="dxa"/>
            <w:gridSpan w:val="7"/>
            <w:shd w:val="clear" w:color="auto" w:fill="D9D9D9" w:themeFill="background1" w:themeFillShade="D9"/>
          </w:tcPr>
          <w:p w14:paraId="42DF544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5. Exemption from excise duties on coal and coke</w:t>
            </w:r>
          </w:p>
        </w:tc>
      </w:tr>
      <w:tr w:rsidR="00C943A7" w:rsidRPr="007669E1" w14:paraId="64FACEDC" w14:textId="77777777" w:rsidTr="001D5220">
        <w:tc>
          <w:tcPr>
            <w:tcW w:w="2425" w:type="dxa"/>
          </w:tcPr>
          <w:p w14:paraId="7800F5E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57E7718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The consumption of coal and coke is not subject to excise duties.</w:t>
            </w:r>
          </w:p>
        </w:tc>
      </w:tr>
      <w:tr w:rsidR="00C943A7" w:rsidRPr="007669E1" w14:paraId="40885459" w14:textId="77777777" w:rsidTr="001D5220">
        <w:tc>
          <w:tcPr>
            <w:tcW w:w="2425" w:type="dxa"/>
          </w:tcPr>
          <w:p w14:paraId="04DEBC1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6FE1B27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07B4C2E" w14:textId="77777777" w:rsidTr="001D5220">
        <w:tc>
          <w:tcPr>
            <w:tcW w:w="2425" w:type="dxa"/>
          </w:tcPr>
          <w:p w14:paraId="4918C15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55BEB6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Consumers of coal and coke</w:t>
            </w:r>
          </w:p>
        </w:tc>
      </w:tr>
      <w:tr w:rsidR="00C943A7" w:rsidRPr="007669E1" w14:paraId="15C11147" w14:textId="77777777" w:rsidTr="001D5220">
        <w:tc>
          <w:tcPr>
            <w:tcW w:w="2425" w:type="dxa"/>
          </w:tcPr>
          <w:p w14:paraId="6526442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08112B9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5C33083" w14:textId="77777777" w:rsidTr="001D5220">
        <w:tc>
          <w:tcPr>
            <w:tcW w:w="2425" w:type="dxa"/>
          </w:tcPr>
          <w:p w14:paraId="2AC07BB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35576B7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011B094B" w14:textId="77777777" w:rsidTr="001D5220">
        <w:tc>
          <w:tcPr>
            <w:tcW w:w="2425" w:type="dxa"/>
          </w:tcPr>
          <w:p w14:paraId="5C2901D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2C3826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annex 1 to Title IV</w:t>
            </w:r>
          </w:p>
        </w:tc>
      </w:tr>
      <w:tr w:rsidR="00C943A7" w:rsidRPr="007669E1" w14:paraId="37036825" w14:textId="77777777" w:rsidTr="001D5220">
        <w:trPr>
          <w:trHeight w:val="182"/>
        </w:trPr>
        <w:tc>
          <w:tcPr>
            <w:tcW w:w="2425" w:type="dxa"/>
            <w:vMerge w:val="restart"/>
          </w:tcPr>
          <w:p w14:paraId="0540452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0DA9F13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lower the cost of energy for individual and commercial consumers.</w:t>
            </w:r>
          </w:p>
          <w:p w14:paraId="4B98911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Coal and coke have never been subject to excise duties.</w:t>
            </w:r>
          </w:p>
        </w:tc>
      </w:tr>
      <w:tr w:rsidR="00C943A7" w:rsidRPr="007669E1" w14:paraId="62EDAE5B" w14:textId="77777777" w:rsidTr="001D5220">
        <w:trPr>
          <w:trHeight w:val="182"/>
        </w:trPr>
        <w:tc>
          <w:tcPr>
            <w:tcW w:w="2425" w:type="dxa"/>
            <w:vMerge/>
          </w:tcPr>
          <w:p w14:paraId="18BF2D5C"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793BD4B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1991</w:t>
            </w:r>
          </w:p>
        </w:tc>
        <w:tc>
          <w:tcPr>
            <w:tcW w:w="3738" w:type="dxa"/>
            <w:gridSpan w:val="3"/>
          </w:tcPr>
          <w:p w14:paraId="075BAC4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35E54D6" w14:textId="77777777" w:rsidTr="001D5220">
        <w:tc>
          <w:tcPr>
            <w:tcW w:w="2425" w:type="dxa"/>
          </w:tcPr>
          <w:p w14:paraId="5346D59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5F7CD75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Bureau of Statistics</w:t>
            </w:r>
          </w:p>
        </w:tc>
      </w:tr>
      <w:tr w:rsidR="00C943A7" w:rsidRPr="007669E1" w14:paraId="50777D9E" w14:textId="77777777" w:rsidTr="001D5220">
        <w:tc>
          <w:tcPr>
            <w:tcW w:w="2425" w:type="dxa"/>
          </w:tcPr>
          <w:p w14:paraId="64E977F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6BAC6A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value of this tax expenditure is estimated by applying the excise duty rates applicable to fuel oil to the taxable base consisting in imports of coal and coke (in tons).</w:t>
            </w:r>
          </w:p>
        </w:tc>
      </w:tr>
      <w:tr w:rsidR="00C943A7" w:rsidRPr="007669E1" w14:paraId="7EB35D5B" w14:textId="77777777" w:rsidTr="001D5220">
        <w:tc>
          <w:tcPr>
            <w:tcW w:w="2425" w:type="dxa"/>
          </w:tcPr>
          <w:p w14:paraId="131AE84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0A4E73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1DD3523" w14:textId="77777777" w:rsidTr="001D5220">
        <w:tc>
          <w:tcPr>
            <w:tcW w:w="2425" w:type="dxa"/>
          </w:tcPr>
          <w:p w14:paraId="42115F4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2F81CE8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23996BF" w14:textId="77777777" w:rsidTr="001D5220">
        <w:trPr>
          <w:trHeight w:val="91"/>
        </w:trPr>
        <w:tc>
          <w:tcPr>
            <w:tcW w:w="2425" w:type="dxa"/>
            <w:vMerge w:val="restart"/>
          </w:tcPr>
          <w:p w14:paraId="3E4C519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0E3BBF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0BAEDAF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4E12B5E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3ED8608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0DFB716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3EB75DA6" w14:textId="77777777" w:rsidTr="001D5220">
        <w:trPr>
          <w:trHeight w:val="305"/>
        </w:trPr>
        <w:tc>
          <w:tcPr>
            <w:tcW w:w="2425" w:type="dxa"/>
            <w:vMerge/>
          </w:tcPr>
          <w:p w14:paraId="7658BE3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585C02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55,600.6</w:t>
            </w:r>
          </w:p>
        </w:tc>
        <w:tc>
          <w:tcPr>
            <w:tcW w:w="1385" w:type="dxa"/>
            <w:shd w:val="clear" w:color="auto" w:fill="auto"/>
          </w:tcPr>
          <w:p w14:paraId="3729CB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60,165.7</w:t>
            </w:r>
          </w:p>
        </w:tc>
        <w:tc>
          <w:tcPr>
            <w:tcW w:w="1385" w:type="dxa"/>
            <w:gridSpan w:val="2"/>
            <w:shd w:val="clear" w:color="auto" w:fill="auto"/>
          </w:tcPr>
          <w:p w14:paraId="59756DB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54,292.5</w:t>
            </w:r>
          </w:p>
        </w:tc>
        <w:tc>
          <w:tcPr>
            <w:tcW w:w="1385" w:type="dxa"/>
            <w:shd w:val="clear" w:color="auto" w:fill="auto"/>
          </w:tcPr>
          <w:p w14:paraId="08FF3FA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52,068.6</w:t>
            </w:r>
          </w:p>
        </w:tc>
        <w:tc>
          <w:tcPr>
            <w:tcW w:w="1660" w:type="dxa"/>
            <w:shd w:val="clear" w:color="auto" w:fill="BFBFBF" w:themeFill="background1" w:themeFillShade="BF"/>
          </w:tcPr>
          <w:p w14:paraId="433AB82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54,477.4</w:t>
            </w:r>
          </w:p>
        </w:tc>
      </w:tr>
    </w:tbl>
    <w:p w14:paraId="39894290"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2AC1059A" w14:textId="77777777" w:rsidTr="001D5220">
        <w:tc>
          <w:tcPr>
            <w:tcW w:w="9625" w:type="dxa"/>
            <w:gridSpan w:val="7"/>
            <w:shd w:val="clear" w:color="auto" w:fill="D9D9D9" w:themeFill="background1" w:themeFillShade="D9"/>
          </w:tcPr>
          <w:p w14:paraId="137C832D" w14:textId="77777777" w:rsidR="007E7377" w:rsidRPr="00D25834" w:rsidRDefault="007E7377" w:rsidP="00E90BA7">
            <w:pPr>
              <w:keepNext/>
              <w:spacing w:before="20" w:after="20" w:line="240" w:lineRule="auto"/>
              <w:jc w:val="both"/>
              <w:rPr>
                <w:rFonts w:ascii="Segoe UI" w:hAnsi="Segoe UI" w:cs="Segoe UI"/>
                <w:b/>
                <w:bCs/>
                <w:sz w:val="18"/>
                <w:szCs w:val="18"/>
              </w:rPr>
            </w:pPr>
            <w:r w:rsidRPr="00D25834">
              <w:rPr>
                <w:rFonts w:ascii="Segoe UI" w:hAnsi="Segoe UI" w:cs="Segoe UI"/>
                <w:b/>
                <w:bCs/>
                <w:sz w:val="18"/>
                <w:szCs w:val="18"/>
              </w:rPr>
              <w:t>6. Exemption from excise duties for natural gas</w:t>
            </w:r>
          </w:p>
        </w:tc>
      </w:tr>
      <w:tr w:rsidR="00C943A7" w:rsidRPr="007669E1" w14:paraId="16EEC701" w14:textId="77777777" w:rsidTr="001D5220">
        <w:tc>
          <w:tcPr>
            <w:tcW w:w="2425" w:type="dxa"/>
          </w:tcPr>
          <w:p w14:paraId="4A00BDE3" w14:textId="77777777" w:rsidR="007E7377" w:rsidRPr="00D25834" w:rsidRDefault="007E7377" w:rsidP="00E90BA7">
            <w:pPr>
              <w:keepNext/>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1981783F" w14:textId="77777777" w:rsidR="007E7377" w:rsidRPr="007669E1" w:rsidRDefault="007E7377" w:rsidP="00E90BA7">
            <w:pPr>
              <w:keepNext/>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The consumption of natural gas (other than natural gas distillates) is not subject to excise duties.</w:t>
            </w:r>
          </w:p>
        </w:tc>
      </w:tr>
      <w:tr w:rsidR="00C943A7" w:rsidRPr="007669E1" w14:paraId="3CFB0E36" w14:textId="77777777" w:rsidTr="001D5220">
        <w:tc>
          <w:tcPr>
            <w:tcW w:w="2425" w:type="dxa"/>
          </w:tcPr>
          <w:p w14:paraId="61553B1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1DC8D75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20029343" w14:textId="77777777" w:rsidTr="001D5220">
        <w:tc>
          <w:tcPr>
            <w:tcW w:w="2425" w:type="dxa"/>
          </w:tcPr>
          <w:p w14:paraId="065CF80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37A3BF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Consumers of natural gas</w:t>
            </w:r>
          </w:p>
        </w:tc>
      </w:tr>
      <w:tr w:rsidR="00C943A7" w:rsidRPr="007669E1" w14:paraId="1731F199" w14:textId="77777777" w:rsidTr="001D5220">
        <w:tc>
          <w:tcPr>
            <w:tcW w:w="2425" w:type="dxa"/>
          </w:tcPr>
          <w:p w14:paraId="1DD83F1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0BFA2A3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4C342CE" w14:textId="77777777" w:rsidTr="001D5220">
        <w:tc>
          <w:tcPr>
            <w:tcW w:w="2425" w:type="dxa"/>
          </w:tcPr>
          <w:p w14:paraId="720E32D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25C1BED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1BAAF750" w14:textId="77777777" w:rsidTr="001D5220">
        <w:tc>
          <w:tcPr>
            <w:tcW w:w="2425" w:type="dxa"/>
          </w:tcPr>
          <w:p w14:paraId="21E6A69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lastRenderedPageBreak/>
              <w:t>Legal Reference</w:t>
            </w:r>
          </w:p>
        </w:tc>
        <w:tc>
          <w:tcPr>
            <w:tcW w:w="7200" w:type="dxa"/>
            <w:gridSpan w:val="6"/>
          </w:tcPr>
          <w:p w14:paraId="28929D5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annex 1 to Title IV</w:t>
            </w:r>
          </w:p>
        </w:tc>
      </w:tr>
      <w:tr w:rsidR="00C943A7" w:rsidRPr="007669E1" w14:paraId="345B3246" w14:textId="77777777" w:rsidTr="001D5220">
        <w:trPr>
          <w:trHeight w:val="182"/>
        </w:trPr>
        <w:tc>
          <w:tcPr>
            <w:tcW w:w="2425" w:type="dxa"/>
            <w:vMerge w:val="restart"/>
          </w:tcPr>
          <w:p w14:paraId="08DE705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588856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lower the cost of energy for individual and commercial consumers.</w:t>
            </w:r>
          </w:p>
          <w:p w14:paraId="016C573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Natural gas has never been subject to excise duties.</w:t>
            </w:r>
          </w:p>
        </w:tc>
      </w:tr>
      <w:tr w:rsidR="00C943A7" w:rsidRPr="007669E1" w14:paraId="79824F05" w14:textId="77777777" w:rsidTr="001D5220">
        <w:trPr>
          <w:trHeight w:val="182"/>
        </w:trPr>
        <w:tc>
          <w:tcPr>
            <w:tcW w:w="2425" w:type="dxa"/>
            <w:vMerge/>
          </w:tcPr>
          <w:p w14:paraId="29A477FB"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259BA1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1991</w:t>
            </w:r>
          </w:p>
        </w:tc>
        <w:tc>
          <w:tcPr>
            <w:tcW w:w="3738" w:type="dxa"/>
            <w:gridSpan w:val="3"/>
          </w:tcPr>
          <w:p w14:paraId="5E86EE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EEB4DC5" w14:textId="77777777" w:rsidTr="001D5220">
        <w:tc>
          <w:tcPr>
            <w:tcW w:w="2425" w:type="dxa"/>
          </w:tcPr>
          <w:p w14:paraId="171E605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036398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Bureau of Statistics</w:t>
            </w:r>
          </w:p>
        </w:tc>
      </w:tr>
      <w:tr w:rsidR="00C943A7" w:rsidRPr="007669E1" w14:paraId="3534B7AB" w14:textId="77777777" w:rsidTr="001D5220">
        <w:tc>
          <w:tcPr>
            <w:tcW w:w="2425" w:type="dxa"/>
          </w:tcPr>
          <w:p w14:paraId="441333F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2FBE5E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value of this tax expenditure is estimated by applying the excise duty rates applicable to other gaseous hydrocarbons (propane, butane, etc.) to the taxable base consisting in imports of natural gas (expressed in tons).</w:t>
            </w:r>
          </w:p>
        </w:tc>
      </w:tr>
      <w:tr w:rsidR="00C943A7" w:rsidRPr="007669E1" w14:paraId="24BE28C2" w14:textId="77777777" w:rsidTr="001D5220">
        <w:tc>
          <w:tcPr>
            <w:tcW w:w="2425" w:type="dxa"/>
          </w:tcPr>
          <w:p w14:paraId="4276F31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685876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498DC16" w14:textId="77777777" w:rsidTr="001D5220">
        <w:tc>
          <w:tcPr>
            <w:tcW w:w="2425" w:type="dxa"/>
          </w:tcPr>
          <w:p w14:paraId="2E2E5F5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440C3D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CB0931D" w14:textId="77777777" w:rsidTr="001D5220">
        <w:trPr>
          <w:trHeight w:val="91"/>
        </w:trPr>
        <w:tc>
          <w:tcPr>
            <w:tcW w:w="2425" w:type="dxa"/>
            <w:vMerge w:val="restart"/>
          </w:tcPr>
          <w:p w14:paraId="1740106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FC24C8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2BFDF23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484108E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01FF949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44F3EBF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4A52A85B" w14:textId="77777777" w:rsidTr="001D5220">
        <w:trPr>
          <w:trHeight w:val="305"/>
        </w:trPr>
        <w:tc>
          <w:tcPr>
            <w:tcW w:w="2425" w:type="dxa"/>
            <w:vMerge/>
          </w:tcPr>
          <w:p w14:paraId="7D08A05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EFC1D8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2,512,767.7</w:t>
            </w:r>
          </w:p>
        </w:tc>
        <w:tc>
          <w:tcPr>
            <w:tcW w:w="1385" w:type="dxa"/>
            <w:shd w:val="clear" w:color="auto" w:fill="auto"/>
          </w:tcPr>
          <w:p w14:paraId="390551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2,579,529.9</w:t>
            </w:r>
          </w:p>
        </w:tc>
        <w:tc>
          <w:tcPr>
            <w:tcW w:w="1385" w:type="dxa"/>
            <w:gridSpan w:val="2"/>
            <w:shd w:val="clear" w:color="auto" w:fill="auto"/>
          </w:tcPr>
          <w:p w14:paraId="1C073D3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2,742,243.0</w:t>
            </w:r>
          </w:p>
        </w:tc>
        <w:tc>
          <w:tcPr>
            <w:tcW w:w="1385" w:type="dxa"/>
            <w:shd w:val="clear" w:color="auto" w:fill="auto"/>
          </w:tcPr>
          <w:p w14:paraId="5CC3CD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3,308,866.8</w:t>
            </w:r>
          </w:p>
        </w:tc>
        <w:tc>
          <w:tcPr>
            <w:tcW w:w="1660" w:type="dxa"/>
            <w:shd w:val="clear" w:color="auto" w:fill="BFBFBF" w:themeFill="background1" w:themeFillShade="BF"/>
          </w:tcPr>
          <w:p w14:paraId="5EA7116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2,870,569.7</w:t>
            </w:r>
          </w:p>
        </w:tc>
      </w:tr>
    </w:tbl>
    <w:p w14:paraId="3042EB85"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276B2DB0" w14:textId="77777777" w:rsidTr="001D5220">
        <w:tc>
          <w:tcPr>
            <w:tcW w:w="9625" w:type="dxa"/>
            <w:gridSpan w:val="7"/>
            <w:shd w:val="clear" w:color="auto" w:fill="D9D9D9" w:themeFill="background1" w:themeFillShade="D9"/>
          </w:tcPr>
          <w:p w14:paraId="1910752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7. Exemption from excise duties for jet fuel</w:t>
            </w:r>
          </w:p>
        </w:tc>
      </w:tr>
      <w:tr w:rsidR="00C943A7" w:rsidRPr="007669E1" w14:paraId="139A8C3F" w14:textId="77777777" w:rsidTr="001D5220">
        <w:tc>
          <w:tcPr>
            <w:tcW w:w="2425" w:type="dxa"/>
          </w:tcPr>
          <w:p w14:paraId="55C48E9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709EB534"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Imports of jet fuel and gasoline (tariff headings 271012310, 271012700 and 271019210) intended for the supply of aircrafts involved in the international transport of passengers and freight are exempt from excise duties.</w:t>
            </w:r>
          </w:p>
        </w:tc>
      </w:tr>
      <w:tr w:rsidR="00C943A7" w:rsidRPr="007669E1" w14:paraId="024BC25F" w14:textId="77777777" w:rsidTr="001D5220">
        <w:tc>
          <w:tcPr>
            <w:tcW w:w="2425" w:type="dxa"/>
          </w:tcPr>
          <w:p w14:paraId="2B03063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2E11F75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4EC610CF" w14:textId="77777777" w:rsidTr="001D5220">
        <w:tc>
          <w:tcPr>
            <w:tcW w:w="2425" w:type="dxa"/>
          </w:tcPr>
          <w:p w14:paraId="2F6C553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6A0EA46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Airlines companies involved in international transport of passengers and freight</w:t>
            </w:r>
          </w:p>
        </w:tc>
      </w:tr>
      <w:tr w:rsidR="00C943A7" w:rsidRPr="007669E1" w14:paraId="4763A964" w14:textId="77777777" w:rsidTr="001D5220">
        <w:tc>
          <w:tcPr>
            <w:tcW w:w="2425" w:type="dxa"/>
          </w:tcPr>
          <w:p w14:paraId="1F7FA5A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7F03947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3F9ADF4" w14:textId="77777777" w:rsidTr="001D5220">
        <w:tc>
          <w:tcPr>
            <w:tcW w:w="2425" w:type="dxa"/>
          </w:tcPr>
          <w:p w14:paraId="55664D7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50B612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242614FD" w14:textId="77777777" w:rsidTr="001D5220">
        <w:tc>
          <w:tcPr>
            <w:tcW w:w="2425" w:type="dxa"/>
          </w:tcPr>
          <w:p w14:paraId="4C936CE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4EC62F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(21)</w:t>
            </w:r>
          </w:p>
        </w:tc>
      </w:tr>
      <w:tr w:rsidR="00C943A7" w:rsidRPr="007669E1" w14:paraId="64C04923" w14:textId="77777777" w:rsidTr="001D5220">
        <w:trPr>
          <w:trHeight w:val="182"/>
        </w:trPr>
        <w:tc>
          <w:tcPr>
            <w:tcW w:w="2425" w:type="dxa"/>
            <w:vMerge w:val="restart"/>
          </w:tcPr>
          <w:p w14:paraId="63FFE52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57E9DD8D" w14:textId="0D777C76"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reflects the standard tax treatment of international air transportation.</w:t>
            </w:r>
          </w:p>
          <w:p w14:paraId="6B061E2B" w14:textId="462F1C6F" w:rsidR="007E7377" w:rsidRPr="007669E1" w:rsidRDefault="7FA828C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Law no. 172/2018.</w:t>
            </w:r>
          </w:p>
        </w:tc>
      </w:tr>
      <w:tr w:rsidR="00C943A7" w:rsidRPr="007669E1" w14:paraId="60B952D6" w14:textId="77777777" w:rsidTr="001D5220">
        <w:trPr>
          <w:trHeight w:val="182"/>
        </w:trPr>
        <w:tc>
          <w:tcPr>
            <w:tcW w:w="2425" w:type="dxa"/>
            <w:vMerge/>
          </w:tcPr>
          <w:p w14:paraId="3FC2A4BF"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293715D8" w14:textId="50E02112"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18EBB290" w:rsidRPr="007669E1">
              <w:rPr>
                <w:rFonts w:ascii="Segoe UI" w:hAnsi="Segoe UI" w:cs="Segoe UI"/>
                <w:sz w:val="18"/>
                <w:szCs w:val="18"/>
              </w:rPr>
              <w:t xml:space="preserve"> 2018</w:t>
            </w:r>
          </w:p>
        </w:tc>
        <w:tc>
          <w:tcPr>
            <w:tcW w:w="3738" w:type="dxa"/>
            <w:gridSpan w:val="3"/>
          </w:tcPr>
          <w:p w14:paraId="414DCC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065D9F1" w14:textId="77777777" w:rsidTr="001D5220">
        <w:tc>
          <w:tcPr>
            <w:tcW w:w="2425" w:type="dxa"/>
          </w:tcPr>
          <w:p w14:paraId="40ABD50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1B19307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5DB840A6" w14:textId="77777777" w:rsidTr="001D5220">
        <w:tc>
          <w:tcPr>
            <w:tcW w:w="2425" w:type="dxa"/>
          </w:tcPr>
          <w:p w14:paraId="4E66C4A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5793D752"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1F73B239" w14:textId="77777777" w:rsidTr="001D5220">
        <w:tc>
          <w:tcPr>
            <w:tcW w:w="2425" w:type="dxa"/>
          </w:tcPr>
          <w:p w14:paraId="009514A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7246C15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B2B5732" w14:textId="77777777" w:rsidTr="001D5220">
        <w:tc>
          <w:tcPr>
            <w:tcW w:w="2425" w:type="dxa"/>
          </w:tcPr>
          <w:p w14:paraId="3488F9B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05E0C67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847ECC2" w14:textId="77777777" w:rsidTr="001D5220">
        <w:trPr>
          <w:trHeight w:val="91"/>
        </w:trPr>
        <w:tc>
          <w:tcPr>
            <w:tcW w:w="2425" w:type="dxa"/>
            <w:vMerge w:val="restart"/>
          </w:tcPr>
          <w:p w14:paraId="68BCCBF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DE9A26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7708949F"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1F3A88F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23A5CA5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2A505E8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19515766" w14:textId="77777777" w:rsidTr="001D5220">
        <w:trPr>
          <w:trHeight w:val="305"/>
        </w:trPr>
        <w:tc>
          <w:tcPr>
            <w:tcW w:w="2425" w:type="dxa"/>
            <w:vMerge/>
          </w:tcPr>
          <w:p w14:paraId="2A52CEC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5D29A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72,043.4</w:t>
            </w:r>
          </w:p>
        </w:tc>
        <w:tc>
          <w:tcPr>
            <w:tcW w:w="1385" w:type="dxa"/>
            <w:shd w:val="clear" w:color="auto" w:fill="auto"/>
          </w:tcPr>
          <w:p w14:paraId="3B87B3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263,536.8</w:t>
            </w:r>
          </w:p>
        </w:tc>
        <w:tc>
          <w:tcPr>
            <w:tcW w:w="1385" w:type="dxa"/>
            <w:gridSpan w:val="2"/>
            <w:shd w:val="clear" w:color="auto" w:fill="auto"/>
          </w:tcPr>
          <w:p w14:paraId="5FF9853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92,752.0</w:t>
            </w:r>
          </w:p>
        </w:tc>
        <w:tc>
          <w:tcPr>
            <w:tcW w:w="1385" w:type="dxa"/>
            <w:shd w:val="clear" w:color="auto" w:fill="auto"/>
          </w:tcPr>
          <w:p w14:paraId="0277E42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263,893.0</w:t>
            </w:r>
          </w:p>
        </w:tc>
        <w:tc>
          <w:tcPr>
            <w:tcW w:w="1660" w:type="dxa"/>
            <w:shd w:val="clear" w:color="auto" w:fill="BFBFBF" w:themeFill="background1" w:themeFillShade="BF"/>
          </w:tcPr>
          <w:p w14:paraId="4C7756F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303,476.3</w:t>
            </w:r>
          </w:p>
        </w:tc>
      </w:tr>
    </w:tbl>
    <w:p w14:paraId="0AA3F6CD"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078B588D" w14:textId="77777777" w:rsidTr="001D5220">
        <w:tc>
          <w:tcPr>
            <w:tcW w:w="9625" w:type="dxa"/>
            <w:gridSpan w:val="7"/>
            <w:shd w:val="clear" w:color="auto" w:fill="D9D9D9" w:themeFill="background1" w:themeFillShade="D9"/>
          </w:tcPr>
          <w:p w14:paraId="72CEEDF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8. Exemption from excise duties for domestically-produced nitrogen and oxygen</w:t>
            </w:r>
          </w:p>
        </w:tc>
      </w:tr>
      <w:tr w:rsidR="00C943A7" w:rsidRPr="007669E1" w14:paraId="17BD349A" w14:textId="77777777" w:rsidTr="001D5220">
        <w:tc>
          <w:tcPr>
            <w:tcW w:w="2425" w:type="dxa"/>
          </w:tcPr>
          <w:p w14:paraId="07D0C19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6EA053D6"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Prior to 2023, nitrogen and oxygen produced on the territory of Moldova were exempt from excise duties.</w:t>
            </w:r>
          </w:p>
        </w:tc>
      </w:tr>
      <w:tr w:rsidR="00C943A7" w:rsidRPr="007669E1" w14:paraId="17CEA676" w14:textId="77777777" w:rsidTr="001D5220">
        <w:tc>
          <w:tcPr>
            <w:tcW w:w="2425" w:type="dxa"/>
          </w:tcPr>
          <w:p w14:paraId="5097B52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670DCF1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0EFEF1E8" w14:textId="77777777" w:rsidTr="001D5220">
        <w:tc>
          <w:tcPr>
            <w:tcW w:w="2425" w:type="dxa"/>
          </w:tcPr>
          <w:p w14:paraId="6DD4AF1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134D13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Domestic producers of nitrogen and oxygen</w:t>
            </w:r>
          </w:p>
        </w:tc>
      </w:tr>
      <w:tr w:rsidR="00C943A7" w:rsidRPr="007669E1" w14:paraId="2515B545" w14:textId="77777777" w:rsidTr="001D5220">
        <w:tc>
          <w:tcPr>
            <w:tcW w:w="2425" w:type="dxa"/>
          </w:tcPr>
          <w:p w14:paraId="6592F9B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5283CB2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919695C" w14:textId="77777777" w:rsidTr="001D5220">
        <w:tc>
          <w:tcPr>
            <w:tcW w:w="2425" w:type="dxa"/>
          </w:tcPr>
          <w:p w14:paraId="4CD7D59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0F2993D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039E7E3B" w14:textId="77777777" w:rsidTr="001D5220">
        <w:tc>
          <w:tcPr>
            <w:tcW w:w="2425" w:type="dxa"/>
          </w:tcPr>
          <w:p w14:paraId="6EEBC87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667723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(17)</w:t>
            </w:r>
          </w:p>
        </w:tc>
      </w:tr>
      <w:tr w:rsidR="00C943A7" w:rsidRPr="007669E1" w14:paraId="7A40FE7D" w14:textId="77777777" w:rsidTr="001D5220">
        <w:trPr>
          <w:trHeight w:val="182"/>
        </w:trPr>
        <w:tc>
          <w:tcPr>
            <w:tcW w:w="2425" w:type="dxa"/>
            <w:vMerge w:val="restart"/>
          </w:tcPr>
          <w:p w14:paraId="725D4D6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006EB26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intended to support the domestic production of nitrogen and oxygen.</w:t>
            </w:r>
          </w:p>
          <w:p w14:paraId="31BEA80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lastRenderedPageBreak/>
              <w:t>The exemption from excise duties for nitrogen and oxygen produced in Moldova was repealed by Law no. 356 of 29.12.22, MO456-459/30.12.22 art. 813, effective January 1, 2023.</w:t>
            </w:r>
          </w:p>
        </w:tc>
      </w:tr>
      <w:tr w:rsidR="00C943A7" w:rsidRPr="007669E1" w14:paraId="2D40F100" w14:textId="77777777" w:rsidTr="001D5220">
        <w:trPr>
          <w:trHeight w:val="182"/>
        </w:trPr>
        <w:tc>
          <w:tcPr>
            <w:tcW w:w="2425" w:type="dxa"/>
            <w:vMerge/>
          </w:tcPr>
          <w:p w14:paraId="2A7006F9"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26C83C9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6AC89D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2023/01/01</w:t>
            </w:r>
          </w:p>
        </w:tc>
      </w:tr>
      <w:tr w:rsidR="00C943A7" w:rsidRPr="007669E1" w14:paraId="7FCF39DE" w14:textId="77777777" w:rsidTr="001D5220">
        <w:tc>
          <w:tcPr>
            <w:tcW w:w="2425" w:type="dxa"/>
          </w:tcPr>
          <w:p w14:paraId="2F6A6A2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20769217" w14:textId="038C8E1C" w:rsidR="007E7377" w:rsidRPr="007669E1" w:rsidRDefault="567CCE8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w:t>
            </w:r>
          </w:p>
        </w:tc>
      </w:tr>
      <w:tr w:rsidR="00C943A7" w:rsidRPr="007669E1" w14:paraId="55188DEE" w14:textId="77777777" w:rsidTr="001D5220">
        <w:tc>
          <w:tcPr>
            <w:tcW w:w="2425" w:type="dxa"/>
          </w:tcPr>
          <w:p w14:paraId="4BEBFEB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3797C976"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007158BF" w14:textId="77777777" w:rsidTr="001D5220">
        <w:tc>
          <w:tcPr>
            <w:tcW w:w="2425" w:type="dxa"/>
          </w:tcPr>
          <w:p w14:paraId="2A09CA0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5498AEA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AA33AE3" w14:textId="77777777" w:rsidTr="001D5220">
        <w:tc>
          <w:tcPr>
            <w:tcW w:w="2425" w:type="dxa"/>
          </w:tcPr>
          <w:p w14:paraId="1766589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4C60DA4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03E1535" w14:textId="77777777" w:rsidTr="001D5220">
        <w:trPr>
          <w:trHeight w:val="91"/>
        </w:trPr>
        <w:tc>
          <w:tcPr>
            <w:tcW w:w="2425" w:type="dxa"/>
            <w:vMerge w:val="restart"/>
          </w:tcPr>
          <w:p w14:paraId="2316EB2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1475AE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697845A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46153F2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3823D3E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5185ACA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7374F1AB" w14:textId="77777777" w:rsidTr="001D5220">
        <w:trPr>
          <w:trHeight w:val="305"/>
        </w:trPr>
        <w:tc>
          <w:tcPr>
            <w:tcW w:w="2425" w:type="dxa"/>
            <w:vMerge/>
          </w:tcPr>
          <w:p w14:paraId="38C05A1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64DC56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09BDDF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4,993.4</w:t>
            </w:r>
          </w:p>
        </w:tc>
        <w:tc>
          <w:tcPr>
            <w:tcW w:w="1385" w:type="dxa"/>
            <w:gridSpan w:val="2"/>
            <w:shd w:val="clear" w:color="auto" w:fill="auto"/>
          </w:tcPr>
          <w:p w14:paraId="669EE76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8,990.4</w:t>
            </w:r>
          </w:p>
        </w:tc>
        <w:tc>
          <w:tcPr>
            <w:tcW w:w="1385" w:type="dxa"/>
            <w:shd w:val="clear" w:color="auto" w:fill="auto"/>
          </w:tcPr>
          <w:p w14:paraId="79204D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9,699.5</w:t>
            </w:r>
          </w:p>
        </w:tc>
        <w:tc>
          <w:tcPr>
            <w:tcW w:w="1660" w:type="dxa"/>
            <w:shd w:val="clear" w:color="auto" w:fill="BFBFBF" w:themeFill="background1" w:themeFillShade="BF"/>
          </w:tcPr>
          <w:p w14:paraId="6752EDA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11,154.4</w:t>
            </w:r>
          </w:p>
        </w:tc>
      </w:tr>
    </w:tbl>
    <w:p w14:paraId="26A9FECC"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1BD80A72" w14:textId="77777777" w:rsidTr="001D5220">
        <w:tc>
          <w:tcPr>
            <w:tcW w:w="9625" w:type="dxa"/>
            <w:gridSpan w:val="7"/>
            <w:shd w:val="clear" w:color="auto" w:fill="D9D9D9" w:themeFill="background1" w:themeFillShade="D9"/>
          </w:tcPr>
          <w:p w14:paraId="7C1063F8"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9. Exemption for goods and services intended to secure natural gas supplies</w:t>
            </w:r>
          </w:p>
        </w:tc>
      </w:tr>
      <w:tr w:rsidR="00C943A7" w:rsidRPr="007669E1" w14:paraId="2BAE8806" w14:textId="77777777" w:rsidTr="001D5220">
        <w:tc>
          <w:tcPr>
            <w:tcW w:w="2425" w:type="dxa"/>
          </w:tcPr>
          <w:p w14:paraId="4A1579E0"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34F164A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and services intended to secure natural gas supplies are exempt from excise duties.</w:t>
            </w:r>
          </w:p>
        </w:tc>
      </w:tr>
      <w:tr w:rsidR="00C943A7" w:rsidRPr="007669E1" w14:paraId="488B9F5F" w14:textId="77777777" w:rsidTr="001D5220">
        <w:tc>
          <w:tcPr>
            <w:tcW w:w="2425" w:type="dxa"/>
          </w:tcPr>
          <w:p w14:paraId="61A51A9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15FA90A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658AE561" w14:textId="77777777" w:rsidTr="001D5220">
        <w:tc>
          <w:tcPr>
            <w:tcW w:w="2425" w:type="dxa"/>
          </w:tcPr>
          <w:p w14:paraId="2F6DD76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23ED66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Importers of natural gas</w:t>
            </w:r>
          </w:p>
        </w:tc>
      </w:tr>
      <w:tr w:rsidR="00C943A7" w:rsidRPr="007669E1" w14:paraId="2C7579C2" w14:textId="77777777" w:rsidTr="001D5220">
        <w:tc>
          <w:tcPr>
            <w:tcW w:w="2425" w:type="dxa"/>
          </w:tcPr>
          <w:p w14:paraId="1C8EA51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2760179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E5F0F48" w14:textId="77777777" w:rsidTr="001D5220">
        <w:tc>
          <w:tcPr>
            <w:tcW w:w="2425" w:type="dxa"/>
          </w:tcPr>
          <w:p w14:paraId="31CCDE0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1B6E37C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31FA891C" w14:textId="77777777" w:rsidTr="001D5220">
        <w:tc>
          <w:tcPr>
            <w:tcW w:w="2425" w:type="dxa"/>
          </w:tcPr>
          <w:p w14:paraId="4FDA214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7E3AD49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Decision no. 850 of 07-12-2022</w:t>
            </w:r>
          </w:p>
        </w:tc>
      </w:tr>
      <w:tr w:rsidR="00C943A7" w:rsidRPr="007669E1" w14:paraId="3602AC75" w14:textId="77777777" w:rsidTr="001D5220">
        <w:trPr>
          <w:trHeight w:val="182"/>
        </w:trPr>
        <w:tc>
          <w:tcPr>
            <w:tcW w:w="2425" w:type="dxa"/>
            <w:vMerge w:val="restart"/>
          </w:tcPr>
          <w:p w14:paraId="736AD28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641AAF2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help securing supply of natural gas to Moldova and is intended to facilitate projects being financed by the European Bank for Reconstruction and Development.</w:t>
            </w:r>
          </w:p>
          <w:p w14:paraId="6EBF253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Decision no. 850 of 07-12-2022, effective December 8, 2022.</w:t>
            </w:r>
          </w:p>
        </w:tc>
      </w:tr>
      <w:tr w:rsidR="00C943A7" w:rsidRPr="007669E1" w14:paraId="3951E855" w14:textId="77777777" w:rsidTr="001D5220">
        <w:trPr>
          <w:trHeight w:val="182"/>
        </w:trPr>
        <w:tc>
          <w:tcPr>
            <w:tcW w:w="2425" w:type="dxa"/>
            <w:vMerge/>
          </w:tcPr>
          <w:p w14:paraId="1F9ECE76"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2A6343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2022</w:t>
            </w:r>
          </w:p>
        </w:tc>
        <w:tc>
          <w:tcPr>
            <w:tcW w:w="3738" w:type="dxa"/>
            <w:gridSpan w:val="3"/>
          </w:tcPr>
          <w:p w14:paraId="3D10672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D871E19" w14:textId="77777777" w:rsidTr="001D5220">
        <w:tc>
          <w:tcPr>
            <w:tcW w:w="2425" w:type="dxa"/>
          </w:tcPr>
          <w:p w14:paraId="164AE25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51D904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877D0DC" w14:textId="77777777" w:rsidTr="001D5220">
        <w:tc>
          <w:tcPr>
            <w:tcW w:w="2425" w:type="dxa"/>
          </w:tcPr>
          <w:p w14:paraId="139A5EE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24388CA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66F2C70" w14:textId="77777777" w:rsidTr="001D5220">
        <w:tc>
          <w:tcPr>
            <w:tcW w:w="2425" w:type="dxa"/>
          </w:tcPr>
          <w:p w14:paraId="17944FA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2FBFA6C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E646B2D" w14:textId="77777777" w:rsidTr="001D5220">
        <w:tc>
          <w:tcPr>
            <w:tcW w:w="2425" w:type="dxa"/>
          </w:tcPr>
          <w:p w14:paraId="5208AB5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31A1FC9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25279E4" w14:textId="77777777" w:rsidTr="001D5220">
        <w:trPr>
          <w:trHeight w:val="91"/>
        </w:trPr>
        <w:tc>
          <w:tcPr>
            <w:tcW w:w="2425" w:type="dxa"/>
            <w:vMerge w:val="restart"/>
          </w:tcPr>
          <w:p w14:paraId="5D705EE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AF5E80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06D28CFE"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56778DD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43895955"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0734DEC2"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775F01" w:rsidRPr="007669E1" w14:paraId="145B47C2" w14:textId="77777777" w:rsidTr="001D5220">
        <w:trPr>
          <w:trHeight w:val="305"/>
        </w:trPr>
        <w:tc>
          <w:tcPr>
            <w:tcW w:w="2425" w:type="dxa"/>
            <w:vMerge/>
          </w:tcPr>
          <w:p w14:paraId="011AE94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073631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65AE3D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86A230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4ACED7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660" w:type="dxa"/>
            <w:shd w:val="clear" w:color="auto" w:fill="auto"/>
          </w:tcPr>
          <w:p w14:paraId="7C34E5A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bl>
    <w:p w14:paraId="2D0AA0E7"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29E15FD6" w14:textId="77777777" w:rsidTr="001D5220">
        <w:tc>
          <w:tcPr>
            <w:tcW w:w="9625" w:type="dxa"/>
            <w:gridSpan w:val="7"/>
            <w:shd w:val="clear" w:color="auto" w:fill="D9D9D9" w:themeFill="background1" w:themeFillShade="D9"/>
          </w:tcPr>
          <w:p w14:paraId="06669EA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10. Exemption from excise duties for motorcycles and mopeds</w:t>
            </w:r>
          </w:p>
        </w:tc>
      </w:tr>
      <w:tr w:rsidR="00C943A7" w:rsidRPr="007669E1" w14:paraId="369110AD" w14:textId="77777777" w:rsidTr="001D5220">
        <w:tc>
          <w:tcPr>
            <w:tcW w:w="2425" w:type="dxa"/>
          </w:tcPr>
          <w:p w14:paraId="46264F30"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46B8B1FD"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Prior to 2021, motorcycles and mopeds (tariff heading 8711) were not subject to excise duties. As of 2021, the exemption is limited to motorcycles and mopeds 10 years old or less.</w:t>
            </w:r>
          </w:p>
        </w:tc>
      </w:tr>
      <w:tr w:rsidR="00C943A7" w:rsidRPr="007669E1" w14:paraId="070C3F27" w14:textId="77777777" w:rsidTr="001D5220">
        <w:tc>
          <w:tcPr>
            <w:tcW w:w="2425" w:type="dxa"/>
          </w:tcPr>
          <w:p w14:paraId="7639878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181209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644EAEB" w14:textId="77777777" w:rsidTr="001D5220">
        <w:tc>
          <w:tcPr>
            <w:tcW w:w="2425" w:type="dxa"/>
          </w:tcPr>
          <w:p w14:paraId="7BDF641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440F33D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Buyers of motorcycles and mopeds</w:t>
            </w:r>
          </w:p>
        </w:tc>
      </w:tr>
      <w:tr w:rsidR="00C943A7" w:rsidRPr="007669E1" w14:paraId="5C96063A" w14:textId="77777777" w:rsidTr="001D5220">
        <w:tc>
          <w:tcPr>
            <w:tcW w:w="2425" w:type="dxa"/>
          </w:tcPr>
          <w:p w14:paraId="6CF5001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0E11D1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07E110F" w14:textId="77777777" w:rsidTr="001D5220">
        <w:tc>
          <w:tcPr>
            <w:tcW w:w="2425" w:type="dxa"/>
          </w:tcPr>
          <w:p w14:paraId="0279C7D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14F39A9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69243F86" w14:textId="77777777" w:rsidTr="001D5220">
        <w:tc>
          <w:tcPr>
            <w:tcW w:w="2425" w:type="dxa"/>
          </w:tcPr>
          <w:p w14:paraId="5F614F8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3333E6A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annex 2 to Title IV</w:t>
            </w:r>
          </w:p>
        </w:tc>
      </w:tr>
      <w:tr w:rsidR="00C943A7" w:rsidRPr="007669E1" w14:paraId="24D95879" w14:textId="77777777" w:rsidTr="001D5220">
        <w:trPr>
          <w:trHeight w:val="182"/>
        </w:trPr>
        <w:tc>
          <w:tcPr>
            <w:tcW w:w="2425" w:type="dxa"/>
            <w:vMerge w:val="restart"/>
          </w:tcPr>
          <w:p w14:paraId="2EA5F3FD"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2F8DF18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Motorcycles and mopeds had never been subject to excise duties prior to 2021.</w:t>
            </w:r>
          </w:p>
          <w:p w14:paraId="737685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lastRenderedPageBreak/>
              <w:t>The current exemption for motorcycles and mopeds 10 years old or less was introduced by Law no. 204/2021, effective as of January 1, 2021.</w:t>
            </w:r>
          </w:p>
        </w:tc>
      </w:tr>
      <w:tr w:rsidR="00C943A7" w:rsidRPr="007669E1" w14:paraId="48DD20F1" w14:textId="77777777" w:rsidTr="001D5220">
        <w:trPr>
          <w:trHeight w:val="182"/>
        </w:trPr>
        <w:tc>
          <w:tcPr>
            <w:tcW w:w="2425" w:type="dxa"/>
            <w:vMerge/>
          </w:tcPr>
          <w:p w14:paraId="4123DD05"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17E2D2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1991</w:t>
            </w:r>
          </w:p>
        </w:tc>
        <w:tc>
          <w:tcPr>
            <w:tcW w:w="3738" w:type="dxa"/>
            <w:gridSpan w:val="3"/>
          </w:tcPr>
          <w:p w14:paraId="73A2D54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EC36836" w14:textId="77777777" w:rsidTr="001D5220">
        <w:tc>
          <w:tcPr>
            <w:tcW w:w="2425" w:type="dxa"/>
          </w:tcPr>
          <w:p w14:paraId="6645AC1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19E7054F" w14:textId="79782D6C" w:rsidR="007E7377" w:rsidRPr="007669E1" w:rsidRDefault="7FF6A71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 Comtrade</w:t>
            </w:r>
          </w:p>
        </w:tc>
      </w:tr>
      <w:tr w:rsidR="00C943A7" w:rsidRPr="007669E1" w14:paraId="7F2EAEC2" w14:textId="77777777" w:rsidTr="001D5220">
        <w:tc>
          <w:tcPr>
            <w:tcW w:w="2425" w:type="dxa"/>
          </w:tcPr>
          <w:p w14:paraId="3981C88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42F6552E" w14:textId="408A6119" w:rsidR="007E7377" w:rsidRPr="007669E1" w:rsidRDefault="2C4211A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number of imported (non-electric) motorcycles is derived from UN Comtrade data. The applicable benchmark excise duty rate is assumed to be the rate applicable to</w:t>
            </w:r>
            <w:r w:rsidR="418FF9ED" w:rsidRPr="007669E1">
              <w:rPr>
                <w:rFonts w:ascii="Segoe UI" w:hAnsi="Segoe UI" w:cs="Segoe UI"/>
                <w:sz w:val="18"/>
                <w:szCs w:val="18"/>
              </w:rPr>
              <w:t xml:space="preserve"> gasoline cars two years old or less with a cylinder capacity not exceeding 1,000 cubic centimeters.</w:t>
            </w:r>
          </w:p>
        </w:tc>
      </w:tr>
      <w:tr w:rsidR="00C943A7" w:rsidRPr="007669E1" w14:paraId="7979FA62" w14:textId="77777777" w:rsidTr="001D5220">
        <w:tc>
          <w:tcPr>
            <w:tcW w:w="2425" w:type="dxa"/>
          </w:tcPr>
          <w:p w14:paraId="3CF33BA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5A43E37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95C439C" w14:textId="77777777" w:rsidTr="001D5220">
        <w:tc>
          <w:tcPr>
            <w:tcW w:w="2425" w:type="dxa"/>
          </w:tcPr>
          <w:p w14:paraId="57877D9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03EA94D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CFD316F" w14:textId="77777777" w:rsidTr="001D5220">
        <w:trPr>
          <w:trHeight w:val="91"/>
        </w:trPr>
        <w:tc>
          <w:tcPr>
            <w:tcW w:w="2425" w:type="dxa"/>
            <w:vMerge w:val="restart"/>
          </w:tcPr>
          <w:p w14:paraId="439A932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C0C5D6B"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2018</w:t>
            </w:r>
          </w:p>
        </w:tc>
        <w:tc>
          <w:tcPr>
            <w:tcW w:w="1385" w:type="dxa"/>
          </w:tcPr>
          <w:p w14:paraId="21689D53"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2019</w:t>
            </w:r>
          </w:p>
        </w:tc>
        <w:tc>
          <w:tcPr>
            <w:tcW w:w="1385" w:type="dxa"/>
            <w:gridSpan w:val="2"/>
          </w:tcPr>
          <w:p w14:paraId="45684F9F"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2020</w:t>
            </w:r>
          </w:p>
        </w:tc>
        <w:tc>
          <w:tcPr>
            <w:tcW w:w="1385" w:type="dxa"/>
          </w:tcPr>
          <w:p w14:paraId="4DC351C4"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2021</w:t>
            </w:r>
          </w:p>
        </w:tc>
        <w:tc>
          <w:tcPr>
            <w:tcW w:w="1660" w:type="dxa"/>
          </w:tcPr>
          <w:p w14:paraId="59249F3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2022</w:t>
            </w:r>
          </w:p>
        </w:tc>
      </w:tr>
      <w:tr w:rsidR="00A2051E" w:rsidRPr="007669E1" w14:paraId="60CA4FA0" w14:textId="77777777" w:rsidTr="00253DAC">
        <w:trPr>
          <w:trHeight w:val="305"/>
        </w:trPr>
        <w:tc>
          <w:tcPr>
            <w:tcW w:w="2425" w:type="dxa"/>
            <w:vMerge/>
          </w:tcPr>
          <w:p w14:paraId="485E667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88D8F83" w14:textId="2526764C" w:rsidR="007E7377" w:rsidRPr="007669E1" w:rsidRDefault="266CDDE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2,369.0</w:t>
            </w:r>
          </w:p>
        </w:tc>
        <w:tc>
          <w:tcPr>
            <w:tcW w:w="1385" w:type="dxa"/>
            <w:shd w:val="clear" w:color="auto" w:fill="auto"/>
          </w:tcPr>
          <w:p w14:paraId="19C77BD8" w14:textId="4F9513E1" w:rsidR="007E7377" w:rsidRPr="007669E1" w:rsidRDefault="6321D22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5,888.2</w:t>
            </w:r>
          </w:p>
        </w:tc>
        <w:tc>
          <w:tcPr>
            <w:tcW w:w="1385" w:type="dxa"/>
            <w:gridSpan w:val="2"/>
            <w:shd w:val="clear" w:color="auto" w:fill="auto"/>
          </w:tcPr>
          <w:p w14:paraId="14E6CC7D" w14:textId="25288983" w:rsidR="007E7377" w:rsidRPr="007669E1" w:rsidRDefault="1E7C68A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7,664.0</w:t>
            </w:r>
          </w:p>
        </w:tc>
        <w:tc>
          <w:tcPr>
            <w:tcW w:w="1385" w:type="dxa"/>
            <w:shd w:val="clear" w:color="auto" w:fill="auto"/>
          </w:tcPr>
          <w:p w14:paraId="753F81AB" w14:textId="1F303A36" w:rsidR="007E7377" w:rsidRPr="007669E1" w:rsidRDefault="12A9CB0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5,156.2</w:t>
            </w:r>
          </w:p>
        </w:tc>
        <w:tc>
          <w:tcPr>
            <w:tcW w:w="1660" w:type="dxa"/>
            <w:shd w:val="clear" w:color="auto" w:fill="D9D9D9" w:themeFill="background1" w:themeFillShade="D9"/>
          </w:tcPr>
          <w:p w14:paraId="205E680C" w14:textId="4BB537C2" w:rsidR="007E7377" w:rsidRPr="007669E1" w:rsidRDefault="3D725603" w:rsidP="00E90BA7">
            <w:pPr>
              <w:spacing w:before="20" w:after="20" w:line="240" w:lineRule="auto"/>
              <w:jc w:val="both"/>
              <w:rPr>
                <w:rFonts w:ascii="Segoe UI" w:hAnsi="Segoe UI" w:cs="Segoe UI"/>
                <w:sz w:val="18"/>
                <w:szCs w:val="18"/>
              </w:rPr>
            </w:pPr>
            <w:r w:rsidRPr="007669E1">
              <w:rPr>
                <w:rFonts w:ascii="Segoe UI" w:hAnsi="Segoe UI" w:cs="Segoe UI"/>
                <w:i/>
                <w:sz w:val="18"/>
                <w:szCs w:val="18"/>
              </w:rPr>
              <w:t>7,790.9</w:t>
            </w:r>
          </w:p>
        </w:tc>
      </w:tr>
    </w:tbl>
    <w:p w14:paraId="6D49EB08"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D25834" w14:paraId="56A267DE" w14:textId="77777777" w:rsidTr="001D5220">
        <w:tc>
          <w:tcPr>
            <w:tcW w:w="9625" w:type="dxa"/>
            <w:gridSpan w:val="7"/>
            <w:shd w:val="clear" w:color="auto" w:fill="D9D9D9" w:themeFill="background1" w:themeFillShade="D9"/>
          </w:tcPr>
          <w:p w14:paraId="3EF4F68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11. Exemption from excise duties for tractors, buses, trucks and special-purpose vehicles</w:t>
            </w:r>
          </w:p>
        </w:tc>
      </w:tr>
      <w:tr w:rsidR="00C943A7" w:rsidRPr="007669E1" w14:paraId="548DFC35" w14:textId="77777777" w:rsidTr="001D5220">
        <w:tc>
          <w:tcPr>
            <w:tcW w:w="2425" w:type="dxa"/>
          </w:tcPr>
          <w:p w14:paraId="2F778CC9"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Description</w:t>
            </w:r>
          </w:p>
        </w:tc>
        <w:tc>
          <w:tcPr>
            <w:tcW w:w="7200" w:type="dxa"/>
            <w:gridSpan w:val="6"/>
          </w:tcPr>
          <w:p w14:paraId="1860CC6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Prior to 2021, tractors (other than agricultural and forestry tractors), buses, trucks and special-purpose vehicles (tariff headings 8701, 8702, 8704 and 8705) were not subject to excise duties. As of 2021, these vehicles are exempt if they have been in exploitation for not more than a certain specified period (7 years for buses, 10 years for trucks and special-purpose vehicles, and 12 years for road tractors).</w:t>
            </w:r>
          </w:p>
        </w:tc>
      </w:tr>
      <w:tr w:rsidR="00C943A7" w:rsidRPr="007669E1" w14:paraId="3987899D" w14:textId="77777777" w:rsidTr="001D5220">
        <w:tc>
          <w:tcPr>
            <w:tcW w:w="2425" w:type="dxa"/>
          </w:tcPr>
          <w:p w14:paraId="66115BF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Tax Affected</w:t>
            </w:r>
          </w:p>
        </w:tc>
        <w:tc>
          <w:tcPr>
            <w:tcW w:w="7200" w:type="dxa"/>
            <w:gridSpan w:val="6"/>
          </w:tcPr>
          <w:p w14:paraId="4301DCF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43A63324" w14:textId="77777777" w:rsidTr="001D5220">
        <w:tc>
          <w:tcPr>
            <w:tcW w:w="2425" w:type="dxa"/>
          </w:tcPr>
          <w:p w14:paraId="1FB70C40"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Beneficiaries</w:t>
            </w:r>
          </w:p>
        </w:tc>
        <w:tc>
          <w:tcPr>
            <w:tcW w:w="7200" w:type="dxa"/>
            <w:gridSpan w:val="6"/>
          </w:tcPr>
          <w:p w14:paraId="4C5DC0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Buyers of tractors, buses, trucks and special-purpose vehicles</w:t>
            </w:r>
          </w:p>
        </w:tc>
      </w:tr>
      <w:tr w:rsidR="00C943A7" w:rsidRPr="007669E1" w14:paraId="1F5D2361" w14:textId="77777777" w:rsidTr="001D5220">
        <w:tc>
          <w:tcPr>
            <w:tcW w:w="2425" w:type="dxa"/>
          </w:tcPr>
          <w:p w14:paraId="5A04D3A1"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Type of Measure</w:t>
            </w:r>
          </w:p>
        </w:tc>
        <w:tc>
          <w:tcPr>
            <w:tcW w:w="7200" w:type="dxa"/>
            <w:gridSpan w:val="6"/>
          </w:tcPr>
          <w:p w14:paraId="0637A26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6F39772" w14:textId="77777777" w:rsidTr="001D5220">
        <w:tc>
          <w:tcPr>
            <w:tcW w:w="2425" w:type="dxa"/>
          </w:tcPr>
          <w:p w14:paraId="5323064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Reason why this Measure is not part of the Benchmark Tax System</w:t>
            </w:r>
          </w:p>
        </w:tc>
        <w:tc>
          <w:tcPr>
            <w:tcW w:w="7200" w:type="dxa"/>
            <w:gridSpan w:val="6"/>
          </w:tcPr>
          <w:p w14:paraId="01B5651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43974284" w14:textId="77777777" w:rsidTr="001D5220">
        <w:tc>
          <w:tcPr>
            <w:tcW w:w="2425" w:type="dxa"/>
          </w:tcPr>
          <w:p w14:paraId="6A05A87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Legal Reference</w:t>
            </w:r>
          </w:p>
        </w:tc>
        <w:tc>
          <w:tcPr>
            <w:tcW w:w="7200" w:type="dxa"/>
            <w:gridSpan w:val="6"/>
          </w:tcPr>
          <w:p w14:paraId="761CA29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annex 2 to Title IV</w:t>
            </w:r>
          </w:p>
        </w:tc>
      </w:tr>
      <w:tr w:rsidR="00775F01" w:rsidRPr="007669E1" w14:paraId="1ADD9F6A" w14:textId="77777777" w:rsidTr="001D5220">
        <w:trPr>
          <w:trHeight w:val="182"/>
        </w:trPr>
        <w:tc>
          <w:tcPr>
            <w:tcW w:w="2425" w:type="dxa"/>
            <w:vMerge w:val="restart"/>
          </w:tcPr>
          <w:p w14:paraId="1CDFA7EF"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Implementation Objectives, and History</w:t>
            </w:r>
          </w:p>
        </w:tc>
        <w:tc>
          <w:tcPr>
            <w:tcW w:w="7200" w:type="dxa"/>
            <w:gridSpan w:val="6"/>
          </w:tcPr>
          <w:p w14:paraId="4B3A377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vehicles had never been subject to excise duties prior to 2021.</w:t>
            </w:r>
          </w:p>
          <w:p w14:paraId="136EC0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current exemption for vehicles newly in exploitation was introduced by Law no. 257/2020, effective as of January 1, 2021.</w:t>
            </w:r>
          </w:p>
        </w:tc>
      </w:tr>
      <w:tr w:rsidR="00775F01" w:rsidRPr="007669E1" w14:paraId="21C7079A" w14:textId="77777777" w:rsidTr="001D5220">
        <w:trPr>
          <w:trHeight w:val="182"/>
        </w:trPr>
        <w:tc>
          <w:tcPr>
            <w:tcW w:w="2425" w:type="dxa"/>
            <w:vMerge/>
          </w:tcPr>
          <w:p w14:paraId="43397635" w14:textId="77777777" w:rsidR="007E7377" w:rsidRPr="00D25834" w:rsidRDefault="007E7377" w:rsidP="00E90BA7">
            <w:pPr>
              <w:spacing w:before="20" w:after="20" w:line="240" w:lineRule="auto"/>
              <w:jc w:val="both"/>
              <w:rPr>
                <w:rFonts w:ascii="Segoe UI" w:hAnsi="Segoe UI" w:cs="Segoe UI"/>
                <w:b/>
                <w:bCs/>
                <w:sz w:val="18"/>
                <w:szCs w:val="18"/>
              </w:rPr>
            </w:pPr>
          </w:p>
        </w:tc>
        <w:tc>
          <w:tcPr>
            <w:tcW w:w="3462" w:type="dxa"/>
            <w:gridSpan w:val="3"/>
          </w:tcPr>
          <w:p w14:paraId="0E789AC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1991</w:t>
            </w:r>
          </w:p>
        </w:tc>
        <w:tc>
          <w:tcPr>
            <w:tcW w:w="3738" w:type="dxa"/>
            <w:gridSpan w:val="3"/>
          </w:tcPr>
          <w:p w14:paraId="43D6C8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1423517" w14:textId="77777777" w:rsidTr="001D5220">
        <w:tc>
          <w:tcPr>
            <w:tcW w:w="2425" w:type="dxa"/>
          </w:tcPr>
          <w:p w14:paraId="6B7B7257"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Source of Data</w:t>
            </w:r>
          </w:p>
        </w:tc>
        <w:tc>
          <w:tcPr>
            <w:tcW w:w="7200" w:type="dxa"/>
            <w:gridSpan w:val="6"/>
          </w:tcPr>
          <w:p w14:paraId="79DE53CF" w14:textId="126844C5" w:rsidR="007E7377" w:rsidRPr="007669E1" w:rsidRDefault="2B7227C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 Comtrade data</w:t>
            </w:r>
          </w:p>
        </w:tc>
      </w:tr>
      <w:tr w:rsidR="00C943A7" w:rsidRPr="007669E1" w14:paraId="48E85306" w14:textId="77777777" w:rsidTr="001D5220">
        <w:tc>
          <w:tcPr>
            <w:tcW w:w="2425" w:type="dxa"/>
          </w:tcPr>
          <w:p w14:paraId="43FBAE2A"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Estimation Method</w:t>
            </w:r>
          </w:p>
        </w:tc>
        <w:tc>
          <w:tcPr>
            <w:tcW w:w="7200" w:type="dxa"/>
            <w:gridSpan w:val="6"/>
          </w:tcPr>
          <w:p w14:paraId="29554FEF" w14:textId="47A21C81" w:rsidR="007E7377" w:rsidRPr="007669E1" w:rsidRDefault="61CD59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number of imported vehicles is derived from UN Comtrade data. Applicable benchmark excise duty rates are assumed to correspond to the lowest non-nil rates applicable to vehicles of </w:t>
            </w:r>
            <w:r w:rsidR="4EAFB8C8" w:rsidRPr="007669E1">
              <w:rPr>
                <w:rFonts w:ascii="Segoe UI" w:hAnsi="Segoe UI" w:cs="Segoe UI"/>
                <w:sz w:val="18"/>
                <w:szCs w:val="18"/>
              </w:rPr>
              <w:t>the same</w:t>
            </w:r>
            <w:r w:rsidRPr="007669E1">
              <w:rPr>
                <w:rFonts w:ascii="Segoe UI" w:hAnsi="Segoe UI" w:cs="Segoe UI"/>
                <w:sz w:val="18"/>
                <w:szCs w:val="18"/>
              </w:rPr>
              <w:t xml:space="preserve"> category</w:t>
            </w:r>
            <w:r w:rsidR="512BB874" w:rsidRPr="007669E1">
              <w:rPr>
                <w:rFonts w:ascii="Segoe UI" w:hAnsi="Segoe UI" w:cs="Segoe UI"/>
                <w:sz w:val="18"/>
                <w:szCs w:val="18"/>
              </w:rPr>
              <w:t>.</w:t>
            </w:r>
          </w:p>
        </w:tc>
      </w:tr>
      <w:tr w:rsidR="00C943A7" w:rsidRPr="007669E1" w14:paraId="22AD6321" w14:textId="77777777" w:rsidTr="001D5220">
        <w:tc>
          <w:tcPr>
            <w:tcW w:w="2425" w:type="dxa"/>
          </w:tcPr>
          <w:p w14:paraId="13C5E6CC"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Number of Beneficiaries</w:t>
            </w:r>
          </w:p>
        </w:tc>
        <w:tc>
          <w:tcPr>
            <w:tcW w:w="7200" w:type="dxa"/>
            <w:gridSpan w:val="6"/>
          </w:tcPr>
          <w:p w14:paraId="2A33DCE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26DB7E9" w14:textId="77777777" w:rsidTr="001D5220">
        <w:tc>
          <w:tcPr>
            <w:tcW w:w="2425" w:type="dxa"/>
          </w:tcPr>
          <w:p w14:paraId="70C0B616" w14:textId="77777777" w:rsidR="007E7377" w:rsidRPr="00D25834" w:rsidRDefault="007E7377" w:rsidP="00E90BA7">
            <w:pPr>
              <w:spacing w:before="20" w:after="20" w:line="240" w:lineRule="auto"/>
              <w:jc w:val="both"/>
              <w:rPr>
                <w:rFonts w:ascii="Segoe UI" w:hAnsi="Segoe UI" w:cs="Segoe UI"/>
                <w:b/>
                <w:bCs/>
                <w:sz w:val="18"/>
                <w:szCs w:val="18"/>
              </w:rPr>
            </w:pPr>
            <w:r w:rsidRPr="00D25834">
              <w:rPr>
                <w:rFonts w:ascii="Segoe UI" w:hAnsi="Segoe UI" w:cs="Segoe UI"/>
                <w:b/>
                <w:bCs/>
                <w:sz w:val="18"/>
                <w:szCs w:val="18"/>
              </w:rPr>
              <w:t>Revenue Cost Reporting</w:t>
            </w:r>
          </w:p>
        </w:tc>
        <w:tc>
          <w:tcPr>
            <w:tcW w:w="7200" w:type="dxa"/>
            <w:gridSpan w:val="6"/>
          </w:tcPr>
          <w:p w14:paraId="2C1666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3C7165" w:rsidRPr="007669E1" w14:paraId="1B11A4A6" w14:textId="77777777" w:rsidTr="00D25834">
        <w:trPr>
          <w:trHeight w:val="91"/>
        </w:trPr>
        <w:tc>
          <w:tcPr>
            <w:tcW w:w="2425" w:type="dxa"/>
            <w:tcBorders>
              <w:bottom w:val="nil"/>
            </w:tcBorders>
          </w:tcPr>
          <w:p w14:paraId="7635674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9C7A531"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2018</w:t>
            </w:r>
          </w:p>
        </w:tc>
        <w:tc>
          <w:tcPr>
            <w:tcW w:w="1385" w:type="dxa"/>
          </w:tcPr>
          <w:p w14:paraId="7B1954FD"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2019</w:t>
            </w:r>
          </w:p>
        </w:tc>
        <w:tc>
          <w:tcPr>
            <w:tcW w:w="1385" w:type="dxa"/>
            <w:gridSpan w:val="2"/>
          </w:tcPr>
          <w:p w14:paraId="15DE686C"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2020</w:t>
            </w:r>
          </w:p>
        </w:tc>
        <w:tc>
          <w:tcPr>
            <w:tcW w:w="1385" w:type="dxa"/>
          </w:tcPr>
          <w:p w14:paraId="1058AA1D"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2021</w:t>
            </w:r>
          </w:p>
        </w:tc>
        <w:tc>
          <w:tcPr>
            <w:tcW w:w="1660" w:type="dxa"/>
          </w:tcPr>
          <w:p w14:paraId="3482DAD3"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2022</w:t>
            </w:r>
          </w:p>
        </w:tc>
      </w:tr>
      <w:tr w:rsidR="00A2051E" w:rsidRPr="007669E1" w14:paraId="14395BBE" w14:textId="77777777" w:rsidTr="00D25834">
        <w:trPr>
          <w:trHeight w:val="305"/>
        </w:trPr>
        <w:tc>
          <w:tcPr>
            <w:tcW w:w="2425" w:type="dxa"/>
            <w:tcBorders>
              <w:top w:val="nil"/>
            </w:tcBorders>
          </w:tcPr>
          <w:p w14:paraId="0EE63F8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2202C55" w14:textId="6068DE6D" w:rsidR="007E7377" w:rsidRPr="007669E1" w:rsidRDefault="7019EC52" w:rsidP="00E90BA7">
            <w:pPr>
              <w:spacing w:before="20" w:after="20" w:line="240" w:lineRule="auto"/>
              <w:jc w:val="both"/>
              <w:rPr>
                <w:rFonts w:ascii="Segoe UI" w:eastAsia="Segoe UI" w:hAnsi="Segoe UI" w:cs="Segoe UI"/>
                <w:sz w:val="18"/>
                <w:szCs w:val="18"/>
              </w:rPr>
            </w:pPr>
            <w:r w:rsidRPr="007669E1">
              <w:rPr>
                <w:rFonts w:ascii="Segoe UI" w:hAnsi="Segoe UI" w:cs="Segoe UI"/>
                <w:sz w:val="18"/>
                <w:szCs w:val="18"/>
              </w:rPr>
              <w:t>241,656.1</w:t>
            </w:r>
          </w:p>
        </w:tc>
        <w:tc>
          <w:tcPr>
            <w:tcW w:w="1385" w:type="dxa"/>
            <w:shd w:val="clear" w:color="auto" w:fill="auto"/>
          </w:tcPr>
          <w:p w14:paraId="17519040" w14:textId="3229ED91" w:rsidR="007E7377" w:rsidRPr="007669E1" w:rsidRDefault="34F63CCA" w:rsidP="00E90BA7">
            <w:pPr>
              <w:spacing w:before="20" w:after="20" w:line="240" w:lineRule="auto"/>
              <w:jc w:val="both"/>
              <w:rPr>
                <w:rFonts w:ascii="Segoe UI" w:eastAsia="Segoe UI" w:hAnsi="Segoe UI" w:cs="Segoe UI"/>
                <w:sz w:val="18"/>
                <w:szCs w:val="18"/>
              </w:rPr>
            </w:pPr>
            <w:r w:rsidRPr="007669E1">
              <w:rPr>
                <w:rFonts w:ascii="Segoe UI" w:hAnsi="Segoe UI" w:cs="Segoe UI"/>
                <w:sz w:val="18"/>
                <w:szCs w:val="18"/>
              </w:rPr>
              <w:t>278,865.7</w:t>
            </w:r>
          </w:p>
        </w:tc>
        <w:tc>
          <w:tcPr>
            <w:tcW w:w="1385" w:type="dxa"/>
            <w:gridSpan w:val="2"/>
            <w:shd w:val="clear" w:color="auto" w:fill="auto"/>
          </w:tcPr>
          <w:p w14:paraId="2F1792C9" w14:textId="0D8B91B8" w:rsidR="007E7377" w:rsidRPr="007669E1" w:rsidRDefault="77F2B89A"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390,551.0</w:t>
            </w:r>
          </w:p>
        </w:tc>
        <w:tc>
          <w:tcPr>
            <w:tcW w:w="1385" w:type="dxa"/>
            <w:shd w:val="clear" w:color="auto" w:fill="auto"/>
          </w:tcPr>
          <w:p w14:paraId="3666F0F4" w14:textId="3E62029B" w:rsidR="007E7377" w:rsidRPr="007669E1" w:rsidRDefault="5DF613DF"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707,832.2</w:t>
            </w:r>
          </w:p>
        </w:tc>
        <w:tc>
          <w:tcPr>
            <w:tcW w:w="1660" w:type="dxa"/>
            <w:shd w:val="clear" w:color="auto" w:fill="D9D9D9" w:themeFill="background1" w:themeFillShade="D9"/>
          </w:tcPr>
          <w:p w14:paraId="26368281" w14:textId="510AC814" w:rsidR="007E7377" w:rsidRPr="007669E1" w:rsidRDefault="10B67362"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357,162.6</w:t>
            </w:r>
          </w:p>
        </w:tc>
      </w:tr>
    </w:tbl>
    <w:p w14:paraId="58BFC770"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3E6718" w14:paraId="16E2B40A" w14:textId="77777777" w:rsidTr="001D5220">
        <w:tc>
          <w:tcPr>
            <w:tcW w:w="9625" w:type="dxa"/>
            <w:gridSpan w:val="7"/>
            <w:shd w:val="clear" w:color="auto" w:fill="D9D9D9" w:themeFill="background1" w:themeFillShade="D9"/>
          </w:tcPr>
          <w:p w14:paraId="35EB171E"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12. Exemption from excise duties for motor cultivators and agricultural tractors</w:t>
            </w:r>
          </w:p>
        </w:tc>
      </w:tr>
      <w:tr w:rsidR="00C943A7" w:rsidRPr="007669E1" w14:paraId="72FEA71A" w14:textId="77777777" w:rsidTr="001D5220">
        <w:tc>
          <w:tcPr>
            <w:tcW w:w="2425" w:type="dxa"/>
          </w:tcPr>
          <w:p w14:paraId="1221AAD1"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Description</w:t>
            </w:r>
          </w:p>
        </w:tc>
        <w:tc>
          <w:tcPr>
            <w:tcW w:w="7200" w:type="dxa"/>
            <w:gridSpan w:val="6"/>
          </w:tcPr>
          <w:p w14:paraId="30A2DCD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Motor cultivators and agricultural and forestry tractors are exempt from excise duties.</w:t>
            </w:r>
          </w:p>
        </w:tc>
      </w:tr>
      <w:tr w:rsidR="00C943A7" w:rsidRPr="007669E1" w14:paraId="03870632" w14:textId="77777777" w:rsidTr="001D5220">
        <w:tc>
          <w:tcPr>
            <w:tcW w:w="2425" w:type="dxa"/>
          </w:tcPr>
          <w:p w14:paraId="2E5D747A"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Type of Tax Affected</w:t>
            </w:r>
          </w:p>
        </w:tc>
        <w:tc>
          <w:tcPr>
            <w:tcW w:w="7200" w:type="dxa"/>
            <w:gridSpan w:val="6"/>
          </w:tcPr>
          <w:p w14:paraId="524A32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2777593C" w14:textId="77777777" w:rsidTr="001D5220">
        <w:tc>
          <w:tcPr>
            <w:tcW w:w="2425" w:type="dxa"/>
          </w:tcPr>
          <w:p w14:paraId="6E055C7E"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Beneficiaries</w:t>
            </w:r>
          </w:p>
        </w:tc>
        <w:tc>
          <w:tcPr>
            <w:tcW w:w="7200" w:type="dxa"/>
            <w:gridSpan w:val="6"/>
          </w:tcPr>
          <w:p w14:paraId="5EBA2DA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Farming businesses</w:t>
            </w:r>
          </w:p>
        </w:tc>
      </w:tr>
      <w:tr w:rsidR="00C943A7" w:rsidRPr="007669E1" w14:paraId="6F42F5C2" w14:textId="77777777" w:rsidTr="001D5220">
        <w:tc>
          <w:tcPr>
            <w:tcW w:w="2425" w:type="dxa"/>
          </w:tcPr>
          <w:p w14:paraId="28A7114A"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Type of Measure</w:t>
            </w:r>
          </w:p>
        </w:tc>
        <w:tc>
          <w:tcPr>
            <w:tcW w:w="7200" w:type="dxa"/>
            <w:gridSpan w:val="6"/>
          </w:tcPr>
          <w:p w14:paraId="2C4F0A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4E77700" w14:textId="77777777" w:rsidTr="001D5220">
        <w:tc>
          <w:tcPr>
            <w:tcW w:w="2425" w:type="dxa"/>
          </w:tcPr>
          <w:p w14:paraId="76DB18C5"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Reason why this Measure is not part of the Benchmark Tax System</w:t>
            </w:r>
          </w:p>
        </w:tc>
        <w:tc>
          <w:tcPr>
            <w:tcW w:w="7200" w:type="dxa"/>
            <w:gridSpan w:val="6"/>
          </w:tcPr>
          <w:p w14:paraId="4E52432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1BFBE261" w14:textId="77777777" w:rsidTr="001D5220">
        <w:tc>
          <w:tcPr>
            <w:tcW w:w="2425" w:type="dxa"/>
          </w:tcPr>
          <w:p w14:paraId="7ECD258B"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lastRenderedPageBreak/>
              <w:t>Legal Reference</w:t>
            </w:r>
          </w:p>
        </w:tc>
        <w:tc>
          <w:tcPr>
            <w:tcW w:w="7200" w:type="dxa"/>
            <w:gridSpan w:val="6"/>
          </w:tcPr>
          <w:p w14:paraId="1F2650F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annex 2 to Title IV</w:t>
            </w:r>
          </w:p>
        </w:tc>
      </w:tr>
      <w:tr w:rsidR="00775F01" w:rsidRPr="007669E1" w14:paraId="142FFB0F" w14:textId="77777777" w:rsidTr="001D5220">
        <w:trPr>
          <w:trHeight w:val="182"/>
        </w:trPr>
        <w:tc>
          <w:tcPr>
            <w:tcW w:w="2425" w:type="dxa"/>
            <w:vMerge w:val="restart"/>
          </w:tcPr>
          <w:p w14:paraId="292858E3"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Implementation Objectives, and History</w:t>
            </w:r>
          </w:p>
        </w:tc>
        <w:tc>
          <w:tcPr>
            <w:tcW w:w="7200" w:type="dxa"/>
            <w:gridSpan w:val="6"/>
          </w:tcPr>
          <w:p w14:paraId="0BE6D86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agricultural sector.</w:t>
            </w:r>
          </w:p>
          <w:p w14:paraId="3208BC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Motor cultivators and agricultural and forestry tractors were not subject to excise duties prior to 2021. From 2021 to 2022, only motor cultivators in exploitation for more than 12 years and agricultural and forestry tractors in exploitation for more than 20 years were subject to excise duties. The complete exemption for motor cultivators and agricultural and forestry tractors was introduced by Law no. 282 of 06-10-2022.</w:t>
            </w:r>
          </w:p>
        </w:tc>
      </w:tr>
      <w:tr w:rsidR="00775F01" w:rsidRPr="007669E1" w14:paraId="58485A30" w14:textId="77777777" w:rsidTr="001D5220">
        <w:trPr>
          <w:trHeight w:val="182"/>
        </w:trPr>
        <w:tc>
          <w:tcPr>
            <w:tcW w:w="2425" w:type="dxa"/>
            <w:vMerge/>
          </w:tcPr>
          <w:p w14:paraId="0FBF20CE" w14:textId="77777777" w:rsidR="007E7377" w:rsidRPr="003E6718" w:rsidRDefault="007E7377" w:rsidP="00E90BA7">
            <w:pPr>
              <w:spacing w:before="20" w:after="20" w:line="240" w:lineRule="auto"/>
              <w:jc w:val="both"/>
              <w:rPr>
                <w:rFonts w:ascii="Segoe UI" w:hAnsi="Segoe UI" w:cs="Segoe UI"/>
                <w:b/>
                <w:bCs/>
                <w:sz w:val="18"/>
                <w:szCs w:val="18"/>
              </w:rPr>
            </w:pPr>
          </w:p>
        </w:tc>
        <w:tc>
          <w:tcPr>
            <w:tcW w:w="3462" w:type="dxa"/>
            <w:gridSpan w:val="3"/>
          </w:tcPr>
          <w:p w14:paraId="325A34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9A4F4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6F7A613" w14:textId="77777777" w:rsidTr="001D5220">
        <w:tc>
          <w:tcPr>
            <w:tcW w:w="2425" w:type="dxa"/>
          </w:tcPr>
          <w:p w14:paraId="6AB8BDA6"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Source of Data</w:t>
            </w:r>
          </w:p>
        </w:tc>
        <w:tc>
          <w:tcPr>
            <w:tcW w:w="7200" w:type="dxa"/>
            <w:gridSpan w:val="6"/>
          </w:tcPr>
          <w:p w14:paraId="4C507DD1" w14:textId="760D7B2F" w:rsidR="007E7377" w:rsidRPr="007669E1" w:rsidRDefault="6CBBC0B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UN Comtrade</w:t>
            </w:r>
          </w:p>
        </w:tc>
      </w:tr>
      <w:tr w:rsidR="00C943A7" w:rsidRPr="007669E1" w14:paraId="6CA4A244" w14:textId="77777777" w:rsidTr="001D5220">
        <w:tc>
          <w:tcPr>
            <w:tcW w:w="2425" w:type="dxa"/>
          </w:tcPr>
          <w:p w14:paraId="25AAF701"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Estimation Method</w:t>
            </w:r>
          </w:p>
        </w:tc>
        <w:tc>
          <w:tcPr>
            <w:tcW w:w="7200" w:type="dxa"/>
            <w:gridSpan w:val="6"/>
          </w:tcPr>
          <w:p w14:paraId="2AD29B82" w14:textId="5AABF865" w:rsidR="007E7377" w:rsidRPr="007669E1" w:rsidRDefault="7DBED7B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number of imported vehicles is derived from UN Comtrade data. Applicable benchmark excise duty rates are assumed to correspond to the lowest non-nil rates applicable to vehicles of </w:t>
            </w:r>
            <w:r w:rsidR="13106B3A" w:rsidRPr="007669E1">
              <w:rPr>
                <w:rFonts w:ascii="Segoe UI" w:hAnsi="Segoe UI" w:cs="Segoe UI"/>
                <w:sz w:val="18"/>
                <w:szCs w:val="18"/>
              </w:rPr>
              <w:t>the same</w:t>
            </w:r>
            <w:r w:rsidRPr="007669E1">
              <w:rPr>
                <w:rFonts w:ascii="Segoe UI" w:hAnsi="Segoe UI" w:cs="Segoe UI"/>
                <w:sz w:val="18"/>
                <w:szCs w:val="18"/>
              </w:rPr>
              <w:t xml:space="preserve"> category.</w:t>
            </w:r>
          </w:p>
        </w:tc>
      </w:tr>
      <w:tr w:rsidR="00C943A7" w:rsidRPr="007669E1" w14:paraId="4C72F2CF" w14:textId="77777777" w:rsidTr="001D5220">
        <w:tc>
          <w:tcPr>
            <w:tcW w:w="2425" w:type="dxa"/>
          </w:tcPr>
          <w:p w14:paraId="02F1F4F5"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Number of Beneficiaries</w:t>
            </w:r>
          </w:p>
        </w:tc>
        <w:tc>
          <w:tcPr>
            <w:tcW w:w="7200" w:type="dxa"/>
            <w:gridSpan w:val="6"/>
          </w:tcPr>
          <w:p w14:paraId="174EFE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7CA8573" w14:textId="77777777" w:rsidTr="001D5220">
        <w:tc>
          <w:tcPr>
            <w:tcW w:w="2425" w:type="dxa"/>
          </w:tcPr>
          <w:p w14:paraId="70D9D181"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Revenue Cost Reporting</w:t>
            </w:r>
          </w:p>
        </w:tc>
        <w:tc>
          <w:tcPr>
            <w:tcW w:w="7200" w:type="dxa"/>
            <w:gridSpan w:val="6"/>
          </w:tcPr>
          <w:p w14:paraId="6F4727B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3E6718" w:rsidRPr="007669E1" w14:paraId="56EDFD3A" w14:textId="77777777" w:rsidTr="04431FF5">
        <w:trPr>
          <w:trHeight w:val="91"/>
        </w:trPr>
        <w:tc>
          <w:tcPr>
            <w:tcW w:w="2425" w:type="dxa"/>
            <w:vMerge w:val="restart"/>
          </w:tcPr>
          <w:p w14:paraId="4F6E3FA7" w14:textId="77777777" w:rsidR="003E6718" w:rsidRPr="003E6718" w:rsidRDefault="003E6718" w:rsidP="00E90BA7">
            <w:pPr>
              <w:spacing w:before="20" w:after="20" w:line="240" w:lineRule="auto"/>
              <w:jc w:val="both"/>
              <w:rPr>
                <w:rFonts w:ascii="Segoe UI" w:hAnsi="Segoe UI" w:cs="Segoe UI"/>
                <w:b/>
                <w:bCs/>
                <w:sz w:val="18"/>
                <w:szCs w:val="18"/>
              </w:rPr>
            </w:pPr>
          </w:p>
        </w:tc>
        <w:tc>
          <w:tcPr>
            <w:tcW w:w="1385" w:type="dxa"/>
          </w:tcPr>
          <w:p w14:paraId="538CD052" w14:textId="77777777" w:rsidR="003E6718" w:rsidRPr="003E6718" w:rsidRDefault="003E6718"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2018</w:t>
            </w:r>
          </w:p>
        </w:tc>
        <w:tc>
          <w:tcPr>
            <w:tcW w:w="1385" w:type="dxa"/>
          </w:tcPr>
          <w:p w14:paraId="5C20ADC8" w14:textId="77777777" w:rsidR="003E6718" w:rsidRPr="003E6718" w:rsidRDefault="003E6718"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2019</w:t>
            </w:r>
          </w:p>
        </w:tc>
        <w:tc>
          <w:tcPr>
            <w:tcW w:w="1385" w:type="dxa"/>
            <w:gridSpan w:val="2"/>
          </w:tcPr>
          <w:p w14:paraId="6CB7C33F" w14:textId="77777777" w:rsidR="003E6718" w:rsidRPr="003E6718" w:rsidRDefault="003E6718"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2020</w:t>
            </w:r>
          </w:p>
        </w:tc>
        <w:tc>
          <w:tcPr>
            <w:tcW w:w="1385" w:type="dxa"/>
          </w:tcPr>
          <w:p w14:paraId="60CA2FD0" w14:textId="77777777" w:rsidR="003E6718" w:rsidRPr="003E6718" w:rsidRDefault="003E6718"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2021</w:t>
            </w:r>
          </w:p>
        </w:tc>
        <w:tc>
          <w:tcPr>
            <w:tcW w:w="1660" w:type="dxa"/>
          </w:tcPr>
          <w:p w14:paraId="47991601" w14:textId="77777777" w:rsidR="003E6718" w:rsidRPr="003E6718" w:rsidRDefault="003E6718"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2022</w:t>
            </w:r>
          </w:p>
        </w:tc>
      </w:tr>
      <w:tr w:rsidR="003E6718" w:rsidRPr="007669E1" w14:paraId="7FA079FE" w14:textId="77777777" w:rsidTr="00253DAC">
        <w:trPr>
          <w:trHeight w:val="305"/>
        </w:trPr>
        <w:tc>
          <w:tcPr>
            <w:tcW w:w="2425" w:type="dxa"/>
            <w:vMerge/>
          </w:tcPr>
          <w:p w14:paraId="0318843F" w14:textId="77777777" w:rsidR="003E6718" w:rsidRPr="007669E1" w:rsidRDefault="003E6718" w:rsidP="00E90BA7">
            <w:pPr>
              <w:spacing w:before="20" w:after="20" w:line="240" w:lineRule="auto"/>
              <w:jc w:val="both"/>
              <w:rPr>
                <w:rFonts w:ascii="Segoe UI" w:hAnsi="Segoe UI" w:cs="Segoe UI"/>
                <w:sz w:val="18"/>
                <w:szCs w:val="18"/>
              </w:rPr>
            </w:pPr>
          </w:p>
        </w:tc>
        <w:tc>
          <w:tcPr>
            <w:tcW w:w="1385" w:type="dxa"/>
          </w:tcPr>
          <w:p w14:paraId="5E96271F" w14:textId="25AA83F4" w:rsidR="003E6718" w:rsidRPr="007669E1" w:rsidRDefault="003E671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288,597.5</w:t>
            </w:r>
          </w:p>
        </w:tc>
        <w:tc>
          <w:tcPr>
            <w:tcW w:w="1385" w:type="dxa"/>
            <w:shd w:val="clear" w:color="auto" w:fill="auto"/>
          </w:tcPr>
          <w:p w14:paraId="4167BFFB" w14:textId="1994F592" w:rsidR="003E6718" w:rsidRPr="007669E1" w:rsidRDefault="003E671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159,186.0</w:t>
            </w:r>
          </w:p>
        </w:tc>
        <w:tc>
          <w:tcPr>
            <w:tcW w:w="1385" w:type="dxa"/>
            <w:gridSpan w:val="2"/>
            <w:shd w:val="clear" w:color="auto" w:fill="auto"/>
          </w:tcPr>
          <w:p w14:paraId="443CEA5B" w14:textId="029D91EC" w:rsidR="003E6718" w:rsidRPr="007669E1" w:rsidRDefault="003E6718" w:rsidP="00E90BA7">
            <w:pPr>
              <w:spacing w:before="20" w:after="20" w:line="240" w:lineRule="auto"/>
              <w:jc w:val="both"/>
              <w:rPr>
                <w:rFonts w:ascii="Segoe UI" w:eastAsia="Segoe UI" w:hAnsi="Segoe UI" w:cs="Segoe UI"/>
                <w:sz w:val="18"/>
                <w:szCs w:val="18"/>
              </w:rPr>
            </w:pPr>
            <w:r w:rsidRPr="007669E1">
              <w:rPr>
                <w:rFonts w:ascii="Segoe UI" w:hAnsi="Segoe UI" w:cs="Segoe UI"/>
                <w:sz w:val="18"/>
                <w:szCs w:val="18"/>
              </w:rPr>
              <w:t>141,925.0</w:t>
            </w:r>
          </w:p>
        </w:tc>
        <w:tc>
          <w:tcPr>
            <w:tcW w:w="1385" w:type="dxa"/>
            <w:shd w:val="clear" w:color="auto" w:fill="auto"/>
          </w:tcPr>
          <w:p w14:paraId="6FF78DA8" w14:textId="71F3C0D4" w:rsidR="003E6718" w:rsidRPr="007669E1" w:rsidRDefault="003E6718" w:rsidP="00E90BA7">
            <w:pPr>
              <w:spacing w:before="20" w:after="20" w:line="240" w:lineRule="auto"/>
              <w:jc w:val="both"/>
              <w:rPr>
                <w:rFonts w:ascii="Segoe UI" w:eastAsia="Segoe UI" w:hAnsi="Segoe UI" w:cs="Segoe UI"/>
                <w:sz w:val="18"/>
                <w:szCs w:val="18"/>
              </w:rPr>
            </w:pPr>
            <w:r w:rsidRPr="007669E1">
              <w:rPr>
                <w:rFonts w:ascii="Segoe UI" w:hAnsi="Segoe UI" w:cs="Segoe UI"/>
                <w:sz w:val="18"/>
                <w:szCs w:val="18"/>
              </w:rPr>
              <w:t>182,305.0</w:t>
            </w:r>
          </w:p>
        </w:tc>
        <w:tc>
          <w:tcPr>
            <w:tcW w:w="1660" w:type="dxa"/>
            <w:shd w:val="clear" w:color="auto" w:fill="D9D9D9" w:themeFill="background1" w:themeFillShade="D9"/>
          </w:tcPr>
          <w:p w14:paraId="070255C1" w14:textId="2F398AC4" w:rsidR="003E6718" w:rsidRPr="007669E1" w:rsidRDefault="003E6718" w:rsidP="00E90BA7">
            <w:pPr>
              <w:spacing w:before="20" w:after="20" w:line="240" w:lineRule="auto"/>
              <w:jc w:val="both"/>
              <w:rPr>
                <w:rFonts w:ascii="Segoe UI" w:eastAsia="Segoe UI" w:hAnsi="Segoe UI" w:cs="Segoe UI"/>
                <w:sz w:val="18"/>
                <w:szCs w:val="18"/>
              </w:rPr>
            </w:pPr>
            <w:r w:rsidRPr="007669E1">
              <w:rPr>
                <w:rFonts w:ascii="Segoe UI" w:hAnsi="Segoe UI" w:cs="Segoe UI"/>
                <w:i/>
                <w:sz w:val="18"/>
                <w:szCs w:val="18"/>
              </w:rPr>
              <w:t>198,659.0</w:t>
            </w:r>
          </w:p>
        </w:tc>
      </w:tr>
    </w:tbl>
    <w:p w14:paraId="7E4E519A"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3E6718" w14:paraId="2704E473" w14:textId="77777777" w:rsidTr="001D5220">
        <w:tc>
          <w:tcPr>
            <w:tcW w:w="9625" w:type="dxa"/>
            <w:gridSpan w:val="7"/>
            <w:shd w:val="clear" w:color="auto" w:fill="D9D9D9" w:themeFill="background1" w:themeFillShade="D9"/>
          </w:tcPr>
          <w:p w14:paraId="053D9835"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13. Exemptions for means of transport for persons with disabilities of the locomotor apparatus</w:t>
            </w:r>
          </w:p>
        </w:tc>
      </w:tr>
      <w:tr w:rsidR="00C943A7" w:rsidRPr="007669E1" w14:paraId="6B8CE823" w14:textId="77777777" w:rsidTr="001D5220">
        <w:tc>
          <w:tcPr>
            <w:tcW w:w="2425" w:type="dxa"/>
          </w:tcPr>
          <w:p w14:paraId="01BCD64A"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Description</w:t>
            </w:r>
          </w:p>
        </w:tc>
        <w:tc>
          <w:tcPr>
            <w:tcW w:w="7200" w:type="dxa"/>
            <w:gridSpan w:val="6"/>
          </w:tcPr>
          <w:p w14:paraId="44758570"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transport imported for the transportation of persons with disabilities of the locomotive apparatus are exempt from excise duties.</w:t>
            </w:r>
          </w:p>
        </w:tc>
      </w:tr>
      <w:tr w:rsidR="00C943A7" w:rsidRPr="007669E1" w14:paraId="6398B2B8" w14:textId="77777777" w:rsidTr="001D5220">
        <w:tc>
          <w:tcPr>
            <w:tcW w:w="2425" w:type="dxa"/>
          </w:tcPr>
          <w:p w14:paraId="17B27E61"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Type of Tax Affected</w:t>
            </w:r>
          </w:p>
        </w:tc>
        <w:tc>
          <w:tcPr>
            <w:tcW w:w="7200" w:type="dxa"/>
            <w:gridSpan w:val="6"/>
          </w:tcPr>
          <w:p w14:paraId="35A705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0887CC0" w14:textId="77777777" w:rsidTr="001D5220">
        <w:tc>
          <w:tcPr>
            <w:tcW w:w="2425" w:type="dxa"/>
          </w:tcPr>
          <w:p w14:paraId="740D28F6"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Beneficiaries</w:t>
            </w:r>
          </w:p>
        </w:tc>
        <w:tc>
          <w:tcPr>
            <w:tcW w:w="7200" w:type="dxa"/>
            <w:gridSpan w:val="6"/>
          </w:tcPr>
          <w:p w14:paraId="37E969B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Persons with disabilities of the locomotive apparatus</w:t>
            </w:r>
          </w:p>
        </w:tc>
      </w:tr>
      <w:tr w:rsidR="00C943A7" w:rsidRPr="007669E1" w14:paraId="4C24DE98" w14:textId="77777777" w:rsidTr="001D5220">
        <w:tc>
          <w:tcPr>
            <w:tcW w:w="2425" w:type="dxa"/>
          </w:tcPr>
          <w:p w14:paraId="5F26963C"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Type of Measure</w:t>
            </w:r>
          </w:p>
        </w:tc>
        <w:tc>
          <w:tcPr>
            <w:tcW w:w="7200" w:type="dxa"/>
            <w:gridSpan w:val="6"/>
          </w:tcPr>
          <w:p w14:paraId="665E56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7F53776" w14:textId="77777777" w:rsidTr="001D5220">
        <w:tc>
          <w:tcPr>
            <w:tcW w:w="2425" w:type="dxa"/>
          </w:tcPr>
          <w:p w14:paraId="3D7C43C3"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Reason why this Measure is not part of the Benchmark Tax System</w:t>
            </w:r>
          </w:p>
        </w:tc>
        <w:tc>
          <w:tcPr>
            <w:tcW w:w="7200" w:type="dxa"/>
            <w:gridSpan w:val="6"/>
          </w:tcPr>
          <w:p w14:paraId="634061C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37374202" w14:textId="77777777" w:rsidTr="001D5220">
        <w:tc>
          <w:tcPr>
            <w:tcW w:w="2425" w:type="dxa"/>
          </w:tcPr>
          <w:p w14:paraId="555D8DF8"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Legal Reference</w:t>
            </w:r>
          </w:p>
        </w:tc>
        <w:tc>
          <w:tcPr>
            <w:tcW w:w="7200" w:type="dxa"/>
            <w:gridSpan w:val="6"/>
          </w:tcPr>
          <w:p w14:paraId="011C56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articles 124 (14) 1)</w:t>
            </w:r>
          </w:p>
        </w:tc>
      </w:tr>
      <w:tr w:rsidR="00C943A7" w:rsidRPr="007669E1" w14:paraId="4C1F69F7" w14:textId="77777777" w:rsidTr="001D5220">
        <w:trPr>
          <w:trHeight w:val="182"/>
        </w:trPr>
        <w:tc>
          <w:tcPr>
            <w:tcW w:w="2425" w:type="dxa"/>
            <w:vMerge w:val="restart"/>
          </w:tcPr>
          <w:p w14:paraId="5DEC21EA"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Implementation Objectives, and History</w:t>
            </w:r>
          </w:p>
        </w:tc>
        <w:tc>
          <w:tcPr>
            <w:tcW w:w="7200" w:type="dxa"/>
            <w:gridSpan w:val="6"/>
          </w:tcPr>
          <w:p w14:paraId="46DDF57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individuals with disabilities of the locomotive apparatus.</w:t>
            </w:r>
          </w:p>
        </w:tc>
      </w:tr>
      <w:tr w:rsidR="00C943A7" w:rsidRPr="007669E1" w14:paraId="1646459E" w14:textId="77777777" w:rsidTr="001D5220">
        <w:trPr>
          <w:trHeight w:val="182"/>
        </w:trPr>
        <w:tc>
          <w:tcPr>
            <w:tcW w:w="2425" w:type="dxa"/>
            <w:vMerge/>
          </w:tcPr>
          <w:p w14:paraId="6C31135A" w14:textId="77777777" w:rsidR="007E7377" w:rsidRPr="003E6718" w:rsidRDefault="007E7377" w:rsidP="00E90BA7">
            <w:pPr>
              <w:spacing w:before="20" w:after="20" w:line="240" w:lineRule="auto"/>
              <w:jc w:val="both"/>
              <w:rPr>
                <w:rFonts w:ascii="Segoe UI" w:hAnsi="Segoe UI" w:cs="Segoe UI"/>
                <w:b/>
                <w:bCs/>
                <w:sz w:val="18"/>
                <w:szCs w:val="18"/>
              </w:rPr>
            </w:pPr>
          </w:p>
        </w:tc>
        <w:tc>
          <w:tcPr>
            <w:tcW w:w="3462" w:type="dxa"/>
            <w:gridSpan w:val="3"/>
          </w:tcPr>
          <w:p w14:paraId="31C04FB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39C0032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BF6B9D6" w14:textId="77777777" w:rsidTr="001D5220">
        <w:tc>
          <w:tcPr>
            <w:tcW w:w="2425" w:type="dxa"/>
          </w:tcPr>
          <w:p w14:paraId="20E96C55"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Source of Data</w:t>
            </w:r>
          </w:p>
        </w:tc>
        <w:tc>
          <w:tcPr>
            <w:tcW w:w="7200" w:type="dxa"/>
            <w:gridSpan w:val="6"/>
          </w:tcPr>
          <w:p w14:paraId="35EDB9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1DD14A0C" w14:textId="77777777" w:rsidTr="001D5220">
        <w:tc>
          <w:tcPr>
            <w:tcW w:w="2425" w:type="dxa"/>
          </w:tcPr>
          <w:p w14:paraId="434445F8"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Estimation Method</w:t>
            </w:r>
          </w:p>
        </w:tc>
        <w:tc>
          <w:tcPr>
            <w:tcW w:w="7200" w:type="dxa"/>
            <w:gridSpan w:val="6"/>
          </w:tcPr>
          <w:p w14:paraId="2D3D256B"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237A400" w14:textId="77777777" w:rsidTr="001D5220">
        <w:tc>
          <w:tcPr>
            <w:tcW w:w="2425" w:type="dxa"/>
          </w:tcPr>
          <w:p w14:paraId="01126F7A"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Number of Beneficiaries</w:t>
            </w:r>
          </w:p>
        </w:tc>
        <w:tc>
          <w:tcPr>
            <w:tcW w:w="7200" w:type="dxa"/>
            <w:gridSpan w:val="6"/>
          </w:tcPr>
          <w:p w14:paraId="3B4B48E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1768A5E" w14:textId="77777777" w:rsidTr="001D5220">
        <w:tc>
          <w:tcPr>
            <w:tcW w:w="2425" w:type="dxa"/>
          </w:tcPr>
          <w:p w14:paraId="3B9B6526"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Revenue Cost Reporting</w:t>
            </w:r>
          </w:p>
        </w:tc>
        <w:tc>
          <w:tcPr>
            <w:tcW w:w="7200" w:type="dxa"/>
            <w:gridSpan w:val="6"/>
          </w:tcPr>
          <w:p w14:paraId="538431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B1EF782" w14:textId="77777777" w:rsidTr="001D5220">
        <w:trPr>
          <w:trHeight w:val="91"/>
        </w:trPr>
        <w:tc>
          <w:tcPr>
            <w:tcW w:w="2425" w:type="dxa"/>
            <w:vMerge w:val="restart"/>
          </w:tcPr>
          <w:p w14:paraId="0BA7014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0E8E56D"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2018</w:t>
            </w:r>
          </w:p>
        </w:tc>
        <w:tc>
          <w:tcPr>
            <w:tcW w:w="1385" w:type="dxa"/>
          </w:tcPr>
          <w:p w14:paraId="21B637E7"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2019</w:t>
            </w:r>
          </w:p>
        </w:tc>
        <w:tc>
          <w:tcPr>
            <w:tcW w:w="1385" w:type="dxa"/>
            <w:gridSpan w:val="2"/>
          </w:tcPr>
          <w:p w14:paraId="668B6053"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2020</w:t>
            </w:r>
          </w:p>
        </w:tc>
        <w:tc>
          <w:tcPr>
            <w:tcW w:w="1385" w:type="dxa"/>
          </w:tcPr>
          <w:p w14:paraId="0BFB2DF7"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2021</w:t>
            </w:r>
          </w:p>
        </w:tc>
        <w:tc>
          <w:tcPr>
            <w:tcW w:w="1660" w:type="dxa"/>
          </w:tcPr>
          <w:p w14:paraId="3E1F2017"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2022</w:t>
            </w:r>
          </w:p>
        </w:tc>
      </w:tr>
      <w:tr w:rsidR="00A2051E" w:rsidRPr="007669E1" w14:paraId="4C28CEAD" w14:textId="77777777" w:rsidTr="001D5220">
        <w:trPr>
          <w:trHeight w:val="305"/>
        </w:trPr>
        <w:tc>
          <w:tcPr>
            <w:tcW w:w="2425" w:type="dxa"/>
            <w:vMerge/>
          </w:tcPr>
          <w:p w14:paraId="7E0A184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4535F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6D88373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8,797.7</w:t>
            </w:r>
          </w:p>
        </w:tc>
        <w:tc>
          <w:tcPr>
            <w:tcW w:w="1385" w:type="dxa"/>
            <w:gridSpan w:val="2"/>
            <w:shd w:val="clear" w:color="auto" w:fill="auto"/>
          </w:tcPr>
          <w:p w14:paraId="1DBA4A3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42,972.2</w:t>
            </w:r>
          </w:p>
        </w:tc>
        <w:tc>
          <w:tcPr>
            <w:tcW w:w="1385" w:type="dxa"/>
            <w:shd w:val="clear" w:color="auto" w:fill="auto"/>
          </w:tcPr>
          <w:p w14:paraId="0EBECE5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203,213.9</w:t>
            </w:r>
          </w:p>
        </w:tc>
        <w:tc>
          <w:tcPr>
            <w:tcW w:w="1660" w:type="dxa"/>
            <w:shd w:val="clear" w:color="auto" w:fill="BFBFBF" w:themeFill="background1" w:themeFillShade="BF"/>
          </w:tcPr>
          <w:p w14:paraId="48FDD03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25,885.0</w:t>
            </w:r>
          </w:p>
        </w:tc>
      </w:tr>
    </w:tbl>
    <w:p w14:paraId="09A8C48C"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3E6718" w14:paraId="324BA716" w14:textId="77777777" w:rsidTr="001D5220">
        <w:tc>
          <w:tcPr>
            <w:tcW w:w="9625" w:type="dxa"/>
            <w:gridSpan w:val="7"/>
            <w:shd w:val="clear" w:color="auto" w:fill="D9D9D9" w:themeFill="background1" w:themeFillShade="D9"/>
          </w:tcPr>
          <w:p w14:paraId="5A02A39D"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14. Exemption for certain imported public utility vehicles</w:t>
            </w:r>
          </w:p>
        </w:tc>
      </w:tr>
      <w:tr w:rsidR="00C943A7" w:rsidRPr="007669E1" w14:paraId="2B71CC23" w14:textId="77777777" w:rsidTr="001D5220">
        <w:tc>
          <w:tcPr>
            <w:tcW w:w="2425" w:type="dxa"/>
          </w:tcPr>
          <w:p w14:paraId="1B55C3CC"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Description</w:t>
            </w:r>
          </w:p>
        </w:tc>
        <w:tc>
          <w:tcPr>
            <w:tcW w:w="7200" w:type="dxa"/>
            <w:gridSpan w:val="6"/>
          </w:tcPr>
          <w:p w14:paraId="4445238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transport imported free of charge and intended for medical purposes, extinguishing fires, street cleaning, spreading materials or waste collection are exempt from excise duties.</w:t>
            </w:r>
          </w:p>
        </w:tc>
      </w:tr>
      <w:tr w:rsidR="00C943A7" w:rsidRPr="007669E1" w14:paraId="016F3C7B" w14:textId="77777777" w:rsidTr="001D5220">
        <w:tc>
          <w:tcPr>
            <w:tcW w:w="2425" w:type="dxa"/>
          </w:tcPr>
          <w:p w14:paraId="47B1347B"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Type of Tax Affected</w:t>
            </w:r>
          </w:p>
        </w:tc>
        <w:tc>
          <w:tcPr>
            <w:tcW w:w="7200" w:type="dxa"/>
            <w:gridSpan w:val="6"/>
          </w:tcPr>
          <w:p w14:paraId="74371D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5D1FAD0F" w14:textId="77777777" w:rsidTr="001D5220">
        <w:tc>
          <w:tcPr>
            <w:tcW w:w="2425" w:type="dxa"/>
          </w:tcPr>
          <w:p w14:paraId="236FE22C"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Beneficiaries</w:t>
            </w:r>
          </w:p>
        </w:tc>
        <w:tc>
          <w:tcPr>
            <w:tcW w:w="7200" w:type="dxa"/>
            <w:gridSpan w:val="6"/>
          </w:tcPr>
          <w:p w14:paraId="16448143"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2216631F" w14:textId="77777777" w:rsidTr="001D5220">
        <w:tc>
          <w:tcPr>
            <w:tcW w:w="2425" w:type="dxa"/>
          </w:tcPr>
          <w:p w14:paraId="233F061C"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Type of Measure</w:t>
            </w:r>
          </w:p>
        </w:tc>
        <w:tc>
          <w:tcPr>
            <w:tcW w:w="7200" w:type="dxa"/>
            <w:gridSpan w:val="6"/>
          </w:tcPr>
          <w:p w14:paraId="43DA20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B345094" w14:textId="77777777" w:rsidTr="001D5220">
        <w:tc>
          <w:tcPr>
            <w:tcW w:w="2425" w:type="dxa"/>
          </w:tcPr>
          <w:p w14:paraId="4FE56FBB"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Reason why this Measure is not part of the Benchmark Tax System</w:t>
            </w:r>
          </w:p>
        </w:tc>
        <w:tc>
          <w:tcPr>
            <w:tcW w:w="7200" w:type="dxa"/>
            <w:gridSpan w:val="6"/>
          </w:tcPr>
          <w:p w14:paraId="2FFC401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2D400BE6" w14:textId="77777777" w:rsidTr="001D5220">
        <w:tc>
          <w:tcPr>
            <w:tcW w:w="2425" w:type="dxa"/>
          </w:tcPr>
          <w:p w14:paraId="210438E0"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lastRenderedPageBreak/>
              <w:t>Legal Reference</w:t>
            </w:r>
          </w:p>
        </w:tc>
        <w:tc>
          <w:tcPr>
            <w:tcW w:w="7200" w:type="dxa"/>
            <w:gridSpan w:val="6"/>
          </w:tcPr>
          <w:p w14:paraId="3A06ADA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(14) 2)</w:t>
            </w:r>
          </w:p>
        </w:tc>
      </w:tr>
      <w:tr w:rsidR="00C943A7" w:rsidRPr="007669E1" w14:paraId="6DD28554" w14:textId="77777777" w:rsidTr="001D5220">
        <w:trPr>
          <w:trHeight w:val="182"/>
        </w:trPr>
        <w:tc>
          <w:tcPr>
            <w:tcW w:w="2425" w:type="dxa"/>
            <w:vMerge w:val="restart"/>
          </w:tcPr>
          <w:p w14:paraId="0D154D8D"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Implementation Objectives, and History</w:t>
            </w:r>
          </w:p>
        </w:tc>
        <w:tc>
          <w:tcPr>
            <w:tcW w:w="7200" w:type="dxa"/>
            <w:gridSpan w:val="6"/>
          </w:tcPr>
          <w:p w14:paraId="054CC94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provision of public utility services.</w:t>
            </w:r>
          </w:p>
        </w:tc>
      </w:tr>
      <w:tr w:rsidR="00C943A7" w:rsidRPr="007669E1" w14:paraId="1C2B4006" w14:textId="77777777" w:rsidTr="001D5220">
        <w:trPr>
          <w:trHeight w:val="182"/>
        </w:trPr>
        <w:tc>
          <w:tcPr>
            <w:tcW w:w="2425" w:type="dxa"/>
            <w:vMerge/>
          </w:tcPr>
          <w:p w14:paraId="4051CDDE" w14:textId="77777777" w:rsidR="007E7377" w:rsidRPr="003E6718" w:rsidRDefault="007E7377" w:rsidP="00E90BA7">
            <w:pPr>
              <w:spacing w:before="20" w:after="20" w:line="240" w:lineRule="auto"/>
              <w:jc w:val="both"/>
              <w:rPr>
                <w:rFonts w:ascii="Segoe UI" w:hAnsi="Segoe UI" w:cs="Segoe UI"/>
                <w:b/>
                <w:bCs/>
                <w:sz w:val="18"/>
                <w:szCs w:val="18"/>
              </w:rPr>
            </w:pPr>
          </w:p>
        </w:tc>
        <w:tc>
          <w:tcPr>
            <w:tcW w:w="3462" w:type="dxa"/>
            <w:gridSpan w:val="3"/>
          </w:tcPr>
          <w:p w14:paraId="1D539C4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B9F5FC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485B9BE" w14:textId="77777777" w:rsidTr="001D5220">
        <w:tc>
          <w:tcPr>
            <w:tcW w:w="2425" w:type="dxa"/>
          </w:tcPr>
          <w:p w14:paraId="4243E605"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Source of Data</w:t>
            </w:r>
          </w:p>
        </w:tc>
        <w:tc>
          <w:tcPr>
            <w:tcW w:w="7200" w:type="dxa"/>
            <w:gridSpan w:val="6"/>
          </w:tcPr>
          <w:p w14:paraId="41DC1E5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4C1CF519" w14:textId="77777777" w:rsidTr="001D5220">
        <w:tc>
          <w:tcPr>
            <w:tcW w:w="2425" w:type="dxa"/>
          </w:tcPr>
          <w:p w14:paraId="09336D57"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Estimation Method</w:t>
            </w:r>
          </w:p>
        </w:tc>
        <w:tc>
          <w:tcPr>
            <w:tcW w:w="7200" w:type="dxa"/>
            <w:gridSpan w:val="6"/>
          </w:tcPr>
          <w:p w14:paraId="14F668BE"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11A483BA" w14:textId="77777777" w:rsidTr="001D5220">
        <w:tc>
          <w:tcPr>
            <w:tcW w:w="2425" w:type="dxa"/>
          </w:tcPr>
          <w:p w14:paraId="0DF3A324"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Number of Beneficiaries</w:t>
            </w:r>
          </w:p>
        </w:tc>
        <w:tc>
          <w:tcPr>
            <w:tcW w:w="7200" w:type="dxa"/>
            <w:gridSpan w:val="6"/>
          </w:tcPr>
          <w:p w14:paraId="56C6548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074EA23" w14:textId="77777777" w:rsidTr="001D5220">
        <w:tc>
          <w:tcPr>
            <w:tcW w:w="2425" w:type="dxa"/>
          </w:tcPr>
          <w:p w14:paraId="6F5E2626"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Revenue Cost Reporting</w:t>
            </w:r>
          </w:p>
        </w:tc>
        <w:tc>
          <w:tcPr>
            <w:tcW w:w="7200" w:type="dxa"/>
            <w:gridSpan w:val="6"/>
          </w:tcPr>
          <w:p w14:paraId="09EA66C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0D8C8B4" w14:textId="77777777" w:rsidTr="001D5220">
        <w:trPr>
          <w:trHeight w:val="91"/>
        </w:trPr>
        <w:tc>
          <w:tcPr>
            <w:tcW w:w="2425" w:type="dxa"/>
            <w:vMerge w:val="restart"/>
          </w:tcPr>
          <w:p w14:paraId="2046E30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A808B17"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2018</w:t>
            </w:r>
          </w:p>
        </w:tc>
        <w:tc>
          <w:tcPr>
            <w:tcW w:w="1385" w:type="dxa"/>
          </w:tcPr>
          <w:p w14:paraId="1064C6E4"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2019</w:t>
            </w:r>
          </w:p>
        </w:tc>
        <w:tc>
          <w:tcPr>
            <w:tcW w:w="1385" w:type="dxa"/>
            <w:gridSpan w:val="2"/>
          </w:tcPr>
          <w:p w14:paraId="052EC63D"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2020</w:t>
            </w:r>
          </w:p>
        </w:tc>
        <w:tc>
          <w:tcPr>
            <w:tcW w:w="1385" w:type="dxa"/>
          </w:tcPr>
          <w:p w14:paraId="6E77C87B"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2021</w:t>
            </w:r>
          </w:p>
        </w:tc>
        <w:tc>
          <w:tcPr>
            <w:tcW w:w="1660" w:type="dxa"/>
          </w:tcPr>
          <w:p w14:paraId="04530AFA" w14:textId="77777777" w:rsidR="007E7377" w:rsidRPr="003E6718" w:rsidRDefault="007E7377" w:rsidP="00E90BA7">
            <w:pPr>
              <w:spacing w:before="20" w:after="20" w:line="240" w:lineRule="auto"/>
              <w:jc w:val="both"/>
              <w:rPr>
                <w:rFonts w:ascii="Segoe UI" w:hAnsi="Segoe UI" w:cs="Segoe UI"/>
                <w:b/>
                <w:bCs/>
                <w:sz w:val="18"/>
                <w:szCs w:val="18"/>
              </w:rPr>
            </w:pPr>
            <w:r w:rsidRPr="003E6718">
              <w:rPr>
                <w:rFonts w:ascii="Segoe UI" w:hAnsi="Segoe UI" w:cs="Segoe UI"/>
                <w:b/>
                <w:bCs/>
                <w:sz w:val="18"/>
                <w:szCs w:val="18"/>
              </w:rPr>
              <w:t>2022</w:t>
            </w:r>
          </w:p>
        </w:tc>
      </w:tr>
      <w:tr w:rsidR="00A2051E" w:rsidRPr="007669E1" w14:paraId="499EF25F" w14:textId="77777777" w:rsidTr="001D5220">
        <w:trPr>
          <w:trHeight w:val="305"/>
        </w:trPr>
        <w:tc>
          <w:tcPr>
            <w:tcW w:w="2425" w:type="dxa"/>
            <w:vMerge/>
          </w:tcPr>
          <w:p w14:paraId="1798577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A6135C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357.4</w:t>
            </w:r>
          </w:p>
        </w:tc>
        <w:tc>
          <w:tcPr>
            <w:tcW w:w="1385" w:type="dxa"/>
          </w:tcPr>
          <w:p w14:paraId="0E599AD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95.7</w:t>
            </w:r>
          </w:p>
        </w:tc>
        <w:tc>
          <w:tcPr>
            <w:tcW w:w="1385" w:type="dxa"/>
            <w:gridSpan w:val="2"/>
            <w:shd w:val="clear" w:color="auto" w:fill="auto"/>
          </w:tcPr>
          <w:p w14:paraId="1E9687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4.1</w:t>
            </w:r>
          </w:p>
        </w:tc>
        <w:tc>
          <w:tcPr>
            <w:tcW w:w="1385" w:type="dxa"/>
            <w:shd w:val="clear" w:color="auto" w:fill="auto"/>
          </w:tcPr>
          <w:p w14:paraId="0FCB6A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1,653.1</w:t>
            </w:r>
          </w:p>
        </w:tc>
        <w:tc>
          <w:tcPr>
            <w:tcW w:w="1660" w:type="dxa"/>
            <w:shd w:val="clear" w:color="auto" w:fill="BFBFBF" w:themeFill="background1" w:themeFillShade="BF"/>
          </w:tcPr>
          <w:p w14:paraId="09B3967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527.6</w:t>
            </w:r>
          </w:p>
        </w:tc>
      </w:tr>
    </w:tbl>
    <w:p w14:paraId="787687C8"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697C5F" w14:paraId="4B565968" w14:textId="77777777" w:rsidTr="001D5220">
        <w:tc>
          <w:tcPr>
            <w:tcW w:w="9625" w:type="dxa"/>
            <w:gridSpan w:val="7"/>
            <w:shd w:val="clear" w:color="auto" w:fill="D9D9D9" w:themeFill="background1" w:themeFillShade="D9"/>
          </w:tcPr>
          <w:p w14:paraId="2D12F539"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15. Exemption for goods imported for personal use or consumption</w:t>
            </w:r>
          </w:p>
        </w:tc>
      </w:tr>
      <w:tr w:rsidR="00C943A7" w:rsidRPr="007669E1" w14:paraId="4F623096" w14:textId="77777777" w:rsidTr="001D5220">
        <w:tc>
          <w:tcPr>
            <w:tcW w:w="2425" w:type="dxa"/>
          </w:tcPr>
          <w:p w14:paraId="4AB0D27B"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Description</w:t>
            </w:r>
          </w:p>
        </w:tc>
        <w:tc>
          <w:tcPr>
            <w:tcW w:w="7200" w:type="dxa"/>
            <w:gridSpan w:val="6"/>
          </w:tcPr>
          <w:p w14:paraId="7C87A181"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natural persons for non-commercial purposes and whose value or quantity does not exceed the prescribed limits (EUR 300 for goods imported by land transport, EUR 430 for goods imported by air or sea transport, EUR 200 for goods imported by international mail) are not subject to excise duties.</w:t>
            </w:r>
          </w:p>
          <w:p w14:paraId="7A4BD67C"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In addition, excise duties are not charged on certain goods imported by travelers, including objects of personal use, alcoholic and tobacco products up to prescribed limits, and fuel contained in the tank of a vehicle.</w:t>
            </w:r>
          </w:p>
          <w:p w14:paraId="4A70405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Excise duties are also not charged on non-commercial goods received by a natural person from another natural person, provided the value of those goods do not exceed EUR 150. Limits apply to the shipments of alcohol and tobacco products and perfumes and eau de toilette.</w:t>
            </w:r>
          </w:p>
        </w:tc>
      </w:tr>
      <w:tr w:rsidR="00C943A7" w:rsidRPr="007669E1" w14:paraId="1C7F552B" w14:textId="77777777" w:rsidTr="001D5220">
        <w:tc>
          <w:tcPr>
            <w:tcW w:w="2425" w:type="dxa"/>
          </w:tcPr>
          <w:p w14:paraId="04EECD8D"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Type of Tax Affected</w:t>
            </w:r>
          </w:p>
        </w:tc>
        <w:tc>
          <w:tcPr>
            <w:tcW w:w="7200" w:type="dxa"/>
            <w:gridSpan w:val="6"/>
          </w:tcPr>
          <w:p w14:paraId="585052A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67E4931" w14:textId="77777777" w:rsidTr="001D5220">
        <w:tc>
          <w:tcPr>
            <w:tcW w:w="2425" w:type="dxa"/>
          </w:tcPr>
          <w:p w14:paraId="5BF30233"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Beneficiaries</w:t>
            </w:r>
          </w:p>
        </w:tc>
        <w:tc>
          <w:tcPr>
            <w:tcW w:w="7200" w:type="dxa"/>
            <w:gridSpan w:val="6"/>
          </w:tcPr>
          <w:p w14:paraId="14A8457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w:t>
            </w:r>
          </w:p>
        </w:tc>
      </w:tr>
      <w:tr w:rsidR="00C943A7" w:rsidRPr="007669E1" w14:paraId="3F0B5F04" w14:textId="77777777" w:rsidTr="001D5220">
        <w:tc>
          <w:tcPr>
            <w:tcW w:w="2425" w:type="dxa"/>
          </w:tcPr>
          <w:p w14:paraId="05CA978C"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Type of Measure</w:t>
            </w:r>
          </w:p>
        </w:tc>
        <w:tc>
          <w:tcPr>
            <w:tcW w:w="7200" w:type="dxa"/>
            <w:gridSpan w:val="6"/>
          </w:tcPr>
          <w:p w14:paraId="482498E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1D904AA" w14:textId="77777777" w:rsidTr="001D5220">
        <w:tc>
          <w:tcPr>
            <w:tcW w:w="2425" w:type="dxa"/>
          </w:tcPr>
          <w:p w14:paraId="3248E8A8"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Reason why this Measure is not part of the Benchmark Tax System</w:t>
            </w:r>
          </w:p>
        </w:tc>
        <w:tc>
          <w:tcPr>
            <w:tcW w:w="7200" w:type="dxa"/>
            <w:gridSpan w:val="6"/>
          </w:tcPr>
          <w:p w14:paraId="321244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18B8E1C2" w14:textId="77777777" w:rsidTr="001D5220">
        <w:tc>
          <w:tcPr>
            <w:tcW w:w="2425" w:type="dxa"/>
          </w:tcPr>
          <w:p w14:paraId="7D949E28"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Legal Reference</w:t>
            </w:r>
          </w:p>
        </w:tc>
        <w:tc>
          <w:tcPr>
            <w:tcW w:w="7200" w:type="dxa"/>
            <w:gridSpan w:val="6"/>
          </w:tcPr>
          <w:p w14:paraId="498471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articles 124 (1) and (1</w:t>
            </w:r>
            <w:r w:rsidRPr="007669E1">
              <w:rPr>
                <w:rFonts w:ascii="Segoe UI" w:hAnsi="Segoe UI" w:cs="Segoe UI"/>
                <w:sz w:val="18"/>
                <w:szCs w:val="18"/>
                <w:vertAlign w:val="superscript"/>
              </w:rPr>
              <w:t>1</w:t>
            </w:r>
            <w:r w:rsidRPr="007669E1">
              <w:rPr>
                <w:rFonts w:ascii="Segoe UI" w:hAnsi="Segoe UI" w:cs="Segoe UI"/>
                <w:sz w:val="18"/>
                <w:szCs w:val="18"/>
              </w:rPr>
              <w:t>)</w:t>
            </w:r>
          </w:p>
          <w:p w14:paraId="790D927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221 to 232 and 272 to 274</w:t>
            </w:r>
          </w:p>
        </w:tc>
      </w:tr>
      <w:tr w:rsidR="00C943A7" w:rsidRPr="007669E1" w14:paraId="129B163E" w14:textId="77777777" w:rsidTr="001D5220">
        <w:trPr>
          <w:trHeight w:val="182"/>
        </w:trPr>
        <w:tc>
          <w:tcPr>
            <w:tcW w:w="2425" w:type="dxa"/>
            <w:vMerge w:val="restart"/>
          </w:tcPr>
          <w:p w14:paraId="07B99324"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Implementation Objectives, and History</w:t>
            </w:r>
          </w:p>
        </w:tc>
        <w:tc>
          <w:tcPr>
            <w:tcW w:w="7200" w:type="dxa"/>
            <w:gridSpan w:val="6"/>
          </w:tcPr>
          <w:p w14:paraId="754E806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simplify the administration of the tax system.</w:t>
            </w:r>
          </w:p>
          <w:p w14:paraId="5F9FDA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special treatment of shipments by international mail was introduced into Law No. 1569/2002 by Law No. 122 of 16 August 2019.</w:t>
            </w:r>
          </w:p>
        </w:tc>
      </w:tr>
      <w:tr w:rsidR="00C943A7" w:rsidRPr="007669E1" w14:paraId="256BF62F" w14:textId="77777777" w:rsidTr="001D5220">
        <w:trPr>
          <w:trHeight w:val="182"/>
        </w:trPr>
        <w:tc>
          <w:tcPr>
            <w:tcW w:w="2425" w:type="dxa"/>
            <w:vMerge/>
          </w:tcPr>
          <w:p w14:paraId="62B0FB79" w14:textId="77777777" w:rsidR="007E7377" w:rsidRPr="00697C5F" w:rsidRDefault="007E7377" w:rsidP="00E90BA7">
            <w:pPr>
              <w:spacing w:before="20" w:after="20" w:line="240" w:lineRule="auto"/>
              <w:jc w:val="both"/>
              <w:rPr>
                <w:rFonts w:ascii="Segoe UI" w:hAnsi="Segoe UI" w:cs="Segoe UI"/>
                <w:b/>
                <w:bCs/>
                <w:sz w:val="18"/>
                <w:szCs w:val="18"/>
              </w:rPr>
            </w:pPr>
          </w:p>
        </w:tc>
        <w:tc>
          <w:tcPr>
            <w:tcW w:w="3462" w:type="dxa"/>
            <w:gridSpan w:val="3"/>
          </w:tcPr>
          <w:p w14:paraId="3AAC3E9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CE983A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890CD0F" w14:textId="77777777" w:rsidTr="001D5220">
        <w:tc>
          <w:tcPr>
            <w:tcW w:w="2425" w:type="dxa"/>
          </w:tcPr>
          <w:p w14:paraId="39D02731"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Source of Data</w:t>
            </w:r>
          </w:p>
        </w:tc>
        <w:tc>
          <w:tcPr>
            <w:tcW w:w="7200" w:type="dxa"/>
            <w:gridSpan w:val="6"/>
          </w:tcPr>
          <w:p w14:paraId="017C4C8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7464868" w14:textId="77777777" w:rsidTr="001D5220">
        <w:tc>
          <w:tcPr>
            <w:tcW w:w="2425" w:type="dxa"/>
          </w:tcPr>
          <w:p w14:paraId="06176F27"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Estimation Method</w:t>
            </w:r>
          </w:p>
        </w:tc>
        <w:tc>
          <w:tcPr>
            <w:tcW w:w="7200" w:type="dxa"/>
            <w:gridSpan w:val="6"/>
          </w:tcPr>
          <w:p w14:paraId="4C0FDA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7DE16AA" w14:textId="77777777" w:rsidTr="001D5220">
        <w:tc>
          <w:tcPr>
            <w:tcW w:w="2425" w:type="dxa"/>
          </w:tcPr>
          <w:p w14:paraId="7E547620"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Number of Beneficiaries</w:t>
            </w:r>
          </w:p>
        </w:tc>
        <w:tc>
          <w:tcPr>
            <w:tcW w:w="7200" w:type="dxa"/>
            <w:gridSpan w:val="6"/>
          </w:tcPr>
          <w:p w14:paraId="09449A3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D49439" w14:textId="77777777" w:rsidTr="001D5220">
        <w:tc>
          <w:tcPr>
            <w:tcW w:w="2425" w:type="dxa"/>
          </w:tcPr>
          <w:p w14:paraId="0E183EF1"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Revenue Cost Reporting</w:t>
            </w:r>
          </w:p>
        </w:tc>
        <w:tc>
          <w:tcPr>
            <w:tcW w:w="7200" w:type="dxa"/>
            <w:gridSpan w:val="6"/>
          </w:tcPr>
          <w:p w14:paraId="53336C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D6064EA" w14:textId="77777777" w:rsidTr="001D5220">
        <w:trPr>
          <w:trHeight w:val="91"/>
        </w:trPr>
        <w:tc>
          <w:tcPr>
            <w:tcW w:w="2425" w:type="dxa"/>
            <w:vMerge w:val="restart"/>
          </w:tcPr>
          <w:p w14:paraId="5447591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03200CD"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2018</w:t>
            </w:r>
          </w:p>
        </w:tc>
        <w:tc>
          <w:tcPr>
            <w:tcW w:w="1385" w:type="dxa"/>
          </w:tcPr>
          <w:p w14:paraId="2955A7D1"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2019</w:t>
            </w:r>
          </w:p>
        </w:tc>
        <w:tc>
          <w:tcPr>
            <w:tcW w:w="1385" w:type="dxa"/>
            <w:gridSpan w:val="2"/>
          </w:tcPr>
          <w:p w14:paraId="5613D39E"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2020</w:t>
            </w:r>
          </w:p>
        </w:tc>
        <w:tc>
          <w:tcPr>
            <w:tcW w:w="1385" w:type="dxa"/>
          </w:tcPr>
          <w:p w14:paraId="51AA344E"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2021</w:t>
            </w:r>
          </w:p>
        </w:tc>
        <w:tc>
          <w:tcPr>
            <w:tcW w:w="1660" w:type="dxa"/>
          </w:tcPr>
          <w:p w14:paraId="09A5815C"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2022</w:t>
            </w:r>
          </w:p>
        </w:tc>
      </w:tr>
      <w:tr w:rsidR="00775F01" w:rsidRPr="007669E1" w14:paraId="34E7E2EA" w14:textId="77777777" w:rsidTr="001D5220">
        <w:trPr>
          <w:trHeight w:val="305"/>
        </w:trPr>
        <w:tc>
          <w:tcPr>
            <w:tcW w:w="2425" w:type="dxa"/>
            <w:vMerge/>
          </w:tcPr>
          <w:p w14:paraId="660C2B3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BE2BE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44AEBAE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7E44E8C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4A3620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7AF5707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6CF464A4"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697C5F" w14:paraId="206CDAC0" w14:textId="77777777" w:rsidTr="001D5220">
        <w:tc>
          <w:tcPr>
            <w:tcW w:w="9625" w:type="dxa"/>
            <w:gridSpan w:val="7"/>
            <w:shd w:val="clear" w:color="auto" w:fill="D9D9D9" w:themeFill="background1" w:themeFillShade="D9"/>
          </w:tcPr>
          <w:p w14:paraId="7127D6EB" w14:textId="77777777" w:rsidR="007E7377" w:rsidRPr="00697C5F" w:rsidRDefault="007E7377" w:rsidP="00E90BA7">
            <w:pPr>
              <w:keepNext/>
              <w:spacing w:before="20" w:after="20" w:line="240" w:lineRule="auto"/>
              <w:jc w:val="both"/>
              <w:rPr>
                <w:rFonts w:ascii="Segoe UI" w:hAnsi="Segoe UI" w:cs="Segoe UI"/>
                <w:b/>
                <w:bCs/>
                <w:sz w:val="18"/>
                <w:szCs w:val="18"/>
              </w:rPr>
            </w:pPr>
            <w:r w:rsidRPr="00697C5F">
              <w:rPr>
                <w:rFonts w:ascii="Segoe UI" w:hAnsi="Segoe UI" w:cs="Segoe UI"/>
                <w:b/>
                <w:bCs/>
                <w:sz w:val="18"/>
                <w:szCs w:val="18"/>
              </w:rPr>
              <w:lastRenderedPageBreak/>
              <w:t>16. Exemption from excise duties for personal goods inherited or imported upon establishing residence in Moldova</w:t>
            </w:r>
          </w:p>
        </w:tc>
      </w:tr>
      <w:tr w:rsidR="00C943A7" w:rsidRPr="007669E1" w14:paraId="35E020C6" w14:textId="77777777" w:rsidTr="001D5220">
        <w:tc>
          <w:tcPr>
            <w:tcW w:w="2425" w:type="dxa"/>
          </w:tcPr>
          <w:p w14:paraId="0B10C874" w14:textId="77777777" w:rsidR="007E7377" w:rsidRPr="00697C5F" w:rsidRDefault="007E7377" w:rsidP="00E90BA7">
            <w:pPr>
              <w:keepNext/>
              <w:spacing w:before="20" w:after="20" w:line="240" w:lineRule="auto"/>
              <w:jc w:val="both"/>
              <w:rPr>
                <w:rFonts w:ascii="Segoe UI" w:hAnsi="Segoe UI" w:cs="Segoe UI"/>
                <w:b/>
                <w:bCs/>
                <w:sz w:val="18"/>
                <w:szCs w:val="18"/>
              </w:rPr>
            </w:pPr>
            <w:r w:rsidRPr="00697C5F">
              <w:rPr>
                <w:rFonts w:ascii="Segoe UI" w:hAnsi="Segoe UI" w:cs="Segoe UI"/>
                <w:b/>
                <w:bCs/>
                <w:sz w:val="18"/>
                <w:szCs w:val="18"/>
              </w:rPr>
              <w:t>Description</w:t>
            </w:r>
          </w:p>
        </w:tc>
        <w:tc>
          <w:tcPr>
            <w:tcW w:w="7200" w:type="dxa"/>
            <w:gridSpan w:val="6"/>
          </w:tcPr>
          <w:p w14:paraId="1DE6AF4F" w14:textId="77777777" w:rsidR="007E7377" w:rsidRPr="007669E1" w:rsidRDefault="007E7377" w:rsidP="00E90BA7">
            <w:pPr>
              <w:keepNext/>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Excise duties are not charged on personal goods imported upon inheritance or when establishing residence in Moldova or coming to Moldova to study. The exemption does not extend to alcoholic and tobacco products, nor to goods used in the exercise of a trade or profession. Goods inherited by legal persons that are non-profit organizations are also exempt.</w:t>
            </w:r>
          </w:p>
        </w:tc>
      </w:tr>
      <w:tr w:rsidR="00C943A7" w:rsidRPr="007669E1" w14:paraId="40BEFF49" w14:textId="77777777" w:rsidTr="001D5220">
        <w:tc>
          <w:tcPr>
            <w:tcW w:w="2425" w:type="dxa"/>
          </w:tcPr>
          <w:p w14:paraId="725612CF"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Type of Tax Affected</w:t>
            </w:r>
          </w:p>
        </w:tc>
        <w:tc>
          <w:tcPr>
            <w:tcW w:w="7200" w:type="dxa"/>
            <w:gridSpan w:val="6"/>
          </w:tcPr>
          <w:p w14:paraId="6B1C88F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0423327" w14:textId="77777777" w:rsidTr="001D5220">
        <w:tc>
          <w:tcPr>
            <w:tcW w:w="2425" w:type="dxa"/>
          </w:tcPr>
          <w:p w14:paraId="7A547D17"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Beneficiaries</w:t>
            </w:r>
          </w:p>
        </w:tc>
        <w:tc>
          <w:tcPr>
            <w:tcW w:w="7200" w:type="dxa"/>
            <w:gridSpan w:val="6"/>
          </w:tcPr>
          <w:p w14:paraId="164FD8F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non-profit organizations</w:t>
            </w:r>
          </w:p>
        </w:tc>
      </w:tr>
      <w:tr w:rsidR="00C943A7" w:rsidRPr="007669E1" w14:paraId="323FA588" w14:textId="77777777" w:rsidTr="001D5220">
        <w:tc>
          <w:tcPr>
            <w:tcW w:w="2425" w:type="dxa"/>
          </w:tcPr>
          <w:p w14:paraId="56B108FA"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Type of Measure</w:t>
            </w:r>
          </w:p>
        </w:tc>
        <w:tc>
          <w:tcPr>
            <w:tcW w:w="7200" w:type="dxa"/>
            <w:gridSpan w:val="6"/>
          </w:tcPr>
          <w:p w14:paraId="60B2464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E99ACD4" w14:textId="77777777" w:rsidTr="001D5220">
        <w:tc>
          <w:tcPr>
            <w:tcW w:w="2425" w:type="dxa"/>
          </w:tcPr>
          <w:p w14:paraId="4EBE16AA"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Reason why this Measure is not part of the Benchmark Tax System</w:t>
            </w:r>
          </w:p>
        </w:tc>
        <w:tc>
          <w:tcPr>
            <w:tcW w:w="7200" w:type="dxa"/>
            <w:gridSpan w:val="6"/>
          </w:tcPr>
          <w:p w14:paraId="6D7863C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1D07AE1F" w14:textId="77777777" w:rsidTr="001D5220">
        <w:tc>
          <w:tcPr>
            <w:tcW w:w="2425" w:type="dxa"/>
          </w:tcPr>
          <w:p w14:paraId="28881683"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Legal Reference</w:t>
            </w:r>
          </w:p>
        </w:tc>
        <w:tc>
          <w:tcPr>
            <w:tcW w:w="7200" w:type="dxa"/>
            <w:gridSpan w:val="6"/>
          </w:tcPr>
          <w:p w14:paraId="07D45C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199 to 218</w:t>
            </w:r>
          </w:p>
          <w:p w14:paraId="78F6542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Law no. 1569 of 20-12-2002 regarding the manner of introduction and removal of goods from the territory of the Republic of Moldova by natural persons, article 5 (1) c)</w:t>
            </w:r>
          </w:p>
        </w:tc>
      </w:tr>
      <w:tr w:rsidR="00C943A7" w:rsidRPr="007669E1" w14:paraId="32EF693D" w14:textId="77777777" w:rsidTr="001D5220">
        <w:trPr>
          <w:trHeight w:val="182"/>
        </w:trPr>
        <w:tc>
          <w:tcPr>
            <w:tcW w:w="2425" w:type="dxa"/>
            <w:vMerge w:val="restart"/>
          </w:tcPr>
          <w:p w14:paraId="4AAF8D3D"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Implementation Objectives, and History</w:t>
            </w:r>
          </w:p>
        </w:tc>
        <w:tc>
          <w:tcPr>
            <w:tcW w:w="7200" w:type="dxa"/>
            <w:gridSpan w:val="6"/>
          </w:tcPr>
          <w:p w14:paraId="4BCA3CE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individuals who move to Moldova.</w:t>
            </w:r>
          </w:p>
          <w:p w14:paraId="288FE275"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6DA9B372" w14:textId="77777777" w:rsidTr="001D5220">
        <w:trPr>
          <w:trHeight w:val="182"/>
        </w:trPr>
        <w:tc>
          <w:tcPr>
            <w:tcW w:w="2425" w:type="dxa"/>
            <w:vMerge/>
          </w:tcPr>
          <w:p w14:paraId="25A50E9F" w14:textId="77777777" w:rsidR="007E7377" w:rsidRPr="00697C5F" w:rsidRDefault="007E7377" w:rsidP="00E90BA7">
            <w:pPr>
              <w:spacing w:before="20" w:after="20" w:line="240" w:lineRule="auto"/>
              <w:jc w:val="both"/>
              <w:rPr>
                <w:rFonts w:ascii="Segoe UI" w:hAnsi="Segoe UI" w:cs="Segoe UI"/>
                <w:b/>
                <w:bCs/>
                <w:sz w:val="18"/>
                <w:szCs w:val="18"/>
              </w:rPr>
            </w:pPr>
          </w:p>
        </w:tc>
        <w:tc>
          <w:tcPr>
            <w:tcW w:w="3462" w:type="dxa"/>
            <w:gridSpan w:val="3"/>
          </w:tcPr>
          <w:p w14:paraId="482EABD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18385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E5A291A" w14:textId="77777777" w:rsidTr="001D5220">
        <w:tc>
          <w:tcPr>
            <w:tcW w:w="2425" w:type="dxa"/>
          </w:tcPr>
          <w:p w14:paraId="22560D55"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Source of Data</w:t>
            </w:r>
          </w:p>
        </w:tc>
        <w:tc>
          <w:tcPr>
            <w:tcW w:w="7200" w:type="dxa"/>
            <w:gridSpan w:val="6"/>
          </w:tcPr>
          <w:p w14:paraId="5A4A45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4AA2E19A" w14:textId="77777777" w:rsidTr="001D5220">
        <w:tc>
          <w:tcPr>
            <w:tcW w:w="2425" w:type="dxa"/>
          </w:tcPr>
          <w:p w14:paraId="13E7BB37"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Estimation Method</w:t>
            </w:r>
          </w:p>
        </w:tc>
        <w:tc>
          <w:tcPr>
            <w:tcW w:w="7200" w:type="dxa"/>
            <w:gridSpan w:val="6"/>
          </w:tcPr>
          <w:p w14:paraId="3C05EEB1"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2AEF7954" w14:textId="77777777" w:rsidTr="001D5220">
        <w:tc>
          <w:tcPr>
            <w:tcW w:w="2425" w:type="dxa"/>
          </w:tcPr>
          <w:p w14:paraId="65B5C0F6"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Number of Beneficiaries</w:t>
            </w:r>
          </w:p>
        </w:tc>
        <w:tc>
          <w:tcPr>
            <w:tcW w:w="7200" w:type="dxa"/>
            <w:gridSpan w:val="6"/>
          </w:tcPr>
          <w:p w14:paraId="08B88C6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3D20965" w14:textId="77777777" w:rsidTr="001D5220">
        <w:tc>
          <w:tcPr>
            <w:tcW w:w="2425" w:type="dxa"/>
          </w:tcPr>
          <w:p w14:paraId="400E558C"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Revenue Cost Reporting</w:t>
            </w:r>
          </w:p>
        </w:tc>
        <w:tc>
          <w:tcPr>
            <w:tcW w:w="7200" w:type="dxa"/>
            <w:gridSpan w:val="6"/>
          </w:tcPr>
          <w:p w14:paraId="00F4A1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11225DA" w14:textId="77777777" w:rsidTr="001D5220">
        <w:trPr>
          <w:trHeight w:val="91"/>
        </w:trPr>
        <w:tc>
          <w:tcPr>
            <w:tcW w:w="2425" w:type="dxa"/>
            <w:vMerge w:val="restart"/>
          </w:tcPr>
          <w:p w14:paraId="6BBF3398" w14:textId="77777777" w:rsidR="007E7377" w:rsidRPr="00697C5F" w:rsidRDefault="007E7377" w:rsidP="00E90BA7">
            <w:pPr>
              <w:spacing w:before="20" w:after="20" w:line="240" w:lineRule="auto"/>
              <w:jc w:val="both"/>
              <w:rPr>
                <w:rFonts w:ascii="Segoe UI" w:hAnsi="Segoe UI" w:cs="Segoe UI"/>
                <w:b/>
                <w:bCs/>
                <w:sz w:val="18"/>
                <w:szCs w:val="18"/>
              </w:rPr>
            </w:pPr>
          </w:p>
        </w:tc>
        <w:tc>
          <w:tcPr>
            <w:tcW w:w="1385" w:type="dxa"/>
          </w:tcPr>
          <w:p w14:paraId="212B3399"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2018</w:t>
            </w:r>
          </w:p>
        </w:tc>
        <w:tc>
          <w:tcPr>
            <w:tcW w:w="1385" w:type="dxa"/>
          </w:tcPr>
          <w:p w14:paraId="11674548"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2019</w:t>
            </w:r>
          </w:p>
        </w:tc>
        <w:tc>
          <w:tcPr>
            <w:tcW w:w="1385" w:type="dxa"/>
            <w:gridSpan w:val="2"/>
          </w:tcPr>
          <w:p w14:paraId="41D9A6AF"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2020</w:t>
            </w:r>
          </w:p>
        </w:tc>
        <w:tc>
          <w:tcPr>
            <w:tcW w:w="1385" w:type="dxa"/>
          </w:tcPr>
          <w:p w14:paraId="55DC6502"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2021</w:t>
            </w:r>
          </w:p>
        </w:tc>
        <w:tc>
          <w:tcPr>
            <w:tcW w:w="1660" w:type="dxa"/>
          </w:tcPr>
          <w:p w14:paraId="031BEAFA"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2022</w:t>
            </w:r>
          </w:p>
        </w:tc>
      </w:tr>
      <w:tr w:rsidR="00A2051E" w:rsidRPr="007669E1" w14:paraId="5CC3B8BB" w14:textId="77777777" w:rsidTr="001D5220">
        <w:trPr>
          <w:trHeight w:val="305"/>
        </w:trPr>
        <w:tc>
          <w:tcPr>
            <w:tcW w:w="2425" w:type="dxa"/>
            <w:vMerge/>
          </w:tcPr>
          <w:p w14:paraId="1042FC6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4D9F4F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1,149.1</w:t>
            </w:r>
          </w:p>
        </w:tc>
        <w:tc>
          <w:tcPr>
            <w:tcW w:w="1385" w:type="dxa"/>
            <w:shd w:val="clear" w:color="auto" w:fill="auto"/>
          </w:tcPr>
          <w:p w14:paraId="6896FFF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212.4</w:t>
            </w:r>
          </w:p>
        </w:tc>
        <w:tc>
          <w:tcPr>
            <w:tcW w:w="1385" w:type="dxa"/>
            <w:gridSpan w:val="2"/>
            <w:shd w:val="clear" w:color="auto" w:fill="auto"/>
          </w:tcPr>
          <w:p w14:paraId="03E5AF8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808.4</w:t>
            </w:r>
          </w:p>
        </w:tc>
        <w:tc>
          <w:tcPr>
            <w:tcW w:w="1385" w:type="dxa"/>
            <w:shd w:val="clear" w:color="auto" w:fill="auto"/>
          </w:tcPr>
          <w:p w14:paraId="1D8B5B8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974.0</w:t>
            </w:r>
          </w:p>
        </w:tc>
        <w:tc>
          <w:tcPr>
            <w:tcW w:w="1660" w:type="dxa"/>
            <w:shd w:val="clear" w:color="auto" w:fill="BFBFBF" w:themeFill="background1" w:themeFillShade="BF"/>
          </w:tcPr>
          <w:p w14:paraId="06433E8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786.0</w:t>
            </w:r>
          </w:p>
        </w:tc>
      </w:tr>
    </w:tbl>
    <w:p w14:paraId="02DA298E"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697C5F" w14:paraId="15800792" w14:textId="77777777" w:rsidTr="001D5220">
        <w:tc>
          <w:tcPr>
            <w:tcW w:w="9625" w:type="dxa"/>
            <w:gridSpan w:val="7"/>
            <w:shd w:val="clear" w:color="auto" w:fill="D9D9D9" w:themeFill="background1" w:themeFillShade="D9"/>
          </w:tcPr>
          <w:p w14:paraId="2AEB0733" w14:textId="77777777" w:rsidR="007E7377" w:rsidRPr="00697C5F" w:rsidRDefault="007E7377" w:rsidP="00E90BA7">
            <w:pPr>
              <w:spacing w:before="20" w:after="20" w:line="240" w:lineRule="auto"/>
              <w:jc w:val="both"/>
              <w:rPr>
                <w:rFonts w:ascii="Segoe UI" w:hAnsi="Segoe UI" w:cs="Segoe UI"/>
                <w:b/>
                <w:bCs/>
                <w:sz w:val="18"/>
                <w:szCs w:val="18"/>
              </w:rPr>
            </w:pPr>
            <w:r w:rsidRPr="00697C5F">
              <w:rPr>
                <w:rFonts w:ascii="Segoe UI" w:hAnsi="Segoe UI" w:cs="Segoe UI"/>
                <w:b/>
                <w:bCs/>
                <w:sz w:val="18"/>
                <w:szCs w:val="18"/>
              </w:rPr>
              <w:t>17. Exemptions for duty-free shops</w:t>
            </w:r>
          </w:p>
        </w:tc>
      </w:tr>
      <w:tr w:rsidR="00C943A7" w:rsidRPr="007669E1" w14:paraId="1A5155A6" w14:textId="77777777" w:rsidTr="001D5220">
        <w:tc>
          <w:tcPr>
            <w:tcW w:w="2425" w:type="dxa"/>
          </w:tcPr>
          <w:p w14:paraId="6BAF2FEC"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Description</w:t>
            </w:r>
          </w:p>
        </w:tc>
        <w:tc>
          <w:tcPr>
            <w:tcW w:w="7200" w:type="dxa"/>
            <w:gridSpan w:val="6"/>
          </w:tcPr>
          <w:p w14:paraId="3ACE604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delivered to, and sold by, duty-free shops located at border crossing points and in airports were exempt from excise duties.</w:t>
            </w:r>
          </w:p>
        </w:tc>
      </w:tr>
      <w:tr w:rsidR="00C943A7" w:rsidRPr="007669E1" w14:paraId="0C209EED" w14:textId="77777777" w:rsidTr="001D5220">
        <w:tc>
          <w:tcPr>
            <w:tcW w:w="2425" w:type="dxa"/>
          </w:tcPr>
          <w:p w14:paraId="3D4F7575"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Type of Tax Affected</w:t>
            </w:r>
          </w:p>
        </w:tc>
        <w:tc>
          <w:tcPr>
            <w:tcW w:w="7200" w:type="dxa"/>
            <w:gridSpan w:val="6"/>
          </w:tcPr>
          <w:p w14:paraId="2C59CD2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2D364C52" w14:textId="77777777" w:rsidTr="001D5220">
        <w:tc>
          <w:tcPr>
            <w:tcW w:w="2425" w:type="dxa"/>
          </w:tcPr>
          <w:p w14:paraId="5A7D9554"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Beneficiaries</w:t>
            </w:r>
          </w:p>
        </w:tc>
        <w:tc>
          <w:tcPr>
            <w:tcW w:w="7200" w:type="dxa"/>
            <w:gridSpan w:val="6"/>
          </w:tcPr>
          <w:p w14:paraId="1ED6B04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International travelers</w:t>
            </w:r>
          </w:p>
        </w:tc>
      </w:tr>
      <w:tr w:rsidR="00C943A7" w:rsidRPr="007669E1" w14:paraId="34580A63" w14:textId="77777777" w:rsidTr="001D5220">
        <w:tc>
          <w:tcPr>
            <w:tcW w:w="2425" w:type="dxa"/>
          </w:tcPr>
          <w:p w14:paraId="171AB12B"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Type of Measure</w:t>
            </w:r>
          </w:p>
        </w:tc>
        <w:tc>
          <w:tcPr>
            <w:tcW w:w="7200" w:type="dxa"/>
            <w:gridSpan w:val="6"/>
          </w:tcPr>
          <w:p w14:paraId="760B8E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12F281C" w14:textId="77777777" w:rsidTr="001D5220">
        <w:tc>
          <w:tcPr>
            <w:tcW w:w="2425" w:type="dxa"/>
          </w:tcPr>
          <w:p w14:paraId="30934A9D"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Reason why this Measure is not part of the Benchmark Tax System</w:t>
            </w:r>
          </w:p>
        </w:tc>
        <w:tc>
          <w:tcPr>
            <w:tcW w:w="7200" w:type="dxa"/>
            <w:gridSpan w:val="6"/>
          </w:tcPr>
          <w:p w14:paraId="1DA229E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477CE1B2" w14:textId="77777777" w:rsidTr="001D5220">
        <w:tc>
          <w:tcPr>
            <w:tcW w:w="2425" w:type="dxa"/>
          </w:tcPr>
          <w:p w14:paraId="3922B129"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Legal Reference</w:t>
            </w:r>
          </w:p>
        </w:tc>
        <w:tc>
          <w:tcPr>
            <w:tcW w:w="7200" w:type="dxa"/>
            <w:gridSpan w:val="6"/>
          </w:tcPr>
          <w:p w14:paraId="02F336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124 (5)</w:t>
            </w:r>
          </w:p>
        </w:tc>
      </w:tr>
      <w:tr w:rsidR="00C943A7" w:rsidRPr="007669E1" w14:paraId="66FDE50E" w14:textId="77777777" w:rsidTr="001D5220">
        <w:trPr>
          <w:trHeight w:val="182"/>
        </w:trPr>
        <w:tc>
          <w:tcPr>
            <w:tcW w:w="2425" w:type="dxa"/>
            <w:vMerge w:val="restart"/>
          </w:tcPr>
          <w:p w14:paraId="1CEB568A"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Implementation Objectives, and History</w:t>
            </w:r>
          </w:p>
        </w:tc>
        <w:tc>
          <w:tcPr>
            <w:tcW w:w="7200" w:type="dxa"/>
            <w:gridSpan w:val="6"/>
          </w:tcPr>
          <w:p w14:paraId="0B63B3B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intended to facilitate the administration of the tax system.</w:t>
            </w:r>
          </w:p>
          <w:p w14:paraId="0AF152B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repealed by Law no. 302 of 03-11-2022, effective November 11, 2022.</w:t>
            </w:r>
          </w:p>
        </w:tc>
      </w:tr>
      <w:tr w:rsidR="00C943A7" w:rsidRPr="007669E1" w14:paraId="500187E0" w14:textId="77777777" w:rsidTr="001D5220">
        <w:trPr>
          <w:trHeight w:val="182"/>
        </w:trPr>
        <w:tc>
          <w:tcPr>
            <w:tcW w:w="2425" w:type="dxa"/>
            <w:vMerge/>
          </w:tcPr>
          <w:p w14:paraId="35492FFD" w14:textId="77777777" w:rsidR="007E7377" w:rsidRPr="00647F12" w:rsidRDefault="007E7377" w:rsidP="00E90BA7">
            <w:pPr>
              <w:spacing w:before="20" w:after="20" w:line="240" w:lineRule="auto"/>
              <w:jc w:val="both"/>
              <w:rPr>
                <w:rFonts w:ascii="Segoe UI" w:hAnsi="Segoe UI" w:cs="Segoe UI"/>
                <w:b/>
                <w:bCs/>
                <w:sz w:val="18"/>
                <w:szCs w:val="18"/>
              </w:rPr>
            </w:pPr>
          </w:p>
        </w:tc>
        <w:tc>
          <w:tcPr>
            <w:tcW w:w="3462" w:type="dxa"/>
            <w:gridSpan w:val="3"/>
          </w:tcPr>
          <w:p w14:paraId="53C2D7F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4E3535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2022</w:t>
            </w:r>
          </w:p>
        </w:tc>
      </w:tr>
      <w:tr w:rsidR="00C943A7" w:rsidRPr="007669E1" w14:paraId="299C5D26" w14:textId="77777777" w:rsidTr="001D5220">
        <w:tc>
          <w:tcPr>
            <w:tcW w:w="2425" w:type="dxa"/>
          </w:tcPr>
          <w:p w14:paraId="65C670AB"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Source of Data</w:t>
            </w:r>
          </w:p>
        </w:tc>
        <w:tc>
          <w:tcPr>
            <w:tcW w:w="7200" w:type="dxa"/>
            <w:gridSpan w:val="6"/>
          </w:tcPr>
          <w:p w14:paraId="08DD373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37BA72EC" w14:textId="77777777" w:rsidTr="001D5220">
        <w:tc>
          <w:tcPr>
            <w:tcW w:w="2425" w:type="dxa"/>
          </w:tcPr>
          <w:p w14:paraId="6EAE53AB"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Estimation Method</w:t>
            </w:r>
          </w:p>
        </w:tc>
        <w:tc>
          <w:tcPr>
            <w:tcW w:w="7200" w:type="dxa"/>
            <w:gridSpan w:val="6"/>
          </w:tcPr>
          <w:p w14:paraId="30CCB14C"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1E2A682E" w14:textId="77777777" w:rsidTr="001D5220">
        <w:tc>
          <w:tcPr>
            <w:tcW w:w="2425" w:type="dxa"/>
          </w:tcPr>
          <w:p w14:paraId="06D79810"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Number of Beneficiaries</w:t>
            </w:r>
          </w:p>
        </w:tc>
        <w:tc>
          <w:tcPr>
            <w:tcW w:w="7200" w:type="dxa"/>
            <w:gridSpan w:val="6"/>
          </w:tcPr>
          <w:p w14:paraId="17F1468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7D34CFA" w14:textId="77777777" w:rsidTr="001D5220">
        <w:tc>
          <w:tcPr>
            <w:tcW w:w="2425" w:type="dxa"/>
          </w:tcPr>
          <w:p w14:paraId="5BEB71B8"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Revenue Cost Reporting</w:t>
            </w:r>
          </w:p>
        </w:tc>
        <w:tc>
          <w:tcPr>
            <w:tcW w:w="7200" w:type="dxa"/>
            <w:gridSpan w:val="6"/>
          </w:tcPr>
          <w:p w14:paraId="727684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93673AB" w14:textId="77777777" w:rsidTr="001D5220">
        <w:trPr>
          <w:trHeight w:val="91"/>
        </w:trPr>
        <w:tc>
          <w:tcPr>
            <w:tcW w:w="2425" w:type="dxa"/>
            <w:vMerge w:val="restart"/>
          </w:tcPr>
          <w:p w14:paraId="103CEC10" w14:textId="77777777" w:rsidR="007E7377" w:rsidRPr="00647F12" w:rsidRDefault="007E7377" w:rsidP="00E90BA7">
            <w:pPr>
              <w:spacing w:before="20" w:after="20" w:line="240" w:lineRule="auto"/>
              <w:jc w:val="both"/>
              <w:rPr>
                <w:rFonts w:ascii="Segoe UI" w:hAnsi="Segoe UI" w:cs="Segoe UI"/>
                <w:b/>
                <w:bCs/>
                <w:sz w:val="18"/>
                <w:szCs w:val="18"/>
              </w:rPr>
            </w:pPr>
          </w:p>
        </w:tc>
        <w:tc>
          <w:tcPr>
            <w:tcW w:w="1385" w:type="dxa"/>
          </w:tcPr>
          <w:p w14:paraId="0C38E21B"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2018</w:t>
            </w:r>
          </w:p>
        </w:tc>
        <w:tc>
          <w:tcPr>
            <w:tcW w:w="1385" w:type="dxa"/>
          </w:tcPr>
          <w:p w14:paraId="7D46D370"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2019</w:t>
            </w:r>
          </w:p>
        </w:tc>
        <w:tc>
          <w:tcPr>
            <w:tcW w:w="1385" w:type="dxa"/>
            <w:gridSpan w:val="2"/>
          </w:tcPr>
          <w:p w14:paraId="212A6148"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2020</w:t>
            </w:r>
          </w:p>
        </w:tc>
        <w:tc>
          <w:tcPr>
            <w:tcW w:w="1385" w:type="dxa"/>
          </w:tcPr>
          <w:p w14:paraId="71E2C8B7"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2021</w:t>
            </w:r>
          </w:p>
        </w:tc>
        <w:tc>
          <w:tcPr>
            <w:tcW w:w="1660" w:type="dxa"/>
          </w:tcPr>
          <w:p w14:paraId="243B1236"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2022</w:t>
            </w:r>
          </w:p>
        </w:tc>
      </w:tr>
      <w:tr w:rsidR="00C943A7" w:rsidRPr="007669E1" w14:paraId="52E99E64" w14:textId="77777777" w:rsidTr="001D5220">
        <w:trPr>
          <w:trHeight w:val="305"/>
        </w:trPr>
        <w:tc>
          <w:tcPr>
            <w:tcW w:w="2425" w:type="dxa"/>
            <w:vMerge/>
          </w:tcPr>
          <w:p w14:paraId="090016A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370D8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47,130.0</w:t>
            </w:r>
          </w:p>
        </w:tc>
        <w:tc>
          <w:tcPr>
            <w:tcW w:w="1385" w:type="dxa"/>
            <w:shd w:val="clear" w:color="auto" w:fill="auto"/>
          </w:tcPr>
          <w:p w14:paraId="7B1F77C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55,355.3</w:t>
            </w:r>
          </w:p>
        </w:tc>
        <w:tc>
          <w:tcPr>
            <w:tcW w:w="1385" w:type="dxa"/>
            <w:gridSpan w:val="2"/>
            <w:shd w:val="clear" w:color="auto" w:fill="auto"/>
          </w:tcPr>
          <w:p w14:paraId="0143ADD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6,762.1</w:t>
            </w:r>
          </w:p>
        </w:tc>
        <w:tc>
          <w:tcPr>
            <w:tcW w:w="1385" w:type="dxa"/>
            <w:shd w:val="clear" w:color="auto" w:fill="BFBFBF" w:themeFill="background1" w:themeFillShade="BF"/>
          </w:tcPr>
          <w:p w14:paraId="1C70FE2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20,000.0</w:t>
            </w:r>
          </w:p>
        </w:tc>
        <w:tc>
          <w:tcPr>
            <w:tcW w:w="1660" w:type="dxa"/>
            <w:shd w:val="clear" w:color="auto" w:fill="BFBFBF" w:themeFill="background1" w:themeFillShade="BF"/>
          </w:tcPr>
          <w:p w14:paraId="35D1F67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46,124.1</w:t>
            </w:r>
          </w:p>
        </w:tc>
      </w:tr>
    </w:tbl>
    <w:p w14:paraId="46BC41B6"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647F12" w14:paraId="1893632A" w14:textId="77777777" w:rsidTr="001D5220">
        <w:tc>
          <w:tcPr>
            <w:tcW w:w="9625" w:type="dxa"/>
            <w:gridSpan w:val="7"/>
            <w:shd w:val="clear" w:color="auto" w:fill="D9D9D9" w:themeFill="background1" w:themeFillShade="D9"/>
          </w:tcPr>
          <w:p w14:paraId="0E5CC8E3"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lastRenderedPageBreak/>
              <w:t>18. Exemption for goods imported by legal persons for non-commercial purposes</w:t>
            </w:r>
          </w:p>
        </w:tc>
      </w:tr>
      <w:tr w:rsidR="00C943A7" w:rsidRPr="007669E1" w14:paraId="6176DC06" w14:textId="77777777" w:rsidTr="001D5220">
        <w:tc>
          <w:tcPr>
            <w:tcW w:w="2425" w:type="dxa"/>
          </w:tcPr>
          <w:p w14:paraId="69500CA9"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Description</w:t>
            </w:r>
          </w:p>
        </w:tc>
        <w:tc>
          <w:tcPr>
            <w:tcW w:w="7200" w:type="dxa"/>
            <w:gridSpan w:val="6"/>
          </w:tcPr>
          <w:p w14:paraId="3F02976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legal entities for non-commercial purposes are exempt from excise duties if the intrinsic value of these goods does not exceed EUR 100. Sampling goods (other than certain alcoholic products, perfumes, eau de toilette and tobacco products) are also exempt from excise duties if their intrinsic value does not exceed EUR 22. Goods whose value or quantity exceeds these limits are subject to excise duties on their full value or quantity.</w:t>
            </w:r>
          </w:p>
        </w:tc>
      </w:tr>
      <w:tr w:rsidR="00C943A7" w:rsidRPr="007669E1" w14:paraId="60DC7D6C" w14:textId="77777777" w:rsidTr="001D5220">
        <w:tc>
          <w:tcPr>
            <w:tcW w:w="2425" w:type="dxa"/>
          </w:tcPr>
          <w:p w14:paraId="27E3C652"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Type of Tax Affected</w:t>
            </w:r>
          </w:p>
        </w:tc>
        <w:tc>
          <w:tcPr>
            <w:tcW w:w="7200" w:type="dxa"/>
            <w:gridSpan w:val="6"/>
          </w:tcPr>
          <w:p w14:paraId="683C00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72119DCB" w14:textId="77777777" w:rsidTr="001D5220">
        <w:tc>
          <w:tcPr>
            <w:tcW w:w="2425" w:type="dxa"/>
          </w:tcPr>
          <w:p w14:paraId="05C476DF"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Beneficiaries</w:t>
            </w:r>
          </w:p>
        </w:tc>
        <w:tc>
          <w:tcPr>
            <w:tcW w:w="7200" w:type="dxa"/>
            <w:gridSpan w:val="6"/>
          </w:tcPr>
          <w:p w14:paraId="5D110C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w:t>
            </w:r>
          </w:p>
        </w:tc>
      </w:tr>
      <w:tr w:rsidR="00C943A7" w:rsidRPr="007669E1" w14:paraId="6D7A3E9B" w14:textId="77777777" w:rsidTr="001D5220">
        <w:tc>
          <w:tcPr>
            <w:tcW w:w="2425" w:type="dxa"/>
          </w:tcPr>
          <w:p w14:paraId="28DF5AF3"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Type of Measure</w:t>
            </w:r>
          </w:p>
        </w:tc>
        <w:tc>
          <w:tcPr>
            <w:tcW w:w="7200" w:type="dxa"/>
            <w:gridSpan w:val="6"/>
          </w:tcPr>
          <w:p w14:paraId="1BB0ECD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BADDD4E" w14:textId="77777777" w:rsidTr="001D5220">
        <w:tc>
          <w:tcPr>
            <w:tcW w:w="2425" w:type="dxa"/>
          </w:tcPr>
          <w:p w14:paraId="05C0A5FD"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Reason why this Measure is not part of the Benchmark Tax System</w:t>
            </w:r>
          </w:p>
        </w:tc>
        <w:tc>
          <w:tcPr>
            <w:tcW w:w="7200" w:type="dxa"/>
            <w:gridSpan w:val="6"/>
          </w:tcPr>
          <w:p w14:paraId="4AACA1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4370B4C5" w14:textId="77777777" w:rsidTr="001D5220">
        <w:tc>
          <w:tcPr>
            <w:tcW w:w="2425" w:type="dxa"/>
          </w:tcPr>
          <w:p w14:paraId="380FD845"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Legal Reference</w:t>
            </w:r>
          </w:p>
        </w:tc>
        <w:tc>
          <w:tcPr>
            <w:tcW w:w="7200" w:type="dxa"/>
            <w:gridSpan w:val="6"/>
          </w:tcPr>
          <w:p w14:paraId="52E8AE3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articles 124 (11</w:t>
            </w:r>
            <w:r w:rsidRPr="007669E1">
              <w:rPr>
                <w:rFonts w:ascii="Segoe UI" w:hAnsi="Segoe UI" w:cs="Segoe UI"/>
                <w:sz w:val="18"/>
                <w:szCs w:val="18"/>
                <w:vertAlign w:val="superscript"/>
              </w:rPr>
              <w:t>1</w:t>
            </w:r>
            <w:r w:rsidRPr="007669E1">
              <w:rPr>
                <w:rFonts w:ascii="Segoe UI" w:hAnsi="Segoe UI" w:cs="Segoe UI"/>
                <w:sz w:val="18"/>
                <w:szCs w:val="18"/>
              </w:rPr>
              <w:t>) and (11</w:t>
            </w:r>
            <w:r w:rsidRPr="007669E1">
              <w:rPr>
                <w:rFonts w:ascii="Segoe UI" w:hAnsi="Segoe UI" w:cs="Segoe UI"/>
                <w:sz w:val="18"/>
                <w:szCs w:val="18"/>
                <w:vertAlign w:val="superscript"/>
              </w:rPr>
              <w:t>2</w:t>
            </w:r>
            <w:r w:rsidRPr="007669E1">
              <w:rPr>
                <w:rFonts w:ascii="Segoe UI" w:hAnsi="Segoe UI" w:cs="Segoe UI"/>
                <w:sz w:val="18"/>
                <w:szCs w:val="18"/>
              </w:rPr>
              <w:t>)</w:t>
            </w:r>
          </w:p>
        </w:tc>
      </w:tr>
      <w:tr w:rsidR="00C943A7" w:rsidRPr="007669E1" w14:paraId="13D7474E" w14:textId="77777777" w:rsidTr="001D5220">
        <w:trPr>
          <w:trHeight w:val="182"/>
        </w:trPr>
        <w:tc>
          <w:tcPr>
            <w:tcW w:w="2425" w:type="dxa"/>
            <w:vMerge w:val="restart"/>
          </w:tcPr>
          <w:p w14:paraId="55D3D144"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Implementation Objectives, and History</w:t>
            </w:r>
          </w:p>
        </w:tc>
        <w:tc>
          <w:tcPr>
            <w:tcW w:w="7200" w:type="dxa"/>
            <w:gridSpan w:val="6"/>
          </w:tcPr>
          <w:p w14:paraId="3A1006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simplify the administration of the tax system.</w:t>
            </w:r>
          </w:p>
        </w:tc>
      </w:tr>
      <w:tr w:rsidR="00C943A7" w:rsidRPr="007669E1" w14:paraId="734C79F9" w14:textId="77777777" w:rsidTr="001D5220">
        <w:trPr>
          <w:trHeight w:val="182"/>
        </w:trPr>
        <w:tc>
          <w:tcPr>
            <w:tcW w:w="2425" w:type="dxa"/>
            <w:vMerge/>
          </w:tcPr>
          <w:p w14:paraId="44D74225" w14:textId="77777777" w:rsidR="007E7377" w:rsidRPr="00647F12" w:rsidRDefault="007E7377" w:rsidP="00E90BA7">
            <w:pPr>
              <w:spacing w:before="20" w:after="20" w:line="240" w:lineRule="auto"/>
              <w:jc w:val="both"/>
              <w:rPr>
                <w:rFonts w:ascii="Segoe UI" w:hAnsi="Segoe UI" w:cs="Segoe UI"/>
                <w:b/>
                <w:bCs/>
                <w:sz w:val="18"/>
                <w:szCs w:val="18"/>
              </w:rPr>
            </w:pPr>
          </w:p>
        </w:tc>
        <w:tc>
          <w:tcPr>
            <w:tcW w:w="3462" w:type="dxa"/>
            <w:gridSpan w:val="3"/>
          </w:tcPr>
          <w:p w14:paraId="111151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607E95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7DC2247" w14:textId="77777777" w:rsidTr="001D5220">
        <w:tc>
          <w:tcPr>
            <w:tcW w:w="2425" w:type="dxa"/>
          </w:tcPr>
          <w:p w14:paraId="57F043B6"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Source of Data</w:t>
            </w:r>
          </w:p>
        </w:tc>
        <w:tc>
          <w:tcPr>
            <w:tcW w:w="7200" w:type="dxa"/>
            <w:gridSpan w:val="6"/>
          </w:tcPr>
          <w:p w14:paraId="3762798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8109A44" w14:textId="77777777" w:rsidTr="001D5220">
        <w:tc>
          <w:tcPr>
            <w:tcW w:w="2425" w:type="dxa"/>
          </w:tcPr>
          <w:p w14:paraId="331BE485"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Estimation Method</w:t>
            </w:r>
          </w:p>
        </w:tc>
        <w:tc>
          <w:tcPr>
            <w:tcW w:w="7200" w:type="dxa"/>
            <w:gridSpan w:val="6"/>
          </w:tcPr>
          <w:p w14:paraId="501A9D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74E81E3" w14:textId="77777777" w:rsidTr="001D5220">
        <w:tc>
          <w:tcPr>
            <w:tcW w:w="2425" w:type="dxa"/>
          </w:tcPr>
          <w:p w14:paraId="1FFAE4A4"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Number of Beneficiaries</w:t>
            </w:r>
          </w:p>
        </w:tc>
        <w:tc>
          <w:tcPr>
            <w:tcW w:w="7200" w:type="dxa"/>
            <w:gridSpan w:val="6"/>
          </w:tcPr>
          <w:p w14:paraId="77223B6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0CA2A2F" w14:textId="77777777" w:rsidTr="001D5220">
        <w:tc>
          <w:tcPr>
            <w:tcW w:w="2425" w:type="dxa"/>
          </w:tcPr>
          <w:p w14:paraId="19D9D1C9"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Revenue Cost Reporting</w:t>
            </w:r>
          </w:p>
        </w:tc>
        <w:tc>
          <w:tcPr>
            <w:tcW w:w="7200" w:type="dxa"/>
            <w:gridSpan w:val="6"/>
          </w:tcPr>
          <w:p w14:paraId="5451CA4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ABBEE63" w14:textId="77777777" w:rsidTr="001D5220">
        <w:trPr>
          <w:trHeight w:val="91"/>
        </w:trPr>
        <w:tc>
          <w:tcPr>
            <w:tcW w:w="2425" w:type="dxa"/>
            <w:vMerge w:val="restart"/>
          </w:tcPr>
          <w:p w14:paraId="46C13AD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DFB4E47"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2018</w:t>
            </w:r>
          </w:p>
        </w:tc>
        <w:tc>
          <w:tcPr>
            <w:tcW w:w="1385" w:type="dxa"/>
          </w:tcPr>
          <w:p w14:paraId="2CF6E385"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2019</w:t>
            </w:r>
          </w:p>
        </w:tc>
        <w:tc>
          <w:tcPr>
            <w:tcW w:w="1385" w:type="dxa"/>
            <w:gridSpan w:val="2"/>
          </w:tcPr>
          <w:p w14:paraId="1683242F"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2020</w:t>
            </w:r>
          </w:p>
        </w:tc>
        <w:tc>
          <w:tcPr>
            <w:tcW w:w="1385" w:type="dxa"/>
          </w:tcPr>
          <w:p w14:paraId="400FE1C3"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2021</w:t>
            </w:r>
          </w:p>
        </w:tc>
        <w:tc>
          <w:tcPr>
            <w:tcW w:w="1660" w:type="dxa"/>
          </w:tcPr>
          <w:p w14:paraId="3C54C2A4"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2022</w:t>
            </w:r>
          </w:p>
        </w:tc>
      </w:tr>
      <w:tr w:rsidR="00775F01" w:rsidRPr="007669E1" w14:paraId="24F60009" w14:textId="77777777" w:rsidTr="001D5220">
        <w:trPr>
          <w:trHeight w:val="305"/>
        </w:trPr>
        <w:tc>
          <w:tcPr>
            <w:tcW w:w="2425" w:type="dxa"/>
            <w:vMerge/>
          </w:tcPr>
          <w:p w14:paraId="36B5198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CA0B6B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1C8E7B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2126875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5E24155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2954601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C6C11EB"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647F12" w14:paraId="528F1C4B" w14:textId="77777777" w:rsidTr="001D5220">
        <w:tc>
          <w:tcPr>
            <w:tcW w:w="9625" w:type="dxa"/>
            <w:gridSpan w:val="7"/>
            <w:shd w:val="clear" w:color="auto" w:fill="D9D9D9" w:themeFill="background1" w:themeFillShade="D9"/>
          </w:tcPr>
          <w:p w14:paraId="28F82423" w14:textId="77777777" w:rsidR="007E7377" w:rsidRPr="00647F12" w:rsidRDefault="007E7377" w:rsidP="00E90BA7">
            <w:pPr>
              <w:spacing w:before="20" w:after="20" w:line="240" w:lineRule="auto"/>
              <w:jc w:val="both"/>
              <w:rPr>
                <w:rFonts w:ascii="Segoe UI" w:hAnsi="Segoe UI" w:cs="Segoe UI"/>
                <w:b/>
                <w:bCs/>
                <w:sz w:val="18"/>
                <w:szCs w:val="18"/>
              </w:rPr>
            </w:pPr>
            <w:r w:rsidRPr="00647F12">
              <w:rPr>
                <w:rFonts w:ascii="Segoe UI" w:hAnsi="Segoe UI" w:cs="Segoe UI"/>
                <w:b/>
                <w:bCs/>
                <w:sz w:val="18"/>
                <w:szCs w:val="18"/>
              </w:rPr>
              <w:t>19. Exemption from excise duties for goods imported for trade promotion purposes</w:t>
            </w:r>
          </w:p>
        </w:tc>
      </w:tr>
      <w:tr w:rsidR="00C943A7" w:rsidRPr="007669E1" w14:paraId="63220E5F" w14:textId="77777777" w:rsidTr="001D5220">
        <w:tc>
          <w:tcPr>
            <w:tcW w:w="2425" w:type="dxa"/>
          </w:tcPr>
          <w:p w14:paraId="573D515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66659C17"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Excise duties are not charged on certain goods imported for trade promotion purposes, including samples of goods and goods intended for presentation at trade fair or other similar events (other than alcohol and tobacco products and fuels).</w:t>
            </w:r>
          </w:p>
        </w:tc>
      </w:tr>
      <w:tr w:rsidR="00C943A7" w:rsidRPr="007669E1" w14:paraId="0930E099" w14:textId="77777777" w:rsidTr="001D5220">
        <w:tc>
          <w:tcPr>
            <w:tcW w:w="2425" w:type="dxa"/>
          </w:tcPr>
          <w:p w14:paraId="2C8E418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6875C5C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0DC512DA" w14:textId="77777777" w:rsidTr="001D5220">
        <w:tc>
          <w:tcPr>
            <w:tcW w:w="2425" w:type="dxa"/>
          </w:tcPr>
          <w:p w14:paraId="332512B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304CCF9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Trade promoters</w:t>
            </w:r>
          </w:p>
        </w:tc>
      </w:tr>
      <w:tr w:rsidR="00C943A7" w:rsidRPr="007669E1" w14:paraId="28DCA1D0" w14:textId="77777777" w:rsidTr="001D5220">
        <w:tc>
          <w:tcPr>
            <w:tcW w:w="2425" w:type="dxa"/>
          </w:tcPr>
          <w:p w14:paraId="5C70E8B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729DC0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29CC2ED" w14:textId="77777777" w:rsidTr="001D5220">
        <w:tc>
          <w:tcPr>
            <w:tcW w:w="2425" w:type="dxa"/>
          </w:tcPr>
          <w:p w14:paraId="3338775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18460E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3653A435" w14:textId="77777777" w:rsidTr="001D5220">
        <w:tc>
          <w:tcPr>
            <w:tcW w:w="2425" w:type="dxa"/>
          </w:tcPr>
          <w:p w14:paraId="62EEE19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0151B32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253 to 259</w:t>
            </w:r>
          </w:p>
        </w:tc>
      </w:tr>
      <w:tr w:rsidR="00C943A7" w:rsidRPr="007669E1" w14:paraId="41D33BE1" w14:textId="77777777" w:rsidTr="001D5220">
        <w:trPr>
          <w:trHeight w:val="182"/>
        </w:trPr>
        <w:tc>
          <w:tcPr>
            <w:tcW w:w="2425" w:type="dxa"/>
            <w:vMerge w:val="restart"/>
          </w:tcPr>
          <w:p w14:paraId="41CF5D7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4B40BB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trade.</w:t>
            </w:r>
          </w:p>
          <w:p w14:paraId="0D6DA1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3E595DB3" w14:textId="77777777" w:rsidTr="001D5220">
        <w:trPr>
          <w:trHeight w:val="182"/>
        </w:trPr>
        <w:tc>
          <w:tcPr>
            <w:tcW w:w="2425" w:type="dxa"/>
            <w:vMerge/>
          </w:tcPr>
          <w:p w14:paraId="5FAD0632"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0BD395B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4F244AE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028A248" w14:textId="77777777" w:rsidTr="001D5220">
        <w:tc>
          <w:tcPr>
            <w:tcW w:w="2425" w:type="dxa"/>
          </w:tcPr>
          <w:p w14:paraId="056C6C3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2B7FC80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8B0649A" w14:textId="77777777" w:rsidTr="001D5220">
        <w:tc>
          <w:tcPr>
            <w:tcW w:w="2425" w:type="dxa"/>
          </w:tcPr>
          <w:p w14:paraId="11E68EC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550054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0126932" w14:textId="77777777" w:rsidTr="001D5220">
        <w:tc>
          <w:tcPr>
            <w:tcW w:w="2425" w:type="dxa"/>
          </w:tcPr>
          <w:p w14:paraId="721016F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6E4F378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BD4D67A" w14:textId="77777777" w:rsidTr="001D5220">
        <w:tc>
          <w:tcPr>
            <w:tcW w:w="2425" w:type="dxa"/>
          </w:tcPr>
          <w:p w14:paraId="0D5A88B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653ACCE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89E7620" w14:textId="77777777" w:rsidTr="001D5220">
        <w:trPr>
          <w:trHeight w:val="91"/>
        </w:trPr>
        <w:tc>
          <w:tcPr>
            <w:tcW w:w="2425" w:type="dxa"/>
            <w:vMerge w:val="restart"/>
          </w:tcPr>
          <w:p w14:paraId="4F34BE2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56F514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0A8E07B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05CA685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4111DDA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6570EF7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2037A19C" w14:textId="77777777" w:rsidTr="001D5220">
        <w:trPr>
          <w:trHeight w:val="305"/>
        </w:trPr>
        <w:tc>
          <w:tcPr>
            <w:tcW w:w="2425" w:type="dxa"/>
            <w:vMerge/>
          </w:tcPr>
          <w:p w14:paraId="32268CA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BEFCE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09BE80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C624DD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1251FE3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6E9333D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13F98A5"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6BC1EEC6" w14:textId="77777777" w:rsidTr="001D5220">
        <w:tc>
          <w:tcPr>
            <w:tcW w:w="9625" w:type="dxa"/>
            <w:gridSpan w:val="7"/>
            <w:shd w:val="clear" w:color="auto" w:fill="D9D9D9" w:themeFill="background1" w:themeFillShade="D9"/>
          </w:tcPr>
          <w:p w14:paraId="4FCFA38B" w14:textId="77777777" w:rsidR="007E7377" w:rsidRPr="0049306E" w:rsidRDefault="007E7377" w:rsidP="00E90BA7">
            <w:pPr>
              <w:keepNext/>
              <w:spacing w:before="20" w:after="20" w:line="240" w:lineRule="auto"/>
              <w:jc w:val="both"/>
              <w:rPr>
                <w:rFonts w:ascii="Segoe UI" w:hAnsi="Segoe UI" w:cs="Segoe UI"/>
                <w:b/>
                <w:bCs/>
                <w:sz w:val="18"/>
                <w:szCs w:val="18"/>
              </w:rPr>
            </w:pPr>
            <w:r w:rsidRPr="0049306E">
              <w:rPr>
                <w:rFonts w:ascii="Segoe UI" w:hAnsi="Segoe UI" w:cs="Segoe UI"/>
                <w:b/>
                <w:bCs/>
                <w:sz w:val="18"/>
                <w:szCs w:val="18"/>
              </w:rPr>
              <w:lastRenderedPageBreak/>
              <w:t>20. Exemptions for diplomats and representatives of international organizations</w:t>
            </w:r>
          </w:p>
        </w:tc>
      </w:tr>
      <w:tr w:rsidR="00C943A7" w:rsidRPr="007669E1" w14:paraId="19935FD5" w14:textId="77777777" w:rsidTr="001D5220">
        <w:tc>
          <w:tcPr>
            <w:tcW w:w="2425" w:type="dxa"/>
          </w:tcPr>
          <w:p w14:paraId="09F2159F" w14:textId="77777777" w:rsidR="007E7377" w:rsidRPr="0049306E" w:rsidRDefault="007E7377" w:rsidP="00E90BA7">
            <w:pPr>
              <w:keepNext/>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2734399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intended for official use by diplomatic missions, consular offices and representatives of international organizations, or for personal use or consumption by staff members of diplomatic missions, consular offices and representative offices of international organizations as well as by members of their families living with them, but to the exclusion of citizens of Moldova, are exempt from excise duties when a reciprocal exemption is provided by their home country.</w:t>
            </w:r>
          </w:p>
        </w:tc>
      </w:tr>
      <w:tr w:rsidR="00C943A7" w:rsidRPr="007669E1" w14:paraId="7DFCE11A" w14:textId="77777777" w:rsidTr="001D5220">
        <w:tc>
          <w:tcPr>
            <w:tcW w:w="2425" w:type="dxa"/>
          </w:tcPr>
          <w:p w14:paraId="45D0246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5D115B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35CC350" w14:textId="77777777" w:rsidTr="001D5220">
        <w:tc>
          <w:tcPr>
            <w:tcW w:w="2425" w:type="dxa"/>
          </w:tcPr>
          <w:p w14:paraId="6954A3C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6F1BAA2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Members of diplomatic missions, consular offices and international organizations and their families</w:t>
            </w:r>
          </w:p>
        </w:tc>
      </w:tr>
      <w:tr w:rsidR="00C943A7" w:rsidRPr="007669E1" w14:paraId="62C8DECC" w14:textId="77777777" w:rsidTr="001D5220">
        <w:tc>
          <w:tcPr>
            <w:tcW w:w="2425" w:type="dxa"/>
          </w:tcPr>
          <w:p w14:paraId="68BD9FD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4DA8E0E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F947573" w14:textId="77777777" w:rsidTr="001D5220">
        <w:tc>
          <w:tcPr>
            <w:tcW w:w="2425" w:type="dxa"/>
          </w:tcPr>
          <w:p w14:paraId="4F1832F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6E690F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3EB31C7E" w14:textId="77777777" w:rsidTr="001D5220">
        <w:tc>
          <w:tcPr>
            <w:tcW w:w="2425" w:type="dxa"/>
          </w:tcPr>
          <w:p w14:paraId="0D6A96E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4D2C7C8D" w14:textId="77777777" w:rsidR="007E7377" w:rsidRPr="007669E1" w:rsidRDefault="007E7377" w:rsidP="00E90BA7">
            <w:pPr>
              <w:spacing w:before="20" w:after="20" w:line="240" w:lineRule="auto"/>
              <w:jc w:val="both"/>
              <w:rPr>
                <w:rFonts w:ascii="Segoe UI" w:hAnsi="Segoe UI" w:cs="Segoe UI"/>
                <w:sz w:val="18"/>
                <w:szCs w:val="18"/>
                <w:vertAlign w:val="superscript"/>
              </w:rPr>
            </w:pPr>
            <w:r w:rsidRPr="007669E1">
              <w:rPr>
                <w:rFonts w:ascii="Segoe UI" w:hAnsi="Segoe UI" w:cs="Segoe UI"/>
                <w:sz w:val="18"/>
                <w:szCs w:val="18"/>
              </w:rPr>
              <w:t>Tax Code, article 124 (2</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2EA278FB" w14:textId="77777777" w:rsidTr="001D5220">
        <w:trPr>
          <w:trHeight w:val="182"/>
        </w:trPr>
        <w:tc>
          <w:tcPr>
            <w:tcW w:w="2425" w:type="dxa"/>
            <w:vMerge w:val="restart"/>
          </w:tcPr>
          <w:p w14:paraId="7858DD7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0436352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reflects established practices in international relations between governments.</w:t>
            </w:r>
          </w:p>
        </w:tc>
      </w:tr>
      <w:tr w:rsidR="00C943A7" w:rsidRPr="007669E1" w14:paraId="37F1B918" w14:textId="77777777" w:rsidTr="001D5220">
        <w:trPr>
          <w:trHeight w:val="182"/>
        </w:trPr>
        <w:tc>
          <w:tcPr>
            <w:tcW w:w="2425" w:type="dxa"/>
            <w:vMerge/>
          </w:tcPr>
          <w:p w14:paraId="2A07FE2A"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0FAE67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30D6B53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BB27D14" w14:textId="77777777" w:rsidTr="001D5220">
        <w:tc>
          <w:tcPr>
            <w:tcW w:w="2425" w:type="dxa"/>
          </w:tcPr>
          <w:p w14:paraId="4F56B29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4C0D779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388C83A4" w14:textId="77777777" w:rsidTr="001D5220">
        <w:tc>
          <w:tcPr>
            <w:tcW w:w="2425" w:type="dxa"/>
          </w:tcPr>
          <w:p w14:paraId="4975473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33394EB0"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7FF9C1A3" w14:textId="77777777" w:rsidTr="001D5220">
        <w:tc>
          <w:tcPr>
            <w:tcW w:w="2425" w:type="dxa"/>
          </w:tcPr>
          <w:p w14:paraId="01A2EBE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624158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1BB32AC" w14:textId="77777777" w:rsidTr="001D5220">
        <w:tc>
          <w:tcPr>
            <w:tcW w:w="2425" w:type="dxa"/>
          </w:tcPr>
          <w:p w14:paraId="2B8682D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6256A9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1DD725E" w14:textId="77777777" w:rsidTr="001D5220">
        <w:trPr>
          <w:trHeight w:val="91"/>
        </w:trPr>
        <w:tc>
          <w:tcPr>
            <w:tcW w:w="2425" w:type="dxa"/>
            <w:vMerge w:val="restart"/>
          </w:tcPr>
          <w:p w14:paraId="7593B6F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EE0053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3333F74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6BA132E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222AD44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601DCA0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C943A7" w:rsidRPr="007669E1" w14:paraId="73DCA1F0" w14:textId="77777777" w:rsidTr="001D5220">
        <w:trPr>
          <w:trHeight w:val="305"/>
        </w:trPr>
        <w:tc>
          <w:tcPr>
            <w:tcW w:w="2425" w:type="dxa"/>
            <w:vMerge/>
          </w:tcPr>
          <w:p w14:paraId="577986F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C3AC3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7,404.8</w:t>
            </w:r>
          </w:p>
        </w:tc>
        <w:tc>
          <w:tcPr>
            <w:tcW w:w="1385" w:type="dxa"/>
            <w:shd w:val="clear" w:color="auto" w:fill="auto"/>
          </w:tcPr>
          <w:p w14:paraId="255A0BC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9,391.7</w:t>
            </w:r>
          </w:p>
        </w:tc>
        <w:tc>
          <w:tcPr>
            <w:tcW w:w="1385" w:type="dxa"/>
            <w:gridSpan w:val="2"/>
            <w:shd w:val="clear" w:color="auto" w:fill="auto"/>
          </w:tcPr>
          <w:p w14:paraId="0A83093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9,179.7</w:t>
            </w:r>
          </w:p>
        </w:tc>
        <w:tc>
          <w:tcPr>
            <w:tcW w:w="1385" w:type="dxa"/>
            <w:shd w:val="clear" w:color="auto" w:fill="BFBFBF" w:themeFill="background1" w:themeFillShade="BF"/>
          </w:tcPr>
          <w:p w14:paraId="6006669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9,990.6</w:t>
            </w:r>
          </w:p>
        </w:tc>
        <w:tc>
          <w:tcPr>
            <w:tcW w:w="1660" w:type="dxa"/>
            <w:shd w:val="clear" w:color="auto" w:fill="BFBFBF" w:themeFill="background1" w:themeFillShade="BF"/>
          </w:tcPr>
          <w:p w14:paraId="709A8B3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9,990.6</w:t>
            </w:r>
          </w:p>
        </w:tc>
      </w:tr>
    </w:tbl>
    <w:p w14:paraId="723D5AE9"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3C1D0083" w14:textId="77777777" w:rsidTr="001D5220">
        <w:tc>
          <w:tcPr>
            <w:tcW w:w="9625" w:type="dxa"/>
            <w:gridSpan w:val="7"/>
            <w:shd w:val="clear" w:color="auto" w:fill="D9D9D9" w:themeFill="background1" w:themeFillShade="D9"/>
          </w:tcPr>
          <w:p w14:paraId="36D59E0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21. Exemption from excise duties for gifts received in the context of international relations</w:t>
            </w:r>
          </w:p>
        </w:tc>
      </w:tr>
      <w:tr w:rsidR="00C943A7" w:rsidRPr="007669E1" w14:paraId="23CE70F7" w14:textId="77777777" w:rsidTr="001D5220">
        <w:tc>
          <w:tcPr>
            <w:tcW w:w="2425" w:type="dxa"/>
          </w:tcPr>
          <w:p w14:paraId="3FA9666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60C940F9"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Official gifts received or to be received from a foreign country or certain foreign organizations are exempt from excise duties. This exemption does not apply to alcohol and tobacco products.</w:t>
            </w:r>
          </w:p>
        </w:tc>
      </w:tr>
      <w:tr w:rsidR="00C943A7" w:rsidRPr="007669E1" w14:paraId="1E6C9122" w14:textId="77777777" w:rsidTr="001D5220">
        <w:tc>
          <w:tcPr>
            <w:tcW w:w="2425" w:type="dxa"/>
          </w:tcPr>
          <w:p w14:paraId="41D08BC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788EEE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6352614E" w14:textId="77777777" w:rsidTr="001D5220">
        <w:tc>
          <w:tcPr>
            <w:tcW w:w="2425" w:type="dxa"/>
          </w:tcPr>
          <w:p w14:paraId="46088AA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50BC4FE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granted foreign awards</w:t>
            </w:r>
          </w:p>
        </w:tc>
      </w:tr>
      <w:tr w:rsidR="00C943A7" w:rsidRPr="007669E1" w14:paraId="2F19B501" w14:textId="77777777" w:rsidTr="001D5220">
        <w:tc>
          <w:tcPr>
            <w:tcW w:w="2425" w:type="dxa"/>
          </w:tcPr>
          <w:p w14:paraId="6A6BC7F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43E4799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36345A2" w14:textId="77777777" w:rsidTr="001D5220">
        <w:tc>
          <w:tcPr>
            <w:tcW w:w="2425" w:type="dxa"/>
          </w:tcPr>
          <w:p w14:paraId="0841B9B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5C7E467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0983DF81" w14:textId="77777777" w:rsidTr="001D5220">
        <w:tc>
          <w:tcPr>
            <w:tcW w:w="2425" w:type="dxa"/>
          </w:tcPr>
          <w:p w14:paraId="42734D5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5C6AD54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251</w:t>
            </w:r>
          </w:p>
        </w:tc>
      </w:tr>
      <w:tr w:rsidR="00C943A7" w:rsidRPr="007669E1" w14:paraId="0750AB9B" w14:textId="77777777" w:rsidTr="001D5220">
        <w:trPr>
          <w:trHeight w:val="182"/>
        </w:trPr>
        <w:tc>
          <w:tcPr>
            <w:tcW w:w="2425" w:type="dxa"/>
            <w:vMerge w:val="restart"/>
          </w:tcPr>
          <w:p w14:paraId="232216E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6DD4865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relations.</w:t>
            </w:r>
          </w:p>
          <w:p w14:paraId="0D33625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5C9D213" w14:textId="77777777" w:rsidTr="001D5220">
        <w:trPr>
          <w:trHeight w:val="182"/>
        </w:trPr>
        <w:tc>
          <w:tcPr>
            <w:tcW w:w="2425" w:type="dxa"/>
            <w:vMerge/>
          </w:tcPr>
          <w:p w14:paraId="3CD4006C"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2C21020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0957BB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2F8BE63" w14:textId="77777777" w:rsidTr="001D5220">
        <w:tc>
          <w:tcPr>
            <w:tcW w:w="2425" w:type="dxa"/>
          </w:tcPr>
          <w:p w14:paraId="2A8CCDE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76C4478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0F82088" w14:textId="77777777" w:rsidTr="001D5220">
        <w:tc>
          <w:tcPr>
            <w:tcW w:w="2425" w:type="dxa"/>
          </w:tcPr>
          <w:p w14:paraId="7BACCC9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2F314A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1CFA0AF" w14:textId="77777777" w:rsidTr="001D5220">
        <w:tc>
          <w:tcPr>
            <w:tcW w:w="2425" w:type="dxa"/>
          </w:tcPr>
          <w:p w14:paraId="1A04B60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41C731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A274DD3" w14:textId="77777777" w:rsidTr="001D5220">
        <w:tc>
          <w:tcPr>
            <w:tcW w:w="2425" w:type="dxa"/>
          </w:tcPr>
          <w:p w14:paraId="6554070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639F87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E66904A" w14:textId="77777777" w:rsidTr="001D5220">
        <w:trPr>
          <w:trHeight w:val="91"/>
        </w:trPr>
        <w:tc>
          <w:tcPr>
            <w:tcW w:w="2425" w:type="dxa"/>
            <w:vMerge w:val="restart"/>
          </w:tcPr>
          <w:p w14:paraId="50E194A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90FE3C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71A2AD8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08E7D25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407BF87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6EF6D56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2D74B6FF" w14:textId="77777777" w:rsidTr="001D5220">
        <w:trPr>
          <w:trHeight w:val="305"/>
        </w:trPr>
        <w:tc>
          <w:tcPr>
            <w:tcW w:w="2425" w:type="dxa"/>
            <w:vMerge/>
          </w:tcPr>
          <w:p w14:paraId="0FBA2AB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404B0E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730357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237EBA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6591E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660" w:type="dxa"/>
            <w:shd w:val="clear" w:color="auto" w:fill="auto"/>
          </w:tcPr>
          <w:p w14:paraId="73E82F8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r>
    </w:tbl>
    <w:p w14:paraId="719D23D5"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7985602F" w14:textId="77777777" w:rsidTr="001D5220">
        <w:tc>
          <w:tcPr>
            <w:tcW w:w="9625" w:type="dxa"/>
            <w:gridSpan w:val="7"/>
            <w:shd w:val="clear" w:color="auto" w:fill="D9D9D9" w:themeFill="background1" w:themeFillShade="D9"/>
          </w:tcPr>
          <w:p w14:paraId="3474A25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lastRenderedPageBreak/>
              <w:t>22. Exemption from excise duties for goods intended for heads of state</w:t>
            </w:r>
          </w:p>
        </w:tc>
      </w:tr>
      <w:tr w:rsidR="00C943A7" w:rsidRPr="007669E1" w14:paraId="623A36FA" w14:textId="77777777" w:rsidTr="001D5220">
        <w:tc>
          <w:tcPr>
            <w:tcW w:w="2425" w:type="dxa"/>
          </w:tcPr>
          <w:p w14:paraId="0CC7F73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6E62E00D"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Gifts offered to heads of state during official events, as well as goods for the use or consumption of foreign heads of state or official representatives, are exempt from excise duties on a reciprocal basis.</w:t>
            </w:r>
          </w:p>
        </w:tc>
      </w:tr>
      <w:tr w:rsidR="00C943A7" w:rsidRPr="007669E1" w14:paraId="55CCFA87" w14:textId="77777777" w:rsidTr="001D5220">
        <w:tc>
          <w:tcPr>
            <w:tcW w:w="2425" w:type="dxa"/>
          </w:tcPr>
          <w:p w14:paraId="6E5BF02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5819187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5A2FDDFF" w14:textId="77777777" w:rsidTr="001D5220">
        <w:tc>
          <w:tcPr>
            <w:tcW w:w="2425" w:type="dxa"/>
          </w:tcPr>
          <w:p w14:paraId="33B3F0B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1925CC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Heads of state</w:t>
            </w:r>
          </w:p>
        </w:tc>
      </w:tr>
      <w:tr w:rsidR="00C943A7" w:rsidRPr="007669E1" w14:paraId="3466E920" w14:textId="77777777" w:rsidTr="001D5220">
        <w:tc>
          <w:tcPr>
            <w:tcW w:w="2425" w:type="dxa"/>
          </w:tcPr>
          <w:p w14:paraId="7964589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19A6F08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DB1E08D" w14:textId="77777777" w:rsidTr="001D5220">
        <w:tc>
          <w:tcPr>
            <w:tcW w:w="2425" w:type="dxa"/>
          </w:tcPr>
          <w:p w14:paraId="6B0A484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04842CA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282B0517" w14:textId="77777777" w:rsidTr="001D5220">
        <w:tc>
          <w:tcPr>
            <w:tcW w:w="2425" w:type="dxa"/>
          </w:tcPr>
          <w:p w14:paraId="0C0071E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081EFF0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252</w:t>
            </w:r>
          </w:p>
        </w:tc>
      </w:tr>
      <w:tr w:rsidR="00C943A7" w:rsidRPr="007669E1" w14:paraId="54E1DBEB" w14:textId="77777777" w:rsidTr="001D5220">
        <w:trPr>
          <w:trHeight w:val="182"/>
        </w:trPr>
        <w:tc>
          <w:tcPr>
            <w:tcW w:w="2425" w:type="dxa"/>
            <w:vMerge w:val="restart"/>
          </w:tcPr>
          <w:p w14:paraId="156F10C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60E2AE4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relations.</w:t>
            </w:r>
          </w:p>
          <w:p w14:paraId="7345B9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B843F6B" w14:textId="77777777" w:rsidTr="001D5220">
        <w:trPr>
          <w:trHeight w:val="182"/>
        </w:trPr>
        <w:tc>
          <w:tcPr>
            <w:tcW w:w="2425" w:type="dxa"/>
            <w:vMerge/>
          </w:tcPr>
          <w:p w14:paraId="77BE9B69"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665D119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B77BC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BBC325F" w14:textId="77777777" w:rsidTr="001D5220">
        <w:tc>
          <w:tcPr>
            <w:tcW w:w="2425" w:type="dxa"/>
          </w:tcPr>
          <w:p w14:paraId="7B81D0F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3E39D56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550DA78" w14:textId="77777777" w:rsidTr="001D5220">
        <w:tc>
          <w:tcPr>
            <w:tcW w:w="2425" w:type="dxa"/>
          </w:tcPr>
          <w:p w14:paraId="0DE5469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2FD123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62E5190" w14:textId="77777777" w:rsidTr="001D5220">
        <w:tc>
          <w:tcPr>
            <w:tcW w:w="2425" w:type="dxa"/>
          </w:tcPr>
          <w:p w14:paraId="09D9CE3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03C7E1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4ECAE3F" w14:textId="77777777" w:rsidTr="001D5220">
        <w:tc>
          <w:tcPr>
            <w:tcW w:w="2425" w:type="dxa"/>
          </w:tcPr>
          <w:p w14:paraId="59FBBDD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29AF4B6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DBB8109" w14:textId="77777777" w:rsidTr="001D5220">
        <w:trPr>
          <w:trHeight w:val="91"/>
        </w:trPr>
        <w:tc>
          <w:tcPr>
            <w:tcW w:w="2425" w:type="dxa"/>
            <w:vMerge w:val="restart"/>
          </w:tcPr>
          <w:p w14:paraId="46E57C1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CD5F94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67C84BB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0A0CA2B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21CBF38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284AEEE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1724FB82" w14:textId="77777777" w:rsidTr="001D5220">
        <w:trPr>
          <w:trHeight w:val="305"/>
        </w:trPr>
        <w:tc>
          <w:tcPr>
            <w:tcW w:w="2425" w:type="dxa"/>
            <w:vMerge/>
          </w:tcPr>
          <w:p w14:paraId="7D5218C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18E44D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9F3DA5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B0B836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03BD242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0A20608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00D16E7E"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774DAAB5" w14:textId="77777777" w:rsidTr="001D5220">
        <w:tc>
          <w:tcPr>
            <w:tcW w:w="9625" w:type="dxa"/>
            <w:gridSpan w:val="7"/>
            <w:shd w:val="clear" w:color="auto" w:fill="D9D9D9" w:themeFill="background1" w:themeFillShade="D9"/>
          </w:tcPr>
          <w:p w14:paraId="7D88771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23. Exemption for foreign military forces and international intervention teams</w:t>
            </w:r>
          </w:p>
        </w:tc>
      </w:tr>
      <w:tr w:rsidR="00C943A7" w:rsidRPr="007669E1" w14:paraId="62776CAF" w14:textId="77777777" w:rsidTr="001D5220">
        <w:tc>
          <w:tcPr>
            <w:tcW w:w="2425" w:type="dxa"/>
          </w:tcPr>
          <w:p w14:paraId="799AE92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46EF3956"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foreign military forces carrying out temporary military applications or by international intervention teams that participate in joint exercises in Moldova are exempt from excise duties.</w:t>
            </w:r>
          </w:p>
        </w:tc>
      </w:tr>
      <w:tr w:rsidR="00C943A7" w:rsidRPr="007669E1" w14:paraId="297B4F6A" w14:textId="77777777" w:rsidTr="001D5220">
        <w:tc>
          <w:tcPr>
            <w:tcW w:w="2425" w:type="dxa"/>
          </w:tcPr>
          <w:p w14:paraId="1A916A9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57B3D8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39413153" w14:textId="77777777" w:rsidTr="001D5220">
        <w:tc>
          <w:tcPr>
            <w:tcW w:w="2425" w:type="dxa"/>
          </w:tcPr>
          <w:p w14:paraId="7AA2524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403B2D2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military forces, international intervention teams</w:t>
            </w:r>
          </w:p>
        </w:tc>
      </w:tr>
      <w:tr w:rsidR="00C943A7" w:rsidRPr="007669E1" w14:paraId="429B9F1B" w14:textId="77777777" w:rsidTr="001D5220">
        <w:tc>
          <w:tcPr>
            <w:tcW w:w="2425" w:type="dxa"/>
          </w:tcPr>
          <w:p w14:paraId="150E216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5A246DF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2741A27" w14:textId="77777777" w:rsidTr="001D5220">
        <w:tc>
          <w:tcPr>
            <w:tcW w:w="2425" w:type="dxa"/>
          </w:tcPr>
          <w:p w14:paraId="6733AAB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442A365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0A0C5011" w14:textId="77777777" w:rsidTr="001D5220">
        <w:tc>
          <w:tcPr>
            <w:tcW w:w="2425" w:type="dxa"/>
          </w:tcPr>
          <w:p w14:paraId="5B1BFC8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5BB356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articles 124 (2</w:t>
            </w:r>
            <w:r w:rsidRPr="007669E1">
              <w:rPr>
                <w:rFonts w:ascii="Segoe UI" w:hAnsi="Segoe UI" w:cs="Segoe UI"/>
                <w:sz w:val="18"/>
                <w:szCs w:val="18"/>
                <w:vertAlign w:val="superscript"/>
              </w:rPr>
              <w:t>2</w:t>
            </w:r>
            <w:r w:rsidRPr="007669E1">
              <w:rPr>
                <w:rFonts w:ascii="Segoe UI" w:hAnsi="Segoe UI" w:cs="Segoe UI"/>
                <w:sz w:val="18"/>
                <w:szCs w:val="18"/>
              </w:rPr>
              <w:t>) and (2</w:t>
            </w:r>
            <w:r w:rsidRPr="007669E1">
              <w:rPr>
                <w:rFonts w:ascii="Segoe UI" w:hAnsi="Segoe UI" w:cs="Segoe UI"/>
                <w:sz w:val="18"/>
                <w:szCs w:val="18"/>
                <w:vertAlign w:val="superscript"/>
              </w:rPr>
              <w:t>3</w:t>
            </w:r>
            <w:r w:rsidRPr="007669E1">
              <w:rPr>
                <w:rFonts w:ascii="Segoe UI" w:hAnsi="Segoe UI" w:cs="Segoe UI"/>
                <w:sz w:val="18"/>
                <w:szCs w:val="18"/>
              </w:rPr>
              <w:t>)</w:t>
            </w:r>
          </w:p>
        </w:tc>
      </w:tr>
      <w:tr w:rsidR="00C943A7" w:rsidRPr="007669E1" w14:paraId="51B30729" w14:textId="77777777" w:rsidTr="001D5220">
        <w:trPr>
          <w:trHeight w:val="182"/>
        </w:trPr>
        <w:tc>
          <w:tcPr>
            <w:tcW w:w="2425" w:type="dxa"/>
            <w:vMerge w:val="restart"/>
          </w:tcPr>
          <w:p w14:paraId="156864C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60EF26D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reflects established practices in international relations between governments.</w:t>
            </w:r>
          </w:p>
        </w:tc>
      </w:tr>
      <w:tr w:rsidR="00C943A7" w:rsidRPr="007669E1" w14:paraId="0E592B1D" w14:textId="77777777" w:rsidTr="001D5220">
        <w:trPr>
          <w:trHeight w:val="182"/>
        </w:trPr>
        <w:tc>
          <w:tcPr>
            <w:tcW w:w="2425" w:type="dxa"/>
            <w:vMerge/>
          </w:tcPr>
          <w:p w14:paraId="5C269B0A"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5016C5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14940A3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9E49F48" w14:textId="77777777" w:rsidTr="001D5220">
        <w:tc>
          <w:tcPr>
            <w:tcW w:w="2425" w:type="dxa"/>
          </w:tcPr>
          <w:p w14:paraId="0DD7BB6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283DE77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E20B74B" w14:textId="77777777" w:rsidTr="001D5220">
        <w:tc>
          <w:tcPr>
            <w:tcW w:w="2425" w:type="dxa"/>
          </w:tcPr>
          <w:p w14:paraId="02BF871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08AD5EF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4256A26" w14:textId="77777777" w:rsidTr="001D5220">
        <w:tc>
          <w:tcPr>
            <w:tcW w:w="2425" w:type="dxa"/>
          </w:tcPr>
          <w:p w14:paraId="4824A45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40C22C2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005BEA9" w14:textId="77777777" w:rsidTr="001D5220">
        <w:tc>
          <w:tcPr>
            <w:tcW w:w="2425" w:type="dxa"/>
          </w:tcPr>
          <w:p w14:paraId="5A662FA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1D3F49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90D7BE1" w14:textId="77777777" w:rsidTr="001D5220">
        <w:trPr>
          <w:trHeight w:val="91"/>
        </w:trPr>
        <w:tc>
          <w:tcPr>
            <w:tcW w:w="2425" w:type="dxa"/>
            <w:vMerge w:val="restart"/>
          </w:tcPr>
          <w:p w14:paraId="17700DC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0CD172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16FD41A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0CCC766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1AE6A23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1CE8C65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1EC72393" w14:textId="77777777" w:rsidTr="001D5220">
        <w:trPr>
          <w:trHeight w:val="305"/>
        </w:trPr>
        <w:tc>
          <w:tcPr>
            <w:tcW w:w="2425" w:type="dxa"/>
            <w:vMerge/>
          </w:tcPr>
          <w:p w14:paraId="055627C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540CA3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19B9B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39A06B6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5A441C6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0201EBF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58AC9000"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4F30D3E0" w14:textId="77777777" w:rsidTr="001D5220">
        <w:tc>
          <w:tcPr>
            <w:tcW w:w="9625" w:type="dxa"/>
            <w:gridSpan w:val="7"/>
            <w:shd w:val="clear" w:color="auto" w:fill="D9D9D9" w:themeFill="background1" w:themeFillShade="D9"/>
          </w:tcPr>
          <w:p w14:paraId="6F1D396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24. Exemptions for humanitarian aid and international assistance projects</w:t>
            </w:r>
          </w:p>
        </w:tc>
      </w:tr>
      <w:tr w:rsidR="00C943A7" w:rsidRPr="007669E1" w14:paraId="2094C8C3" w14:textId="77777777" w:rsidTr="001D5220">
        <w:tc>
          <w:tcPr>
            <w:tcW w:w="2425" w:type="dxa"/>
          </w:tcPr>
          <w:p w14:paraId="1F3D2B1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08AAEEB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Imported goods that consist in humanitarian aid are exempt from excise duties. Goods intended for technical assistance projects carried out in Moldova by international </w:t>
            </w:r>
            <w:r w:rsidRPr="007669E1">
              <w:rPr>
                <w:rFonts w:ascii="Segoe UI" w:hAnsi="Segoe UI" w:cs="Segoe UI"/>
                <w:sz w:val="18"/>
                <w:szCs w:val="18"/>
              </w:rPr>
              <w:lastRenderedPageBreak/>
              <w:t>organizations and donor countries or financed from grants granted to the government are also exempt from excise duties.</w:t>
            </w:r>
          </w:p>
        </w:tc>
      </w:tr>
      <w:tr w:rsidR="00C943A7" w:rsidRPr="007669E1" w14:paraId="5F46FADC" w14:textId="77777777" w:rsidTr="001D5220">
        <w:tc>
          <w:tcPr>
            <w:tcW w:w="2425" w:type="dxa"/>
          </w:tcPr>
          <w:p w14:paraId="06E691F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lastRenderedPageBreak/>
              <w:t>Type of Tax Affected</w:t>
            </w:r>
          </w:p>
        </w:tc>
        <w:tc>
          <w:tcPr>
            <w:tcW w:w="7200" w:type="dxa"/>
            <w:gridSpan w:val="6"/>
          </w:tcPr>
          <w:p w14:paraId="567B9D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316AA5E5" w14:textId="77777777" w:rsidTr="001D5220">
        <w:tc>
          <w:tcPr>
            <w:tcW w:w="2425" w:type="dxa"/>
          </w:tcPr>
          <w:p w14:paraId="4112B2E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0565E76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Organizations providing aid and assistance</w:t>
            </w:r>
          </w:p>
        </w:tc>
      </w:tr>
      <w:tr w:rsidR="00C943A7" w:rsidRPr="007669E1" w14:paraId="3E1B8FA2" w14:textId="77777777" w:rsidTr="001D5220">
        <w:tc>
          <w:tcPr>
            <w:tcW w:w="2425" w:type="dxa"/>
          </w:tcPr>
          <w:p w14:paraId="636B0F5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1D39667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A089D39" w14:textId="77777777" w:rsidTr="001D5220">
        <w:tc>
          <w:tcPr>
            <w:tcW w:w="2425" w:type="dxa"/>
          </w:tcPr>
          <w:p w14:paraId="4262157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47DF3BD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7582719F" w14:textId="77777777" w:rsidTr="001D5220">
        <w:tc>
          <w:tcPr>
            <w:tcW w:w="2425" w:type="dxa"/>
          </w:tcPr>
          <w:p w14:paraId="17846AE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4E06CA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articles 124 (2) and (3)</w:t>
            </w:r>
          </w:p>
        </w:tc>
      </w:tr>
      <w:tr w:rsidR="00C943A7" w:rsidRPr="007669E1" w14:paraId="7E97E9C1" w14:textId="77777777" w:rsidTr="001D5220">
        <w:trPr>
          <w:trHeight w:val="182"/>
        </w:trPr>
        <w:tc>
          <w:tcPr>
            <w:tcW w:w="2425" w:type="dxa"/>
            <w:vMerge w:val="restart"/>
          </w:tcPr>
          <w:p w14:paraId="284DC83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4B07A0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exemptions are intended to facilitate humanitarian and assistance projects in Moldova.</w:t>
            </w:r>
          </w:p>
        </w:tc>
      </w:tr>
      <w:tr w:rsidR="00C943A7" w:rsidRPr="007669E1" w14:paraId="2476AA32" w14:textId="77777777" w:rsidTr="001D5220">
        <w:trPr>
          <w:trHeight w:val="182"/>
        </w:trPr>
        <w:tc>
          <w:tcPr>
            <w:tcW w:w="2425" w:type="dxa"/>
            <w:vMerge/>
          </w:tcPr>
          <w:p w14:paraId="24EF9F67"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17C309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305E15C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402692D" w14:textId="77777777" w:rsidTr="001D5220">
        <w:tc>
          <w:tcPr>
            <w:tcW w:w="2425" w:type="dxa"/>
          </w:tcPr>
          <w:p w14:paraId="776C026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05A4F2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2AAEC09B" w14:textId="77777777" w:rsidTr="001D5220">
        <w:tc>
          <w:tcPr>
            <w:tcW w:w="2425" w:type="dxa"/>
          </w:tcPr>
          <w:p w14:paraId="0B89B59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3D09592C"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6916F4E4" w14:textId="77777777" w:rsidTr="001D5220">
        <w:tc>
          <w:tcPr>
            <w:tcW w:w="2425" w:type="dxa"/>
          </w:tcPr>
          <w:p w14:paraId="0D1FC91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17711A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0549608" w14:textId="77777777" w:rsidTr="001D5220">
        <w:tc>
          <w:tcPr>
            <w:tcW w:w="2425" w:type="dxa"/>
          </w:tcPr>
          <w:p w14:paraId="30BDB25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786F49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166A1C0" w14:textId="77777777" w:rsidTr="001D5220">
        <w:trPr>
          <w:trHeight w:val="91"/>
        </w:trPr>
        <w:tc>
          <w:tcPr>
            <w:tcW w:w="2425" w:type="dxa"/>
            <w:vMerge w:val="restart"/>
          </w:tcPr>
          <w:p w14:paraId="280C894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3FA15A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2C1D3A0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7847E54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79339A4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4BB171C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A2051E" w:rsidRPr="007669E1" w14:paraId="61770AE3" w14:textId="77777777" w:rsidTr="001D5220">
        <w:trPr>
          <w:trHeight w:val="305"/>
        </w:trPr>
        <w:tc>
          <w:tcPr>
            <w:tcW w:w="2425" w:type="dxa"/>
            <w:vMerge/>
          </w:tcPr>
          <w:p w14:paraId="0958476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AB6F4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1,553.7</w:t>
            </w:r>
          </w:p>
        </w:tc>
        <w:tc>
          <w:tcPr>
            <w:tcW w:w="1385" w:type="dxa"/>
            <w:shd w:val="clear" w:color="auto" w:fill="auto"/>
          </w:tcPr>
          <w:p w14:paraId="77DB69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8,566.2</w:t>
            </w:r>
          </w:p>
        </w:tc>
        <w:tc>
          <w:tcPr>
            <w:tcW w:w="1385" w:type="dxa"/>
            <w:gridSpan w:val="2"/>
            <w:shd w:val="clear" w:color="auto" w:fill="auto"/>
          </w:tcPr>
          <w:p w14:paraId="37747A1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19,870.7</w:t>
            </w:r>
          </w:p>
        </w:tc>
        <w:tc>
          <w:tcPr>
            <w:tcW w:w="1385" w:type="dxa"/>
            <w:shd w:val="clear" w:color="auto" w:fill="auto"/>
          </w:tcPr>
          <w:p w14:paraId="0A7D67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69,323.2</w:t>
            </w:r>
          </w:p>
        </w:tc>
        <w:tc>
          <w:tcPr>
            <w:tcW w:w="1660" w:type="dxa"/>
            <w:shd w:val="clear" w:color="auto" w:fill="BFBFBF" w:themeFill="background1" w:themeFillShade="BF"/>
          </w:tcPr>
          <w:p w14:paraId="07EB1AF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24,828.4</w:t>
            </w:r>
          </w:p>
        </w:tc>
      </w:tr>
    </w:tbl>
    <w:p w14:paraId="2EE9A266"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4E3C145E" w14:textId="77777777" w:rsidTr="001D5220">
        <w:tc>
          <w:tcPr>
            <w:tcW w:w="9625" w:type="dxa"/>
            <w:gridSpan w:val="7"/>
            <w:shd w:val="clear" w:color="auto" w:fill="D9D9D9" w:themeFill="background1" w:themeFillShade="D9"/>
          </w:tcPr>
          <w:p w14:paraId="5407E72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25. Exemption from excise duties for international aid</w:t>
            </w:r>
          </w:p>
        </w:tc>
      </w:tr>
      <w:tr w:rsidR="00C943A7" w:rsidRPr="007669E1" w14:paraId="7685EFCB" w14:textId="77777777" w:rsidTr="001D5220">
        <w:tc>
          <w:tcPr>
            <w:tcW w:w="2425" w:type="dxa"/>
          </w:tcPr>
          <w:p w14:paraId="71E6396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28343946"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Excise duties are not charged on goods imported by (or donated from abroad to) state institutions or other philanthropic governmental organizations to be distributed free of charge to needy persons. This exemption does not apply to alcohol and tobacco products nor to motor vehicles (except ambulances).</w:t>
            </w:r>
          </w:p>
        </w:tc>
      </w:tr>
      <w:tr w:rsidR="00C943A7" w:rsidRPr="007669E1" w14:paraId="53FF13A3" w14:textId="77777777" w:rsidTr="001D5220">
        <w:tc>
          <w:tcPr>
            <w:tcW w:w="2425" w:type="dxa"/>
          </w:tcPr>
          <w:p w14:paraId="0B4D35E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2C18F1C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5F2FBF07" w14:textId="77777777" w:rsidTr="001D5220">
        <w:tc>
          <w:tcPr>
            <w:tcW w:w="2425" w:type="dxa"/>
          </w:tcPr>
          <w:p w14:paraId="7BA1399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732B4CD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institutions or other philanthropic governmental organizations</w:t>
            </w:r>
          </w:p>
        </w:tc>
      </w:tr>
      <w:tr w:rsidR="00C943A7" w:rsidRPr="007669E1" w14:paraId="06B48974" w14:textId="77777777" w:rsidTr="001D5220">
        <w:tc>
          <w:tcPr>
            <w:tcW w:w="2425" w:type="dxa"/>
          </w:tcPr>
          <w:p w14:paraId="45C0512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7DF6F8D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0B174E4" w14:textId="77777777" w:rsidTr="001D5220">
        <w:tc>
          <w:tcPr>
            <w:tcW w:w="2425" w:type="dxa"/>
          </w:tcPr>
          <w:p w14:paraId="5709CFA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2E7103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19193904" w14:textId="77777777" w:rsidTr="001D5220">
        <w:tc>
          <w:tcPr>
            <w:tcW w:w="2425" w:type="dxa"/>
          </w:tcPr>
          <w:p w14:paraId="72DE331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515A87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 to 277</w:t>
            </w:r>
            <w:r w:rsidRPr="007669E1">
              <w:rPr>
                <w:rFonts w:ascii="Segoe UI" w:hAnsi="Segoe UI" w:cs="Segoe UI"/>
                <w:sz w:val="18"/>
                <w:szCs w:val="18"/>
                <w:vertAlign w:val="superscript"/>
              </w:rPr>
              <w:t>4</w:t>
            </w:r>
          </w:p>
        </w:tc>
      </w:tr>
      <w:tr w:rsidR="00C943A7" w:rsidRPr="007669E1" w14:paraId="244EFDA8" w14:textId="77777777" w:rsidTr="001D5220">
        <w:trPr>
          <w:trHeight w:val="182"/>
        </w:trPr>
        <w:tc>
          <w:tcPr>
            <w:tcW w:w="2425" w:type="dxa"/>
            <w:vMerge w:val="restart"/>
          </w:tcPr>
          <w:p w14:paraId="77AD0AF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448BA97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the provision of international aid.</w:t>
            </w:r>
          </w:p>
          <w:p w14:paraId="3CF1D39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6688C687" w14:textId="77777777" w:rsidTr="001D5220">
        <w:trPr>
          <w:trHeight w:val="182"/>
        </w:trPr>
        <w:tc>
          <w:tcPr>
            <w:tcW w:w="2425" w:type="dxa"/>
            <w:vMerge/>
          </w:tcPr>
          <w:p w14:paraId="0565D98C"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2F57763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495F428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25FF6FF" w14:textId="77777777" w:rsidTr="001D5220">
        <w:tc>
          <w:tcPr>
            <w:tcW w:w="2425" w:type="dxa"/>
          </w:tcPr>
          <w:p w14:paraId="283528C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1A6AE85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49D6E3" w14:textId="77777777" w:rsidTr="001D5220">
        <w:tc>
          <w:tcPr>
            <w:tcW w:w="2425" w:type="dxa"/>
          </w:tcPr>
          <w:p w14:paraId="0693609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5EEE47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8035A20" w14:textId="77777777" w:rsidTr="001D5220">
        <w:tc>
          <w:tcPr>
            <w:tcW w:w="2425" w:type="dxa"/>
          </w:tcPr>
          <w:p w14:paraId="09C5BE7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0228F3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3556E39" w14:textId="77777777" w:rsidTr="001D5220">
        <w:tc>
          <w:tcPr>
            <w:tcW w:w="2425" w:type="dxa"/>
          </w:tcPr>
          <w:p w14:paraId="33A57F7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6F1853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97F9C18" w14:textId="77777777" w:rsidTr="001D5220">
        <w:trPr>
          <w:trHeight w:val="91"/>
        </w:trPr>
        <w:tc>
          <w:tcPr>
            <w:tcW w:w="2425" w:type="dxa"/>
            <w:vMerge w:val="restart"/>
          </w:tcPr>
          <w:p w14:paraId="4F7231C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AECC4E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1849FC4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695FF21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20D7C62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10D8D56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2F60D85B" w14:textId="77777777" w:rsidTr="001D5220">
        <w:trPr>
          <w:trHeight w:val="305"/>
        </w:trPr>
        <w:tc>
          <w:tcPr>
            <w:tcW w:w="2425" w:type="dxa"/>
            <w:vMerge/>
          </w:tcPr>
          <w:p w14:paraId="5F94301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305C75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FBDE89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38FDBD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50F1A6C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61986B7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3158E025"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24E40FC0" w14:textId="77777777" w:rsidTr="001D5220">
        <w:tc>
          <w:tcPr>
            <w:tcW w:w="9625" w:type="dxa"/>
            <w:gridSpan w:val="7"/>
            <w:shd w:val="clear" w:color="auto" w:fill="D9D9D9" w:themeFill="background1" w:themeFillShade="D9"/>
          </w:tcPr>
          <w:p w14:paraId="399BB10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26. Exemptions established under the Compact Agreement with the Millennium Challenge Corporation</w:t>
            </w:r>
          </w:p>
        </w:tc>
      </w:tr>
      <w:tr w:rsidR="00C943A7" w:rsidRPr="007669E1" w14:paraId="643D30D9" w14:textId="77777777" w:rsidTr="001D5220">
        <w:tc>
          <w:tcPr>
            <w:tcW w:w="2425" w:type="dxa"/>
          </w:tcPr>
          <w:p w14:paraId="5C3CEBE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2833BF4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On January 22, 2010, Moldova signed a compact agreement with the Millennium Challenges Corporation regarding the implementation of five-year assistance program financed by the United States and intended to support policies and programs to foster sustainable economic growth and reduce poverty. In support of this agreement, goods and services intended to realize and ensure the sustainability of the investments made </w:t>
            </w:r>
            <w:r w:rsidRPr="007669E1">
              <w:rPr>
                <w:rFonts w:ascii="Segoe UI" w:hAnsi="Segoe UI" w:cs="Segoe UI"/>
                <w:sz w:val="18"/>
                <w:szCs w:val="18"/>
              </w:rPr>
              <w:lastRenderedPageBreak/>
              <w:t>pursuant to this agreement benefit from certain exemptions or refunds from taxes and duties, including from excise duties and import duties.</w:t>
            </w:r>
          </w:p>
        </w:tc>
      </w:tr>
      <w:tr w:rsidR="00C943A7" w:rsidRPr="007669E1" w14:paraId="27103313" w14:textId="77777777" w:rsidTr="001D5220">
        <w:tc>
          <w:tcPr>
            <w:tcW w:w="2425" w:type="dxa"/>
          </w:tcPr>
          <w:p w14:paraId="1A87E7E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lastRenderedPageBreak/>
              <w:t>Type of Tax Affected</w:t>
            </w:r>
          </w:p>
        </w:tc>
        <w:tc>
          <w:tcPr>
            <w:tcW w:w="7200" w:type="dxa"/>
            <w:gridSpan w:val="6"/>
          </w:tcPr>
          <w:p w14:paraId="6AD9229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78EF817D" w14:textId="77777777" w:rsidTr="001D5220">
        <w:tc>
          <w:tcPr>
            <w:tcW w:w="2425" w:type="dxa"/>
          </w:tcPr>
          <w:p w14:paraId="3384397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729C803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 institutions and organizations making investments financed under this agreement</w:t>
            </w:r>
          </w:p>
        </w:tc>
      </w:tr>
      <w:tr w:rsidR="00C943A7" w:rsidRPr="007669E1" w14:paraId="73013009" w14:textId="77777777" w:rsidTr="001D5220">
        <w:tc>
          <w:tcPr>
            <w:tcW w:w="2425" w:type="dxa"/>
          </w:tcPr>
          <w:p w14:paraId="17478B9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2EC2674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78FC7DF" w14:textId="77777777" w:rsidTr="001D5220">
        <w:tc>
          <w:tcPr>
            <w:tcW w:w="2425" w:type="dxa"/>
          </w:tcPr>
          <w:p w14:paraId="0F9CC54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0C48FFF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4EF78AA2" w14:textId="77777777" w:rsidTr="001D5220">
        <w:tc>
          <w:tcPr>
            <w:tcW w:w="2425" w:type="dxa"/>
          </w:tcPr>
          <w:p w14:paraId="11F3918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4821AD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Decision no. 949 of 12-10-2010 for the approval of the Regulation regarding the application of the value added tax exemption with the right of deduction, as well as the exemption from the payment of taxes, fees and other mandatory payments established by the "Compact" Agreement</w:t>
            </w:r>
          </w:p>
        </w:tc>
      </w:tr>
      <w:tr w:rsidR="00C943A7" w:rsidRPr="007669E1" w14:paraId="5987B7EE" w14:textId="77777777" w:rsidTr="001D5220">
        <w:trPr>
          <w:trHeight w:val="182"/>
        </w:trPr>
        <w:tc>
          <w:tcPr>
            <w:tcW w:w="2425" w:type="dxa"/>
            <w:vMerge w:val="restart"/>
          </w:tcPr>
          <w:p w14:paraId="098E3F5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311FF7C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implementation of the compact agreement signed with the Millennium Challenge Corporation.</w:t>
            </w:r>
          </w:p>
          <w:p w14:paraId="3271F9C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Decision no. of 12-10-2010.</w:t>
            </w:r>
          </w:p>
        </w:tc>
      </w:tr>
      <w:tr w:rsidR="00C943A7" w:rsidRPr="007669E1" w14:paraId="08EEDF64" w14:textId="77777777" w:rsidTr="001D5220">
        <w:trPr>
          <w:trHeight w:val="182"/>
        </w:trPr>
        <w:tc>
          <w:tcPr>
            <w:tcW w:w="2425" w:type="dxa"/>
            <w:vMerge/>
          </w:tcPr>
          <w:p w14:paraId="46A81C99"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3A5DEC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2010</w:t>
            </w:r>
          </w:p>
        </w:tc>
        <w:tc>
          <w:tcPr>
            <w:tcW w:w="3738" w:type="dxa"/>
            <w:gridSpan w:val="3"/>
          </w:tcPr>
          <w:p w14:paraId="4036949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D5C0329" w14:textId="77777777" w:rsidTr="001D5220">
        <w:tc>
          <w:tcPr>
            <w:tcW w:w="2425" w:type="dxa"/>
          </w:tcPr>
          <w:p w14:paraId="4EFCA8D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4DE60BB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9800329" w14:textId="77777777" w:rsidTr="001D5220">
        <w:tc>
          <w:tcPr>
            <w:tcW w:w="2425" w:type="dxa"/>
          </w:tcPr>
          <w:p w14:paraId="1DF1FEA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67C346C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52FA4DE" w14:textId="77777777" w:rsidTr="001D5220">
        <w:tc>
          <w:tcPr>
            <w:tcW w:w="2425" w:type="dxa"/>
          </w:tcPr>
          <w:p w14:paraId="4F0609D2"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35B3938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83895EE" w14:textId="77777777" w:rsidTr="001D5220">
        <w:tc>
          <w:tcPr>
            <w:tcW w:w="2425" w:type="dxa"/>
          </w:tcPr>
          <w:p w14:paraId="4FD4B80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2EA4ED8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53CA669" w14:textId="77777777" w:rsidTr="001D5220">
        <w:trPr>
          <w:trHeight w:val="91"/>
        </w:trPr>
        <w:tc>
          <w:tcPr>
            <w:tcW w:w="2425" w:type="dxa"/>
            <w:vMerge w:val="restart"/>
          </w:tcPr>
          <w:p w14:paraId="7DDC8F0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168930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73DE55E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339171C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6DC5CAD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58043A4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547923B0" w14:textId="77777777" w:rsidTr="001D5220">
        <w:trPr>
          <w:trHeight w:val="305"/>
        </w:trPr>
        <w:tc>
          <w:tcPr>
            <w:tcW w:w="2425" w:type="dxa"/>
            <w:vMerge/>
          </w:tcPr>
          <w:p w14:paraId="72C8E43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FE7AB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15B7D77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48D260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49B9C36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660" w:type="dxa"/>
            <w:shd w:val="clear" w:color="auto" w:fill="auto"/>
          </w:tcPr>
          <w:p w14:paraId="768B2E3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465AEED4"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0B50C2F7" w14:textId="77777777" w:rsidTr="001D5220">
        <w:tc>
          <w:tcPr>
            <w:tcW w:w="9625" w:type="dxa"/>
            <w:gridSpan w:val="7"/>
            <w:shd w:val="clear" w:color="auto" w:fill="D9D9D9" w:themeFill="background1" w:themeFillShade="D9"/>
          </w:tcPr>
          <w:p w14:paraId="2989175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27. Exemption from excise duties for goods for the use of disaster victims</w:t>
            </w:r>
          </w:p>
        </w:tc>
      </w:tr>
      <w:tr w:rsidR="00C943A7" w:rsidRPr="007669E1" w14:paraId="1C3E35AC" w14:textId="77777777" w:rsidTr="001D5220">
        <w:tc>
          <w:tcPr>
            <w:tcW w:w="2425" w:type="dxa"/>
          </w:tcPr>
          <w:p w14:paraId="3454423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1F7D1292"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Imported goods intended for free distribution to victims of disasters in Moldova, as well as goods imported by state institutions and governmental rescue organizations for their activity, are exempt from excise duties. No exemption is granted for materials and equipment intended for the reconstruction of disaster areas.</w:t>
            </w:r>
          </w:p>
        </w:tc>
      </w:tr>
      <w:tr w:rsidR="00C943A7" w:rsidRPr="007669E1" w14:paraId="3D23C2D5" w14:textId="77777777" w:rsidTr="001D5220">
        <w:tc>
          <w:tcPr>
            <w:tcW w:w="2425" w:type="dxa"/>
          </w:tcPr>
          <w:p w14:paraId="199DB7A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529BC6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014F32DE" w14:textId="77777777" w:rsidTr="001D5220">
        <w:tc>
          <w:tcPr>
            <w:tcW w:w="2425" w:type="dxa"/>
          </w:tcPr>
          <w:p w14:paraId="1FF6497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466DE7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Disaster victims</w:t>
            </w:r>
          </w:p>
        </w:tc>
      </w:tr>
      <w:tr w:rsidR="00C943A7" w:rsidRPr="007669E1" w14:paraId="398B757F" w14:textId="77777777" w:rsidTr="001D5220">
        <w:tc>
          <w:tcPr>
            <w:tcW w:w="2425" w:type="dxa"/>
          </w:tcPr>
          <w:p w14:paraId="565F237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1AE0B4F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20AAFF9" w14:textId="77777777" w:rsidTr="001D5220">
        <w:tc>
          <w:tcPr>
            <w:tcW w:w="2425" w:type="dxa"/>
          </w:tcPr>
          <w:p w14:paraId="3627561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1E1E78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07B93A8C" w14:textId="77777777" w:rsidTr="001D5220">
        <w:tc>
          <w:tcPr>
            <w:tcW w:w="2425" w:type="dxa"/>
          </w:tcPr>
          <w:p w14:paraId="3F0D979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077DFF5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12</w:t>
            </w:r>
            <w:r w:rsidRPr="007669E1">
              <w:rPr>
                <w:rFonts w:ascii="Segoe UI" w:hAnsi="Segoe UI" w:cs="Segoe UI"/>
                <w:sz w:val="18"/>
                <w:szCs w:val="18"/>
              </w:rPr>
              <w:t xml:space="preserve"> to 277</w:t>
            </w:r>
            <w:r w:rsidRPr="007669E1">
              <w:rPr>
                <w:rFonts w:ascii="Segoe UI" w:hAnsi="Segoe UI" w:cs="Segoe UI"/>
                <w:sz w:val="18"/>
                <w:szCs w:val="18"/>
                <w:vertAlign w:val="superscript"/>
              </w:rPr>
              <w:t>17</w:t>
            </w:r>
          </w:p>
        </w:tc>
      </w:tr>
      <w:tr w:rsidR="00C943A7" w:rsidRPr="007669E1" w14:paraId="10AEB6FB" w14:textId="77777777" w:rsidTr="001D5220">
        <w:trPr>
          <w:trHeight w:val="182"/>
        </w:trPr>
        <w:tc>
          <w:tcPr>
            <w:tcW w:w="2425" w:type="dxa"/>
            <w:vMerge w:val="restart"/>
          </w:tcPr>
          <w:p w14:paraId="6807B81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0B2E43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disaster victims.</w:t>
            </w:r>
          </w:p>
          <w:p w14:paraId="08D28E6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773130EB" w14:textId="77777777" w:rsidTr="001D5220">
        <w:trPr>
          <w:trHeight w:val="182"/>
        </w:trPr>
        <w:tc>
          <w:tcPr>
            <w:tcW w:w="2425" w:type="dxa"/>
            <w:vMerge/>
          </w:tcPr>
          <w:p w14:paraId="19AE6452"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524B6C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29E1FA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865714E" w14:textId="77777777" w:rsidTr="001D5220">
        <w:tc>
          <w:tcPr>
            <w:tcW w:w="2425" w:type="dxa"/>
          </w:tcPr>
          <w:p w14:paraId="352E8CC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55DA72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D2652F5" w14:textId="77777777" w:rsidTr="001D5220">
        <w:tc>
          <w:tcPr>
            <w:tcW w:w="2425" w:type="dxa"/>
          </w:tcPr>
          <w:p w14:paraId="26B89AC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131664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607812E" w14:textId="77777777" w:rsidTr="001D5220">
        <w:tc>
          <w:tcPr>
            <w:tcW w:w="2425" w:type="dxa"/>
          </w:tcPr>
          <w:p w14:paraId="2249613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742337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74CB9CD" w14:textId="77777777" w:rsidTr="001D5220">
        <w:tc>
          <w:tcPr>
            <w:tcW w:w="2425" w:type="dxa"/>
          </w:tcPr>
          <w:p w14:paraId="68F3633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5C31A3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9935B03" w14:textId="77777777" w:rsidTr="001D5220">
        <w:trPr>
          <w:trHeight w:val="91"/>
        </w:trPr>
        <w:tc>
          <w:tcPr>
            <w:tcW w:w="2425" w:type="dxa"/>
            <w:vMerge w:val="restart"/>
          </w:tcPr>
          <w:p w14:paraId="5580D4D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A73625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478FF8E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794C54DC"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00607CC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10A0882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79EC9EEC" w14:textId="77777777" w:rsidTr="001D5220">
        <w:trPr>
          <w:trHeight w:val="305"/>
        </w:trPr>
        <w:tc>
          <w:tcPr>
            <w:tcW w:w="2425" w:type="dxa"/>
            <w:vMerge/>
          </w:tcPr>
          <w:p w14:paraId="2517886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2D9465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346D414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E6E961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5381B56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3218BBE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0599AB10"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1DF9207C" w14:textId="77777777" w:rsidTr="001D5220">
        <w:tc>
          <w:tcPr>
            <w:tcW w:w="9625" w:type="dxa"/>
            <w:gridSpan w:val="7"/>
            <w:shd w:val="clear" w:color="auto" w:fill="D9D9D9" w:themeFill="background1" w:themeFillShade="D9"/>
          </w:tcPr>
          <w:p w14:paraId="73444ADE" w14:textId="77777777" w:rsidR="007E7377" w:rsidRPr="0049306E" w:rsidRDefault="007E7377" w:rsidP="00E90BA7">
            <w:pPr>
              <w:keepNext/>
              <w:spacing w:before="20" w:after="20" w:line="240" w:lineRule="auto"/>
              <w:jc w:val="both"/>
              <w:rPr>
                <w:rFonts w:ascii="Segoe UI" w:hAnsi="Segoe UI" w:cs="Segoe UI"/>
                <w:b/>
                <w:bCs/>
                <w:sz w:val="18"/>
                <w:szCs w:val="18"/>
              </w:rPr>
            </w:pPr>
            <w:r w:rsidRPr="0049306E">
              <w:rPr>
                <w:rFonts w:ascii="Segoe UI" w:hAnsi="Segoe UI" w:cs="Segoe UI"/>
                <w:b/>
                <w:bCs/>
                <w:sz w:val="18"/>
                <w:szCs w:val="18"/>
              </w:rPr>
              <w:lastRenderedPageBreak/>
              <w:t>28. Excise duty refunds for the processing and manufacturing of excisable goods</w:t>
            </w:r>
          </w:p>
        </w:tc>
      </w:tr>
      <w:tr w:rsidR="00C943A7" w:rsidRPr="007669E1" w14:paraId="1449808F" w14:textId="77777777" w:rsidTr="001D5220">
        <w:tc>
          <w:tcPr>
            <w:tcW w:w="2425" w:type="dxa"/>
          </w:tcPr>
          <w:p w14:paraId="795FF602" w14:textId="77777777" w:rsidR="007E7377" w:rsidRPr="0049306E" w:rsidRDefault="007E7377" w:rsidP="00E90BA7">
            <w:pPr>
              <w:keepNext/>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716D9712"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Excise duties paid by companies on goods used in the processing and/or manufacturing of other excisable goods can be partly or fully rebated to the companies, including when the other excisable goods are intended for export.</w:t>
            </w:r>
          </w:p>
        </w:tc>
      </w:tr>
      <w:tr w:rsidR="00C943A7" w:rsidRPr="007669E1" w14:paraId="17C2B685" w14:textId="77777777" w:rsidTr="001D5220">
        <w:tc>
          <w:tcPr>
            <w:tcW w:w="2425" w:type="dxa"/>
          </w:tcPr>
          <w:p w14:paraId="62D59A8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379630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20046786" w14:textId="77777777" w:rsidTr="001D5220">
        <w:tc>
          <w:tcPr>
            <w:tcW w:w="2425" w:type="dxa"/>
          </w:tcPr>
          <w:p w14:paraId="23E0B81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7F028D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 processing and manufacturing excisable goods</w:t>
            </w:r>
          </w:p>
        </w:tc>
      </w:tr>
      <w:tr w:rsidR="00C943A7" w:rsidRPr="007669E1" w14:paraId="43A8805B" w14:textId="77777777" w:rsidTr="001D5220">
        <w:tc>
          <w:tcPr>
            <w:tcW w:w="2425" w:type="dxa"/>
          </w:tcPr>
          <w:p w14:paraId="64044DD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142AA9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Refund</w:t>
            </w:r>
          </w:p>
        </w:tc>
      </w:tr>
      <w:tr w:rsidR="00C943A7" w:rsidRPr="007669E1" w14:paraId="2635BBBB" w14:textId="77777777" w:rsidTr="001D5220">
        <w:tc>
          <w:tcPr>
            <w:tcW w:w="2425" w:type="dxa"/>
          </w:tcPr>
          <w:p w14:paraId="3251039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6902A9B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Refunds of excise duties are considered tax expenditures.</w:t>
            </w:r>
          </w:p>
        </w:tc>
      </w:tr>
      <w:tr w:rsidR="00C943A7" w:rsidRPr="007669E1" w14:paraId="61F0409B" w14:textId="77777777" w:rsidTr="001D5220">
        <w:tc>
          <w:tcPr>
            <w:tcW w:w="2425" w:type="dxa"/>
          </w:tcPr>
          <w:p w14:paraId="766FBE2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37DE30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125</w:t>
            </w:r>
          </w:p>
        </w:tc>
      </w:tr>
      <w:tr w:rsidR="00C943A7" w:rsidRPr="007669E1" w14:paraId="269DC515" w14:textId="77777777" w:rsidTr="001D5220">
        <w:trPr>
          <w:trHeight w:val="182"/>
        </w:trPr>
        <w:tc>
          <w:tcPr>
            <w:tcW w:w="2425" w:type="dxa"/>
            <w:vMerge w:val="restart"/>
          </w:tcPr>
          <w:p w14:paraId="58EB6874"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5A13046E"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9E289D0" w14:textId="77777777" w:rsidTr="001D5220">
        <w:trPr>
          <w:trHeight w:val="182"/>
        </w:trPr>
        <w:tc>
          <w:tcPr>
            <w:tcW w:w="2425" w:type="dxa"/>
            <w:vMerge/>
          </w:tcPr>
          <w:p w14:paraId="0D9E774C"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135348B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D1997D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8CC7010" w14:textId="77777777" w:rsidTr="001D5220">
        <w:tc>
          <w:tcPr>
            <w:tcW w:w="2425" w:type="dxa"/>
          </w:tcPr>
          <w:p w14:paraId="62CDDCA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0E98038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0FDBF88" w14:textId="77777777" w:rsidTr="001D5220">
        <w:tc>
          <w:tcPr>
            <w:tcW w:w="2425" w:type="dxa"/>
          </w:tcPr>
          <w:p w14:paraId="55F41916"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107343D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397FDDF" w14:textId="77777777" w:rsidTr="001D5220">
        <w:tc>
          <w:tcPr>
            <w:tcW w:w="2425" w:type="dxa"/>
          </w:tcPr>
          <w:p w14:paraId="11A9A1F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33B862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964CAA6" w14:textId="77777777" w:rsidTr="001D5220">
        <w:tc>
          <w:tcPr>
            <w:tcW w:w="2425" w:type="dxa"/>
          </w:tcPr>
          <w:p w14:paraId="38F334F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Revenue Cost Reporting</w:t>
            </w:r>
          </w:p>
        </w:tc>
        <w:tc>
          <w:tcPr>
            <w:tcW w:w="7200" w:type="dxa"/>
            <w:gridSpan w:val="6"/>
          </w:tcPr>
          <w:p w14:paraId="6543E99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CEA4C31" w14:textId="77777777" w:rsidTr="001D5220">
        <w:trPr>
          <w:trHeight w:val="91"/>
        </w:trPr>
        <w:tc>
          <w:tcPr>
            <w:tcW w:w="2425" w:type="dxa"/>
            <w:vMerge w:val="restart"/>
          </w:tcPr>
          <w:p w14:paraId="2ABF341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43F5FCF"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0E4B33D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760F5B19"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4626B23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558EA8B0"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775F01" w:rsidRPr="007669E1" w14:paraId="2403B3FA" w14:textId="77777777" w:rsidTr="001D5220">
        <w:trPr>
          <w:trHeight w:val="305"/>
        </w:trPr>
        <w:tc>
          <w:tcPr>
            <w:tcW w:w="2425" w:type="dxa"/>
            <w:vMerge/>
          </w:tcPr>
          <w:p w14:paraId="2379CEF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3069BE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7F9888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19C0037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7651526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28D239E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3D1C309F"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49306E" w14:paraId="0496A489" w14:textId="77777777" w:rsidTr="001D5220">
        <w:tc>
          <w:tcPr>
            <w:tcW w:w="9625" w:type="dxa"/>
            <w:gridSpan w:val="7"/>
            <w:shd w:val="clear" w:color="auto" w:fill="D9D9D9" w:themeFill="background1" w:themeFillShade="D9"/>
          </w:tcPr>
          <w:p w14:paraId="7D822371"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29. Exemptions for the free economic zones, the Free International Port "Giurgiuleşti" and the Free International Airport "Mărculeşti"</w:t>
            </w:r>
          </w:p>
        </w:tc>
      </w:tr>
      <w:tr w:rsidR="00C943A7" w:rsidRPr="007669E1" w14:paraId="3EE99855" w14:textId="77777777" w:rsidTr="001D5220">
        <w:tc>
          <w:tcPr>
            <w:tcW w:w="2425" w:type="dxa"/>
          </w:tcPr>
          <w:p w14:paraId="2232C043"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Description</w:t>
            </w:r>
          </w:p>
        </w:tc>
        <w:tc>
          <w:tcPr>
            <w:tcW w:w="7200" w:type="dxa"/>
            <w:gridSpan w:val="6"/>
          </w:tcPr>
          <w:p w14:paraId="10068F6D"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Excisable goods imported into a free economic zone from outside Moldova, from another free economic zone or from the rest of Moldova are exempt from excise duties, while excisable goods imported into the rest of Moldova from a free economic zone are subject to excise duties.</w:t>
            </w:r>
          </w:p>
          <w:p w14:paraId="66B90E34"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Fuel destined for the supply in the Giurgiuleşti Free International Port of maritime vessels involved in the international transport of goods and passengers is also exempt from excise duties.</w:t>
            </w:r>
          </w:p>
          <w:p w14:paraId="6462D747"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It is prohibited to produce ethyl alcohol and other alcoholic products and to import tobacco, tobacco products and produce tobacco products in a free economic zone.</w:t>
            </w:r>
          </w:p>
        </w:tc>
      </w:tr>
      <w:tr w:rsidR="00C943A7" w:rsidRPr="007669E1" w14:paraId="685085F3" w14:textId="77777777" w:rsidTr="001D5220">
        <w:tc>
          <w:tcPr>
            <w:tcW w:w="2425" w:type="dxa"/>
          </w:tcPr>
          <w:p w14:paraId="2285D10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Tax Affected</w:t>
            </w:r>
          </w:p>
        </w:tc>
        <w:tc>
          <w:tcPr>
            <w:tcW w:w="7200" w:type="dxa"/>
            <w:gridSpan w:val="6"/>
          </w:tcPr>
          <w:p w14:paraId="02B1568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Excise duties</w:t>
            </w:r>
          </w:p>
        </w:tc>
      </w:tr>
      <w:tr w:rsidR="00C943A7" w:rsidRPr="007669E1" w14:paraId="17F007D3" w14:textId="77777777" w:rsidTr="001D5220">
        <w:tc>
          <w:tcPr>
            <w:tcW w:w="2425" w:type="dxa"/>
          </w:tcPr>
          <w:p w14:paraId="742FBB7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Beneficiaries</w:t>
            </w:r>
          </w:p>
        </w:tc>
        <w:tc>
          <w:tcPr>
            <w:tcW w:w="7200" w:type="dxa"/>
            <w:gridSpan w:val="6"/>
          </w:tcPr>
          <w:p w14:paraId="6638465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w:t>
            </w:r>
          </w:p>
        </w:tc>
      </w:tr>
      <w:tr w:rsidR="00C943A7" w:rsidRPr="007669E1" w14:paraId="1A037070" w14:textId="77777777" w:rsidTr="001D5220">
        <w:tc>
          <w:tcPr>
            <w:tcW w:w="2425" w:type="dxa"/>
          </w:tcPr>
          <w:p w14:paraId="6E68D94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Type of Measure</w:t>
            </w:r>
          </w:p>
        </w:tc>
        <w:tc>
          <w:tcPr>
            <w:tcW w:w="7200" w:type="dxa"/>
            <w:gridSpan w:val="6"/>
          </w:tcPr>
          <w:p w14:paraId="4765734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B2FE487" w14:textId="77777777" w:rsidTr="001D5220">
        <w:tc>
          <w:tcPr>
            <w:tcW w:w="2425" w:type="dxa"/>
          </w:tcPr>
          <w:p w14:paraId="10FD3AC7"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Reason why this Measure is not part of the Benchmark Tax System</w:t>
            </w:r>
          </w:p>
        </w:tc>
        <w:tc>
          <w:tcPr>
            <w:tcW w:w="7200" w:type="dxa"/>
            <w:gridSpan w:val="6"/>
          </w:tcPr>
          <w:p w14:paraId="5DC49F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excise duties for products that are excisable products are considered tax expenditures.</w:t>
            </w:r>
          </w:p>
        </w:tc>
      </w:tr>
      <w:tr w:rsidR="00C943A7" w:rsidRPr="007669E1" w14:paraId="589DA6A4" w14:textId="77777777" w:rsidTr="001D5220">
        <w:tc>
          <w:tcPr>
            <w:tcW w:w="2425" w:type="dxa"/>
          </w:tcPr>
          <w:p w14:paraId="575EFFF5"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Legal Reference</w:t>
            </w:r>
          </w:p>
        </w:tc>
        <w:tc>
          <w:tcPr>
            <w:tcW w:w="7200" w:type="dxa"/>
            <w:gridSpan w:val="6"/>
          </w:tcPr>
          <w:p w14:paraId="728E4FF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articles 124 (9), (10), (10</w:t>
            </w:r>
            <w:r w:rsidRPr="007669E1">
              <w:rPr>
                <w:rFonts w:ascii="Segoe UI" w:hAnsi="Segoe UI" w:cs="Segoe UI"/>
                <w:sz w:val="18"/>
                <w:szCs w:val="18"/>
                <w:vertAlign w:val="superscript"/>
              </w:rPr>
              <w:t>1</w:t>
            </w:r>
            <w:r w:rsidRPr="007669E1">
              <w:rPr>
                <w:rFonts w:ascii="Segoe UI" w:hAnsi="Segoe UI" w:cs="Segoe UI"/>
                <w:sz w:val="18"/>
                <w:szCs w:val="18"/>
              </w:rPr>
              <w:t>), (11) and (20)</w:t>
            </w:r>
          </w:p>
        </w:tc>
      </w:tr>
      <w:tr w:rsidR="00C943A7" w:rsidRPr="007669E1" w14:paraId="7EFCE617" w14:textId="77777777" w:rsidTr="001D5220">
        <w:trPr>
          <w:trHeight w:val="182"/>
        </w:trPr>
        <w:tc>
          <w:tcPr>
            <w:tcW w:w="2425" w:type="dxa"/>
            <w:vMerge w:val="restart"/>
          </w:tcPr>
          <w:p w14:paraId="330ED68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Implementation Objectives, and History</w:t>
            </w:r>
          </w:p>
        </w:tc>
        <w:tc>
          <w:tcPr>
            <w:tcW w:w="7200" w:type="dxa"/>
            <w:gridSpan w:val="6"/>
          </w:tcPr>
          <w:p w14:paraId="5B495AB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Free zones are established in order to accelerate socio-economic development by attracting investments, developing export-oriented production and creating new jobs.</w:t>
            </w:r>
          </w:p>
          <w:p w14:paraId="282A6F4F"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00EC823E" w14:textId="77777777" w:rsidTr="001D5220">
        <w:trPr>
          <w:trHeight w:val="182"/>
        </w:trPr>
        <w:tc>
          <w:tcPr>
            <w:tcW w:w="2425" w:type="dxa"/>
            <w:vMerge/>
          </w:tcPr>
          <w:p w14:paraId="4713E9A1" w14:textId="77777777" w:rsidR="007E7377" w:rsidRPr="0049306E" w:rsidRDefault="007E7377" w:rsidP="00E90BA7">
            <w:pPr>
              <w:spacing w:before="20" w:after="20" w:line="240" w:lineRule="auto"/>
              <w:jc w:val="both"/>
              <w:rPr>
                <w:rFonts w:ascii="Segoe UI" w:hAnsi="Segoe UI" w:cs="Segoe UI"/>
                <w:b/>
                <w:bCs/>
                <w:sz w:val="18"/>
                <w:szCs w:val="18"/>
              </w:rPr>
            </w:pPr>
          </w:p>
        </w:tc>
        <w:tc>
          <w:tcPr>
            <w:tcW w:w="3462" w:type="dxa"/>
            <w:gridSpan w:val="3"/>
          </w:tcPr>
          <w:p w14:paraId="61F6A7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E7BDD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51EE55B" w14:textId="77777777" w:rsidTr="001D5220">
        <w:tc>
          <w:tcPr>
            <w:tcW w:w="2425" w:type="dxa"/>
          </w:tcPr>
          <w:p w14:paraId="0C4D2DB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Source of Data</w:t>
            </w:r>
          </w:p>
        </w:tc>
        <w:tc>
          <w:tcPr>
            <w:tcW w:w="7200" w:type="dxa"/>
            <w:gridSpan w:val="6"/>
          </w:tcPr>
          <w:p w14:paraId="07E05B65" w14:textId="07F4FE2C" w:rsidR="007E7377" w:rsidRPr="007669E1" w:rsidRDefault="113E9C2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18285E3" w14:textId="77777777" w:rsidTr="001D5220">
        <w:tc>
          <w:tcPr>
            <w:tcW w:w="2425" w:type="dxa"/>
          </w:tcPr>
          <w:p w14:paraId="4D51A3F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Estimation Method</w:t>
            </w:r>
          </w:p>
        </w:tc>
        <w:tc>
          <w:tcPr>
            <w:tcW w:w="7200" w:type="dxa"/>
            <w:gridSpan w:val="6"/>
          </w:tcPr>
          <w:p w14:paraId="500C4366" w14:textId="4F31F2C1" w:rsidR="007E7377" w:rsidRPr="007669E1" w:rsidRDefault="0A3ACB5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estimates presented below only cover the tax expenditures in respect of the exemption of fuel destined for the supply in the Giurgiuleşti Free International Port of maritime vessels.</w:t>
            </w:r>
          </w:p>
        </w:tc>
      </w:tr>
      <w:tr w:rsidR="00C943A7" w:rsidRPr="007669E1" w14:paraId="1065B105" w14:textId="77777777" w:rsidTr="001D5220">
        <w:tc>
          <w:tcPr>
            <w:tcW w:w="2425" w:type="dxa"/>
          </w:tcPr>
          <w:p w14:paraId="0757032D"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Number of Beneficiaries</w:t>
            </w:r>
          </w:p>
        </w:tc>
        <w:tc>
          <w:tcPr>
            <w:tcW w:w="7200" w:type="dxa"/>
            <w:gridSpan w:val="6"/>
          </w:tcPr>
          <w:p w14:paraId="3021812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BCE2F72" w14:textId="77777777" w:rsidTr="001D5220">
        <w:tc>
          <w:tcPr>
            <w:tcW w:w="2425" w:type="dxa"/>
          </w:tcPr>
          <w:p w14:paraId="2844CCD8"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lastRenderedPageBreak/>
              <w:t>Revenue Cost Reporting</w:t>
            </w:r>
          </w:p>
        </w:tc>
        <w:tc>
          <w:tcPr>
            <w:tcW w:w="7200" w:type="dxa"/>
            <w:gridSpan w:val="6"/>
          </w:tcPr>
          <w:p w14:paraId="7273494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7480B1B" w14:textId="77777777" w:rsidTr="001D5220">
        <w:trPr>
          <w:trHeight w:val="91"/>
        </w:trPr>
        <w:tc>
          <w:tcPr>
            <w:tcW w:w="2425" w:type="dxa"/>
            <w:vMerge w:val="restart"/>
          </w:tcPr>
          <w:p w14:paraId="3FFF0F2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6F4B30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2018</w:t>
            </w:r>
          </w:p>
        </w:tc>
        <w:tc>
          <w:tcPr>
            <w:tcW w:w="1385" w:type="dxa"/>
          </w:tcPr>
          <w:p w14:paraId="6485741A"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2019</w:t>
            </w:r>
          </w:p>
        </w:tc>
        <w:tc>
          <w:tcPr>
            <w:tcW w:w="1385" w:type="dxa"/>
            <w:gridSpan w:val="2"/>
          </w:tcPr>
          <w:p w14:paraId="6EC3F1BE"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2020</w:t>
            </w:r>
          </w:p>
        </w:tc>
        <w:tc>
          <w:tcPr>
            <w:tcW w:w="1385" w:type="dxa"/>
          </w:tcPr>
          <w:p w14:paraId="6E1E003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2021</w:t>
            </w:r>
          </w:p>
        </w:tc>
        <w:tc>
          <w:tcPr>
            <w:tcW w:w="1660" w:type="dxa"/>
          </w:tcPr>
          <w:p w14:paraId="0FFBBB2B" w14:textId="77777777" w:rsidR="007E7377" w:rsidRPr="0049306E" w:rsidRDefault="007E7377" w:rsidP="00E90BA7">
            <w:pPr>
              <w:spacing w:before="20" w:after="20" w:line="240" w:lineRule="auto"/>
              <w:jc w:val="both"/>
              <w:rPr>
                <w:rFonts w:ascii="Segoe UI" w:hAnsi="Segoe UI" w:cs="Segoe UI"/>
                <w:b/>
                <w:bCs/>
                <w:sz w:val="18"/>
                <w:szCs w:val="18"/>
              </w:rPr>
            </w:pPr>
            <w:r w:rsidRPr="0049306E">
              <w:rPr>
                <w:rFonts w:ascii="Segoe UI" w:hAnsi="Segoe UI" w:cs="Segoe UI"/>
                <w:b/>
                <w:bCs/>
                <w:sz w:val="18"/>
                <w:szCs w:val="18"/>
              </w:rPr>
              <w:t>2022</w:t>
            </w:r>
          </w:p>
        </w:tc>
      </w:tr>
      <w:tr w:rsidR="00C943A7" w:rsidRPr="007669E1" w14:paraId="4F347BAF" w14:textId="77777777" w:rsidTr="00140461">
        <w:trPr>
          <w:trHeight w:val="305"/>
        </w:trPr>
        <w:tc>
          <w:tcPr>
            <w:tcW w:w="2425" w:type="dxa"/>
            <w:vMerge/>
          </w:tcPr>
          <w:p w14:paraId="31DEE44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EE8269F" w14:textId="75D13C45" w:rsidR="007E7377" w:rsidRPr="007669E1" w:rsidRDefault="26A0DE7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798.3</w:t>
            </w:r>
          </w:p>
        </w:tc>
        <w:tc>
          <w:tcPr>
            <w:tcW w:w="1385" w:type="dxa"/>
            <w:shd w:val="clear" w:color="auto" w:fill="auto"/>
          </w:tcPr>
          <w:p w14:paraId="3B1E8FC2" w14:textId="4998DF30" w:rsidR="007E7377" w:rsidRPr="007669E1" w:rsidRDefault="5704421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934.8</w:t>
            </w:r>
          </w:p>
        </w:tc>
        <w:tc>
          <w:tcPr>
            <w:tcW w:w="1385" w:type="dxa"/>
            <w:gridSpan w:val="2"/>
            <w:shd w:val="clear" w:color="auto" w:fill="auto"/>
          </w:tcPr>
          <w:p w14:paraId="1E7DD1D5" w14:textId="0C0B6085" w:rsidR="007E7377" w:rsidRPr="007669E1" w:rsidRDefault="4E5E78CC"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388.7</w:t>
            </w:r>
          </w:p>
        </w:tc>
        <w:tc>
          <w:tcPr>
            <w:tcW w:w="1385" w:type="dxa"/>
            <w:shd w:val="clear" w:color="auto" w:fill="auto"/>
          </w:tcPr>
          <w:p w14:paraId="5BE78F60" w14:textId="5ED3A60F" w:rsidR="007E7377" w:rsidRPr="007669E1" w:rsidRDefault="2FBBF65F"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284.3</w:t>
            </w:r>
          </w:p>
        </w:tc>
        <w:tc>
          <w:tcPr>
            <w:tcW w:w="1660" w:type="dxa"/>
            <w:shd w:val="clear" w:color="auto" w:fill="D9D9D9" w:themeFill="background1" w:themeFillShade="D9"/>
          </w:tcPr>
          <w:p w14:paraId="5D743C27" w14:textId="6136847D" w:rsidR="007E7377" w:rsidRPr="007669E1" w:rsidRDefault="5D2E4728"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601.5</w:t>
            </w:r>
          </w:p>
        </w:tc>
      </w:tr>
    </w:tbl>
    <w:p w14:paraId="2B79C869" w14:textId="77777777" w:rsidR="007E7377" w:rsidRPr="007669E1" w:rsidRDefault="007E7377" w:rsidP="00E90BA7">
      <w:pPr>
        <w:spacing w:before="20" w:after="20" w:line="240" w:lineRule="auto"/>
        <w:jc w:val="both"/>
        <w:rPr>
          <w:rFonts w:ascii="Segoe UI" w:hAnsi="Segoe UI" w:cs="Segoe UI"/>
          <w:sz w:val="18"/>
          <w:szCs w:val="18"/>
        </w:rPr>
      </w:pPr>
    </w:p>
    <w:p w14:paraId="7A0A23D5" w14:textId="77777777" w:rsidR="007E7377" w:rsidRPr="007669E1" w:rsidRDefault="007E7377" w:rsidP="00E90BA7">
      <w:pPr>
        <w:spacing w:before="20" w:after="20" w:line="240" w:lineRule="auto"/>
        <w:jc w:val="both"/>
        <w:rPr>
          <w:rFonts w:ascii="Segoe UI" w:eastAsia="Century Gothic" w:hAnsi="Segoe UI" w:cs="Segoe UI"/>
          <w:b/>
          <w:caps/>
          <w:color w:val="009CDE"/>
          <w:sz w:val="18"/>
          <w:szCs w:val="18"/>
        </w:rPr>
      </w:pPr>
      <w:r w:rsidRPr="007669E1">
        <w:rPr>
          <w:rFonts w:ascii="Segoe UI" w:hAnsi="Segoe UI" w:cs="Segoe UI"/>
          <w:sz w:val="18"/>
          <w:szCs w:val="18"/>
        </w:rPr>
        <w:br w:type="page"/>
      </w:r>
    </w:p>
    <w:p w14:paraId="720D8B5A" w14:textId="77777777" w:rsidR="007E7377" w:rsidRPr="007669E1" w:rsidRDefault="007E7377" w:rsidP="00E90BA7">
      <w:pPr>
        <w:pStyle w:val="Heading2"/>
        <w:spacing w:before="20" w:after="20" w:line="240" w:lineRule="auto"/>
        <w:jc w:val="both"/>
        <w:rPr>
          <w:rFonts w:ascii="Segoe UI" w:hAnsi="Segoe UI" w:cs="Segoe UI"/>
          <w:color w:val="0070C0"/>
          <w:sz w:val="18"/>
          <w:szCs w:val="18"/>
        </w:rPr>
      </w:pPr>
      <w:bookmarkStart w:id="55" w:name="_Toc126555845"/>
      <w:r w:rsidRPr="007669E1">
        <w:rPr>
          <w:rFonts w:ascii="Segoe UI" w:hAnsi="Segoe UI" w:cs="Segoe UI"/>
          <w:sz w:val="18"/>
          <w:szCs w:val="18"/>
        </w:rPr>
        <w:lastRenderedPageBreak/>
        <w:t>Appendix 5:</w:t>
      </w:r>
      <w:r w:rsidRPr="007669E1">
        <w:rPr>
          <w:rFonts w:ascii="Segoe UI" w:hAnsi="Segoe UI" w:cs="Segoe UI"/>
          <w:sz w:val="18"/>
          <w:szCs w:val="18"/>
        </w:rPr>
        <w:tab/>
        <w:t>Road Usage Fees—Tax Expenditures Summary Sheets</w:t>
      </w:r>
      <w:bookmarkEnd w:id="55"/>
    </w:p>
    <w:p w14:paraId="0CA7E7F8"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950587" w14:paraId="2424FB6B" w14:textId="77777777" w:rsidTr="001D5220">
        <w:tc>
          <w:tcPr>
            <w:tcW w:w="9625" w:type="dxa"/>
            <w:gridSpan w:val="7"/>
            <w:shd w:val="clear" w:color="auto" w:fill="D9D9D9" w:themeFill="background1" w:themeFillShade="D9"/>
          </w:tcPr>
          <w:p w14:paraId="207ADAB4"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1. Exemption from road usage fees for electric vehicles</w:t>
            </w:r>
          </w:p>
        </w:tc>
      </w:tr>
      <w:tr w:rsidR="00C943A7" w:rsidRPr="007669E1" w14:paraId="5A906330" w14:textId="77777777" w:rsidTr="001D5220">
        <w:tc>
          <w:tcPr>
            <w:tcW w:w="2425" w:type="dxa"/>
          </w:tcPr>
          <w:p w14:paraId="39CDEB0C"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Description</w:t>
            </w:r>
          </w:p>
        </w:tc>
        <w:tc>
          <w:tcPr>
            <w:tcW w:w="7200" w:type="dxa"/>
            <w:gridSpan w:val="6"/>
          </w:tcPr>
          <w:p w14:paraId="2BBF0786" w14:textId="41965ECA"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Owners of electric vehicles registered in Moldova are not subject to road usage fees. Owners of hybrid cars effectively pay road usage fees at reduced rates (given the smaller cylinder capacity of hybrid vehicles), which is also considered a tax expenditure.</w:t>
            </w:r>
          </w:p>
        </w:tc>
      </w:tr>
      <w:tr w:rsidR="00C943A7" w:rsidRPr="007669E1" w14:paraId="07B926DA" w14:textId="77777777" w:rsidTr="001D5220">
        <w:tc>
          <w:tcPr>
            <w:tcW w:w="2425" w:type="dxa"/>
          </w:tcPr>
          <w:p w14:paraId="703A1B86"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Tax Affected</w:t>
            </w:r>
          </w:p>
        </w:tc>
        <w:tc>
          <w:tcPr>
            <w:tcW w:w="7200" w:type="dxa"/>
            <w:gridSpan w:val="6"/>
          </w:tcPr>
          <w:p w14:paraId="003EE3E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Road usage fees</w:t>
            </w:r>
          </w:p>
        </w:tc>
      </w:tr>
      <w:tr w:rsidR="00C943A7" w:rsidRPr="007669E1" w14:paraId="44102391" w14:textId="77777777" w:rsidTr="001D5220">
        <w:tc>
          <w:tcPr>
            <w:tcW w:w="2425" w:type="dxa"/>
          </w:tcPr>
          <w:p w14:paraId="6514333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Beneficiaries</w:t>
            </w:r>
          </w:p>
        </w:tc>
        <w:tc>
          <w:tcPr>
            <w:tcW w:w="7200" w:type="dxa"/>
            <w:gridSpan w:val="6"/>
          </w:tcPr>
          <w:p w14:paraId="52FCB74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Owners of electric vehicles registered in Moldova</w:t>
            </w:r>
          </w:p>
        </w:tc>
      </w:tr>
      <w:tr w:rsidR="00C943A7" w:rsidRPr="007669E1" w14:paraId="0C112AF4" w14:textId="77777777" w:rsidTr="001D5220">
        <w:tc>
          <w:tcPr>
            <w:tcW w:w="2425" w:type="dxa"/>
          </w:tcPr>
          <w:p w14:paraId="3A31466C"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Measure</w:t>
            </w:r>
          </w:p>
        </w:tc>
        <w:tc>
          <w:tcPr>
            <w:tcW w:w="7200" w:type="dxa"/>
            <w:gridSpan w:val="6"/>
          </w:tcPr>
          <w:p w14:paraId="0F6761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D020893" w14:textId="77777777" w:rsidTr="001D5220">
        <w:tc>
          <w:tcPr>
            <w:tcW w:w="2425" w:type="dxa"/>
          </w:tcPr>
          <w:p w14:paraId="09A98765"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Reason why this Measure is not part of the Benchmark Tax System</w:t>
            </w:r>
          </w:p>
        </w:tc>
        <w:tc>
          <w:tcPr>
            <w:tcW w:w="7200" w:type="dxa"/>
            <w:gridSpan w:val="6"/>
          </w:tcPr>
          <w:p w14:paraId="47BBDC5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road usage fees for vehicles used on roads in Moldova are considered tax expenditures.</w:t>
            </w:r>
          </w:p>
        </w:tc>
      </w:tr>
      <w:tr w:rsidR="00C943A7" w:rsidRPr="007669E1" w14:paraId="62F99830" w14:textId="77777777" w:rsidTr="001D5220">
        <w:tc>
          <w:tcPr>
            <w:tcW w:w="2425" w:type="dxa"/>
          </w:tcPr>
          <w:p w14:paraId="220F9DA3"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Legal Reference</w:t>
            </w:r>
          </w:p>
        </w:tc>
        <w:tc>
          <w:tcPr>
            <w:tcW w:w="7200" w:type="dxa"/>
            <w:gridSpan w:val="6"/>
          </w:tcPr>
          <w:p w14:paraId="4C1F2C76" w14:textId="77777777" w:rsidR="007E7377" w:rsidRPr="007669E1" w:rsidRDefault="007E7377" w:rsidP="00E90BA7">
            <w:pPr>
              <w:spacing w:before="20" w:after="20" w:line="240" w:lineRule="auto"/>
              <w:jc w:val="both"/>
              <w:rPr>
                <w:rFonts w:ascii="Segoe UI" w:hAnsi="Segoe UI" w:cs="Segoe UI"/>
                <w:sz w:val="18"/>
                <w:szCs w:val="18"/>
                <w:lang w:val="en-CA"/>
              </w:rPr>
            </w:pPr>
            <w:r w:rsidRPr="007669E1">
              <w:rPr>
                <w:rFonts w:ascii="Segoe UI" w:hAnsi="Segoe UI" w:cs="Segoe UI"/>
                <w:sz w:val="18"/>
                <w:szCs w:val="18"/>
                <w:lang w:val="en-CA"/>
              </w:rPr>
              <w:t>Tax Code, annex 1 to Title IX</w:t>
            </w:r>
          </w:p>
        </w:tc>
      </w:tr>
      <w:tr w:rsidR="00C943A7" w:rsidRPr="007669E1" w14:paraId="6B6AAFDA" w14:textId="77777777" w:rsidTr="001D5220">
        <w:trPr>
          <w:trHeight w:val="182"/>
        </w:trPr>
        <w:tc>
          <w:tcPr>
            <w:tcW w:w="2425" w:type="dxa"/>
            <w:vMerge w:val="restart"/>
          </w:tcPr>
          <w:p w14:paraId="1C5043CE"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Implementation Objectives, and History</w:t>
            </w:r>
          </w:p>
        </w:tc>
        <w:tc>
          <w:tcPr>
            <w:tcW w:w="7200" w:type="dxa"/>
            <w:gridSpan w:val="6"/>
          </w:tcPr>
          <w:p w14:paraId="4E45EB8F"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7A10D518" w14:textId="77777777" w:rsidTr="001D5220">
        <w:trPr>
          <w:trHeight w:val="182"/>
        </w:trPr>
        <w:tc>
          <w:tcPr>
            <w:tcW w:w="2425" w:type="dxa"/>
            <w:vMerge/>
          </w:tcPr>
          <w:p w14:paraId="76E93567" w14:textId="77777777" w:rsidR="007E7377" w:rsidRPr="00950587" w:rsidRDefault="007E7377" w:rsidP="00E90BA7">
            <w:pPr>
              <w:spacing w:before="20" w:after="20" w:line="240" w:lineRule="auto"/>
              <w:jc w:val="both"/>
              <w:rPr>
                <w:rFonts w:ascii="Segoe UI" w:hAnsi="Segoe UI" w:cs="Segoe UI"/>
                <w:b/>
                <w:bCs/>
                <w:sz w:val="18"/>
                <w:szCs w:val="18"/>
              </w:rPr>
            </w:pPr>
          </w:p>
        </w:tc>
        <w:tc>
          <w:tcPr>
            <w:tcW w:w="3462" w:type="dxa"/>
            <w:gridSpan w:val="3"/>
          </w:tcPr>
          <w:p w14:paraId="6BB2B05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123160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EEA17F8" w14:textId="77777777" w:rsidTr="001D5220">
        <w:tc>
          <w:tcPr>
            <w:tcW w:w="2425" w:type="dxa"/>
          </w:tcPr>
          <w:p w14:paraId="72CBEFA7"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Source of Data</w:t>
            </w:r>
          </w:p>
        </w:tc>
        <w:tc>
          <w:tcPr>
            <w:tcW w:w="7200" w:type="dxa"/>
            <w:gridSpan w:val="6"/>
          </w:tcPr>
          <w:p w14:paraId="14B5D647" w14:textId="51F5A79E" w:rsidR="007E7377" w:rsidRPr="007669E1" w:rsidRDefault="61A317E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Bureau of Statistics, UN Comtrade</w:t>
            </w:r>
          </w:p>
        </w:tc>
      </w:tr>
      <w:tr w:rsidR="00C943A7" w:rsidRPr="007669E1" w14:paraId="0BF7D540" w14:textId="77777777" w:rsidTr="001D5220">
        <w:tc>
          <w:tcPr>
            <w:tcW w:w="2425" w:type="dxa"/>
          </w:tcPr>
          <w:p w14:paraId="15A64516"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Estimation Method</w:t>
            </w:r>
          </w:p>
        </w:tc>
        <w:tc>
          <w:tcPr>
            <w:tcW w:w="7200" w:type="dxa"/>
            <w:gridSpan w:val="6"/>
          </w:tcPr>
          <w:p w14:paraId="26B5151E" w14:textId="6F92901E" w:rsidR="007E7377" w:rsidRPr="007669E1" w:rsidRDefault="2A9870E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number of electric and hybrid cars registered in Moldova is estimated based on the reported number of registered cars. The number of electric motorcycles is estimated based on imports of such vehicles </w:t>
            </w:r>
            <w:r w:rsidR="6FE6B84A" w:rsidRPr="007669E1">
              <w:rPr>
                <w:rFonts w:ascii="Segoe UI" w:hAnsi="Segoe UI" w:cs="Segoe UI"/>
                <w:sz w:val="18"/>
                <w:szCs w:val="18"/>
              </w:rPr>
              <w:t xml:space="preserve">since 2017. The benchmark road usage fees applicable to electric cars correspond to the fees </w:t>
            </w:r>
            <w:r w:rsidR="11D809CE" w:rsidRPr="007669E1">
              <w:rPr>
                <w:rFonts w:ascii="Segoe UI" w:hAnsi="Segoe UI" w:cs="Segoe UI"/>
                <w:sz w:val="18"/>
                <w:szCs w:val="18"/>
              </w:rPr>
              <w:t xml:space="preserve">applicable to conventional cars with a cylinder capacity of 2,500 cubic centimeters. The benchmark </w:t>
            </w:r>
            <w:r w:rsidR="080222DB" w:rsidRPr="007669E1">
              <w:rPr>
                <w:rFonts w:ascii="Segoe UI" w:hAnsi="Segoe UI" w:cs="Segoe UI"/>
                <w:sz w:val="18"/>
                <w:szCs w:val="18"/>
              </w:rPr>
              <w:t>fees</w:t>
            </w:r>
            <w:r w:rsidR="11D809CE" w:rsidRPr="007669E1">
              <w:rPr>
                <w:rFonts w:ascii="Segoe UI" w:hAnsi="Segoe UI" w:cs="Segoe UI"/>
                <w:sz w:val="18"/>
                <w:szCs w:val="18"/>
              </w:rPr>
              <w:t xml:space="preserve"> applicable to hybrid cars </w:t>
            </w:r>
            <w:r w:rsidR="76120950" w:rsidRPr="007669E1">
              <w:rPr>
                <w:rFonts w:ascii="Segoe UI" w:hAnsi="Segoe UI" w:cs="Segoe UI"/>
                <w:sz w:val="18"/>
                <w:szCs w:val="18"/>
              </w:rPr>
              <w:t xml:space="preserve">are half the </w:t>
            </w:r>
            <w:r w:rsidR="07F717AD" w:rsidRPr="007669E1">
              <w:rPr>
                <w:rFonts w:ascii="Segoe UI" w:hAnsi="Segoe UI" w:cs="Segoe UI"/>
                <w:sz w:val="18"/>
                <w:szCs w:val="18"/>
              </w:rPr>
              <w:t>fees</w:t>
            </w:r>
            <w:r w:rsidR="76120950" w:rsidRPr="007669E1">
              <w:rPr>
                <w:rFonts w:ascii="Segoe UI" w:hAnsi="Segoe UI" w:cs="Segoe UI"/>
                <w:sz w:val="18"/>
                <w:szCs w:val="18"/>
              </w:rPr>
              <w:t xml:space="preserve"> applicable to electric cars, while those applicable to electric motorcycles are a weighted average of the fees applicable to conventional motorcycles.</w:t>
            </w:r>
          </w:p>
        </w:tc>
      </w:tr>
      <w:tr w:rsidR="00C943A7" w:rsidRPr="007669E1" w14:paraId="39BB318C" w14:textId="77777777" w:rsidTr="001D5220">
        <w:tc>
          <w:tcPr>
            <w:tcW w:w="2425" w:type="dxa"/>
          </w:tcPr>
          <w:p w14:paraId="3DBCB85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Number of Beneficiaries</w:t>
            </w:r>
          </w:p>
        </w:tc>
        <w:tc>
          <w:tcPr>
            <w:tcW w:w="7200" w:type="dxa"/>
            <w:gridSpan w:val="6"/>
          </w:tcPr>
          <w:p w14:paraId="0BF7BA8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8AB707C" w14:textId="77777777" w:rsidTr="001D5220">
        <w:tc>
          <w:tcPr>
            <w:tcW w:w="2425" w:type="dxa"/>
          </w:tcPr>
          <w:p w14:paraId="5D68884C"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Revenue Cost Reporting</w:t>
            </w:r>
          </w:p>
        </w:tc>
        <w:tc>
          <w:tcPr>
            <w:tcW w:w="7200" w:type="dxa"/>
            <w:gridSpan w:val="6"/>
          </w:tcPr>
          <w:p w14:paraId="0E41AD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21BABDD" w14:textId="77777777" w:rsidTr="001D5220">
        <w:trPr>
          <w:trHeight w:val="91"/>
        </w:trPr>
        <w:tc>
          <w:tcPr>
            <w:tcW w:w="2425" w:type="dxa"/>
            <w:vMerge w:val="restart"/>
          </w:tcPr>
          <w:p w14:paraId="3407075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CB224C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2018</w:t>
            </w:r>
          </w:p>
        </w:tc>
        <w:tc>
          <w:tcPr>
            <w:tcW w:w="1385" w:type="dxa"/>
          </w:tcPr>
          <w:p w14:paraId="2938827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2019</w:t>
            </w:r>
          </w:p>
        </w:tc>
        <w:tc>
          <w:tcPr>
            <w:tcW w:w="1385" w:type="dxa"/>
            <w:gridSpan w:val="2"/>
          </w:tcPr>
          <w:p w14:paraId="77F0CE5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2020</w:t>
            </w:r>
          </w:p>
        </w:tc>
        <w:tc>
          <w:tcPr>
            <w:tcW w:w="1385" w:type="dxa"/>
          </w:tcPr>
          <w:p w14:paraId="6C29B128"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2021</w:t>
            </w:r>
          </w:p>
        </w:tc>
        <w:tc>
          <w:tcPr>
            <w:tcW w:w="1660" w:type="dxa"/>
          </w:tcPr>
          <w:p w14:paraId="167E309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2022</w:t>
            </w:r>
          </w:p>
        </w:tc>
      </w:tr>
      <w:tr w:rsidR="007619A8" w:rsidRPr="007669E1" w14:paraId="099C5642" w14:textId="77777777" w:rsidTr="00140461">
        <w:trPr>
          <w:trHeight w:val="305"/>
        </w:trPr>
        <w:tc>
          <w:tcPr>
            <w:tcW w:w="2425" w:type="dxa"/>
            <w:vMerge/>
          </w:tcPr>
          <w:p w14:paraId="7A9CF2E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22096C3" w14:textId="62E0919F" w:rsidR="007E7377" w:rsidRPr="007669E1" w:rsidRDefault="1D401D3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3,318.8</w:t>
            </w:r>
          </w:p>
        </w:tc>
        <w:tc>
          <w:tcPr>
            <w:tcW w:w="1385" w:type="dxa"/>
            <w:shd w:val="clear" w:color="auto" w:fill="auto"/>
          </w:tcPr>
          <w:p w14:paraId="6744A2CF" w14:textId="5C3F7978" w:rsidR="007E7377" w:rsidRPr="007669E1" w:rsidRDefault="203D20B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5,514.9</w:t>
            </w:r>
          </w:p>
        </w:tc>
        <w:tc>
          <w:tcPr>
            <w:tcW w:w="1385" w:type="dxa"/>
            <w:gridSpan w:val="2"/>
            <w:shd w:val="clear" w:color="auto" w:fill="auto"/>
          </w:tcPr>
          <w:p w14:paraId="4F26D5A9" w14:textId="0A23E257" w:rsidR="007E7377" w:rsidRPr="007669E1" w:rsidRDefault="09123660"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9,597.8</w:t>
            </w:r>
          </w:p>
        </w:tc>
        <w:tc>
          <w:tcPr>
            <w:tcW w:w="1385" w:type="dxa"/>
            <w:shd w:val="clear" w:color="auto" w:fill="auto"/>
          </w:tcPr>
          <w:p w14:paraId="1FDF94E8" w14:textId="1DAECCBE" w:rsidR="007E7377" w:rsidRPr="007669E1" w:rsidRDefault="53A1FB8F" w:rsidP="00E90BA7">
            <w:pPr>
              <w:spacing w:before="20" w:after="20" w:line="240" w:lineRule="auto"/>
              <w:jc w:val="both"/>
              <w:rPr>
                <w:rFonts w:ascii="Segoe UI" w:eastAsia="Segoe UI" w:hAnsi="Segoe UI" w:cs="Segoe UI"/>
                <w:sz w:val="18"/>
                <w:szCs w:val="18"/>
              </w:rPr>
            </w:pPr>
            <w:r w:rsidRPr="007669E1">
              <w:rPr>
                <w:rFonts w:ascii="Segoe UI" w:hAnsi="Segoe UI" w:cs="Segoe UI"/>
                <w:sz w:val="18"/>
                <w:szCs w:val="18"/>
              </w:rPr>
              <w:t>13,807.7</w:t>
            </w:r>
          </w:p>
        </w:tc>
        <w:tc>
          <w:tcPr>
            <w:tcW w:w="1660" w:type="dxa"/>
            <w:shd w:val="clear" w:color="auto" w:fill="D9D9D9" w:themeFill="background1" w:themeFillShade="D9"/>
          </w:tcPr>
          <w:p w14:paraId="5F6039F5" w14:textId="55F16426" w:rsidR="007E7377" w:rsidRPr="007669E1" w:rsidRDefault="34025A33" w:rsidP="00E90BA7">
            <w:pPr>
              <w:spacing w:before="20" w:after="20" w:line="240" w:lineRule="auto"/>
              <w:jc w:val="both"/>
              <w:rPr>
                <w:rFonts w:ascii="Segoe UI" w:hAnsi="Segoe UI" w:cs="Segoe UI"/>
                <w:sz w:val="18"/>
                <w:szCs w:val="18"/>
              </w:rPr>
            </w:pPr>
            <w:r w:rsidRPr="007669E1">
              <w:rPr>
                <w:rFonts w:ascii="Segoe UI" w:hAnsi="Segoe UI" w:cs="Segoe UI"/>
                <w:i/>
                <w:sz w:val="18"/>
                <w:szCs w:val="18"/>
              </w:rPr>
              <w:t>19,069.7</w:t>
            </w:r>
          </w:p>
        </w:tc>
      </w:tr>
    </w:tbl>
    <w:p w14:paraId="4DA5C4D1"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950587" w14:paraId="201BF53A" w14:textId="77777777" w:rsidTr="001D5220">
        <w:tc>
          <w:tcPr>
            <w:tcW w:w="9625" w:type="dxa"/>
            <w:gridSpan w:val="7"/>
            <w:shd w:val="clear" w:color="auto" w:fill="D9D9D9" w:themeFill="background1" w:themeFillShade="D9"/>
          </w:tcPr>
          <w:p w14:paraId="6B7C7185"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 Exemption from road usage fees for tractors and trailers used in agricultural activity</w:t>
            </w:r>
          </w:p>
        </w:tc>
      </w:tr>
      <w:tr w:rsidR="00C943A7" w:rsidRPr="007669E1" w14:paraId="37142635" w14:textId="77777777" w:rsidTr="001D5220">
        <w:tc>
          <w:tcPr>
            <w:tcW w:w="2425" w:type="dxa"/>
          </w:tcPr>
          <w:p w14:paraId="6B9B79E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Description</w:t>
            </w:r>
          </w:p>
        </w:tc>
        <w:tc>
          <w:tcPr>
            <w:tcW w:w="7200" w:type="dxa"/>
            <w:gridSpan w:val="6"/>
          </w:tcPr>
          <w:p w14:paraId="46A15A5B"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Tractors and trailers used in agricultural activity registered in Moldova are not object of   road usage fees.</w:t>
            </w:r>
          </w:p>
        </w:tc>
      </w:tr>
      <w:tr w:rsidR="00C943A7" w:rsidRPr="007669E1" w14:paraId="1F337E93" w14:textId="77777777" w:rsidTr="001D5220">
        <w:tc>
          <w:tcPr>
            <w:tcW w:w="2425" w:type="dxa"/>
          </w:tcPr>
          <w:p w14:paraId="1B0A8E3B"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Tax Affected</w:t>
            </w:r>
          </w:p>
        </w:tc>
        <w:tc>
          <w:tcPr>
            <w:tcW w:w="7200" w:type="dxa"/>
            <w:gridSpan w:val="6"/>
          </w:tcPr>
          <w:p w14:paraId="7EFF32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Road usage fees</w:t>
            </w:r>
          </w:p>
        </w:tc>
      </w:tr>
      <w:tr w:rsidR="00C943A7" w:rsidRPr="007669E1" w14:paraId="52FD6ACA" w14:textId="77777777" w:rsidTr="001D5220">
        <w:tc>
          <w:tcPr>
            <w:tcW w:w="2425" w:type="dxa"/>
          </w:tcPr>
          <w:p w14:paraId="158B8BAC"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Beneficiaries</w:t>
            </w:r>
          </w:p>
        </w:tc>
        <w:tc>
          <w:tcPr>
            <w:tcW w:w="7200" w:type="dxa"/>
            <w:gridSpan w:val="6"/>
          </w:tcPr>
          <w:p w14:paraId="2579F6C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and legal entities owning tractors and trailers used in agricultural activity and registered in Moldova</w:t>
            </w:r>
          </w:p>
        </w:tc>
      </w:tr>
      <w:tr w:rsidR="00C943A7" w:rsidRPr="007669E1" w14:paraId="359B23D5" w14:textId="77777777" w:rsidTr="001D5220">
        <w:tc>
          <w:tcPr>
            <w:tcW w:w="2425" w:type="dxa"/>
          </w:tcPr>
          <w:p w14:paraId="5EF6A53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Measure</w:t>
            </w:r>
          </w:p>
        </w:tc>
        <w:tc>
          <w:tcPr>
            <w:tcW w:w="7200" w:type="dxa"/>
            <w:gridSpan w:val="6"/>
          </w:tcPr>
          <w:p w14:paraId="372C32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0FEECD0" w14:textId="77777777" w:rsidTr="001D5220">
        <w:tc>
          <w:tcPr>
            <w:tcW w:w="2425" w:type="dxa"/>
          </w:tcPr>
          <w:p w14:paraId="1BBA8476"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Reason why this Measure is not part of the Benchmark Tax System</w:t>
            </w:r>
          </w:p>
        </w:tc>
        <w:tc>
          <w:tcPr>
            <w:tcW w:w="7200" w:type="dxa"/>
            <w:gridSpan w:val="6"/>
          </w:tcPr>
          <w:p w14:paraId="5D7873C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road usage fees for vehicles used on roads in Moldova are considered tax expenditures.</w:t>
            </w:r>
          </w:p>
        </w:tc>
      </w:tr>
      <w:tr w:rsidR="00C943A7" w:rsidRPr="007669E1" w14:paraId="3E409460" w14:textId="77777777" w:rsidTr="001D5220">
        <w:tc>
          <w:tcPr>
            <w:tcW w:w="2425" w:type="dxa"/>
          </w:tcPr>
          <w:p w14:paraId="7ECFDEFF"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Legal Reference</w:t>
            </w:r>
          </w:p>
        </w:tc>
        <w:tc>
          <w:tcPr>
            <w:tcW w:w="7200" w:type="dxa"/>
            <w:gridSpan w:val="6"/>
          </w:tcPr>
          <w:p w14:paraId="07AACB29" w14:textId="77777777" w:rsidR="007E7377" w:rsidRPr="007669E1" w:rsidRDefault="007E7377" w:rsidP="00E90BA7">
            <w:pPr>
              <w:spacing w:before="20" w:after="20" w:line="240" w:lineRule="auto"/>
              <w:jc w:val="both"/>
              <w:rPr>
                <w:rFonts w:ascii="Segoe UI" w:hAnsi="Segoe UI" w:cs="Segoe UI"/>
                <w:sz w:val="18"/>
                <w:szCs w:val="18"/>
                <w:lang w:val="en-CA"/>
              </w:rPr>
            </w:pPr>
            <w:r w:rsidRPr="007669E1">
              <w:rPr>
                <w:rFonts w:ascii="Segoe UI" w:hAnsi="Segoe UI" w:cs="Segoe UI"/>
                <w:sz w:val="18"/>
                <w:szCs w:val="18"/>
                <w:lang w:val="en-CA"/>
              </w:rPr>
              <w:t>Tax Code, article 338 (2) a)</w:t>
            </w:r>
          </w:p>
        </w:tc>
      </w:tr>
      <w:tr w:rsidR="00C943A7" w:rsidRPr="007669E1" w14:paraId="3712E059" w14:textId="77777777" w:rsidTr="001D5220">
        <w:trPr>
          <w:trHeight w:val="182"/>
        </w:trPr>
        <w:tc>
          <w:tcPr>
            <w:tcW w:w="2425" w:type="dxa"/>
            <w:vMerge w:val="restart"/>
          </w:tcPr>
          <w:p w14:paraId="4E88EE5B"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Implementation Objectives, and History</w:t>
            </w:r>
          </w:p>
        </w:tc>
        <w:tc>
          <w:tcPr>
            <w:tcW w:w="7200" w:type="dxa"/>
            <w:gridSpan w:val="6"/>
          </w:tcPr>
          <w:p w14:paraId="762CFD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development of the agricultural sector.</w:t>
            </w:r>
          </w:p>
        </w:tc>
      </w:tr>
      <w:tr w:rsidR="00C943A7" w:rsidRPr="007669E1" w14:paraId="0FFFE447" w14:textId="77777777" w:rsidTr="001D5220">
        <w:trPr>
          <w:trHeight w:val="182"/>
        </w:trPr>
        <w:tc>
          <w:tcPr>
            <w:tcW w:w="2425" w:type="dxa"/>
            <w:vMerge/>
          </w:tcPr>
          <w:p w14:paraId="6A35757F" w14:textId="77777777" w:rsidR="007E7377" w:rsidRPr="00950587" w:rsidRDefault="007E7377" w:rsidP="00E90BA7">
            <w:pPr>
              <w:spacing w:before="20" w:after="20" w:line="240" w:lineRule="auto"/>
              <w:jc w:val="both"/>
              <w:rPr>
                <w:rFonts w:ascii="Segoe UI" w:hAnsi="Segoe UI" w:cs="Segoe UI"/>
                <w:b/>
                <w:bCs/>
                <w:sz w:val="18"/>
                <w:szCs w:val="18"/>
              </w:rPr>
            </w:pPr>
          </w:p>
        </w:tc>
        <w:tc>
          <w:tcPr>
            <w:tcW w:w="3462" w:type="dxa"/>
            <w:gridSpan w:val="3"/>
          </w:tcPr>
          <w:p w14:paraId="1FE967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1997</w:t>
            </w:r>
          </w:p>
        </w:tc>
        <w:tc>
          <w:tcPr>
            <w:tcW w:w="3738" w:type="dxa"/>
            <w:gridSpan w:val="3"/>
          </w:tcPr>
          <w:p w14:paraId="583BFA5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E32A58E" w14:textId="77777777" w:rsidTr="001D5220">
        <w:tc>
          <w:tcPr>
            <w:tcW w:w="2425" w:type="dxa"/>
          </w:tcPr>
          <w:p w14:paraId="66E5374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Source of Data</w:t>
            </w:r>
          </w:p>
        </w:tc>
        <w:tc>
          <w:tcPr>
            <w:tcW w:w="7200" w:type="dxa"/>
            <w:gridSpan w:val="6"/>
          </w:tcPr>
          <w:p w14:paraId="0285B30D" w14:textId="01DE46B3" w:rsidR="007E7377" w:rsidRPr="007669E1" w:rsidRDefault="7427023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Census of Agriculture</w:t>
            </w:r>
          </w:p>
        </w:tc>
      </w:tr>
      <w:tr w:rsidR="00C943A7" w:rsidRPr="007669E1" w14:paraId="1C8DF937" w14:textId="77777777" w:rsidTr="001D5220">
        <w:tc>
          <w:tcPr>
            <w:tcW w:w="2425" w:type="dxa"/>
          </w:tcPr>
          <w:p w14:paraId="58061C64"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Estimation Method</w:t>
            </w:r>
          </w:p>
        </w:tc>
        <w:tc>
          <w:tcPr>
            <w:tcW w:w="7200" w:type="dxa"/>
            <w:gridSpan w:val="6"/>
          </w:tcPr>
          <w:p w14:paraId="7D7C1712" w14:textId="474AF254" w:rsidR="007E7377" w:rsidRPr="007669E1" w:rsidRDefault="7916159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number of agricultural tractors is estimated based on the number of tractors reported in the 2011 Census of Agriculture.</w:t>
            </w:r>
            <w:r w:rsidR="2B685AD0" w:rsidRPr="007669E1">
              <w:rPr>
                <w:rFonts w:ascii="Segoe UI" w:hAnsi="Segoe UI" w:cs="Segoe UI"/>
                <w:sz w:val="18"/>
                <w:szCs w:val="18"/>
              </w:rPr>
              <w:t xml:space="preserve"> The benchmark road usage fees are assumed to be 5% of the fees applicable to tow trucks and tractors, on the grounds that </w:t>
            </w:r>
            <w:r w:rsidR="029F354E" w:rsidRPr="007669E1">
              <w:rPr>
                <w:rFonts w:ascii="Segoe UI" w:hAnsi="Segoe UI" w:cs="Segoe UI"/>
                <w:sz w:val="18"/>
                <w:szCs w:val="18"/>
              </w:rPr>
              <w:t>agricultural tractors make a less intensive use of roads than other vehicles.</w:t>
            </w:r>
          </w:p>
        </w:tc>
      </w:tr>
      <w:tr w:rsidR="00C943A7" w:rsidRPr="007669E1" w14:paraId="01E282A6" w14:textId="77777777" w:rsidTr="001D5220">
        <w:tc>
          <w:tcPr>
            <w:tcW w:w="2425" w:type="dxa"/>
          </w:tcPr>
          <w:p w14:paraId="0D9E6735"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Number of Beneficiaries</w:t>
            </w:r>
          </w:p>
        </w:tc>
        <w:tc>
          <w:tcPr>
            <w:tcW w:w="7200" w:type="dxa"/>
            <w:gridSpan w:val="6"/>
          </w:tcPr>
          <w:p w14:paraId="10EA26E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8C36F63" w14:textId="77777777" w:rsidTr="001D5220">
        <w:tc>
          <w:tcPr>
            <w:tcW w:w="2425" w:type="dxa"/>
          </w:tcPr>
          <w:p w14:paraId="69BAC5E9"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lastRenderedPageBreak/>
              <w:t>Revenue Cost Reporting</w:t>
            </w:r>
          </w:p>
        </w:tc>
        <w:tc>
          <w:tcPr>
            <w:tcW w:w="7200" w:type="dxa"/>
            <w:gridSpan w:val="6"/>
          </w:tcPr>
          <w:p w14:paraId="3D4770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77ABE31" w14:textId="77777777" w:rsidTr="001D5220">
        <w:trPr>
          <w:trHeight w:val="91"/>
        </w:trPr>
        <w:tc>
          <w:tcPr>
            <w:tcW w:w="2425" w:type="dxa"/>
            <w:vMerge w:val="restart"/>
          </w:tcPr>
          <w:p w14:paraId="7C95138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E1A6DD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2018</w:t>
            </w:r>
          </w:p>
        </w:tc>
        <w:tc>
          <w:tcPr>
            <w:tcW w:w="1385" w:type="dxa"/>
          </w:tcPr>
          <w:p w14:paraId="56F3D40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2019</w:t>
            </w:r>
          </w:p>
        </w:tc>
        <w:tc>
          <w:tcPr>
            <w:tcW w:w="1385" w:type="dxa"/>
            <w:gridSpan w:val="2"/>
          </w:tcPr>
          <w:p w14:paraId="631ACA9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2020</w:t>
            </w:r>
          </w:p>
        </w:tc>
        <w:tc>
          <w:tcPr>
            <w:tcW w:w="1385" w:type="dxa"/>
          </w:tcPr>
          <w:p w14:paraId="15DA0055"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2021</w:t>
            </w:r>
          </w:p>
        </w:tc>
        <w:tc>
          <w:tcPr>
            <w:tcW w:w="1660" w:type="dxa"/>
          </w:tcPr>
          <w:p w14:paraId="674B86AE"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2022</w:t>
            </w:r>
          </w:p>
        </w:tc>
      </w:tr>
      <w:tr w:rsidR="00C943A7" w:rsidRPr="007669E1" w14:paraId="30DF206B" w14:textId="77777777" w:rsidTr="0049232C">
        <w:trPr>
          <w:trHeight w:val="305"/>
        </w:trPr>
        <w:tc>
          <w:tcPr>
            <w:tcW w:w="2425" w:type="dxa"/>
            <w:vMerge/>
          </w:tcPr>
          <w:p w14:paraId="1ADF36B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043E1CE" w14:textId="213F6E4A" w:rsidR="007E7377" w:rsidRPr="007669E1" w:rsidRDefault="6645928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2,978.6</w:t>
            </w:r>
          </w:p>
        </w:tc>
        <w:tc>
          <w:tcPr>
            <w:tcW w:w="1385" w:type="dxa"/>
            <w:shd w:val="clear" w:color="auto" w:fill="auto"/>
          </w:tcPr>
          <w:p w14:paraId="473A59F4" w14:textId="1976DB56" w:rsidR="007E7377" w:rsidRPr="007669E1" w:rsidRDefault="2B22F26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3,008.4</w:t>
            </w:r>
          </w:p>
        </w:tc>
        <w:tc>
          <w:tcPr>
            <w:tcW w:w="1385" w:type="dxa"/>
            <w:gridSpan w:val="2"/>
            <w:shd w:val="clear" w:color="auto" w:fill="auto"/>
          </w:tcPr>
          <w:p w14:paraId="2499AF60" w14:textId="7FC92C88" w:rsidR="007E7377" w:rsidRPr="007669E1" w:rsidRDefault="6C0ABA16"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3,038.5</w:t>
            </w:r>
          </w:p>
        </w:tc>
        <w:tc>
          <w:tcPr>
            <w:tcW w:w="1385" w:type="dxa"/>
            <w:shd w:val="clear" w:color="auto" w:fill="auto"/>
          </w:tcPr>
          <w:p w14:paraId="36E9AD8C" w14:textId="63BE69BF" w:rsidR="007E7377" w:rsidRPr="007669E1" w:rsidRDefault="7A69784D"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3,068.8</w:t>
            </w:r>
          </w:p>
        </w:tc>
        <w:tc>
          <w:tcPr>
            <w:tcW w:w="1660" w:type="dxa"/>
            <w:shd w:val="clear" w:color="auto" w:fill="D9D9D9" w:themeFill="background1" w:themeFillShade="D9"/>
          </w:tcPr>
          <w:p w14:paraId="3DB3AC20" w14:textId="1AEBA678" w:rsidR="007E7377" w:rsidRPr="007669E1" w:rsidRDefault="34358403" w:rsidP="00E90BA7">
            <w:pPr>
              <w:spacing w:before="20" w:after="20" w:line="240" w:lineRule="auto"/>
              <w:jc w:val="both"/>
              <w:rPr>
                <w:rFonts w:ascii="Segoe UI" w:hAnsi="Segoe UI" w:cs="Segoe UI"/>
                <w:sz w:val="18"/>
                <w:szCs w:val="18"/>
              </w:rPr>
            </w:pPr>
            <w:r w:rsidRPr="007669E1">
              <w:rPr>
                <w:rFonts w:ascii="Segoe UI" w:hAnsi="Segoe UI" w:cs="Segoe UI"/>
                <w:i/>
                <w:sz w:val="18"/>
                <w:szCs w:val="18"/>
              </w:rPr>
              <w:t>3,099.5</w:t>
            </w:r>
          </w:p>
        </w:tc>
      </w:tr>
    </w:tbl>
    <w:p w14:paraId="7AEB65B6"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950587" w14:paraId="6712155F" w14:textId="77777777" w:rsidTr="001D5220">
        <w:tc>
          <w:tcPr>
            <w:tcW w:w="9625" w:type="dxa"/>
            <w:gridSpan w:val="7"/>
            <w:shd w:val="clear" w:color="auto" w:fill="D9D9D9" w:themeFill="background1" w:themeFillShade="D9"/>
          </w:tcPr>
          <w:p w14:paraId="028C9A8F"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3. Exemption from road usage fees for motorcycles not registered in Moldova</w:t>
            </w:r>
          </w:p>
        </w:tc>
      </w:tr>
      <w:tr w:rsidR="00C943A7" w:rsidRPr="007669E1" w14:paraId="70BE624C" w14:textId="77777777" w:rsidTr="001D5220">
        <w:tc>
          <w:tcPr>
            <w:tcW w:w="2425" w:type="dxa"/>
          </w:tcPr>
          <w:p w14:paraId="3BCACAE9"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Description</w:t>
            </w:r>
          </w:p>
        </w:tc>
        <w:tc>
          <w:tcPr>
            <w:tcW w:w="7200" w:type="dxa"/>
            <w:gridSpan w:val="6"/>
          </w:tcPr>
          <w:p w14:paraId="6DD71E9D"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Drivers of motorcycles not registered in Moldova are not subject to road usage fees.</w:t>
            </w:r>
          </w:p>
        </w:tc>
      </w:tr>
      <w:tr w:rsidR="00C943A7" w:rsidRPr="007669E1" w14:paraId="414791F3" w14:textId="77777777" w:rsidTr="001D5220">
        <w:tc>
          <w:tcPr>
            <w:tcW w:w="2425" w:type="dxa"/>
          </w:tcPr>
          <w:p w14:paraId="52CDE1CA"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Tax Affected</w:t>
            </w:r>
          </w:p>
        </w:tc>
        <w:tc>
          <w:tcPr>
            <w:tcW w:w="7200" w:type="dxa"/>
            <w:gridSpan w:val="6"/>
          </w:tcPr>
          <w:p w14:paraId="3F5BD6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Road usage fees</w:t>
            </w:r>
          </w:p>
        </w:tc>
      </w:tr>
      <w:tr w:rsidR="00C943A7" w:rsidRPr="007669E1" w14:paraId="610FC713" w14:textId="77777777" w:rsidTr="001D5220">
        <w:tc>
          <w:tcPr>
            <w:tcW w:w="2425" w:type="dxa"/>
          </w:tcPr>
          <w:p w14:paraId="71B6EEB7"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Beneficiaries</w:t>
            </w:r>
          </w:p>
        </w:tc>
        <w:tc>
          <w:tcPr>
            <w:tcW w:w="7200" w:type="dxa"/>
            <w:gridSpan w:val="6"/>
          </w:tcPr>
          <w:p w14:paraId="11F0E1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Drivers of motorcycles not registered in Moldova</w:t>
            </w:r>
          </w:p>
        </w:tc>
      </w:tr>
      <w:tr w:rsidR="00C943A7" w:rsidRPr="007669E1" w14:paraId="76FF792D" w14:textId="77777777" w:rsidTr="001D5220">
        <w:tc>
          <w:tcPr>
            <w:tcW w:w="2425" w:type="dxa"/>
          </w:tcPr>
          <w:p w14:paraId="35551A7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Measure</w:t>
            </w:r>
          </w:p>
        </w:tc>
        <w:tc>
          <w:tcPr>
            <w:tcW w:w="7200" w:type="dxa"/>
            <w:gridSpan w:val="6"/>
          </w:tcPr>
          <w:p w14:paraId="1CE4222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D875EF1" w14:textId="77777777" w:rsidTr="001D5220">
        <w:tc>
          <w:tcPr>
            <w:tcW w:w="2425" w:type="dxa"/>
          </w:tcPr>
          <w:p w14:paraId="41D89DF9"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Reason why this Measure is not part of the Benchmark Tax System</w:t>
            </w:r>
          </w:p>
        </w:tc>
        <w:tc>
          <w:tcPr>
            <w:tcW w:w="7200" w:type="dxa"/>
            <w:gridSpan w:val="6"/>
          </w:tcPr>
          <w:p w14:paraId="2E311F3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road usage fees for vehicles used on roads in Moldova are considered tax expenditures.</w:t>
            </w:r>
          </w:p>
        </w:tc>
      </w:tr>
      <w:tr w:rsidR="00C943A7" w:rsidRPr="007669E1" w14:paraId="61414CDA" w14:textId="77777777" w:rsidTr="001D5220">
        <w:tc>
          <w:tcPr>
            <w:tcW w:w="2425" w:type="dxa"/>
          </w:tcPr>
          <w:p w14:paraId="3D5214D9"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Legal Reference</w:t>
            </w:r>
          </w:p>
        </w:tc>
        <w:tc>
          <w:tcPr>
            <w:tcW w:w="7200" w:type="dxa"/>
            <w:gridSpan w:val="6"/>
          </w:tcPr>
          <w:p w14:paraId="10F6A5BF" w14:textId="77777777" w:rsidR="007E7377" w:rsidRPr="007669E1" w:rsidRDefault="007E7377" w:rsidP="00E90BA7">
            <w:pPr>
              <w:spacing w:before="20" w:after="20" w:line="240" w:lineRule="auto"/>
              <w:jc w:val="both"/>
              <w:rPr>
                <w:rFonts w:ascii="Segoe UI" w:hAnsi="Segoe UI" w:cs="Segoe UI"/>
                <w:sz w:val="18"/>
                <w:szCs w:val="18"/>
                <w:lang w:val="en-CA"/>
              </w:rPr>
            </w:pPr>
            <w:r w:rsidRPr="007669E1">
              <w:rPr>
                <w:rFonts w:ascii="Segoe UI" w:hAnsi="Segoe UI" w:cs="Segoe UI"/>
                <w:sz w:val="18"/>
                <w:szCs w:val="18"/>
                <w:lang w:val="en-CA"/>
              </w:rPr>
              <w:t>Tax Code, annex 2 to Title IX</w:t>
            </w:r>
          </w:p>
        </w:tc>
      </w:tr>
      <w:tr w:rsidR="00C943A7" w:rsidRPr="007669E1" w14:paraId="1064CF40" w14:textId="77777777" w:rsidTr="001D5220">
        <w:trPr>
          <w:trHeight w:val="182"/>
        </w:trPr>
        <w:tc>
          <w:tcPr>
            <w:tcW w:w="2425" w:type="dxa"/>
            <w:vMerge w:val="restart"/>
          </w:tcPr>
          <w:p w14:paraId="212E377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Implementation Objectives, and History</w:t>
            </w:r>
          </w:p>
        </w:tc>
        <w:tc>
          <w:tcPr>
            <w:tcW w:w="7200" w:type="dxa"/>
            <w:gridSpan w:val="6"/>
          </w:tcPr>
          <w:p w14:paraId="0511A147" w14:textId="3D857E45"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7B15004E" w14:textId="77777777" w:rsidTr="001D5220">
        <w:trPr>
          <w:trHeight w:val="182"/>
        </w:trPr>
        <w:tc>
          <w:tcPr>
            <w:tcW w:w="2425" w:type="dxa"/>
            <w:vMerge/>
          </w:tcPr>
          <w:p w14:paraId="066F9568" w14:textId="77777777" w:rsidR="007E7377" w:rsidRPr="00950587" w:rsidRDefault="007E7377" w:rsidP="00E90BA7">
            <w:pPr>
              <w:spacing w:before="20" w:after="20" w:line="240" w:lineRule="auto"/>
              <w:jc w:val="both"/>
              <w:rPr>
                <w:rFonts w:ascii="Segoe UI" w:hAnsi="Segoe UI" w:cs="Segoe UI"/>
                <w:b/>
                <w:bCs/>
                <w:sz w:val="18"/>
                <w:szCs w:val="18"/>
              </w:rPr>
            </w:pPr>
          </w:p>
        </w:tc>
        <w:tc>
          <w:tcPr>
            <w:tcW w:w="3462" w:type="dxa"/>
            <w:gridSpan w:val="3"/>
          </w:tcPr>
          <w:p w14:paraId="01C3716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1E14B5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8935C78" w14:textId="77777777" w:rsidTr="001D5220">
        <w:tc>
          <w:tcPr>
            <w:tcW w:w="2425" w:type="dxa"/>
          </w:tcPr>
          <w:p w14:paraId="6FB9B927"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Source of Data</w:t>
            </w:r>
          </w:p>
        </w:tc>
        <w:tc>
          <w:tcPr>
            <w:tcW w:w="7200" w:type="dxa"/>
            <w:gridSpan w:val="6"/>
          </w:tcPr>
          <w:p w14:paraId="43010115" w14:textId="5D5E1A84" w:rsidR="007E7377" w:rsidRPr="007669E1" w:rsidRDefault="3022222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Bureau of Statistics</w:t>
            </w:r>
          </w:p>
        </w:tc>
      </w:tr>
      <w:tr w:rsidR="00C943A7" w:rsidRPr="007669E1" w14:paraId="4833C9F2" w14:textId="77777777" w:rsidTr="001D5220">
        <w:tc>
          <w:tcPr>
            <w:tcW w:w="2425" w:type="dxa"/>
          </w:tcPr>
          <w:p w14:paraId="684F3943"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Estimation Method</w:t>
            </w:r>
          </w:p>
        </w:tc>
        <w:tc>
          <w:tcPr>
            <w:tcW w:w="7200" w:type="dxa"/>
            <w:gridSpan w:val="6"/>
          </w:tcPr>
          <w:p w14:paraId="4254BF18" w14:textId="7E2C1A62" w:rsidR="007E7377" w:rsidRPr="007669E1" w:rsidRDefault="52C945D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estimate for 2021 is derived under the a</w:t>
            </w:r>
            <w:r w:rsidR="1BCEBB23" w:rsidRPr="007669E1">
              <w:rPr>
                <w:rFonts w:ascii="Segoe UI" w:hAnsi="Segoe UI" w:cs="Segoe UI"/>
                <w:sz w:val="18"/>
                <w:szCs w:val="18"/>
              </w:rPr>
              <w:t>ssumption that the</w:t>
            </w:r>
            <w:r w:rsidRPr="007669E1">
              <w:rPr>
                <w:rFonts w:ascii="Segoe UI" w:hAnsi="Segoe UI" w:cs="Segoe UI"/>
                <w:sz w:val="18"/>
                <w:szCs w:val="18"/>
              </w:rPr>
              <w:t xml:space="preserve"> number of border crossings by foreign citizens entering Moldova by </w:t>
            </w:r>
            <w:r w:rsidR="67090C1C" w:rsidRPr="007669E1">
              <w:rPr>
                <w:rFonts w:ascii="Segoe UI" w:hAnsi="Segoe UI" w:cs="Segoe UI"/>
                <w:sz w:val="18"/>
                <w:szCs w:val="18"/>
              </w:rPr>
              <w:t>motorcycles is proportional to the number of border crossings by foreign citizens entering Moldova by cars.</w:t>
            </w:r>
          </w:p>
        </w:tc>
      </w:tr>
      <w:tr w:rsidR="00C943A7" w:rsidRPr="007669E1" w14:paraId="77B08FF6" w14:textId="77777777" w:rsidTr="001D5220">
        <w:tc>
          <w:tcPr>
            <w:tcW w:w="2425" w:type="dxa"/>
          </w:tcPr>
          <w:p w14:paraId="05D714AC"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Number of Beneficiaries</w:t>
            </w:r>
          </w:p>
        </w:tc>
        <w:tc>
          <w:tcPr>
            <w:tcW w:w="7200" w:type="dxa"/>
            <w:gridSpan w:val="6"/>
          </w:tcPr>
          <w:p w14:paraId="2740B01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821BB45" w14:textId="77777777" w:rsidTr="00950587">
        <w:trPr>
          <w:trHeight w:val="54"/>
        </w:trPr>
        <w:tc>
          <w:tcPr>
            <w:tcW w:w="2425" w:type="dxa"/>
          </w:tcPr>
          <w:p w14:paraId="4B8FCB4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Revenue Cost Reporting</w:t>
            </w:r>
          </w:p>
        </w:tc>
        <w:tc>
          <w:tcPr>
            <w:tcW w:w="7200" w:type="dxa"/>
            <w:gridSpan w:val="6"/>
          </w:tcPr>
          <w:p w14:paraId="66752BE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39FD4F9" w14:textId="77777777" w:rsidTr="001D5220">
        <w:trPr>
          <w:trHeight w:val="91"/>
        </w:trPr>
        <w:tc>
          <w:tcPr>
            <w:tcW w:w="2425" w:type="dxa"/>
            <w:vMerge w:val="restart"/>
          </w:tcPr>
          <w:p w14:paraId="011A200F" w14:textId="77777777" w:rsidR="007E7377" w:rsidRPr="00950587" w:rsidRDefault="007E7377" w:rsidP="00E90BA7">
            <w:pPr>
              <w:spacing w:before="20" w:after="20" w:line="240" w:lineRule="auto"/>
              <w:jc w:val="both"/>
              <w:rPr>
                <w:rFonts w:ascii="Segoe UI" w:hAnsi="Segoe UI" w:cs="Segoe UI"/>
                <w:b/>
                <w:bCs/>
                <w:sz w:val="18"/>
                <w:szCs w:val="18"/>
              </w:rPr>
            </w:pPr>
          </w:p>
        </w:tc>
        <w:tc>
          <w:tcPr>
            <w:tcW w:w="1385" w:type="dxa"/>
          </w:tcPr>
          <w:p w14:paraId="624C98B1"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2018</w:t>
            </w:r>
          </w:p>
        </w:tc>
        <w:tc>
          <w:tcPr>
            <w:tcW w:w="1385" w:type="dxa"/>
          </w:tcPr>
          <w:p w14:paraId="2F8AB5D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2019</w:t>
            </w:r>
          </w:p>
        </w:tc>
        <w:tc>
          <w:tcPr>
            <w:tcW w:w="1385" w:type="dxa"/>
            <w:gridSpan w:val="2"/>
          </w:tcPr>
          <w:p w14:paraId="776DC6FF"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2020</w:t>
            </w:r>
          </w:p>
        </w:tc>
        <w:tc>
          <w:tcPr>
            <w:tcW w:w="1385" w:type="dxa"/>
          </w:tcPr>
          <w:p w14:paraId="49782E0E"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2021</w:t>
            </w:r>
          </w:p>
        </w:tc>
        <w:tc>
          <w:tcPr>
            <w:tcW w:w="1660" w:type="dxa"/>
          </w:tcPr>
          <w:p w14:paraId="228BAE06"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2022</w:t>
            </w:r>
          </w:p>
        </w:tc>
      </w:tr>
      <w:tr w:rsidR="00775F01" w:rsidRPr="007669E1" w14:paraId="647A03BA" w14:textId="77777777" w:rsidTr="001D5220">
        <w:trPr>
          <w:trHeight w:val="305"/>
        </w:trPr>
        <w:tc>
          <w:tcPr>
            <w:tcW w:w="2425" w:type="dxa"/>
            <w:vMerge/>
          </w:tcPr>
          <w:p w14:paraId="05BA488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67CFE0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1429C84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21F52A0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555B21E4" w14:textId="7CFD1909" w:rsidR="007E7377" w:rsidRPr="007669E1" w:rsidRDefault="778745D9"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73.2</w:t>
            </w:r>
          </w:p>
        </w:tc>
        <w:tc>
          <w:tcPr>
            <w:tcW w:w="1660" w:type="dxa"/>
            <w:shd w:val="clear" w:color="auto" w:fill="auto"/>
          </w:tcPr>
          <w:p w14:paraId="24301A9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37EDD8BA"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950587" w14:paraId="59461C28" w14:textId="77777777" w:rsidTr="001D5220">
        <w:tc>
          <w:tcPr>
            <w:tcW w:w="9625" w:type="dxa"/>
            <w:gridSpan w:val="7"/>
            <w:shd w:val="clear" w:color="auto" w:fill="D9D9D9" w:themeFill="background1" w:themeFillShade="D9"/>
          </w:tcPr>
          <w:p w14:paraId="2E499E2E"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 xml:space="preserve">4. Exemptions for means of transport for persons with disabilities of the locomotor apparatus </w:t>
            </w:r>
          </w:p>
        </w:tc>
      </w:tr>
      <w:tr w:rsidR="00C943A7" w:rsidRPr="007669E1" w14:paraId="2BEE03B8" w14:textId="77777777" w:rsidTr="001D5220">
        <w:tc>
          <w:tcPr>
            <w:tcW w:w="2425" w:type="dxa"/>
          </w:tcPr>
          <w:p w14:paraId="71B31560"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Description</w:t>
            </w:r>
          </w:p>
        </w:tc>
        <w:tc>
          <w:tcPr>
            <w:tcW w:w="7200" w:type="dxa"/>
            <w:gridSpan w:val="6"/>
          </w:tcPr>
          <w:p w14:paraId="7E4804D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Persons with disabilities of the locomotor apparatus who own motor vehicles that are registered in Moldova are exempt from road usage fees.</w:t>
            </w:r>
          </w:p>
        </w:tc>
      </w:tr>
      <w:tr w:rsidR="00C943A7" w:rsidRPr="007669E1" w14:paraId="531ED2CF" w14:textId="77777777" w:rsidTr="001D5220">
        <w:tc>
          <w:tcPr>
            <w:tcW w:w="2425" w:type="dxa"/>
          </w:tcPr>
          <w:p w14:paraId="6511876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Tax Affected</w:t>
            </w:r>
          </w:p>
        </w:tc>
        <w:tc>
          <w:tcPr>
            <w:tcW w:w="7200" w:type="dxa"/>
            <w:gridSpan w:val="6"/>
          </w:tcPr>
          <w:p w14:paraId="6C855B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Road usage fees</w:t>
            </w:r>
          </w:p>
        </w:tc>
      </w:tr>
      <w:tr w:rsidR="00C943A7" w:rsidRPr="007669E1" w14:paraId="4D78DD3B" w14:textId="77777777" w:rsidTr="001D5220">
        <w:tc>
          <w:tcPr>
            <w:tcW w:w="2425" w:type="dxa"/>
          </w:tcPr>
          <w:p w14:paraId="608A303B"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Beneficiaries</w:t>
            </w:r>
          </w:p>
        </w:tc>
        <w:tc>
          <w:tcPr>
            <w:tcW w:w="7200" w:type="dxa"/>
            <w:gridSpan w:val="6"/>
          </w:tcPr>
          <w:p w14:paraId="306929E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Persons with disabilities of the locomotive apparatus</w:t>
            </w:r>
          </w:p>
        </w:tc>
      </w:tr>
      <w:tr w:rsidR="00C943A7" w:rsidRPr="007669E1" w14:paraId="488C6248" w14:textId="77777777" w:rsidTr="001D5220">
        <w:tc>
          <w:tcPr>
            <w:tcW w:w="2425" w:type="dxa"/>
          </w:tcPr>
          <w:p w14:paraId="30CBEC43"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Type of Measure</w:t>
            </w:r>
          </w:p>
        </w:tc>
        <w:tc>
          <w:tcPr>
            <w:tcW w:w="7200" w:type="dxa"/>
            <w:gridSpan w:val="6"/>
          </w:tcPr>
          <w:p w14:paraId="1A33994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4DF304E" w14:textId="77777777" w:rsidTr="001D5220">
        <w:tc>
          <w:tcPr>
            <w:tcW w:w="2425" w:type="dxa"/>
          </w:tcPr>
          <w:p w14:paraId="4CA3390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Reason why this Measure is not part of the Benchmark Tax System</w:t>
            </w:r>
          </w:p>
        </w:tc>
        <w:tc>
          <w:tcPr>
            <w:tcW w:w="7200" w:type="dxa"/>
            <w:gridSpan w:val="6"/>
          </w:tcPr>
          <w:p w14:paraId="2CD079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road usage fees for vehicles used on roads in Moldova are considered tax expenditures.</w:t>
            </w:r>
          </w:p>
        </w:tc>
      </w:tr>
      <w:tr w:rsidR="00C943A7" w:rsidRPr="007669E1" w14:paraId="69F85E40" w14:textId="77777777" w:rsidTr="001D5220">
        <w:tc>
          <w:tcPr>
            <w:tcW w:w="2425" w:type="dxa"/>
          </w:tcPr>
          <w:p w14:paraId="114CFC34"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Legal Reference</w:t>
            </w:r>
          </w:p>
        </w:tc>
        <w:tc>
          <w:tcPr>
            <w:tcW w:w="7200" w:type="dxa"/>
            <w:gridSpan w:val="6"/>
          </w:tcPr>
          <w:p w14:paraId="5173FE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343</w:t>
            </w:r>
          </w:p>
        </w:tc>
      </w:tr>
      <w:tr w:rsidR="00C943A7" w:rsidRPr="007669E1" w14:paraId="03B7AB4B" w14:textId="77777777" w:rsidTr="001D5220">
        <w:trPr>
          <w:trHeight w:val="182"/>
        </w:trPr>
        <w:tc>
          <w:tcPr>
            <w:tcW w:w="2425" w:type="dxa"/>
            <w:vMerge w:val="restart"/>
          </w:tcPr>
          <w:p w14:paraId="7844BBF3"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Implementation Objectives, and History</w:t>
            </w:r>
          </w:p>
        </w:tc>
        <w:tc>
          <w:tcPr>
            <w:tcW w:w="7200" w:type="dxa"/>
            <w:gridSpan w:val="6"/>
          </w:tcPr>
          <w:p w14:paraId="7FEB5F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individuals with disabilities of the locomotive apparatus.</w:t>
            </w:r>
          </w:p>
        </w:tc>
      </w:tr>
      <w:tr w:rsidR="00C943A7" w:rsidRPr="007669E1" w14:paraId="14AAC46E" w14:textId="77777777" w:rsidTr="001D5220">
        <w:trPr>
          <w:trHeight w:val="182"/>
        </w:trPr>
        <w:tc>
          <w:tcPr>
            <w:tcW w:w="2425" w:type="dxa"/>
            <w:vMerge/>
          </w:tcPr>
          <w:p w14:paraId="38330AA1" w14:textId="77777777" w:rsidR="007E7377" w:rsidRPr="00950587" w:rsidRDefault="007E7377" w:rsidP="00E90BA7">
            <w:pPr>
              <w:spacing w:before="20" w:after="20" w:line="240" w:lineRule="auto"/>
              <w:jc w:val="both"/>
              <w:rPr>
                <w:rFonts w:ascii="Segoe UI" w:hAnsi="Segoe UI" w:cs="Segoe UI"/>
                <w:b/>
                <w:bCs/>
                <w:sz w:val="18"/>
                <w:szCs w:val="18"/>
              </w:rPr>
            </w:pPr>
          </w:p>
        </w:tc>
        <w:tc>
          <w:tcPr>
            <w:tcW w:w="3462" w:type="dxa"/>
            <w:gridSpan w:val="3"/>
          </w:tcPr>
          <w:p w14:paraId="192B86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1997</w:t>
            </w:r>
          </w:p>
        </w:tc>
        <w:tc>
          <w:tcPr>
            <w:tcW w:w="3738" w:type="dxa"/>
            <w:gridSpan w:val="3"/>
          </w:tcPr>
          <w:p w14:paraId="35DA599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B2FD6F6" w14:textId="77777777" w:rsidTr="001D5220">
        <w:tc>
          <w:tcPr>
            <w:tcW w:w="2425" w:type="dxa"/>
          </w:tcPr>
          <w:p w14:paraId="763E5EA3"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Source of Data</w:t>
            </w:r>
          </w:p>
        </w:tc>
        <w:tc>
          <w:tcPr>
            <w:tcW w:w="7200" w:type="dxa"/>
            <w:gridSpan w:val="6"/>
          </w:tcPr>
          <w:p w14:paraId="51C199A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94C2A17" w14:textId="77777777" w:rsidTr="001D5220">
        <w:tc>
          <w:tcPr>
            <w:tcW w:w="2425" w:type="dxa"/>
          </w:tcPr>
          <w:p w14:paraId="45565F8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Estimation Method</w:t>
            </w:r>
          </w:p>
        </w:tc>
        <w:tc>
          <w:tcPr>
            <w:tcW w:w="7200" w:type="dxa"/>
            <w:gridSpan w:val="6"/>
          </w:tcPr>
          <w:p w14:paraId="1D9C894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00DDB1B" w14:textId="77777777" w:rsidTr="001D5220">
        <w:tc>
          <w:tcPr>
            <w:tcW w:w="2425" w:type="dxa"/>
          </w:tcPr>
          <w:p w14:paraId="19F7630A"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Number of Beneficiaries</w:t>
            </w:r>
          </w:p>
        </w:tc>
        <w:tc>
          <w:tcPr>
            <w:tcW w:w="7200" w:type="dxa"/>
            <w:gridSpan w:val="6"/>
          </w:tcPr>
          <w:p w14:paraId="429F305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5DCC730" w14:textId="77777777" w:rsidTr="001D5220">
        <w:tc>
          <w:tcPr>
            <w:tcW w:w="2425" w:type="dxa"/>
          </w:tcPr>
          <w:p w14:paraId="5E9B9DC8"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Revenue Cost Reporting</w:t>
            </w:r>
          </w:p>
        </w:tc>
        <w:tc>
          <w:tcPr>
            <w:tcW w:w="7200" w:type="dxa"/>
            <w:gridSpan w:val="6"/>
          </w:tcPr>
          <w:p w14:paraId="1300EEF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9485ABC" w14:textId="77777777" w:rsidTr="001D5220">
        <w:trPr>
          <w:trHeight w:val="91"/>
        </w:trPr>
        <w:tc>
          <w:tcPr>
            <w:tcW w:w="2425" w:type="dxa"/>
            <w:vMerge w:val="restart"/>
          </w:tcPr>
          <w:p w14:paraId="21D2322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7DB31CD"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2018</w:t>
            </w:r>
          </w:p>
        </w:tc>
        <w:tc>
          <w:tcPr>
            <w:tcW w:w="1385" w:type="dxa"/>
          </w:tcPr>
          <w:p w14:paraId="4F125652"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2019</w:t>
            </w:r>
          </w:p>
        </w:tc>
        <w:tc>
          <w:tcPr>
            <w:tcW w:w="1385" w:type="dxa"/>
            <w:gridSpan w:val="2"/>
          </w:tcPr>
          <w:p w14:paraId="0D866142"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2020</w:t>
            </w:r>
          </w:p>
        </w:tc>
        <w:tc>
          <w:tcPr>
            <w:tcW w:w="1385" w:type="dxa"/>
          </w:tcPr>
          <w:p w14:paraId="774DCFCE"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2021</w:t>
            </w:r>
          </w:p>
        </w:tc>
        <w:tc>
          <w:tcPr>
            <w:tcW w:w="1660" w:type="dxa"/>
          </w:tcPr>
          <w:p w14:paraId="7F29FFD4" w14:textId="77777777" w:rsidR="007E7377" w:rsidRPr="00950587" w:rsidRDefault="007E7377" w:rsidP="00E90BA7">
            <w:pPr>
              <w:spacing w:before="20" w:after="20" w:line="240" w:lineRule="auto"/>
              <w:jc w:val="both"/>
              <w:rPr>
                <w:rFonts w:ascii="Segoe UI" w:hAnsi="Segoe UI" w:cs="Segoe UI"/>
                <w:b/>
                <w:bCs/>
                <w:sz w:val="18"/>
                <w:szCs w:val="18"/>
              </w:rPr>
            </w:pPr>
            <w:r w:rsidRPr="00950587">
              <w:rPr>
                <w:rFonts w:ascii="Segoe UI" w:hAnsi="Segoe UI" w:cs="Segoe UI"/>
                <w:b/>
                <w:bCs/>
                <w:sz w:val="18"/>
                <w:szCs w:val="18"/>
              </w:rPr>
              <w:t>2022</w:t>
            </w:r>
          </w:p>
        </w:tc>
      </w:tr>
      <w:tr w:rsidR="00775F01" w:rsidRPr="007669E1" w14:paraId="3D192BFF" w14:textId="77777777" w:rsidTr="001D5220">
        <w:trPr>
          <w:trHeight w:val="305"/>
        </w:trPr>
        <w:tc>
          <w:tcPr>
            <w:tcW w:w="2425" w:type="dxa"/>
            <w:vMerge/>
          </w:tcPr>
          <w:p w14:paraId="37CD955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4E8246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8C90A1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1394CE3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4EB75D0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6B79DCD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9B9A909"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13A62" w14:paraId="518AD311" w14:textId="77777777" w:rsidTr="001D5220">
        <w:tc>
          <w:tcPr>
            <w:tcW w:w="9625" w:type="dxa"/>
            <w:gridSpan w:val="7"/>
            <w:shd w:val="clear" w:color="auto" w:fill="D9D9D9" w:themeFill="background1" w:themeFillShade="D9"/>
          </w:tcPr>
          <w:p w14:paraId="3296781E" w14:textId="455CFDAB" w:rsidR="007E7377" w:rsidRPr="00E13A62" w:rsidRDefault="007E7377" w:rsidP="00E90BA7">
            <w:pPr>
              <w:keepNext/>
              <w:spacing w:before="20" w:after="20" w:line="240" w:lineRule="auto"/>
              <w:jc w:val="both"/>
              <w:rPr>
                <w:rFonts w:ascii="Segoe UI" w:hAnsi="Segoe UI" w:cs="Segoe UI"/>
                <w:b/>
                <w:bCs/>
                <w:sz w:val="18"/>
                <w:szCs w:val="18"/>
              </w:rPr>
            </w:pPr>
            <w:r w:rsidRPr="00E13A62">
              <w:rPr>
                <w:rFonts w:ascii="Segoe UI" w:hAnsi="Segoe UI" w:cs="Segoe UI"/>
                <w:b/>
                <w:bCs/>
                <w:sz w:val="18"/>
                <w:szCs w:val="18"/>
              </w:rPr>
              <w:lastRenderedPageBreak/>
              <w:t xml:space="preserve">5. Preferential tax regime for </w:t>
            </w:r>
            <w:r w:rsidR="00950587" w:rsidRPr="00E13A62">
              <w:rPr>
                <w:rFonts w:ascii="Segoe UI" w:hAnsi="Segoe UI" w:cs="Segoe UI"/>
                <w:b/>
                <w:bCs/>
                <w:sz w:val="18"/>
                <w:szCs w:val="18"/>
              </w:rPr>
              <w:t>IT</w:t>
            </w:r>
            <w:r w:rsidRPr="00E13A62">
              <w:rPr>
                <w:rFonts w:ascii="Segoe UI" w:hAnsi="Segoe UI" w:cs="Segoe UI"/>
                <w:b/>
                <w:bCs/>
                <w:sz w:val="18"/>
                <w:szCs w:val="18"/>
              </w:rPr>
              <w:t xml:space="preserve"> </w:t>
            </w:r>
            <w:r w:rsidR="00950587" w:rsidRPr="00E13A62">
              <w:rPr>
                <w:rFonts w:ascii="Segoe UI" w:hAnsi="Segoe UI" w:cs="Segoe UI"/>
                <w:b/>
                <w:bCs/>
                <w:sz w:val="18"/>
                <w:szCs w:val="18"/>
              </w:rPr>
              <w:t>P</w:t>
            </w:r>
            <w:r w:rsidRPr="00E13A62">
              <w:rPr>
                <w:rFonts w:ascii="Segoe UI" w:hAnsi="Segoe UI" w:cs="Segoe UI"/>
                <w:b/>
                <w:bCs/>
                <w:sz w:val="18"/>
                <w:szCs w:val="18"/>
              </w:rPr>
              <w:t>ark</w:t>
            </w:r>
          </w:p>
        </w:tc>
      </w:tr>
      <w:tr w:rsidR="00C943A7" w:rsidRPr="007669E1" w14:paraId="27B286FF" w14:textId="77777777" w:rsidTr="001D5220">
        <w:tc>
          <w:tcPr>
            <w:tcW w:w="2425" w:type="dxa"/>
          </w:tcPr>
          <w:p w14:paraId="55D0078B" w14:textId="77777777" w:rsidR="007E7377" w:rsidRPr="00E13A62" w:rsidRDefault="007E7377" w:rsidP="00E90BA7">
            <w:pPr>
              <w:keepNext/>
              <w:spacing w:before="20" w:after="20" w:line="240" w:lineRule="auto"/>
              <w:jc w:val="both"/>
              <w:rPr>
                <w:rFonts w:ascii="Segoe UI" w:hAnsi="Segoe UI" w:cs="Segoe UI"/>
                <w:b/>
                <w:bCs/>
                <w:sz w:val="18"/>
                <w:szCs w:val="18"/>
              </w:rPr>
            </w:pPr>
            <w:r w:rsidRPr="00E13A62">
              <w:rPr>
                <w:rFonts w:ascii="Segoe UI" w:hAnsi="Segoe UI" w:cs="Segoe UI"/>
                <w:b/>
                <w:bCs/>
                <w:sz w:val="18"/>
                <w:szCs w:val="18"/>
              </w:rPr>
              <w:t>Description</w:t>
            </w:r>
          </w:p>
        </w:tc>
        <w:tc>
          <w:tcPr>
            <w:tcW w:w="7200" w:type="dxa"/>
            <w:gridSpan w:val="6"/>
          </w:tcPr>
          <w:p w14:paraId="28BE4D91" w14:textId="03AF3E6A" w:rsidR="007E7377" w:rsidRPr="00E13A62" w:rsidRDefault="00E13A62" w:rsidP="00E90BA7">
            <w:pPr>
              <w:autoSpaceDE w:val="0"/>
              <w:autoSpaceDN w:val="0"/>
              <w:adjustRightInd w:val="0"/>
              <w:spacing w:before="20" w:after="20" w:line="240" w:lineRule="auto"/>
              <w:jc w:val="both"/>
              <w:rPr>
                <w:rFonts w:ascii="Segoe UI" w:hAnsi="Segoe UI" w:cs="Segoe UI"/>
                <w:sz w:val="18"/>
                <w:szCs w:val="18"/>
              </w:rPr>
            </w:pPr>
            <w:r w:rsidRPr="00E13A62">
              <w:rPr>
                <w:rFonts w:ascii="Segoe UI" w:hAnsi="Segoe UI" w:cs="Segoe UI"/>
                <w:sz w:val="18"/>
                <w:szCs w:val="18"/>
              </w:rPr>
              <w:t>Residents</w:t>
            </w:r>
            <w:r w:rsidR="007E7377" w:rsidRPr="00E13A62">
              <w:rPr>
                <w:rFonts w:ascii="Segoe UI" w:hAnsi="Segoe UI" w:cs="Segoe UI"/>
                <w:sz w:val="18"/>
                <w:szCs w:val="18"/>
              </w:rPr>
              <w:t xml:space="preserve"> </w:t>
            </w:r>
            <w:r w:rsidR="00950587" w:rsidRPr="00E13A62">
              <w:rPr>
                <w:rFonts w:ascii="Segoe UI" w:hAnsi="Segoe UI" w:cs="Segoe UI"/>
                <w:sz w:val="18"/>
                <w:szCs w:val="18"/>
              </w:rPr>
              <w:t>the IT P</w:t>
            </w:r>
            <w:r w:rsidR="007E7377" w:rsidRPr="00E13A62">
              <w:rPr>
                <w:rFonts w:ascii="Segoe UI" w:hAnsi="Segoe UI" w:cs="Segoe UI"/>
                <w:sz w:val="18"/>
                <w:szCs w:val="18"/>
              </w:rPr>
              <w:t>ark</w:t>
            </w:r>
            <w:r>
              <w:rPr>
                <w:rFonts w:ascii="Segoe UI" w:hAnsi="Segoe UI" w:cs="Segoe UI"/>
                <w:sz w:val="18"/>
                <w:szCs w:val="18"/>
              </w:rPr>
              <w:t xml:space="preserve"> regime</w:t>
            </w:r>
            <w:r w:rsidR="007E7377" w:rsidRPr="00E13A62">
              <w:rPr>
                <w:rFonts w:ascii="Segoe UI" w:hAnsi="Segoe UI" w:cs="Segoe UI"/>
                <w:sz w:val="18"/>
                <w:szCs w:val="18"/>
              </w:rPr>
              <w:t xml:space="preserve"> pay the single tax</w:t>
            </w:r>
            <w:r w:rsidR="00AA5DB6" w:rsidRPr="00E13A62">
              <w:rPr>
                <w:rFonts w:ascii="Segoe UI" w:hAnsi="Segoe UI" w:cs="Segoe UI"/>
                <w:sz w:val="18"/>
                <w:szCs w:val="18"/>
              </w:rPr>
              <w:t xml:space="preserve"> </w:t>
            </w:r>
            <w:r w:rsidRPr="00E13A62">
              <w:rPr>
                <w:rFonts w:ascii="Segoe UI" w:hAnsi="Segoe UI" w:cs="Segoe UI"/>
                <w:sz w:val="18"/>
                <w:szCs w:val="18"/>
              </w:rPr>
              <w:t xml:space="preserve">in the amount </w:t>
            </w:r>
            <w:r w:rsidR="00AA5DB6" w:rsidRPr="00E13A62">
              <w:rPr>
                <w:rFonts w:ascii="Segoe UI" w:hAnsi="Segoe UI" w:cs="Segoe UI"/>
                <w:sz w:val="18"/>
                <w:szCs w:val="18"/>
              </w:rPr>
              <w:t xml:space="preserve">of 7 percent of </w:t>
            </w:r>
            <w:r w:rsidRPr="00E13A62">
              <w:rPr>
                <w:rFonts w:ascii="Segoe UI" w:hAnsi="Segoe UI" w:cs="Segoe UI"/>
                <w:sz w:val="18"/>
                <w:szCs w:val="18"/>
              </w:rPr>
              <w:t>turnover</w:t>
            </w:r>
            <w:r w:rsidR="007E7377" w:rsidRPr="00E13A62">
              <w:rPr>
                <w:rFonts w:ascii="Segoe UI" w:hAnsi="Segoe UI" w:cs="Segoe UI"/>
                <w:sz w:val="18"/>
                <w:szCs w:val="18"/>
              </w:rPr>
              <w:t>, with 0.1% of the total single tax paid being allocated to road usage fees.</w:t>
            </w:r>
          </w:p>
        </w:tc>
      </w:tr>
      <w:tr w:rsidR="00C943A7" w:rsidRPr="007669E1" w14:paraId="5015DD89" w14:textId="77777777" w:rsidTr="001D5220">
        <w:tc>
          <w:tcPr>
            <w:tcW w:w="2425" w:type="dxa"/>
          </w:tcPr>
          <w:p w14:paraId="06F1BDE1"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Tax Affected</w:t>
            </w:r>
          </w:p>
        </w:tc>
        <w:tc>
          <w:tcPr>
            <w:tcW w:w="7200" w:type="dxa"/>
            <w:gridSpan w:val="6"/>
          </w:tcPr>
          <w:p w14:paraId="030E210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Road usage fees</w:t>
            </w:r>
          </w:p>
        </w:tc>
      </w:tr>
      <w:tr w:rsidR="00C943A7" w:rsidRPr="007669E1" w14:paraId="04374526" w14:textId="77777777" w:rsidTr="001D5220">
        <w:tc>
          <w:tcPr>
            <w:tcW w:w="2425" w:type="dxa"/>
          </w:tcPr>
          <w:p w14:paraId="71E0C25C"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Beneficiaries</w:t>
            </w:r>
          </w:p>
        </w:tc>
        <w:tc>
          <w:tcPr>
            <w:tcW w:w="7200" w:type="dxa"/>
            <w:gridSpan w:val="6"/>
          </w:tcPr>
          <w:p w14:paraId="568D425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 taxpayers of information technology parks</w:t>
            </w:r>
          </w:p>
        </w:tc>
      </w:tr>
      <w:tr w:rsidR="00C943A7" w:rsidRPr="007669E1" w14:paraId="79C83774" w14:textId="77777777" w:rsidTr="001D5220">
        <w:tc>
          <w:tcPr>
            <w:tcW w:w="2425" w:type="dxa"/>
          </w:tcPr>
          <w:p w14:paraId="57647D1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Measure</w:t>
            </w:r>
          </w:p>
        </w:tc>
        <w:tc>
          <w:tcPr>
            <w:tcW w:w="7200" w:type="dxa"/>
            <w:gridSpan w:val="6"/>
          </w:tcPr>
          <w:p w14:paraId="45200E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586FE04" w14:textId="77777777" w:rsidTr="001D5220">
        <w:tc>
          <w:tcPr>
            <w:tcW w:w="2425" w:type="dxa"/>
          </w:tcPr>
          <w:p w14:paraId="11044D76"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Reason why this Measure is not part of the Benchmark Tax System</w:t>
            </w:r>
          </w:p>
        </w:tc>
        <w:tc>
          <w:tcPr>
            <w:tcW w:w="7200" w:type="dxa"/>
            <w:gridSpan w:val="6"/>
          </w:tcPr>
          <w:p w14:paraId="6D1C66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road usage fees for vehicles used on roads in Moldova are considered tax expenditures.</w:t>
            </w:r>
          </w:p>
        </w:tc>
      </w:tr>
      <w:tr w:rsidR="00C943A7" w:rsidRPr="007669E1" w14:paraId="0B442255" w14:textId="77777777" w:rsidTr="001D5220">
        <w:tc>
          <w:tcPr>
            <w:tcW w:w="2425" w:type="dxa"/>
          </w:tcPr>
          <w:p w14:paraId="56CBCD5F"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Legal Reference</w:t>
            </w:r>
          </w:p>
        </w:tc>
        <w:tc>
          <w:tcPr>
            <w:tcW w:w="7200" w:type="dxa"/>
            <w:gridSpan w:val="6"/>
          </w:tcPr>
          <w:p w14:paraId="6392A15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342</w:t>
            </w:r>
            <w:r w:rsidRPr="007669E1">
              <w:rPr>
                <w:rFonts w:ascii="Segoe UI" w:hAnsi="Segoe UI" w:cs="Segoe UI"/>
                <w:sz w:val="18"/>
                <w:szCs w:val="18"/>
                <w:vertAlign w:val="superscript"/>
              </w:rPr>
              <w:t>1</w:t>
            </w:r>
          </w:p>
        </w:tc>
      </w:tr>
      <w:tr w:rsidR="00C943A7" w:rsidRPr="007669E1" w14:paraId="21B275BC" w14:textId="77777777" w:rsidTr="001D5220">
        <w:trPr>
          <w:trHeight w:val="182"/>
        </w:trPr>
        <w:tc>
          <w:tcPr>
            <w:tcW w:w="2425" w:type="dxa"/>
            <w:vMerge w:val="restart"/>
          </w:tcPr>
          <w:p w14:paraId="4FE5D24C"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Implementation Objectives, and History</w:t>
            </w:r>
          </w:p>
        </w:tc>
        <w:tc>
          <w:tcPr>
            <w:tcW w:w="7200" w:type="dxa"/>
            <w:gridSpan w:val="6"/>
          </w:tcPr>
          <w:p w14:paraId="3EC189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2016, effective as of 2017.</w:t>
            </w:r>
          </w:p>
        </w:tc>
      </w:tr>
      <w:tr w:rsidR="00C943A7" w:rsidRPr="007669E1" w14:paraId="498C4B81" w14:textId="77777777" w:rsidTr="001D5220">
        <w:trPr>
          <w:trHeight w:val="182"/>
        </w:trPr>
        <w:tc>
          <w:tcPr>
            <w:tcW w:w="2425" w:type="dxa"/>
            <w:vMerge/>
          </w:tcPr>
          <w:p w14:paraId="565B7CDF" w14:textId="77777777" w:rsidR="007E7377" w:rsidRPr="00E13A62" w:rsidRDefault="007E7377" w:rsidP="00E90BA7">
            <w:pPr>
              <w:spacing w:before="20" w:after="20" w:line="240" w:lineRule="auto"/>
              <w:jc w:val="both"/>
              <w:rPr>
                <w:rFonts w:ascii="Segoe UI" w:hAnsi="Segoe UI" w:cs="Segoe UI"/>
                <w:b/>
                <w:bCs/>
                <w:sz w:val="18"/>
                <w:szCs w:val="18"/>
              </w:rPr>
            </w:pPr>
          </w:p>
        </w:tc>
        <w:tc>
          <w:tcPr>
            <w:tcW w:w="3462" w:type="dxa"/>
            <w:gridSpan w:val="3"/>
          </w:tcPr>
          <w:p w14:paraId="0ED24D1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38" w:type="dxa"/>
            <w:gridSpan w:val="3"/>
          </w:tcPr>
          <w:p w14:paraId="34E4D35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3A3D581" w14:textId="77777777" w:rsidTr="001D5220">
        <w:tc>
          <w:tcPr>
            <w:tcW w:w="2425" w:type="dxa"/>
          </w:tcPr>
          <w:p w14:paraId="263975B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Source of Data</w:t>
            </w:r>
          </w:p>
        </w:tc>
        <w:tc>
          <w:tcPr>
            <w:tcW w:w="7200" w:type="dxa"/>
            <w:gridSpan w:val="6"/>
          </w:tcPr>
          <w:p w14:paraId="0565F63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42CABA2" w14:textId="77777777" w:rsidTr="001D5220">
        <w:tc>
          <w:tcPr>
            <w:tcW w:w="2425" w:type="dxa"/>
          </w:tcPr>
          <w:p w14:paraId="2F4285D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Estimation Method</w:t>
            </w:r>
          </w:p>
        </w:tc>
        <w:tc>
          <w:tcPr>
            <w:tcW w:w="7200" w:type="dxa"/>
            <w:gridSpan w:val="6"/>
          </w:tcPr>
          <w:p w14:paraId="26144F2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B20AF13" w14:textId="77777777" w:rsidTr="001D5220">
        <w:tc>
          <w:tcPr>
            <w:tcW w:w="2425" w:type="dxa"/>
          </w:tcPr>
          <w:p w14:paraId="70C14F5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Number of Beneficiaries</w:t>
            </w:r>
          </w:p>
        </w:tc>
        <w:tc>
          <w:tcPr>
            <w:tcW w:w="7200" w:type="dxa"/>
            <w:gridSpan w:val="6"/>
          </w:tcPr>
          <w:p w14:paraId="430DFFF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520D798" w14:textId="77777777" w:rsidTr="001D5220">
        <w:tc>
          <w:tcPr>
            <w:tcW w:w="2425" w:type="dxa"/>
          </w:tcPr>
          <w:p w14:paraId="7FE91C4D"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Revenue Cost Reporting</w:t>
            </w:r>
          </w:p>
        </w:tc>
        <w:tc>
          <w:tcPr>
            <w:tcW w:w="7200" w:type="dxa"/>
            <w:gridSpan w:val="6"/>
          </w:tcPr>
          <w:p w14:paraId="2CEFC33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BF98C9F" w14:textId="77777777" w:rsidTr="001D5220">
        <w:trPr>
          <w:trHeight w:val="91"/>
        </w:trPr>
        <w:tc>
          <w:tcPr>
            <w:tcW w:w="2425" w:type="dxa"/>
            <w:vMerge w:val="restart"/>
          </w:tcPr>
          <w:p w14:paraId="57FBA80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C6ADFA6"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2018</w:t>
            </w:r>
          </w:p>
        </w:tc>
        <w:tc>
          <w:tcPr>
            <w:tcW w:w="1385" w:type="dxa"/>
          </w:tcPr>
          <w:p w14:paraId="5B12D6D8"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2019</w:t>
            </w:r>
          </w:p>
        </w:tc>
        <w:tc>
          <w:tcPr>
            <w:tcW w:w="1385" w:type="dxa"/>
            <w:gridSpan w:val="2"/>
          </w:tcPr>
          <w:p w14:paraId="7CC8F9E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2020</w:t>
            </w:r>
          </w:p>
        </w:tc>
        <w:tc>
          <w:tcPr>
            <w:tcW w:w="1385" w:type="dxa"/>
          </w:tcPr>
          <w:p w14:paraId="4528002A"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2021</w:t>
            </w:r>
          </w:p>
        </w:tc>
        <w:tc>
          <w:tcPr>
            <w:tcW w:w="1660" w:type="dxa"/>
          </w:tcPr>
          <w:p w14:paraId="2A9B1ECE"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2022</w:t>
            </w:r>
          </w:p>
        </w:tc>
      </w:tr>
      <w:tr w:rsidR="00775F01" w:rsidRPr="007669E1" w14:paraId="0F1FCA22" w14:textId="77777777" w:rsidTr="001D5220">
        <w:trPr>
          <w:trHeight w:val="305"/>
        </w:trPr>
        <w:tc>
          <w:tcPr>
            <w:tcW w:w="2425" w:type="dxa"/>
            <w:vMerge/>
          </w:tcPr>
          <w:p w14:paraId="4F9463B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AC12C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2FC3FC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0CABB50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24BEAB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257831E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519A31F3" w14:textId="77777777" w:rsidR="007E7377" w:rsidRPr="007669E1" w:rsidRDefault="007E7377" w:rsidP="00E90BA7">
      <w:pPr>
        <w:spacing w:before="20" w:after="20" w:line="240" w:lineRule="auto"/>
        <w:jc w:val="both"/>
        <w:rPr>
          <w:rFonts w:ascii="Segoe UI" w:hAnsi="Segoe UI" w:cs="Segoe UI"/>
          <w:bCs/>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13A62" w14:paraId="2AD07220" w14:textId="77777777" w:rsidTr="001D5220">
        <w:tc>
          <w:tcPr>
            <w:tcW w:w="9625" w:type="dxa"/>
            <w:gridSpan w:val="7"/>
            <w:shd w:val="clear" w:color="auto" w:fill="D9D9D9" w:themeFill="background1" w:themeFillShade="D9"/>
          </w:tcPr>
          <w:p w14:paraId="38B24A1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6. Exemption on a reciprocal basis from road usage fees (vignettes)</w:t>
            </w:r>
          </w:p>
        </w:tc>
      </w:tr>
      <w:tr w:rsidR="00C943A7" w:rsidRPr="007669E1" w14:paraId="2D55D5A2" w14:textId="77777777" w:rsidTr="001D5220">
        <w:tc>
          <w:tcPr>
            <w:tcW w:w="2425" w:type="dxa"/>
          </w:tcPr>
          <w:p w14:paraId="19B70A7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Description</w:t>
            </w:r>
          </w:p>
        </w:tc>
        <w:tc>
          <w:tcPr>
            <w:tcW w:w="7200" w:type="dxa"/>
            <w:gridSpan w:val="6"/>
          </w:tcPr>
          <w:p w14:paraId="1E188292"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Road usage fees (vignettes) are not charged on motor vehicles registered in the states with which the Republic of Moldova has concluded bilateral or multilateral agreements regarding the non-payment of road fees.</w:t>
            </w:r>
          </w:p>
        </w:tc>
      </w:tr>
      <w:tr w:rsidR="00C943A7" w:rsidRPr="007669E1" w14:paraId="624F2770" w14:textId="77777777" w:rsidTr="001D5220">
        <w:tc>
          <w:tcPr>
            <w:tcW w:w="2425" w:type="dxa"/>
          </w:tcPr>
          <w:p w14:paraId="50F1835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Tax Affected</w:t>
            </w:r>
          </w:p>
        </w:tc>
        <w:tc>
          <w:tcPr>
            <w:tcW w:w="7200" w:type="dxa"/>
            <w:gridSpan w:val="6"/>
          </w:tcPr>
          <w:p w14:paraId="5C48722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Road usage fees</w:t>
            </w:r>
          </w:p>
        </w:tc>
      </w:tr>
      <w:tr w:rsidR="00C943A7" w:rsidRPr="007669E1" w14:paraId="7846C1CE" w14:textId="77777777" w:rsidTr="001D5220">
        <w:tc>
          <w:tcPr>
            <w:tcW w:w="2425" w:type="dxa"/>
          </w:tcPr>
          <w:p w14:paraId="11A8F085"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Beneficiaries</w:t>
            </w:r>
          </w:p>
        </w:tc>
        <w:tc>
          <w:tcPr>
            <w:tcW w:w="7200" w:type="dxa"/>
            <w:gridSpan w:val="6"/>
          </w:tcPr>
          <w:p w14:paraId="191FE95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visitors to Moldova</w:t>
            </w:r>
          </w:p>
        </w:tc>
      </w:tr>
      <w:tr w:rsidR="00C943A7" w:rsidRPr="007669E1" w14:paraId="38E24C2A" w14:textId="77777777" w:rsidTr="001D5220">
        <w:tc>
          <w:tcPr>
            <w:tcW w:w="2425" w:type="dxa"/>
          </w:tcPr>
          <w:p w14:paraId="4D8605EE"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Measure</w:t>
            </w:r>
          </w:p>
        </w:tc>
        <w:tc>
          <w:tcPr>
            <w:tcW w:w="7200" w:type="dxa"/>
            <w:gridSpan w:val="6"/>
          </w:tcPr>
          <w:p w14:paraId="299E4C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BA4F948" w14:textId="77777777" w:rsidTr="001D5220">
        <w:tc>
          <w:tcPr>
            <w:tcW w:w="2425" w:type="dxa"/>
          </w:tcPr>
          <w:p w14:paraId="5C90BC73"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Reason why this Measure is not part of the Benchmark Tax System</w:t>
            </w:r>
          </w:p>
        </w:tc>
        <w:tc>
          <w:tcPr>
            <w:tcW w:w="7200" w:type="dxa"/>
            <w:gridSpan w:val="6"/>
          </w:tcPr>
          <w:p w14:paraId="379A75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road usage fees for vehicles used on roads in Moldova are considered tax expenditures.</w:t>
            </w:r>
          </w:p>
        </w:tc>
      </w:tr>
      <w:tr w:rsidR="00C943A7" w:rsidRPr="007669E1" w14:paraId="6C66E0F3" w14:textId="77777777" w:rsidTr="001D5220">
        <w:tc>
          <w:tcPr>
            <w:tcW w:w="2425" w:type="dxa"/>
          </w:tcPr>
          <w:p w14:paraId="42FC1C84"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Legal Reference</w:t>
            </w:r>
          </w:p>
        </w:tc>
        <w:tc>
          <w:tcPr>
            <w:tcW w:w="7200" w:type="dxa"/>
            <w:gridSpan w:val="6"/>
          </w:tcPr>
          <w:p w14:paraId="5CDEDA3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Tax Code, article 348 (1)</w:t>
            </w:r>
          </w:p>
        </w:tc>
      </w:tr>
      <w:tr w:rsidR="00C943A7" w:rsidRPr="007669E1" w14:paraId="0A35858E" w14:textId="77777777" w:rsidTr="001D5220">
        <w:trPr>
          <w:trHeight w:val="182"/>
        </w:trPr>
        <w:tc>
          <w:tcPr>
            <w:tcW w:w="2425" w:type="dxa"/>
            <w:vMerge w:val="restart"/>
          </w:tcPr>
          <w:p w14:paraId="41D0AA1C"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Implementation Objectives, and History</w:t>
            </w:r>
          </w:p>
        </w:tc>
        <w:tc>
          <w:tcPr>
            <w:tcW w:w="7200" w:type="dxa"/>
            <w:gridSpan w:val="6"/>
          </w:tcPr>
          <w:p w14:paraId="7D1ADA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reflects established practices in bilateral and multilateral fiscal relations.</w:t>
            </w:r>
          </w:p>
        </w:tc>
      </w:tr>
      <w:tr w:rsidR="00C943A7" w:rsidRPr="007669E1" w14:paraId="0F9C5ED9" w14:textId="77777777" w:rsidTr="001D5220">
        <w:trPr>
          <w:trHeight w:val="182"/>
        </w:trPr>
        <w:tc>
          <w:tcPr>
            <w:tcW w:w="2425" w:type="dxa"/>
            <w:vMerge/>
          </w:tcPr>
          <w:p w14:paraId="42515A73" w14:textId="77777777" w:rsidR="007E7377" w:rsidRPr="00E13A62" w:rsidRDefault="007E7377" w:rsidP="00E90BA7">
            <w:pPr>
              <w:spacing w:before="20" w:after="20" w:line="240" w:lineRule="auto"/>
              <w:jc w:val="both"/>
              <w:rPr>
                <w:rFonts w:ascii="Segoe UI" w:hAnsi="Segoe UI" w:cs="Segoe UI"/>
                <w:b/>
                <w:bCs/>
                <w:sz w:val="18"/>
                <w:szCs w:val="18"/>
              </w:rPr>
            </w:pPr>
          </w:p>
        </w:tc>
        <w:tc>
          <w:tcPr>
            <w:tcW w:w="3462" w:type="dxa"/>
            <w:gridSpan w:val="3"/>
          </w:tcPr>
          <w:p w14:paraId="4607BAA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319080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770939D" w14:textId="77777777" w:rsidTr="001D5220">
        <w:tc>
          <w:tcPr>
            <w:tcW w:w="2425" w:type="dxa"/>
          </w:tcPr>
          <w:p w14:paraId="7CEF5E9B"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Source of Data</w:t>
            </w:r>
          </w:p>
        </w:tc>
        <w:tc>
          <w:tcPr>
            <w:tcW w:w="7200" w:type="dxa"/>
            <w:gridSpan w:val="6"/>
          </w:tcPr>
          <w:p w14:paraId="060D4DDC" w14:textId="54F471F8" w:rsidR="007E7377" w:rsidRPr="007669E1" w:rsidRDefault="7B5184C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w:t>
            </w:r>
          </w:p>
        </w:tc>
      </w:tr>
      <w:tr w:rsidR="00C943A7" w:rsidRPr="007669E1" w14:paraId="211BF42D" w14:textId="77777777" w:rsidTr="001D5220">
        <w:tc>
          <w:tcPr>
            <w:tcW w:w="2425" w:type="dxa"/>
          </w:tcPr>
          <w:p w14:paraId="44DBCBB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Estimation Method</w:t>
            </w:r>
          </w:p>
        </w:tc>
        <w:tc>
          <w:tcPr>
            <w:tcW w:w="7200" w:type="dxa"/>
            <w:gridSpan w:val="6"/>
          </w:tcPr>
          <w:p w14:paraId="3F224774"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2A3BD39C" w14:textId="77777777" w:rsidTr="001D5220">
        <w:tc>
          <w:tcPr>
            <w:tcW w:w="2425" w:type="dxa"/>
          </w:tcPr>
          <w:p w14:paraId="48731D51"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Number of Beneficiaries</w:t>
            </w:r>
          </w:p>
        </w:tc>
        <w:tc>
          <w:tcPr>
            <w:tcW w:w="7200" w:type="dxa"/>
            <w:gridSpan w:val="6"/>
          </w:tcPr>
          <w:p w14:paraId="033884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7BCB84A" w14:textId="77777777" w:rsidTr="001D5220">
        <w:tc>
          <w:tcPr>
            <w:tcW w:w="2425" w:type="dxa"/>
          </w:tcPr>
          <w:p w14:paraId="5431D50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Revenue Cost Reporting</w:t>
            </w:r>
          </w:p>
        </w:tc>
        <w:tc>
          <w:tcPr>
            <w:tcW w:w="7200" w:type="dxa"/>
            <w:gridSpan w:val="6"/>
          </w:tcPr>
          <w:p w14:paraId="16C53C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94575AE" w14:textId="77777777" w:rsidTr="001D5220">
        <w:trPr>
          <w:trHeight w:val="91"/>
        </w:trPr>
        <w:tc>
          <w:tcPr>
            <w:tcW w:w="2425" w:type="dxa"/>
            <w:vMerge w:val="restart"/>
          </w:tcPr>
          <w:p w14:paraId="0DF6A5B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A40CF46"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2018</w:t>
            </w:r>
          </w:p>
        </w:tc>
        <w:tc>
          <w:tcPr>
            <w:tcW w:w="1385" w:type="dxa"/>
          </w:tcPr>
          <w:p w14:paraId="335C903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2019</w:t>
            </w:r>
          </w:p>
        </w:tc>
        <w:tc>
          <w:tcPr>
            <w:tcW w:w="1385" w:type="dxa"/>
            <w:gridSpan w:val="2"/>
          </w:tcPr>
          <w:p w14:paraId="0114608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2020</w:t>
            </w:r>
          </w:p>
        </w:tc>
        <w:tc>
          <w:tcPr>
            <w:tcW w:w="1385" w:type="dxa"/>
          </w:tcPr>
          <w:p w14:paraId="05C7BB6A"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2021</w:t>
            </w:r>
          </w:p>
        </w:tc>
        <w:tc>
          <w:tcPr>
            <w:tcW w:w="1660" w:type="dxa"/>
          </w:tcPr>
          <w:p w14:paraId="5A6D96F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2022</w:t>
            </w:r>
          </w:p>
        </w:tc>
      </w:tr>
      <w:tr w:rsidR="00775F01" w:rsidRPr="007669E1" w14:paraId="177F2754" w14:textId="77777777" w:rsidTr="001D5220">
        <w:trPr>
          <w:trHeight w:val="305"/>
        </w:trPr>
        <w:tc>
          <w:tcPr>
            <w:tcW w:w="2425" w:type="dxa"/>
            <w:vMerge/>
          </w:tcPr>
          <w:p w14:paraId="38C056A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5C9E2B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1,726.6</w:t>
            </w:r>
          </w:p>
        </w:tc>
        <w:tc>
          <w:tcPr>
            <w:tcW w:w="1385" w:type="dxa"/>
            <w:shd w:val="clear" w:color="auto" w:fill="auto"/>
          </w:tcPr>
          <w:p w14:paraId="6D0C803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17,637.7</w:t>
            </w:r>
          </w:p>
        </w:tc>
        <w:tc>
          <w:tcPr>
            <w:tcW w:w="1385" w:type="dxa"/>
            <w:gridSpan w:val="2"/>
            <w:shd w:val="clear" w:color="auto" w:fill="auto"/>
          </w:tcPr>
          <w:p w14:paraId="139ECA9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4DCEE72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1587D83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4147778" w14:textId="77777777" w:rsidR="007E7377" w:rsidRPr="007669E1" w:rsidRDefault="007E7377" w:rsidP="00E90BA7">
      <w:pPr>
        <w:spacing w:before="20" w:after="20" w:line="240" w:lineRule="auto"/>
        <w:jc w:val="both"/>
        <w:rPr>
          <w:rFonts w:ascii="Segoe UI" w:hAnsi="Segoe UI" w:cs="Segoe UI"/>
          <w:bCs/>
          <w:sz w:val="18"/>
          <w:szCs w:val="18"/>
        </w:rPr>
      </w:pPr>
    </w:p>
    <w:p w14:paraId="2037E1AE" w14:textId="77777777" w:rsidR="007E7377" w:rsidRPr="007669E1" w:rsidRDefault="007E7377" w:rsidP="00E90BA7">
      <w:pPr>
        <w:spacing w:before="20" w:after="20" w:line="240" w:lineRule="auto"/>
        <w:jc w:val="both"/>
        <w:rPr>
          <w:rFonts w:ascii="Segoe UI" w:eastAsia="Century Gothic" w:hAnsi="Segoe UI" w:cs="Segoe UI"/>
          <w:b/>
          <w:caps/>
          <w:color w:val="009CDE"/>
          <w:sz w:val="18"/>
          <w:szCs w:val="18"/>
        </w:rPr>
      </w:pPr>
      <w:r w:rsidRPr="007669E1">
        <w:rPr>
          <w:rFonts w:ascii="Segoe UI" w:hAnsi="Segoe UI" w:cs="Segoe UI"/>
          <w:sz w:val="18"/>
          <w:szCs w:val="18"/>
        </w:rPr>
        <w:br w:type="page"/>
      </w:r>
    </w:p>
    <w:p w14:paraId="1AD994B3" w14:textId="77777777" w:rsidR="007E7377" w:rsidRPr="007669E1" w:rsidRDefault="007E7377" w:rsidP="00E90BA7">
      <w:pPr>
        <w:pStyle w:val="Heading2"/>
        <w:spacing w:before="20" w:after="20" w:line="240" w:lineRule="auto"/>
        <w:jc w:val="both"/>
        <w:rPr>
          <w:rFonts w:ascii="Segoe UI" w:hAnsi="Segoe UI" w:cs="Segoe UI"/>
          <w:sz w:val="18"/>
          <w:szCs w:val="18"/>
        </w:rPr>
      </w:pPr>
      <w:bookmarkStart w:id="56" w:name="_Toc126555846"/>
      <w:r w:rsidRPr="007669E1">
        <w:rPr>
          <w:rFonts w:ascii="Segoe UI" w:hAnsi="Segoe UI" w:cs="Segoe UI"/>
          <w:sz w:val="18"/>
          <w:szCs w:val="18"/>
        </w:rPr>
        <w:lastRenderedPageBreak/>
        <w:t>Appendix 6:</w:t>
      </w:r>
      <w:r w:rsidRPr="007669E1">
        <w:rPr>
          <w:rFonts w:ascii="Segoe UI" w:hAnsi="Segoe UI" w:cs="Segoe UI"/>
          <w:sz w:val="18"/>
          <w:szCs w:val="18"/>
        </w:rPr>
        <w:tab/>
        <w:t>Import duties—Tax Expenditures Summary Sheets</w:t>
      </w:r>
      <w:bookmarkEnd w:id="56"/>
    </w:p>
    <w:p w14:paraId="282A4B41"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13A62" w14:paraId="02096C12" w14:textId="77777777" w:rsidTr="001D5220">
        <w:tc>
          <w:tcPr>
            <w:tcW w:w="9625" w:type="dxa"/>
            <w:gridSpan w:val="7"/>
            <w:shd w:val="clear" w:color="auto" w:fill="D9D9D9" w:themeFill="background1" w:themeFillShade="D9"/>
          </w:tcPr>
          <w:p w14:paraId="7995C73D"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1. Exemption for goods imported for personal use or consumption</w:t>
            </w:r>
          </w:p>
        </w:tc>
      </w:tr>
      <w:tr w:rsidR="00C943A7" w:rsidRPr="007669E1" w14:paraId="15E4E2B1" w14:textId="77777777" w:rsidTr="001D5220">
        <w:tc>
          <w:tcPr>
            <w:tcW w:w="2425" w:type="dxa"/>
          </w:tcPr>
          <w:p w14:paraId="3E839A3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Description</w:t>
            </w:r>
          </w:p>
        </w:tc>
        <w:tc>
          <w:tcPr>
            <w:tcW w:w="7200" w:type="dxa"/>
            <w:gridSpan w:val="6"/>
          </w:tcPr>
          <w:p w14:paraId="59C0529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natural persons for non-commercial purposes and whose value or quantity does not exceed the prescribed limits (EUR 300 for goods imported by land transport, EUR 430 for goods imported by air or sea transport, EUR 200 for goods imported by international mail) are not subject to import duties. The exemption for goods imported by international mail has not been continued under the new Customs Code.</w:t>
            </w:r>
          </w:p>
          <w:p w14:paraId="422CC86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In addition, import duties are not charged on certain goods imported by travelers, including objects of personal use, alcoholic and tobacco products up to prescribed limits, and fuel contained in the tank of a vehicle.</w:t>
            </w:r>
          </w:p>
          <w:p w14:paraId="4B1068E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are not charged on occasional cargo lots shipped directly to a resident of Moldova when the intrinsic value of the goods does not exceed EUR 150 per cargo lot. This exemption does not apply to alcohol and tobacco products, perfumes and eau de toilette.</w:t>
            </w:r>
          </w:p>
          <w:p w14:paraId="4F94AE0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are also not charged on non-commercial goods received by a natural person from another natural person, provided the value of those goods do not exceed EUR 150. Limits also apply to the shipments of alcohol and tobacco products and perfumes and eau de toilette.</w:t>
            </w:r>
          </w:p>
        </w:tc>
      </w:tr>
      <w:tr w:rsidR="00C943A7" w:rsidRPr="007669E1" w14:paraId="53101D62" w14:textId="77777777" w:rsidTr="001D5220">
        <w:tc>
          <w:tcPr>
            <w:tcW w:w="2425" w:type="dxa"/>
          </w:tcPr>
          <w:p w14:paraId="08D950DC"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Tax Affected</w:t>
            </w:r>
          </w:p>
        </w:tc>
        <w:tc>
          <w:tcPr>
            <w:tcW w:w="7200" w:type="dxa"/>
            <w:gridSpan w:val="6"/>
          </w:tcPr>
          <w:p w14:paraId="13FFB00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8C276E3" w14:textId="77777777" w:rsidTr="001D5220">
        <w:tc>
          <w:tcPr>
            <w:tcW w:w="2425" w:type="dxa"/>
          </w:tcPr>
          <w:p w14:paraId="2C441E95"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Beneficiaries</w:t>
            </w:r>
          </w:p>
        </w:tc>
        <w:tc>
          <w:tcPr>
            <w:tcW w:w="7200" w:type="dxa"/>
            <w:gridSpan w:val="6"/>
          </w:tcPr>
          <w:p w14:paraId="4C55F5C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w:t>
            </w:r>
          </w:p>
        </w:tc>
      </w:tr>
      <w:tr w:rsidR="00C943A7" w:rsidRPr="007669E1" w14:paraId="60705A89" w14:textId="77777777" w:rsidTr="001D5220">
        <w:tc>
          <w:tcPr>
            <w:tcW w:w="2425" w:type="dxa"/>
          </w:tcPr>
          <w:p w14:paraId="7757A0A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Measure</w:t>
            </w:r>
          </w:p>
        </w:tc>
        <w:tc>
          <w:tcPr>
            <w:tcW w:w="7200" w:type="dxa"/>
            <w:gridSpan w:val="6"/>
          </w:tcPr>
          <w:p w14:paraId="77BB1DB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90EDAD6" w14:textId="77777777" w:rsidTr="001D5220">
        <w:tc>
          <w:tcPr>
            <w:tcW w:w="2425" w:type="dxa"/>
          </w:tcPr>
          <w:p w14:paraId="514E1E3F"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Reason why this Measure is not part of the Benchmark Tax System</w:t>
            </w:r>
          </w:p>
        </w:tc>
        <w:tc>
          <w:tcPr>
            <w:tcW w:w="7200" w:type="dxa"/>
            <w:gridSpan w:val="6"/>
          </w:tcPr>
          <w:p w14:paraId="3CEB46F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A16D849" w14:textId="77777777" w:rsidTr="001D5220">
        <w:tc>
          <w:tcPr>
            <w:tcW w:w="2425" w:type="dxa"/>
          </w:tcPr>
          <w:p w14:paraId="39EDFA71"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Legal Reference</w:t>
            </w:r>
          </w:p>
        </w:tc>
        <w:tc>
          <w:tcPr>
            <w:tcW w:w="7200" w:type="dxa"/>
            <w:gridSpan w:val="6"/>
          </w:tcPr>
          <w:p w14:paraId="79AD8B7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219 to 232 and 272 to 274</w:t>
            </w:r>
          </w:p>
          <w:p w14:paraId="11CBC9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articles 28 h) and h</w:t>
            </w:r>
            <w:r w:rsidRPr="007669E1">
              <w:rPr>
                <w:rFonts w:ascii="Segoe UI" w:hAnsi="Segoe UI" w:cs="Segoe UI"/>
                <w:sz w:val="18"/>
                <w:szCs w:val="18"/>
                <w:vertAlign w:val="superscript"/>
              </w:rPr>
              <w:t>1</w:t>
            </w:r>
            <w:r w:rsidRPr="007669E1">
              <w:rPr>
                <w:rFonts w:ascii="Segoe UI" w:hAnsi="Segoe UI" w:cs="Segoe UI"/>
                <w:sz w:val="18"/>
                <w:szCs w:val="18"/>
              </w:rPr>
              <w:t>)</w:t>
            </w:r>
          </w:p>
          <w:p w14:paraId="51F0486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Law no. 1569/2002 on the manner of introduction and removal of goods by natural persons, article 5(1) a), b), d) and d</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775D17F2" w14:textId="77777777" w:rsidTr="001D5220">
        <w:trPr>
          <w:trHeight w:val="182"/>
        </w:trPr>
        <w:tc>
          <w:tcPr>
            <w:tcW w:w="2425" w:type="dxa"/>
            <w:vMerge w:val="restart"/>
          </w:tcPr>
          <w:p w14:paraId="297430D4"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Implementation Objectives, and History</w:t>
            </w:r>
          </w:p>
        </w:tc>
        <w:tc>
          <w:tcPr>
            <w:tcW w:w="7200" w:type="dxa"/>
            <w:gridSpan w:val="6"/>
          </w:tcPr>
          <w:p w14:paraId="6981F35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measures are intended to simplify the administration of the tax system.</w:t>
            </w:r>
          </w:p>
          <w:p w14:paraId="3961C8B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special treatment of shipments by international mail was introduced into Law No. 1569/2002 by Law No. 122 of 16 August 2019.</w:t>
            </w:r>
          </w:p>
        </w:tc>
      </w:tr>
      <w:tr w:rsidR="00C943A7" w:rsidRPr="007669E1" w14:paraId="5CE65CD6" w14:textId="77777777" w:rsidTr="001D5220">
        <w:trPr>
          <w:trHeight w:val="182"/>
        </w:trPr>
        <w:tc>
          <w:tcPr>
            <w:tcW w:w="2425" w:type="dxa"/>
            <w:vMerge/>
          </w:tcPr>
          <w:p w14:paraId="496CA376" w14:textId="77777777" w:rsidR="007E7377" w:rsidRPr="00E13A62" w:rsidRDefault="007E7377" w:rsidP="00E90BA7">
            <w:pPr>
              <w:spacing w:before="20" w:after="20" w:line="240" w:lineRule="auto"/>
              <w:jc w:val="both"/>
              <w:rPr>
                <w:rFonts w:ascii="Segoe UI" w:hAnsi="Segoe UI" w:cs="Segoe UI"/>
                <w:b/>
                <w:bCs/>
                <w:sz w:val="18"/>
                <w:szCs w:val="18"/>
              </w:rPr>
            </w:pPr>
          </w:p>
        </w:tc>
        <w:tc>
          <w:tcPr>
            <w:tcW w:w="3462" w:type="dxa"/>
            <w:gridSpan w:val="3"/>
          </w:tcPr>
          <w:p w14:paraId="67C7CC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6EF7E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4AD27EE" w14:textId="77777777" w:rsidTr="001D5220">
        <w:tc>
          <w:tcPr>
            <w:tcW w:w="2425" w:type="dxa"/>
          </w:tcPr>
          <w:p w14:paraId="0C8463DF"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Source of Data</w:t>
            </w:r>
          </w:p>
        </w:tc>
        <w:tc>
          <w:tcPr>
            <w:tcW w:w="7200" w:type="dxa"/>
            <w:gridSpan w:val="6"/>
          </w:tcPr>
          <w:p w14:paraId="4DF82B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1FB529A" w14:textId="77777777" w:rsidTr="001D5220">
        <w:tc>
          <w:tcPr>
            <w:tcW w:w="2425" w:type="dxa"/>
          </w:tcPr>
          <w:p w14:paraId="41E1BAC4"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Estimation Method</w:t>
            </w:r>
          </w:p>
        </w:tc>
        <w:tc>
          <w:tcPr>
            <w:tcW w:w="7200" w:type="dxa"/>
            <w:gridSpan w:val="6"/>
          </w:tcPr>
          <w:p w14:paraId="0BC6BAD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07BC7FB" w14:textId="77777777" w:rsidTr="001D5220">
        <w:tc>
          <w:tcPr>
            <w:tcW w:w="2425" w:type="dxa"/>
          </w:tcPr>
          <w:p w14:paraId="019CBF2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Number of Beneficiaries</w:t>
            </w:r>
          </w:p>
        </w:tc>
        <w:tc>
          <w:tcPr>
            <w:tcW w:w="7200" w:type="dxa"/>
            <w:gridSpan w:val="6"/>
          </w:tcPr>
          <w:p w14:paraId="755D1F0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1CF6FF8" w14:textId="77777777" w:rsidTr="001D5220">
        <w:tc>
          <w:tcPr>
            <w:tcW w:w="2425" w:type="dxa"/>
          </w:tcPr>
          <w:p w14:paraId="77B39A0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Revenue Cost Reporting</w:t>
            </w:r>
          </w:p>
        </w:tc>
        <w:tc>
          <w:tcPr>
            <w:tcW w:w="7200" w:type="dxa"/>
            <w:gridSpan w:val="6"/>
          </w:tcPr>
          <w:p w14:paraId="402836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6FDF341" w14:textId="77777777" w:rsidTr="001D5220">
        <w:trPr>
          <w:trHeight w:val="91"/>
        </w:trPr>
        <w:tc>
          <w:tcPr>
            <w:tcW w:w="2425" w:type="dxa"/>
            <w:vMerge w:val="restart"/>
          </w:tcPr>
          <w:p w14:paraId="6E07697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D64E08E"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2018</w:t>
            </w:r>
          </w:p>
        </w:tc>
        <w:tc>
          <w:tcPr>
            <w:tcW w:w="1385" w:type="dxa"/>
          </w:tcPr>
          <w:p w14:paraId="12076C9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2019</w:t>
            </w:r>
          </w:p>
        </w:tc>
        <w:tc>
          <w:tcPr>
            <w:tcW w:w="1385" w:type="dxa"/>
            <w:gridSpan w:val="2"/>
          </w:tcPr>
          <w:p w14:paraId="41DDE83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2020</w:t>
            </w:r>
          </w:p>
        </w:tc>
        <w:tc>
          <w:tcPr>
            <w:tcW w:w="1385" w:type="dxa"/>
          </w:tcPr>
          <w:p w14:paraId="7922A6D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2021</w:t>
            </w:r>
          </w:p>
        </w:tc>
        <w:tc>
          <w:tcPr>
            <w:tcW w:w="1660" w:type="dxa"/>
          </w:tcPr>
          <w:p w14:paraId="4167D25C"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2022</w:t>
            </w:r>
          </w:p>
        </w:tc>
      </w:tr>
      <w:tr w:rsidR="00775F01" w:rsidRPr="007669E1" w14:paraId="5A625AD3" w14:textId="77777777" w:rsidTr="001D5220">
        <w:trPr>
          <w:trHeight w:val="305"/>
        </w:trPr>
        <w:tc>
          <w:tcPr>
            <w:tcW w:w="2425" w:type="dxa"/>
            <w:vMerge/>
          </w:tcPr>
          <w:p w14:paraId="1769EAA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55C64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549146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643C44E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772CB88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09B0B02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A433343"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13A62" w14:paraId="0B205504" w14:textId="77777777" w:rsidTr="001D5220">
        <w:tc>
          <w:tcPr>
            <w:tcW w:w="9625" w:type="dxa"/>
            <w:gridSpan w:val="7"/>
            <w:shd w:val="clear" w:color="auto" w:fill="D9D9D9" w:themeFill="background1" w:themeFillShade="D9"/>
          </w:tcPr>
          <w:p w14:paraId="4F12465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 Exemption from import duties for personal goods inherited or imported upon establishing residence in Moldova</w:t>
            </w:r>
          </w:p>
        </w:tc>
      </w:tr>
      <w:tr w:rsidR="00C943A7" w:rsidRPr="007669E1" w14:paraId="271F67B5" w14:textId="77777777" w:rsidTr="001D5220">
        <w:tc>
          <w:tcPr>
            <w:tcW w:w="2425" w:type="dxa"/>
          </w:tcPr>
          <w:p w14:paraId="726A27C8"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Description</w:t>
            </w:r>
          </w:p>
        </w:tc>
        <w:tc>
          <w:tcPr>
            <w:tcW w:w="7200" w:type="dxa"/>
            <w:gridSpan w:val="6"/>
          </w:tcPr>
          <w:p w14:paraId="6D851FBC"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are not charged on personal goods that are inherited or imported when establishing residence in Moldova or coming to Moldova to study. The exemption does not extend to alcoholic and tobacco products, nor to goods used in the exercise of a trade or profession. Goods inherited by legal persons that are non-profit organizations are also exempt.</w:t>
            </w:r>
          </w:p>
        </w:tc>
      </w:tr>
      <w:tr w:rsidR="00C943A7" w:rsidRPr="007669E1" w14:paraId="26AC3E0E" w14:textId="77777777" w:rsidTr="001D5220">
        <w:tc>
          <w:tcPr>
            <w:tcW w:w="2425" w:type="dxa"/>
          </w:tcPr>
          <w:p w14:paraId="7ADA60B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Tax Affected</w:t>
            </w:r>
          </w:p>
        </w:tc>
        <w:tc>
          <w:tcPr>
            <w:tcW w:w="7200" w:type="dxa"/>
            <w:gridSpan w:val="6"/>
          </w:tcPr>
          <w:p w14:paraId="26BC73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448DBEFE" w14:textId="77777777" w:rsidTr="001D5220">
        <w:tc>
          <w:tcPr>
            <w:tcW w:w="2425" w:type="dxa"/>
          </w:tcPr>
          <w:p w14:paraId="38D567C4"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lastRenderedPageBreak/>
              <w:t>Beneficiaries</w:t>
            </w:r>
          </w:p>
        </w:tc>
        <w:tc>
          <w:tcPr>
            <w:tcW w:w="7200" w:type="dxa"/>
            <w:gridSpan w:val="6"/>
          </w:tcPr>
          <w:p w14:paraId="6DFAAB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non-profit organizations</w:t>
            </w:r>
          </w:p>
        </w:tc>
      </w:tr>
      <w:tr w:rsidR="00C943A7" w:rsidRPr="007669E1" w14:paraId="5A671AD7" w14:textId="77777777" w:rsidTr="001D5220">
        <w:tc>
          <w:tcPr>
            <w:tcW w:w="2425" w:type="dxa"/>
          </w:tcPr>
          <w:p w14:paraId="0CE501CD"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Measure</w:t>
            </w:r>
          </w:p>
        </w:tc>
        <w:tc>
          <w:tcPr>
            <w:tcW w:w="7200" w:type="dxa"/>
            <w:gridSpan w:val="6"/>
          </w:tcPr>
          <w:p w14:paraId="4882BBB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C9F39C6" w14:textId="77777777" w:rsidTr="001D5220">
        <w:tc>
          <w:tcPr>
            <w:tcW w:w="2425" w:type="dxa"/>
          </w:tcPr>
          <w:p w14:paraId="407D8405"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Reason why this Measure is not part of the Benchmark Tax System</w:t>
            </w:r>
          </w:p>
        </w:tc>
        <w:tc>
          <w:tcPr>
            <w:tcW w:w="7200" w:type="dxa"/>
            <w:gridSpan w:val="6"/>
          </w:tcPr>
          <w:p w14:paraId="2A3E8C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6063B0D" w14:textId="77777777" w:rsidTr="001D5220">
        <w:tc>
          <w:tcPr>
            <w:tcW w:w="2425" w:type="dxa"/>
          </w:tcPr>
          <w:p w14:paraId="43782F88"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Legal Reference</w:t>
            </w:r>
          </w:p>
        </w:tc>
        <w:tc>
          <w:tcPr>
            <w:tcW w:w="7200" w:type="dxa"/>
            <w:gridSpan w:val="6"/>
          </w:tcPr>
          <w:p w14:paraId="74C43C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199 to 218</w:t>
            </w:r>
          </w:p>
          <w:p w14:paraId="275716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Law no. 1569/2002 on the manner of introduction and removal of goods by natural persons, article 5(1) c)</w:t>
            </w:r>
          </w:p>
          <w:p w14:paraId="53184B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Combined Nomenclature of Goods, article 7 under "general rules concerning the application of customs duty"</w:t>
            </w:r>
          </w:p>
        </w:tc>
      </w:tr>
      <w:tr w:rsidR="00C943A7" w:rsidRPr="007669E1" w14:paraId="77E14F77" w14:textId="77777777" w:rsidTr="001D5220">
        <w:trPr>
          <w:trHeight w:val="182"/>
        </w:trPr>
        <w:tc>
          <w:tcPr>
            <w:tcW w:w="2425" w:type="dxa"/>
            <w:vMerge w:val="restart"/>
          </w:tcPr>
          <w:p w14:paraId="18143F5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Implementation Objectives, and History</w:t>
            </w:r>
          </w:p>
        </w:tc>
        <w:tc>
          <w:tcPr>
            <w:tcW w:w="7200" w:type="dxa"/>
            <w:gridSpan w:val="6"/>
          </w:tcPr>
          <w:p w14:paraId="5BCD8E8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help individuals move to Moldova.</w:t>
            </w:r>
          </w:p>
        </w:tc>
      </w:tr>
      <w:tr w:rsidR="00C943A7" w:rsidRPr="007669E1" w14:paraId="0E9C34F7" w14:textId="77777777" w:rsidTr="001D5220">
        <w:trPr>
          <w:trHeight w:val="182"/>
        </w:trPr>
        <w:tc>
          <w:tcPr>
            <w:tcW w:w="2425" w:type="dxa"/>
            <w:vMerge/>
          </w:tcPr>
          <w:p w14:paraId="19B28F8E" w14:textId="77777777" w:rsidR="007E7377" w:rsidRPr="00E13A62" w:rsidRDefault="007E7377" w:rsidP="00E90BA7">
            <w:pPr>
              <w:spacing w:before="20" w:after="20" w:line="240" w:lineRule="auto"/>
              <w:jc w:val="both"/>
              <w:rPr>
                <w:rFonts w:ascii="Segoe UI" w:hAnsi="Segoe UI" w:cs="Segoe UI"/>
                <w:b/>
                <w:bCs/>
                <w:sz w:val="18"/>
                <w:szCs w:val="18"/>
              </w:rPr>
            </w:pPr>
          </w:p>
        </w:tc>
        <w:tc>
          <w:tcPr>
            <w:tcW w:w="3462" w:type="dxa"/>
            <w:gridSpan w:val="3"/>
          </w:tcPr>
          <w:p w14:paraId="7239EFD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33B3AA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6DFFFFA" w14:textId="77777777" w:rsidTr="001D5220">
        <w:tc>
          <w:tcPr>
            <w:tcW w:w="2425" w:type="dxa"/>
          </w:tcPr>
          <w:p w14:paraId="19A8A686"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Source of Data</w:t>
            </w:r>
          </w:p>
        </w:tc>
        <w:tc>
          <w:tcPr>
            <w:tcW w:w="7200" w:type="dxa"/>
            <w:gridSpan w:val="6"/>
          </w:tcPr>
          <w:p w14:paraId="76091E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7C607F2" w14:textId="77777777" w:rsidTr="001D5220">
        <w:tc>
          <w:tcPr>
            <w:tcW w:w="2425" w:type="dxa"/>
          </w:tcPr>
          <w:p w14:paraId="6A6BFA4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Estimation Method</w:t>
            </w:r>
          </w:p>
        </w:tc>
        <w:tc>
          <w:tcPr>
            <w:tcW w:w="7200" w:type="dxa"/>
            <w:gridSpan w:val="6"/>
          </w:tcPr>
          <w:p w14:paraId="4B6C60A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341A43B" w14:textId="77777777" w:rsidTr="001D5220">
        <w:tc>
          <w:tcPr>
            <w:tcW w:w="2425" w:type="dxa"/>
          </w:tcPr>
          <w:p w14:paraId="232B97BF"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Number of Beneficiaries</w:t>
            </w:r>
          </w:p>
        </w:tc>
        <w:tc>
          <w:tcPr>
            <w:tcW w:w="7200" w:type="dxa"/>
            <w:gridSpan w:val="6"/>
          </w:tcPr>
          <w:p w14:paraId="5A6943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E3597EA" w14:textId="77777777" w:rsidTr="001D5220">
        <w:tc>
          <w:tcPr>
            <w:tcW w:w="2425" w:type="dxa"/>
          </w:tcPr>
          <w:p w14:paraId="5846315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Revenue Cost Reporting</w:t>
            </w:r>
          </w:p>
        </w:tc>
        <w:tc>
          <w:tcPr>
            <w:tcW w:w="7200" w:type="dxa"/>
            <w:gridSpan w:val="6"/>
          </w:tcPr>
          <w:p w14:paraId="17DFC28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B14679D" w14:textId="77777777" w:rsidTr="001D5220">
        <w:trPr>
          <w:trHeight w:val="91"/>
        </w:trPr>
        <w:tc>
          <w:tcPr>
            <w:tcW w:w="2425" w:type="dxa"/>
            <w:vMerge w:val="restart"/>
          </w:tcPr>
          <w:p w14:paraId="6911F00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0323ED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2018</w:t>
            </w:r>
          </w:p>
        </w:tc>
        <w:tc>
          <w:tcPr>
            <w:tcW w:w="1385" w:type="dxa"/>
          </w:tcPr>
          <w:p w14:paraId="52A1B97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2019</w:t>
            </w:r>
          </w:p>
        </w:tc>
        <w:tc>
          <w:tcPr>
            <w:tcW w:w="1385" w:type="dxa"/>
            <w:gridSpan w:val="2"/>
          </w:tcPr>
          <w:p w14:paraId="2153D6EE"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2020</w:t>
            </w:r>
          </w:p>
        </w:tc>
        <w:tc>
          <w:tcPr>
            <w:tcW w:w="1385" w:type="dxa"/>
          </w:tcPr>
          <w:p w14:paraId="286928C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2021</w:t>
            </w:r>
          </w:p>
        </w:tc>
        <w:tc>
          <w:tcPr>
            <w:tcW w:w="1660" w:type="dxa"/>
          </w:tcPr>
          <w:p w14:paraId="654D21BE"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2022</w:t>
            </w:r>
          </w:p>
        </w:tc>
      </w:tr>
      <w:tr w:rsidR="00775F01" w:rsidRPr="007669E1" w14:paraId="5D2BEE07" w14:textId="77777777" w:rsidTr="001D5220">
        <w:trPr>
          <w:trHeight w:val="305"/>
        </w:trPr>
        <w:tc>
          <w:tcPr>
            <w:tcW w:w="2425" w:type="dxa"/>
            <w:vMerge/>
          </w:tcPr>
          <w:p w14:paraId="38D7D9F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BD189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409DC3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7F561D1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25A709F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143555D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79576E3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13A62" w14:paraId="7734E1CB" w14:textId="77777777" w:rsidTr="001D5220">
        <w:tc>
          <w:tcPr>
            <w:tcW w:w="9625" w:type="dxa"/>
            <w:gridSpan w:val="7"/>
            <w:shd w:val="clear" w:color="auto" w:fill="D9D9D9" w:themeFill="background1" w:themeFillShade="D9"/>
          </w:tcPr>
          <w:p w14:paraId="2A2C0E7F"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3. Exemptions for duty-free shops</w:t>
            </w:r>
          </w:p>
        </w:tc>
      </w:tr>
      <w:tr w:rsidR="00C943A7" w:rsidRPr="007669E1" w14:paraId="56C86734" w14:textId="77777777" w:rsidTr="001D5220">
        <w:tc>
          <w:tcPr>
            <w:tcW w:w="2425" w:type="dxa"/>
          </w:tcPr>
          <w:p w14:paraId="42C729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Description</w:t>
            </w:r>
          </w:p>
        </w:tc>
        <w:tc>
          <w:tcPr>
            <w:tcW w:w="7200" w:type="dxa"/>
            <w:gridSpan w:val="6"/>
          </w:tcPr>
          <w:p w14:paraId="6D9A62AD"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delivered to, and sold by, duty-free shops were exempt from import duties.</w:t>
            </w:r>
          </w:p>
        </w:tc>
      </w:tr>
      <w:tr w:rsidR="00C943A7" w:rsidRPr="007669E1" w14:paraId="002CB477" w14:textId="77777777" w:rsidTr="001D5220">
        <w:tc>
          <w:tcPr>
            <w:tcW w:w="2425" w:type="dxa"/>
          </w:tcPr>
          <w:p w14:paraId="612C268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Tax Affected</w:t>
            </w:r>
          </w:p>
        </w:tc>
        <w:tc>
          <w:tcPr>
            <w:tcW w:w="7200" w:type="dxa"/>
            <w:gridSpan w:val="6"/>
          </w:tcPr>
          <w:p w14:paraId="75CE234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4283C4F6" w14:textId="77777777" w:rsidTr="001D5220">
        <w:tc>
          <w:tcPr>
            <w:tcW w:w="2425" w:type="dxa"/>
          </w:tcPr>
          <w:p w14:paraId="4E13DFF8"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Beneficiaries</w:t>
            </w:r>
          </w:p>
        </w:tc>
        <w:tc>
          <w:tcPr>
            <w:tcW w:w="7200" w:type="dxa"/>
            <w:gridSpan w:val="6"/>
          </w:tcPr>
          <w:p w14:paraId="6B84036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 travelers</w:t>
            </w:r>
          </w:p>
        </w:tc>
      </w:tr>
      <w:tr w:rsidR="00C943A7" w:rsidRPr="007669E1" w14:paraId="7343274C" w14:textId="77777777" w:rsidTr="001D5220">
        <w:tc>
          <w:tcPr>
            <w:tcW w:w="2425" w:type="dxa"/>
          </w:tcPr>
          <w:p w14:paraId="5427E7E9"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Type of Measure</w:t>
            </w:r>
          </w:p>
        </w:tc>
        <w:tc>
          <w:tcPr>
            <w:tcW w:w="7200" w:type="dxa"/>
            <w:gridSpan w:val="6"/>
          </w:tcPr>
          <w:p w14:paraId="19F8A7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87E2142" w14:textId="77777777" w:rsidTr="001D5220">
        <w:tc>
          <w:tcPr>
            <w:tcW w:w="2425" w:type="dxa"/>
          </w:tcPr>
          <w:p w14:paraId="724772B6"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Reason why this Measure is not part of the Benchmark Tax System</w:t>
            </w:r>
          </w:p>
        </w:tc>
        <w:tc>
          <w:tcPr>
            <w:tcW w:w="7200" w:type="dxa"/>
            <w:gridSpan w:val="6"/>
          </w:tcPr>
          <w:p w14:paraId="3A08A3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D61F999" w14:textId="77777777" w:rsidTr="001D5220">
        <w:tc>
          <w:tcPr>
            <w:tcW w:w="2425" w:type="dxa"/>
          </w:tcPr>
          <w:p w14:paraId="19CEE98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Legal Reference</w:t>
            </w:r>
          </w:p>
        </w:tc>
        <w:tc>
          <w:tcPr>
            <w:tcW w:w="7200" w:type="dxa"/>
            <w:gridSpan w:val="6"/>
          </w:tcPr>
          <w:p w14:paraId="31E0852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k)</w:t>
            </w:r>
          </w:p>
        </w:tc>
      </w:tr>
      <w:tr w:rsidR="00C943A7" w:rsidRPr="007669E1" w14:paraId="5BAE53B2" w14:textId="77777777" w:rsidTr="001D5220">
        <w:trPr>
          <w:trHeight w:val="182"/>
        </w:trPr>
        <w:tc>
          <w:tcPr>
            <w:tcW w:w="2425" w:type="dxa"/>
            <w:vMerge w:val="restart"/>
          </w:tcPr>
          <w:p w14:paraId="02B12BCB"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Implementation Objectives, and History</w:t>
            </w:r>
          </w:p>
        </w:tc>
        <w:tc>
          <w:tcPr>
            <w:tcW w:w="7200" w:type="dxa"/>
            <w:gridSpan w:val="6"/>
          </w:tcPr>
          <w:p w14:paraId="61E9A9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intended to facilitate the administration of the tax system.</w:t>
            </w:r>
          </w:p>
          <w:p w14:paraId="5C1CE5F2" w14:textId="2F22105C"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This measure was repealed by Law no. 302 of 03-11-2022, effective </w:t>
            </w:r>
            <w:r w:rsidR="15DE8F8B" w:rsidRPr="007669E1">
              <w:rPr>
                <w:rFonts w:ascii="Segoe UI" w:hAnsi="Segoe UI" w:cs="Segoe UI"/>
                <w:sz w:val="18"/>
                <w:szCs w:val="18"/>
              </w:rPr>
              <w:t>December</w:t>
            </w:r>
            <w:r w:rsidRPr="007669E1">
              <w:rPr>
                <w:rFonts w:ascii="Segoe UI" w:hAnsi="Segoe UI" w:cs="Segoe UI"/>
                <w:sz w:val="18"/>
                <w:szCs w:val="18"/>
              </w:rPr>
              <w:t xml:space="preserve"> 11, 2022.</w:t>
            </w:r>
          </w:p>
        </w:tc>
      </w:tr>
      <w:tr w:rsidR="00C943A7" w:rsidRPr="007669E1" w14:paraId="2169C7C5" w14:textId="77777777" w:rsidTr="001D5220">
        <w:trPr>
          <w:trHeight w:val="182"/>
        </w:trPr>
        <w:tc>
          <w:tcPr>
            <w:tcW w:w="2425" w:type="dxa"/>
            <w:vMerge/>
          </w:tcPr>
          <w:p w14:paraId="49CDCB40" w14:textId="77777777" w:rsidR="007E7377" w:rsidRPr="00E13A62" w:rsidRDefault="007E7377" w:rsidP="00E90BA7">
            <w:pPr>
              <w:spacing w:before="20" w:after="20" w:line="240" w:lineRule="auto"/>
              <w:jc w:val="both"/>
              <w:rPr>
                <w:rFonts w:ascii="Segoe UI" w:hAnsi="Segoe UI" w:cs="Segoe UI"/>
                <w:b/>
                <w:bCs/>
                <w:sz w:val="18"/>
                <w:szCs w:val="18"/>
              </w:rPr>
            </w:pPr>
          </w:p>
        </w:tc>
        <w:tc>
          <w:tcPr>
            <w:tcW w:w="3462" w:type="dxa"/>
            <w:gridSpan w:val="3"/>
          </w:tcPr>
          <w:p w14:paraId="76FB2C31" w14:textId="30EB3E3E"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1BB1E6E3" w:rsidRPr="007669E1">
              <w:rPr>
                <w:rFonts w:ascii="Segoe UI" w:hAnsi="Segoe UI" w:cs="Segoe UI"/>
                <w:sz w:val="18"/>
                <w:szCs w:val="18"/>
              </w:rPr>
              <w:t xml:space="preserve"> 2007</w:t>
            </w:r>
          </w:p>
        </w:tc>
        <w:tc>
          <w:tcPr>
            <w:tcW w:w="3738" w:type="dxa"/>
            <w:gridSpan w:val="3"/>
          </w:tcPr>
          <w:p w14:paraId="1CDB3AC1" w14:textId="43AA60E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w:t>
            </w:r>
            <w:r w:rsidR="486CF0A6" w:rsidRPr="007669E1">
              <w:rPr>
                <w:rFonts w:ascii="Segoe UI" w:hAnsi="Segoe UI" w:cs="Segoe UI"/>
                <w:sz w:val="18"/>
                <w:szCs w:val="18"/>
              </w:rPr>
              <w:t>3</w:t>
            </w:r>
            <w:r w:rsidRPr="007669E1">
              <w:rPr>
                <w:rFonts w:ascii="Segoe UI" w:hAnsi="Segoe UI" w:cs="Segoe UI"/>
                <w:sz w:val="18"/>
                <w:szCs w:val="18"/>
              </w:rPr>
              <w:t>/</w:t>
            </w:r>
            <w:r w:rsidR="3AF44132" w:rsidRPr="007669E1">
              <w:rPr>
                <w:rFonts w:ascii="Segoe UI" w:hAnsi="Segoe UI" w:cs="Segoe UI"/>
                <w:sz w:val="18"/>
                <w:szCs w:val="18"/>
              </w:rPr>
              <w:t>09</w:t>
            </w:r>
            <w:r w:rsidRPr="007669E1">
              <w:rPr>
                <w:rFonts w:ascii="Segoe UI" w:hAnsi="Segoe UI" w:cs="Segoe UI"/>
                <w:sz w:val="18"/>
                <w:szCs w:val="18"/>
              </w:rPr>
              <w:t>/</w:t>
            </w:r>
            <w:r w:rsidR="49FE6E5B" w:rsidRPr="007669E1">
              <w:rPr>
                <w:rFonts w:ascii="Segoe UI" w:hAnsi="Segoe UI" w:cs="Segoe UI"/>
                <w:sz w:val="18"/>
                <w:szCs w:val="18"/>
              </w:rPr>
              <w:t>03</w:t>
            </w:r>
          </w:p>
        </w:tc>
      </w:tr>
      <w:tr w:rsidR="00C943A7" w:rsidRPr="007669E1" w14:paraId="53AD67A4" w14:textId="77777777" w:rsidTr="001D5220">
        <w:tc>
          <w:tcPr>
            <w:tcW w:w="2425" w:type="dxa"/>
          </w:tcPr>
          <w:p w14:paraId="7221993E"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Source of Data</w:t>
            </w:r>
          </w:p>
        </w:tc>
        <w:tc>
          <w:tcPr>
            <w:tcW w:w="7200" w:type="dxa"/>
            <w:gridSpan w:val="6"/>
          </w:tcPr>
          <w:p w14:paraId="0E00E71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3A2D8DEA" w14:textId="77777777" w:rsidTr="001D5220">
        <w:tc>
          <w:tcPr>
            <w:tcW w:w="2425" w:type="dxa"/>
          </w:tcPr>
          <w:p w14:paraId="3E6DF112"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Estimation Method</w:t>
            </w:r>
          </w:p>
        </w:tc>
        <w:tc>
          <w:tcPr>
            <w:tcW w:w="7200" w:type="dxa"/>
            <w:gridSpan w:val="6"/>
          </w:tcPr>
          <w:p w14:paraId="1AC607F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taxable base for this measure does not include purchases made by non-residents in duty-free shops.</w:t>
            </w:r>
          </w:p>
        </w:tc>
      </w:tr>
      <w:tr w:rsidR="00C943A7" w:rsidRPr="007669E1" w14:paraId="2321E049" w14:textId="77777777" w:rsidTr="001D5220">
        <w:tc>
          <w:tcPr>
            <w:tcW w:w="2425" w:type="dxa"/>
          </w:tcPr>
          <w:p w14:paraId="00AA2068"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Number of Beneficiaries</w:t>
            </w:r>
          </w:p>
        </w:tc>
        <w:tc>
          <w:tcPr>
            <w:tcW w:w="7200" w:type="dxa"/>
            <w:gridSpan w:val="6"/>
          </w:tcPr>
          <w:p w14:paraId="19A9D3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088F976" w14:textId="77777777" w:rsidTr="001D5220">
        <w:tc>
          <w:tcPr>
            <w:tcW w:w="2425" w:type="dxa"/>
          </w:tcPr>
          <w:p w14:paraId="65A61903"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Revenue Cost Reporting</w:t>
            </w:r>
          </w:p>
        </w:tc>
        <w:tc>
          <w:tcPr>
            <w:tcW w:w="7200" w:type="dxa"/>
            <w:gridSpan w:val="6"/>
          </w:tcPr>
          <w:p w14:paraId="301A6B0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C443106" w14:textId="77777777" w:rsidTr="001D5220">
        <w:trPr>
          <w:trHeight w:val="91"/>
        </w:trPr>
        <w:tc>
          <w:tcPr>
            <w:tcW w:w="2425" w:type="dxa"/>
            <w:vMerge w:val="restart"/>
          </w:tcPr>
          <w:p w14:paraId="21D6D86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A385AD5"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2018</w:t>
            </w:r>
          </w:p>
        </w:tc>
        <w:tc>
          <w:tcPr>
            <w:tcW w:w="1385" w:type="dxa"/>
          </w:tcPr>
          <w:p w14:paraId="6F016EF0"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2019</w:t>
            </w:r>
          </w:p>
        </w:tc>
        <w:tc>
          <w:tcPr>
            <w:tcW w:w="1385" w:type="dxa"/>
            <w:gridSpan w:val="2"/>
          </w:tcPr>
          <w:p w14:paraId="2509CF58"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2020</w:t>
            </w:r>
          </w:p>
        </w:tc>
        <w:tc>
          <w:tcPr>
            <w:tcW w:w="1385" w:type="dxa"/>
          </w:tcPr>
          <w:p w14:paraId="04643B03"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2021</w:t>
            </w:r>
          </w:p>
        </w:tc>
        <w:tc>
          <w:tcPr>
            <w:tcW w:w="1660" w:type="dxa"/>
          </w:tcPr>
          <w:p w14:paraId="1438A5FA"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2022</w:t>
            </w:r>
          </w:p>
        </w:tc>
      </w:tr>
      <w:tr w:rsidR="00A2051E" w:rsidRPr="007669E1" w14:paraId="49B4C257" w14:textId="77777777" w:rsidTr="001D5220">
        <w:trPr>
          <w:trHeight w:val="305"/>
        </w:trPr>
        <w:tc>
          <w:tcPr>
            <w:tcW w:w="2425" w:type="dxa"/>
            <w:vMerge/>
          </w:tcPr>
          <w:p w14:paraId="3F199EC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4ED0B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10,193.3</w:t>
            </w:r>
          </w:p>
        </w:tc>
        <w:tc>
          <w:tcPr>
            <w:tcW w:w="1385" w:type="dxa"/>
            <w:shd w:val="clear" w:color="auto" w:fill="auto"/>
          </w:tcPr>
          <w:p w14:paraId="24EBFEE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10,695.8</w:t>
            </w:r>
          </w:p>
        </w:tc>
        <w:tc>
          <w:tcPr>
            <w:tcW w:w="1385" w:type="dxa"/>
            <w:gridSpan w:val="2"/>
            <w:shd w:val="clear" w:color="auto" w:fill="auto"/>
          </w:tcPr>
          <w:p w14:paraId="0C9E24C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3,146.1</w:t>
            </w:r>
          </w:p>
        </w:tc>
        <w:tc>
          <w:tcPr>
            <w:tcW w:w="1385" w:type="dxa"/>
            <w:shd w:val="clear" w:color="auto" w:fill="auto"/>
          </w:tcPr>
          <w:p w14:paraId="29F4D5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2,831.3</w:t>
            </w:r>
          </w:p>
        </w:tc>
        <w:tc>
          <w:tcPr>
            <w:tcW w:w="1660" w:type="dxa"/>
            <w:shd w:val="clear" w:color="auto" w:fill="BFBFBF" w:themeFill="background1" w:themeFillShade="BF"/>
          </w:tcPr>
          <w:p w14:paraId="30A51F7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5,557.7</w:t>
            </w:r>
          </w:p>
        </w:tc>
      </w:tr>
    </w:tbl>
    <w:p w14:paraId="36906098"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13A62" w14:paraId="4BC674CA" w14:textId="77777777" w:rsidTr="001D5220">
        <w:tc>
          <w:tcPr>
            <w:tcW w:w="9625" w:type="dxa"/>
            <w:gridSpan w:val="7"/>
            <w:shd w:val="clear" w:color="auto" w:fill="D9D9D9" w:themeFill="background1" w:themeFillShade="D9"/>
          </w:tcPr>
          <w:p w14:paraId="5BD66AA7" w14:textId="77777777" w:rsidR="007E7377" w:rsidRPr="00E13A62" w:rsidRDefault="007E7377" w:rsidP="00E90BA7">
            <w:pPr>
              <w:spacing w:before="20" w:after="20" w:line="240" w:lineRule="auto"/>
              <w:jc w:val="both"/>
              <w:rPr>
                <w:rFonts w:ascii="Segoe UI" w:hAnsi="Segoe UI" w:cs="Segoe UI"/>
                <w:b/>
                <w:bCs/>
                <w:sz w:val="18"/>
                <w:szCs w:val="18"/>
              </w:rPr>
            </w:pPr>
            <w:r w:rsidRPr="00E13A62">
              <w:rPr>
                <w:rFonts w:ascii="Segoe UI" w:hAnsi="Segoe UI" w:cs="Segoe UI"/>
                <w:b/>
                <w:bCs/>
                <w:sz w:val="18"/>
                <w:szCs w:val="18"/>
              </w:rPr>
              <w:t>4. Exemption from import duties for honorary decorations and awards</w:t>
            </w:r>
          </w:p>
        </w:tc>
      </w:tr>
      <w:tr w:rsidR="00C943A7" w:rsidRPr="007669E1" w14:paraId="3BE5299D" w14:textId="77777777" w:rsidTr="001D5220">
        <w:tc>
          <w:tcPr>
            <w:tcW w:w="2425" w:type="dxa"/>
          </w:tcPr>
          <w:p w14:paraId="177B4758"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Description</w:t>
            </w:r>
          </w:p>
        </w:tc>
        <w:tc>
          <w:tcPr>
            <w:tcW w:w="7200" w:type="dxa"/>
            <w:gridSpan w:val="6"/>
          </w:tcPr>
          <w:p w14:paraId="6F6CCC4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Certain honorary decorations and non-commercial awards conferred abroad to residents of Moldova are exempt from import duties.</w:t>
            </w:r>
          </w:p>
        </w:tc>
      </w:tr>
      <w:tr w:rsidR="00C943A7" w:rsidRPr="007669E1" w14:paraId="578D6CA1" w14:textId="77777777" w:rsidTr="001D5220">
        <w:tc>
          <w:tcPr>
            <w:tcW w:w="2425" w:type="dxa"/>
          </w:tcPr>
          <w:p w14:paraId="617A4EDD"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Type of Tax Affected</w:t>
            </w:r>
          </w:p>
        </w:tc>
        <w:tc>
          <w:tcPr>
            <w:tcW w:w="7200" w:type="dxa"/>
            <w:gridSpan w:val="6"/>
          </w:tcPr>
          <w:p w14:paraId="2C3064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50E8227" w14:textId="77777777" w:rsidTr="001D5220">
        <w:tc>
          <w:tcPr>
            <w:tcW w:w="2425" w:type="dxa"/>
          </w:tcPr>
          <w:p w14:paraId="678D314E"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Beneficiaries</w:t>
            </w:r>
          </w:p>
        </w:tc>
        <w:tc>
          <w:tcPr>
            <w:tcW w:w="7200" w:type="dxa"/>
            <w:gridSpan w:val="6"/>
          </w:tcPr>
          <w:p w14:paraId="2EA96ED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granted foreign awards</w:t>
            </w:r>
          </w:p>
        </w:tc>
      </w:tr>
      <w:tr w:rsidR="00C943A7" w:rsidRPr="007669E1" w14:paraId="3D516E0A" w14:textId="77777777" w:rsidTr="001D5220">
        <w:tc>
          <w:tcPr>
            <w:tcW w:w="2425" w:type="dxa"/>
          </w:tcPr>
          <w:p w14:paraId="08A3EDA9"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Type of Measure</w:t>
            </w:r>
          </w:p>
        </w:tc>
        <w:tc>
          <w:tcPr>
            <w:tcW w:w="7200" w:type="dxa"/>
            <w:gridSpan w:val="6"/>
          </w:tcPr>
          <w:p w14:paraId="13E1178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294AADF" w14:textId="77777777" w:rsidTr="001D5220">
        <w:tc>
          <w:tcPr>
            <w:tcW w:w="2425" w:type="dxa"/>
          </w:tcPr>
          <w:p w14:paraId="77F74C19"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lastRenderedPageBreak/>
              <w:t>Reason why this Measure is not part of the Benchmark Tax System</w:t>
            </w:r>
          </w:p>
        </w:tc>
        <w:tc>
          <w:tcPr>
            <w:tcW w:w="7200" w:type="dxa"/>
            <w:gridSpan w:val="6"/>
          </w:tcPr>
          <w:p w14:paraId="652F4C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23DF184" w14:textId="77777777" w:rsidTr="001D5220">
        <w:tc>
          <w:tcPr>
            <w:tcW w:w="2425" w:type="dxa"/>
          </w:tcPr>
          <w:p w14:paraId="7C6C17B5"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Legal Reference</w:t>
            </w:r>
          </w:p>
        </w:tc>
        <w:tc>
          <w:tcPr>
            <w:tcW w:w="7200" w:type="dxa"/>
            <w:gridSpan w:val="6"/>
          </w:tcPr>
          <w:p w14:paraId="59D66DC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250</w:t>
            </w:r>
          </w:p>
        </w:tc>
      </w:tr>
      <w:tr w:rsidR="00C943A7" w:rsidRPr="007669E1" w14:paraId="13136D88" w14:textId="77777777" w:rsidTr="001D5220">
        <w:trPr>
          <w:trHeight w:val="182"/>
        </w:trPr>
        <w:tc>
          <w:tcPr>
            <w:tcW w:w="2425" w:type="dxa"/>
            <w:vMerge w:val="restart"/>
          </w:tcPr>
          <w:p w14:paraId="6D670B59"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Implementation Objectives, and History</w:t>
            </w:r>
          </w:p>
        </w:tc>
        <w:tc>
          <w:tcPr>
            <w:tcW w:w="7200" w:type="dxa"/>
            <w:gridSpan w:val="6"/>
          </w:tcPr>
          <w:p w14:paraId="252B50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recognizes the non-commercial nature of such awards.</w:t>
            </w:r>
          </w:p>
          <w:p w14:paraId="09BF830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2BCD2B14" w14:textId="77777777" w:rsidTr="001D5220">
        <w:trPr>
          <w:trHeight w:val="182"/>
        </w:trPr>
        <w:tc>
          <w:tcPr>
            <w:tcW w:w="2425" w:type="dxa"/>
            <w:vMerge/>
          </w:tcPr>
          <w:p w14:paraId="6B5DABC8" w14:textId="77777777" w:rsidR="007E7377" w:rsidRPr="00165E97" w:rsidRDefault="007E7377" w:rsidP="00E90BA7">
            <w:pPr>
              <w:spacing w:before="20" w:after="20" w:line="240" w:lineRule="auto"/>
              <w:jc w:val="both"/>
              <w:rPr>
                <w:rFonts w:ascii="Segoe UI" w:hAnsi="Segoe UI" w:cs="Segoe UI"/>
                <w:b/>
                <w:bCs/>
                <w:sz w:val="18"/>
                <w:szCs w:val="18"/>
              </w:rPr>
            </w:pPr>
          </w:p>
        </w:tc>
        <w:tc>
          <w:tcPr>
            <w:tcW w:w="3462" w:type="dxa"/>
            <w:gridSpan w:val="3"/>
          </w:tcPr>
          <w:p w14:paraId="03940C6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61AC58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AA74DBB" w14:textId="77777777" w:rsidTr="001D5220">
        <w:tc>
          <w:tcPr>
            <w:tcW w:w="2425" w:type="dxa"/>
          </w:tcPr>
          <w:p w14:paraId="78FA77A7"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Source of Data</w:t>
            </w:r>
          </w:p>
        </w:tc>
        <w:tc>
          <w:tcPr>
            <w:tcW w:w="7200" w:type="dxa"/>
            <w:gridSpan w:val="6"/>
          </w:tcPr>
          <w:p w14:paraId="3BCD364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8656891" w14:textId="77777777" w:rsidTr="001D5220">
        <w:tc>
          <w:tcPr>
            <w:tcW w:w="2425" w:type="dxa"/>
          </w:tcPr>
          <w:p w14:paraId="0F5DCAEA"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Estimation Method</w:t>
            </w:r>
          </w:p>
        </w:tc>
        <w:tc>
          <w:tcPr>
            <w:tcW w:w="7200" w:type="dxa"/>
            <w:gridSpan w:val="6"/>
          </w:tcPr>
          <w:p w14:paraId="1C3E2D8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D1CB29E" w14:textId="77777777" w:rsidTr="001D5220">
        <w:tc>
          <w:tcPr>
            <w:tcW w:w="2425" w:type="dxa"/>
          </w:tcPr>
          <w:p w14:paraId="056931F6"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Number of Beneficiaries</w:t>
            </w:r>
          </w:p>
        </w:tc>
        <w:tc>
          <w:tcPr>
            <w:tcW w:w="7200" w:type="dxa"/>
            <w:gridSpan w:val="6"/>
          </w:tcPr>
          <w:p w14:paraId="2FAE4F1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2AB185A" w14:textId="77777777" w:rsidTr="001D5220">
        <w:tc>
          <w:tcPr>
            <w:tcW w:w="2425" w:type="dxa"/>
          </w:tcPr>
          <w:p w14:paraId="60FD3701"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Revenue Cost Reporting</w:t>
            </w:r>
          </w:p>
        </w:tc>
        <w:tc>
          <w:tcPr>
            <w:tcW w:w="7200" w:type="dxa"/>
            <w:gridSpan w:val="6"/>
          </w:tcPr>
          <w:p w14:paraId="6D3418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823B607" w14:textId="77777777" w:rsidTr="001D5220">
        <w:trPr>
          <w:trHeight w:val="91"/>
        </w:trPr>
        <w:tc>
          <w:tcPr>
            <w:tcW w:w="2425" w:type="dxa"/>
            <w:vMerge w:val="restart"/>
          </w:tcPr>
          <w:p w14:paraId="78D1F98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A5F93A8"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2018</w:t>
            </w:r>
          </w:p>
        </w:tc>
        <w:tc>
          <w:tcPr>
            <w:tcW w:w="1385" w:type="dxa"/>
          </w:tcPr>
          <w:p w14:paraId="2FB06122"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2019</w:t>
            </w:r>
          </w:p>
        </w:tc>
        <w:tc>
          <w:tcPr>
            <w:tcW w:w="1385" w:type="dxa"/>
            <w:gridSpan w:val="2"/>
          </w:tcPr>
          <w:p w14:paraId="1C8B2BAC"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2020</w:t>
            </w:r>
          </w:p>
        </w:tc>
        <w:tc>
          <w:tcPr>
            <w:tcW w:w="1385" w:type="dxa"/>
          </w:tcPr>
          <w:p w14:paraId="2217228E"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2021</w:t>
            </w:r>
          </w:p>
        </w:tc>
        <w:tc>
          <w:tcPr>
            <w:tcW w:w="1660" w:type="dxa"/>
          </w:tcPr>
          <w:p w14:paraId="6C95567C"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2022</w:t>
            </w:r>
          </w:p>
        </w:tc>
      </w:tr>
      <w:tr w:rsidR="00775F01" w:rsidRPr="007669E1" w14:paraId="60D16594" w14:textId="77777777" w:rsidTr="001D5220">
        <w:trPr>
          <w:trHeight w:val="305"/>
        </w:trPr>
        <w:tc>
          <w:tcPr>
            <w:tcW w:w="2425" w:type="dxa"/>
            <w:vMerge/>
          </w:tcPr>
          <w:p w14:paraId="4D0B026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A6938A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71AE96A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1D6BC3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600714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4A05EFE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C32D7D9"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65E97" w14:paraId="0F4969FC" w14:textId="77777777" w:rsidTr="001D5220">
        <w:tc>
          <w:tcPr>
            <w:tcW w:w="9625" w:type="dxa"/>
            <w:gridSpan w:val="7"/>
            <w:shd w:val="clear" w:color="auto" w:fill="D9D9D9" w:themeFill="background1" w:themeFillShade="D9"/>
          </w:tcPr>
          <w:p w14:paraId="258F8E0E"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5. Exemption from import duties for funerary goods</w:t>
            </w:r>
          </w:p>
        </w:tc>
      </w:tr>
      <w:tr w:rsidR="00C943A7" w:rsidRPr="007669E1" w14:paraId="3ACFAC7D" w14:textId="77777777" w:rsidTr="001D5220">
        <w:tc>
          <w:tcPr>
            <w:tcW w:w="2425" w:type="dxa"/>
          </w:tcPr>
          <w:p w14:paraId="0E73932F"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Description</w:t>
            </w:r>
          </w:p>
        </w:tc>
        <w:tc>
          <w:tcPr>
            <w:tcW w:w="7200" w:type="dxa"/>
            <w:gridSpan w:val="6"/>
          </w:tcPr>
          <w:p w14:paraId="02E2331E" w14:textId="0180CF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Goods imported by designated organizations and used for the construction, maintenance or decoration of cemeteries or graves and monuments of war victims from foreign countries who are buried in Moldova are exempt from </w:t>
            </w:r>
            <w:r w:rsidR="11B7284F" w:rsidRPr="007669E1">
              <w:rPr>
                <w:rFonts w:ascii="Segoe UI" w:hAnsi="Segoe UI" w:cs="Segoe UI"/>
                <w:sz w:val="18"/>
                <w:szCs w:val="18"/>
              </w:rPr>
              <w:t xml:space="preserve">import </w:t>
            </w:r>
            <w:r w:rsidRPr="007669E1">
              <w:rPr>
                <w:rFonts w:ascii="Segoe UI" w:hAnsi="Segoe UI" w:cs="Segoe UI"/>
                <w:sz w:val="18"/>
                <w:szCs w:val="18"/>
              </w:rPr>
              <w:t>duties. Remains of individuals who died abroad, along with flowers, funeral wreaths and other usual decorative objects accompanying them, are also exempt from import duties</w:t>
            </w:r>
            <w:r w:rsidR="2E410173" w:rsidRPr="007669E1">
              <w:rPr>
                <w:rFonts w:ascii="Segoe UI" w:hAnsi="Segoe UI" w:cs="Segoe UI"/>
                <w:sz w:val="18"/>
                <w:szCs w:val="18"/>
              </w:rPr>
              <w:t>.</w:t>
            </w:r>
          </w:p>
        </w:tc>
      </w:tr>
      <w:tr w:rsidR="00C943A7" w:rsidRPr="007669E1" w14:paraId="5B5B6FE5" w14:textId="77777777" w:rsidTr="001D5220">
        <w:tc>
          <w:tcPr>
            <w:tcW w:w="2425" w:type="dxa"/>
          </w:tcPr>
          <w:p w14:paraId="4C18FFCB"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Type of Tax Affected</w:t>
            </w:r>
          </w:p>
        </w:tc>
        <w:tc>
          <w:tcPr>
            <w:tcW w:w="7200" w:type="dxa"/>
            <w:gridSpan w:val="6"/>
          </w:tcPr>
          <w:p w14:paraId="7619EB0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ED1B83A" w14:textId="77777777" w:rsidTr="001D5220">
        <w:tc>
          <w:tcPr>
            <w:tcW w:w="2425" w:type="dxa"/>
          </w:tcPr>
          <w:p w14:paraId="5DE08F1D"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Beneficiaries</w:t>
            </w:r>
          </w:p>
        </w:tc>
        <w:tc>
          <w:tcPr>
            <w:tcW w:w="7200" w:type="dxa"/>
            <w:gridSpan w:val="6"/>
          </w:tcPr>
          <w:p w14:paraId="0ADF2D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Mourning individuals</w:t>
            </w:r>
          </w:p>
        </w:tc>
      </w:tr>
      <w:tr w:rsidR="00C943A7" w:rsidRPr="007669E1" w14:paraId="4F421914" w14:textId="77777777" w:rsidTr="001D5220">
        <w:tc>
          <w:tcPr>
            <w:tcW w:w="2425" w:type="dxa"/>
          </w:tcPr>
          <w:p w14:paraId="3E955FFD"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Type of Measure</w:t>
            </w:r>
          </w:p>
        </w:tc>
        <w:tc>
          <w:tcPr>
            <w:tcW w:w="7200" w:type="dxa"/>
            <w:gridSpan w:val="6"/>
          </w:tcPr>
          <w:p w14:paraId="03903B5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E15715C" w14:textId="77777777" w:rsidTr="001D5220">
        <w:tc>
          <w:tcPr>
            <w:tcW w:w="2425" w:type="dxa"/>
          </w:tcPr>
          <w:p w14:paraId="35C8FA3E"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Reason why this Measure is not part of the Benchmark Tax System</w:t>
            </w:r>
          </w:p>
        </w:tc>
        <w:tc>
          <w:tcPr>
            <w:tcW w:w="7200" w:type="dxa"/>
            <w:gridSpan w:val="6"/>
          </w:tcPr>
          <w:p w14:paraId="7A34FE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792F8E3" w14:textId="77777777" w:rsidTr="001D5220">
        <w:tc>
          <w:tcPr>
            <w:tcW w:w="2425" w:type="dxa"/>
          </w:tcPr>
          <w:p w14:paraId="77AABB0C"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Legal Reference</w:t>
            </w:r>
          </w:p>
        </w:tc>
        <w:tc>
          <w:tcPr>
            <w:tcW w:w="7200" w:type="dxa"/>
            <w:gridSpan w:val="6"/>
          </w:tcPr>
          <w:p w14:paraId="6BD6B9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275 and 276</w:t>
            </w:r>
          </w:p>
        </w:tc>
      </w:tr>
      <w:tr w:rsidR="00C943A7" w:rsidRPr="007669E1" w14:paraId="4DBDC3F8" w14:textId="77777777" w:rsidTr="001D5220">
        <w:trPr>
          <w:trHeight w:val="182"/>
        </w:trPr>
        <w:tc>
          <w:tcPr>
            <w:tcW w:w="2425" w:type="dxa"/>
            <w:vMerge w:val="restart"/>
          </w:tcPr>
          <w:p w14:paraId="4C62E1EC"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Implementation Objectives, and History</w:t>
            </w:r>
          </w:p>
        </w:tc>
        <w:tc>
          <w:tcPr>
            <w:tcW w:w="7200" w:type="dxa"/>
            <w:gridSpan w:val="6"/>
          </w:tcPr>
          <w:p w14:paraId="0882033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mourning individuals.</w:t>
            </w:r>
          </w:p>
          <w:p w14:paraId="7EC103D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C68B8B9" w14:textId="77777777" w:rsidTr="001D5220">
        <w:trPr>
          <w:trHeight w:val="182"/>
        </w:trPr>
        <w:tc>
          <w:tcPr>
            <w:tcW w:w="2425" w:type="dxa"/>
            <w:vMerge/>
          </w:tcPr>
          <w:p w14:paraId="0413F204" w14:textId="77777777" w:rsidR="007E7377" w:rsidRPr="00165E97" w:rsidRDefault="007E7377" w:rsidP="00E90BA7">
            <w:pPr>
              <w:spacing w:before="20" w:after="20" w:line="240" w:lineRule="auto"/>
              <w:jc w:val="both"/>
              <w:rPr>
                <w:rFonts w:ascii="Segoe UI" w:hAnsi="Segoe UI" w:cs="Segoe UI"/>
                <w:b/>
                <w:bCs/>
                <w:sz w:val="18"/>
                <w:szCs w:val="18"/>
              </w:rPr>
            </w:pPr>
          </w:p>
        </w:tc>
        <w:tc>
          <w:tcPr>
            <w:tcW w:w="3462" w:type="dxa"/>
            <w:gridSpan w:val="3"/>
          </w:tcPr>
          <w:p w14:paraId="0C382C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62164BD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AC7C928" w14:textId="77777777" w:rsidTr="001D5220">
        <w:tc>
          <w:tcPr>
            <w:tcW w:w="2425" w:type="dxa"/>
          </w:tcPr>
          <w:p w14:paraId="28835279"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Source of Data</w:t>
            </w:r>
          </w:p>
        </w:tc>
        <w:tc>
          <w:tcPr>
            <w:tcW w:w="7200" w:type="dxa"/>
            <w:gridSpan w:val="6"/>
          </w:tcPr>
          <w:p w14:paraId="50FFA77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CC525CD" w14:textId="77777777" w:rsidTr="001D5220">
        <w:tc>
          <w:tcPr>
            <w:tcW w:w="2425" w:type="dxa"/>
          </w:tcPr>
          <w:p w14:paraId="5D7CF053"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Estimation Method</w:t>
            </w:r>
          </w:p>
        </w:tc>
        <w:tc>
          <w:tcPr>
            <w:tcW w:w="7200" w:type="dxa"/>
            <w:gridSpan w:val="6"/>
          </w:tcPr>
          <w:p w14:paraId="1D1C967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F2BA928" w14:textId="77777777" w:rsidTr="001D5220">
        <w:tc>
          <w:tcPr>
            <w:tcW w:w="2425" w:type="dxa"/>
          </w:tcPr>
          <w:p w14:paraId="624809C1"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Number of Beneficiaries</w:t>
            </w:r>
          </w:p>
        </w:tc>
        <w:tc>
          <w:tcPr>
            <w:tcW w:w="7200" w:type="dxa"/>
            <w:gridSpan w:val="6"/>
          </w:tcPr>
          <w:p w14:paraId="00AB1AB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788E39B" w14:textId="77777777" w:rsidTr="001D5220">
        <w:tc>
          <w:tcPr>
            <w:tcW w:w="2425" w:type="dxa"/>
          </w:tcPr>
          <w:p w14:paraId="0905277F"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Revenue Cost Reporting</w:t>
            </w:r>
          </w:p>
        </w:tc>
        <w:tc>
          <w:tcPr>
            <w:tcW w:w="7200" w:type="dxa"/>
            <w:gridSpan w:val="6"/>
          </w:tcPr>
          <w:p w14:paraId="25C8E86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C42D050" w14:textId="77777777" w:rsidTr="001D5220">
        <w:trPr>
          <w:trHeight w:val="91"/>
        </w:trPr>
        <w:tc>
          <w:tcPr>
            <w:tcW w:w="2425" w:type="dxa"/>
            <w:vMerge w:val="restart"/>
          </w:tcPr>
          <w:p w14:paraId="4990748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5D2E988"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2018</w:t>
            </w:r>
          </w:p>
        </w:tc>
        <w:tc>
          <w:tcPr>
            <w:tcW w:w="1385" w:type="dxa"/>
          </w:tcPr>
          <w:p w14:paraId="4755F0BB"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2019</w:t>
            </w:r>
          </w:p>
        </w:tc>
        <w:tc>
          <w:tcPr>
            <w:tcW w:w="1385" w:type="dxa"/>
            <w:gridSpan w:val="2"/>
          </w:tcPr>
          <w:p w14:paraId="4701061B"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2020</w:t>
            </w:r>
          </w:p>
        </w:tc>
        <w:tc>
          <w:tcPr>
            <w:tcW w:w="1385" w:type="dxa"/>
          </w:tcPr>
          <w:p w14:paraId="0D54214A"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2021</w:t>
            </w:r>
          </w:p>
        </w:tc>
        <w:tc>
          <w:tcPr>
            <w:tcW w:w="1660" w:type="dxa"/>
          </w:tcPr>
          <w:p w14:paraId="6F8DC170"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2022</w:t>
            </w:r>
          </w:p>
        </w:tc>
      </w:tr>
      <w:tr w:rsidR="00775F01" w:rsidRPr="007669E1" w14:paraId="1FD09B69" w14:textId="77777777" w:rsidTr="001D5220">
        <w:trPr>
          <w:trHeight w:val="305"/>
        </w:trPr>
        <w:tc>
          <w:tcPr>
            <w:tcW w:w="2425" w:type="dxa"/>
            <w:vMerge/>
          </w:tcPr>
          <w:p w14:paraId="1A3E52D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3FC203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A6E088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A4ABFC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0ABCB6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49A6D1E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0E6DFF7"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65E97" w14:paraId="09C2AC10" w14:textId="77777777" w:rsidTr="001D5220">
        <w:tc>
          <w:tcPr>
            <w:tcW w:w="9625" w:type="dxa"/>
            <w:gridSpan w:val="7"/>
            <w:shd w:val="clear" w:color="auto" w:fill="D9D9D9" w:themeFill="background1" w:themeFillShade="D9"/>
          </w:tcPr>
          <w:p w14:paraId="542AD1E2"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6. Exemption from import duties for objects of cult</w:t>
            </w:r>
          </w:p>
        </w:tc>
      </w:tr>
      <w:tr w:rsidR="00C943A7" w:rsidRPr="007669E1" w14:paraId="0FCB7F93" w14:textId="77777777" w:rsidTr="001D5220">
        <w:tc>
          <w:tcPr>
            <w:tcW w:w="2425" w:type="dxa"/>
          </w:tcPr>
          <w:p w14:paraId="0C4F96F1"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Description</w:t>
            </w:r>
          </w:p>
        </w:tc>
        <w:tc>
          <w:tcPr>
            <w:tcW w:w="7200" w:type="dxa"/>
            <w:gridSpan w:val="6"/>
          </w:tcPr>
          <w:p w14:paraId="645E46B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Objects of cult are exempt from import duties.</w:t>
            </w:r>
          </w:p>
        </w:tc>
      </w:tr>
      <w:tr w:rsidR="00C943A7" w:rsidRPr="007669E1" w14:paraId="2FC14275" w14:textId="77777777" w:rsidTr="001D5220">
        <w:tc>
          <w:tcPr>
            <w:tcW w:w="2425" w:type="dxa"/>
          </w:tcPr>
          <w:p w14:paraId="0CE9DA82"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Type of Tax Affected</w:t>
            </w:r>
          </w:p>
        </w:tc>
        <w:tc>
          <w:tcPr>
            <w:tcW w:w="7200" w:type="dxa"/>
            <w:gridSpan w:val="6"/>
          </w:tcPr>
          <w:p w14:paraId="027078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4A364FD0" w14:textId="77777777" w:rsidTr="001D5220">
        <w:tc>
          <w:tcPr>
            <w:tcW w:w="2425" w:type="dxa"/>
          </w:tcPr>
          <w:p w14:paraId="241F3FE0"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Beneficiaries</w:t>
            </w:r>
          </w:p>
        </w:tc>
        <w:tc>
          <w:tcPr>
            <w:tcW w:w="7200" w:type="dxa"/>
            <w:gridSpan w:val="6"/>
          </w:tcPr>
          <w:p w14:paraId="5DE235C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Religious organizations</w:t>
            </w:r>
          </w:p>
        </w:tc>
      </w:tr>
      <w:tr w:rsidR="00C943A7" w:rsidRPr="007669E1" w14:paraId="6D1C084E" w14:textId="77777777" w:rsidTr="001D5220">
        <w:tc>
          <w:tcPr>
            <w:tcW w:w="2425" w:type="dxa"/>
          </w:tcPr>
          <w:p w14:paraId="20A0B8B4"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Type of Measure</w:t>
            </w:r>
          </w:p>
        </w:tc>
        <w:tc>
          <w:tcPr>
            <w:tcW w:w="7200" w:type="dxa"/>
            <w:gridSpan w:val="6"/>
          </w:tcPr>
          <w:p w14:paraId="50DA989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82D5BFD" w14:textId="77777777" w:rsidTr="001D5220">
        <w:tc>
          <w:tcPr>
            <w:tcW w:w="2425" w:type="dxa"/>
          </w:tcPr>
          <w:p w14:paraId="67778E6C"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Reason why this Measure is not part of the Benchmark Tax System</w:t>
            </w:r>
          </w:p>
        </w:tc>
        <w:tc>
          <w:tcPr>
            <w:tcW w:w="7200" w:type="dxa"/>
            <w:gridSpan w:val="6"/>
          </w:tcPr>
          <w:p w14:paraId="709FA94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185102C" w14:textId="77777777" w:rsidTr="001D5220">
        <w:tc>
          <w:tcPr>
            <w:tcW w:w="2425" w:type="dxa"/>
          </w:tcPr>
          <w:p w14:paraId="3F2EBB12"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Legal Reference</w:t>
            </w:r>
          </w:p>
        </w:tc>
        <w:tc>
          <w:tcPr>
            <w:tcW w:w="7200" w:type="dxa"/>
            <w:gridSpan w:val="6"/>
          </w:tcPr>
          <w:p w14:paraId="7ECB8A4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z</w:t>
            </w:r>
            <w:r w:rsidRPr="007669E1">
              <w:rPr>
                <w:rFonts w:ascii="Segoe UI" w:hAnsi="Segoe UI" w:cs="Segoe UI"/>
                <w:sz w:val="18"/>
                <w:szCs w:val="18"/>
                <w:vertAlign w:val="superscript"/>
              </w:rPr>
              <w:t>3</w:t>
            </w:r>
            <w:r w:rsidRPr="007669E1">
              <w:rPr>
                <w:rFonts w:ascii="Segoe UI" w:hAnsi="Segoe UI" w:cs="Segoe UI"/>
                <w:sz w:val="18"/>
                <w:szCs w:val="18"/>
              </w:rPr>
              <w:t>)</w:t>
            </w:r>
          </w:p>
        </w:tc>
      </w:tr>
      <w:tr w:rsidR="00C943A7" w:rsidRPr="007669E1" w14:paraId="4D05E436" w14:textId="77777777" w:rsidTr="001D5220">
        <w:trPr>
          <w:trHeight w:val="182"/>
        </w:trPr>
        <w:tc>
          <w:tcPr>
            <w:tcW w:w="2425" w:type="dxa"/>
            <w:vMerge w:val="restart"/>
          </w:tcPr>
          <w:p w14:paraId="48CA595A"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lastRenderedPageBreak/>
              <w:t>Implementation Objectives, and History</w:t>
            </w:r>
          </w:p>
        </w:tc>
        <w:tc>
          <w:tcPr>
            <w:tcW w:w="7200" w:type="dxa"/>
            <w:gridSpan w:val="6"/>
          </w:tcPr>
          <w:p w14:paraId="15D2A4B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6B24764B" w14:textId="77777777" w:rsidTr="001D5220">
        <w:trPr>
          <w:trHeight w:val="182"/>
        </w:trPr>
        <w:tc>
          <w:tcPr>
            <w:tcW w:w="2425" w:type="dxa"/>
            <w:vMerge/>
          </w:tcPr>
          <w:p w14:paraId="7610BC63" w14:textId="77777777" w:rsidR="007E7377" w:rsidRPr="00165E97" w:rsidRDefault="007E7377" w:rsidP="00E90BA7">
            <w:pPr>
              <w:spacing w:before="20" w:after="20" w:line="240" w:lineRule="auto"/>
              <w:jc w:val="both"/>
              <w:rPr>
                <w:rFonts w:ascii="Segoe UI" w:hAnsi="Segoe UI" w:cs="Segoe UI"/>
                <w:b/>
                <w:bCs/>
                <w:sz w:val="18"/>
                <w:szCs w:val="18"/>
              </w:rPr>
            </w:pPr>
          </w:p>
        </w:tc>
        <w:tc>
          <w:tcPr>
            <w:tcW w:w="3462" w:type="dxa"/>
            <w:gridSpan w:val="3"/>
          </w:tcPr>
          <w:p w14:paraId="7B181AD2" w14:textId="030AF9F4"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3010B5FA" w:rsidRPr="007669E1">
              <w:rPr>
                <w:rFonts w:ascii="Segoe UI" w:hAnsi="Segoe UI" w:cs="Segoe UI"/>
                <w:sz w:val="18"/>
                <w:szCs w:val="18"/>
              </w:rPr>
              <w:t xml:space="preserve"> 2017</w:t>
            </w:r>
          </w:p>
        </w:tc>
        <w:tc>
          <w:tcPr>
            <w:tcW w:w="3738" w:type="dxa"/>
            <w:gridSpan w:val="3"/>
          </w:tcPr>
          <w:p w14:paraId="66C9EA0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02CCB5A2" w14:textId="77777777" w:rsidTr="001D5220">
        <w:tc>
          <w:tcPr>
            <w:tcW w:w="2425" w:type="dxa"/>
          </w:tcPr>
          <w:p w14:paraId="70DB1454"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Source of Data</w:t>
            </w:r>
          </w:p>
        </w:tc>
        <w:tc>
          <w:tcPr>
            <w:tcW w:w="7200" w:type="dxa"/>
            <w:gridSpan w:val="6"/>
          </w:tcPr>
          <w:p w14:paraId="1FA7C8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40E0658F" w14:textId="77777777" w:rsidTr="001D5220">
        <w:tc>
          <w:tcPr>
            <w:tcW w:w="2425" w:type="dxa"/>
          </w:tcPr>
          <w:p w14:paraId="0260B975"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Estimation Method</w:t>
            </w:r>
          </w:p>
        </w:tc>
        <w:tc>
          <w:tcPr>
            <w:tcW w:w="7200" w:type="dxa"/>
            <w:gridSpan w:val="6"/>
          </w:tcPr>
          <w:p w14:paraId="53B77A6C"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2738BE91" w14:textId="77777777" w:rsidTr="001D5220">
        <w:tc>
          <w:tcPr>
            <w:tcW w:w="2425" w:type="dxa"/>
          </w:tcPr>
          <w:p w14:paraId="7BA4F976"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Number of Beneficiaries</w:t>
            </w:r>
          </w:p>
        </w:tc>
        <w:tc>
          <w:tcPr>
            <w:tcW w:w="7200" w:type="dxa"/>
            <w:gridSpan w:val="6"/>
          </w:tcPr>
          <w:p w14:paraId="03030D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16DC2AB" w14:textId="77777777" w:rsidTr="001D5220">
        <w:tc>
          <w:tcPr>
            <w:tcW w:w="2425" w:type="dxa"/>
          </w:tcPr>
          <w:p w14:paraId="46F3993E"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Revenue Cost Reporting</w:t>
            </w:r>
          </w:p>
        </w:tc>
        <w:tc>
          <w:tcPr>
            <w:tcW w:w="7200" w:type="dxa"/>
            <w:gridSpan w:val="6"/>
          </w:tcPr>
          <w:p w14:paraId="0A4AC4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816B842" w14:textId="77777777" w:rsidTr="001D5220">
        <w:trPr>
          <w:trHeight w:val="91"/>
        </w:trPr>
        <w:tc>
          <w:tcPr>
            <w:tcW w:w="2425" w:type="dxa"/>
            <w:vMerge w:val="restart"/>
          </w:tcPr>
          <w:p w14:paraId="1AD2092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6B67198"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2018</w:t>
            </w:r>
          </w:p>
        </w:tc>
        <w:tc>
          <w:tcPr>
            <w:tcW w:w="1385" w:type="dxa"/>
          </w:tcPr>
          <w:p w14:paraId="203085D3"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2019</w:t>
            </w:r>
          </w:p>
        </w:tc>
        <w:tc>
          <w:tcPr>
            <w:tcW w:w="1385" w:type="dxa"/>
            <w:gridSpan w:val="2"/>
          </w:tcPr>
          <w:p w14:paraId="008AAC93"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2020</w:t>
            </w:r>
          </w:p>
        </w:tc>
        <w:tc>
          <w:tcPr>
            <w:tcW w:w="1385" w:type="dxa"/>
          </w:tcPr>
          <w:p w14:paraId="630B2A5D"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2021</w:t>
            </w:r>
          </w:p>
        </w:tc>
        <w:tc>
          <w:tcPr>
            <w:tcW w:w="1660" w:type="dxa"/>
          </w:tcPr>
          <w:p w14:paraId="3E651D02"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2022</w:t>
            </w:r>
          </w:p>
        </w:tc>
      </w:tr>
      <w:tr w:rsidR="00A2051E" w:rsidRPr="007669E1" w14:paraId="36DDF824" w14:textId="77777777" w:rsidTr="001D5220">
        <w:trPr>
          <w:trHeight w:val="305"/>
        </w:trPr>
        <w:tc>
          <w:tcPr>
            <w:tcW w:w="2425" w:type="dxa"/>
            <w:vMerge/>
          </w:tcPr>
          <w:p w14:paraId="2AA7905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9596E0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76DF48F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6EFE91E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72F4B7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35.6</w:t>
            </w:r>
          </w:p>
        </w:tc>
        <w:tc>
          <w:tcPr>
            <w:tcW w:w="1660" w:type="dxa"/>
            <w:shd w:val="clear" w:color="auto" w:fill="BFBFBF" w:themeFill="background1" w:themeFillShade="BF"/>
          </w:tcPr>
          <w:p w14:paraId="2C6EEF4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0.0</w:t>
            </w:r>
          </w:p>
        </w:tc>
      </w:tr>
    </w:tbl>
    <w:p w14:paraId="7C856141"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65E97" w14:paraId="6DFB5F4B" w14:textId="77777777" w:rsidTr="001D5220">
        <w:tc>
          <w:tcPr>
            <w:tcW w:w="9625" w:type="dxa"/>
            <w:gridSpan w:val="7"/>
            <w:shd w:val="clear" w:color="auto" w:fill="D9D9D9" w:themeFill="background1" w:themeFillShade="D9"/>
          </w:tcPr>
          <w:p w14:paraId="23F0F533" w14:textId="77777777" w:rsidR="007E7377" w:rsidRPr="00165E97" w:rsidRDefault="007E7377" w:rsidP="00E90BA7">
            <w:pPr>
              <w:spacing w:before="20" w:after="20" w:line="240" w:lineRule="auto"/>
              <w:jc w:val="both"/>
              <w:rPr>
                <w:rFonts w:ascii="Segoe UI" w:hAnsi="Segoe UI" w:cs="Segoe UI"/>
                <w:b/>
                <w:bCs/>
                <w:sz w:val="18"/>
                <w:szCs w:val="18"/>
              </w:rPr>
            </w:pPr>
            <w:r w:rsidRPr="00165E97">
              <w:rPr>
                <w:rFonts w:ascii="Segoe UI" w:hAnsi="Segoe UI" w:cs="Segoe UI"/>
                <w:b/>
                <w:bCs/>
                <w:sz w:val="18"/>
                <w:szCs w:val="18"/>
              </w:rPr>
              <w:t>7. Exemption for goods imported by legal persons for non-commercial purposes</w:t>
            </w:r>
          </w:p>
        </w:tc>
      </w:tr>
      <w:tr w:rsidR="00C943A7" w:rsidRPr="007669E1" w14:paraId="5681D164" w14:textId="77777777" w:rsidTr="001D5220">
        <w:tc>
          <w:tcPr>
            <w:tcW w:w="2425" w:type="dxa"/>
          </w:tcPr>
          <w:p w14:paraId="5F83C22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5CBCEAA0"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legal entities for non-commercial purposes are exempt from import duties if the intrinsic value of these goods does not exceed EUR 100. Sampling goods (other than certain alcoholic products, perfumes, eau de toilette and tobacco products) are also exempt from import duties if their intrinsic value does not exceed EUR 22. Goods whose value or quantity exceeds these limits are subject to import duties on their full value or quantity.</w:t>
            </w:r>
          </w:p>
        </w:tc>
      </w:tr>
      <w:tr w:rsidR="00C943A7" w:rsidRPr="007669E1" w14:paraId="1B45450F" w14:textId="77777777" w:rsidTr="001D5220">
        <w:tc>
          <w:tcPr>
            <w:tcW w:w="2425" w:type="dxa"/>
          </w:tcPr>
          <w:p w14:paraId="4D4ADE4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4C3EAB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45BAD3F2" w14:textId="77777777" w:rsidTr="001D5220">
        <w:tc>
          <w:tcPr>
            <w:tcW w:w="2425" w:type="dxa"/>
          </w:tcPr>
          <w:p w14:paraId="4B770CD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31347D6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w:t>
            </w:r>
          </w:p>
        </w:tc>
      </w:tr>
      <w:tr w:rsidR="00C943A7" w:rsidRPr="007669E1" w14:paraId="210BBD49" w14:textId="77777777" w:rsidTr="001D5220">
        <w:tc>
          <w:tcPr>
            <w:tcW w:w="2425" w:type="dxa"/>
          </w:tcPr>
          <w:p w14:paraId="2B61BF5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5FF6FB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2C8066B" w14:textId="77777777" w:rsidTr="001D5220">
        <w:tc>
          <w:tcPr>
            <w:tcW w:w="2425" w:type="dxa"/>
          </w:tcPr>
          <w:p w14:paraId="5A694CC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14B304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082B85D" w14:textId="77777777" w:rsidTr="001D5220">
        <w:tc>
          <w:tcPr>
            <w:tcW w:w="2425" w:type="dxa"/>
          </w:tcPr>
          <w:p w14:paraId="3EAB03F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41C43D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articles 28 q</w:t>
            </w:r>
            <w:r w:rsidRPr="007669E1">
              <w:rPr>
                <w:rFonts w:ascii="Segoe UI" w:hAnsi="Segoe UI" w:cs="Segoe UI"/>
                <w:sz w:val="18"/>
                <w:szCs w:val="18"/>
                <w:vertAlign w:val="superscript"/>
              </w:rPr>
              <w:t>1</w:t>
            </w:r>
            <w:r w:rsidRPr="007669E1">
              <w:rPr>
                <w:rFonts w:ascii="Segoe UI" w:hAnsi="Segoe UI" w:cs="Segoe UI"/>
                <w:sz w:val="18"/>
                <w:szCs w:val="18"/>
              </w:rPr>
              <w:t>) and q</w:t>
            </w:r>
            <w:r w:rsidRPr="007669E1">
              <w:rPr>
                <w:rFonts w:ascii="Segoe UI" w:hAnsi="Segoe UI" w:cs="Segoe UI"/>
                <w:sz w:val="18"/>
                <w:szCs w:val="18"/>
                <w:vertAlign w:val="superscript"/>
              </w:rPr>
              <w:t>3</w:t>
            </w:r>
            <w:r w:rsidRPr="007669E1">
              <w:rPr>
                <w:rFonts w:ascii="Segoe UI" w:hAnsi="Segoe UI" w:cs="Segoe UI"/>
                <w:sz w:val="18"/>
                <w:szCs w:val="18"/>
              </w:rPr>
              <w:t>)</w:t>
            </w:r>
          </w:p>
        </w:tc>
      </w:tr>
      <w:tr w:rsidR="00C943A7" w:rsidRPr="007669E1" w14:paraId="7FCBA766" w14:textId="77777777" w:rsidTr="001D5220">
        <w:trPr>
          <w:trHeight w:val="182"/>
        </w:trPr>
        <w:tc>
          <w:tcPr>
            <w:tcW w:w="2425" w:type="dxa"/>
            <w:vMerge w:val="restart"/>
          </w:tcPr>
          <w:p w14:paraId="51E77CA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708E21BD" w14:textId="0945CE15"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p w14:paraId="38A7288E" w14:textId="0945CE15" w:rsidR="007E7377" w:rsidRPr="007669E1" w:rsidRDefault="0185C0F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Article 28 q</w:t>
            </w:r>
            <w:r w:rsidRPr="007669E1">
              <w:rPr>
                <w:rFonts w:ascii="Segoe UI" w:hAnsi="Segoe UI" w:cs="Segoe UI"/>
                <w:sz w:val="18"/>
                <w:szCs w:val="18"/>
                <w:vertAlign w:val="superscript"/>
              </w:rPr>
              <w:t>3</w:t>
            </w:r>
            <w:r w:rsidRPr="007669E1">
              <w:rPr>
                <w:rFonts w:ascii="Segoe UI" w:hAnsi="Segoe UI" w:cs="Segoe UI"/>
                <w:sz w:val="18"/>
                <w:szCs w:val="18"/>
              </w:rPr>
              <w:t>) was introduced in 2015.</w:t>
            </w:r>
          </w:p>
        </w:tc>
      </w:tr>
      <w:tr w:rsidR="00C943A7" w:rsidRPr="007669E1" w14:paraId="3E342EC4" w14:textId="77777777" w:rsidTr="001D5220">
        <w:trPr>
          <w:trHeight w:val="182"/>
        </w:trPr>
        <w:tc>
          <w:tcPr>
            <w:tcW w:w="2425" w:type="dxa"/>
            <w:vMerge/>
          </w:tcPr>
          <w:p w14:paraId="42E1EFC3"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70B7E17B" w14:textId="3027254A"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21C1568A" w:rsidRPr="007669E1">
              <w:rPr>
                <w:rFonts w:ascii="Segoe UI" w:hAnsi="Segoe UI" w:cs="Segoe UI"/>
                <w:sz w:val="18"/>
                <w:szCs w:val="18"/>
              </w:rPr>
              <w:t xml:space="preserve"> 2012</w:t>
            </w:r>
          </w:p>
        </w:tc>
        <w:tc>
          <w:tcPr>
            <w:tcW w:w="3738" w:type="dxa"/>
            <w:gridSpan w:val="3"/>
          </w:tcPr>
          <w:p w14:paraId="59521D2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3EC55CD0" w14:textId="77777777" w:rsidTr="001D5220">
        <w:tc>
          <w:tcPr>
            <w:tcW w:w="2425" w:type="dxa"/>
          </w:tcPr>
          <w:p w14:paraId="72F2DC6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69FD8AD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C1E92B1" w14:textId="77777777" w:rsidTr="001D5220">
        <w:tc>
          <w:tcPr>
            <w:tcW w:w="2425" w:type="dxa"/>
          </w:tcPr>
          <w:p w14:paraId="34865C3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218BD2B1"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6B109ED6" w14:textId="77777777" w:rsidTr="001D5220">
        <w:tc>
          <w:tcPr>
            <w:tcW w:w="2425" w:type="dxa"/>
          </w:tcPr>
          <w:p w14:paraId="0BEE413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4E493F5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D69B53B" w14:textId="77777777" w:rsidTr="001D5220">
        <w:tc>
          <w:tcPr>
            <w:tcW w:w="2425" w:type="dxa"/>
          </w:tcPr>
          <w:p w14:paraId="77AA5F9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5E221AC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67DE1E4" w14:textId="77777777" w:rsidTr="001D5220">
        <w:trPr>
          <w:trHeight w:val="91"/>
        </w:trPr>
        <w:tc>
          <w:tcPr>
            <w:tcW w:w="2425" w:type="dxa"/>
            <w:vMerge w:val="restart"/>
          </w:tcPr>
          <w:p w14:paraId="3B5A851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AB038A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7579C66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5BBCC9D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7498ED8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29DDA13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775F01" w:rsidRPr="007669E1" w14:paraId="3F062443" w14:textId="77777777" w:rsidTr="001D5220">
        <w:trPr>
          <w:trHeight w:val="305"/>
        </w:trPr>
        <w:tc>
          <w:tcPr>
            <w:tcW w:w="2425" w:type="dxa"/>
            <w:vMerge/>
          </w:tcPr>
          <w:p w14:paraId="164FC2C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CF0ACD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08240F8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4.8</w:t>
            </w:r>
          </w:p>
        </w:tc>
        <w:tc>
          <w:tcPr>
            <w:tcW w:w="1385" w:type="dxa"/>
            <w:gridSpan w:val="2"/>
            <w:shd w:val="clear" w:color="auto" w:fill="auto"/>
          </w:tcPr>
          <w:p w14:paraId="6A734EF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5.0</w:t>
            </w:r>
          </w:p>
        </w:tc>
        <w:tc>
          <w:tcPr>
            <w:tcW w:w="1385" w:type="dxa"/>
            <w:shd w:val="clear" w:color="auto" w:fill="auto"/>
          </w:tcPr>
          <w:p w14:paraId="64A9D6D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62A3BFE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69A9F747"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2D87684E" w14:textId="77777777" w:rsidTr="001D5220">
        <w:tc>
          <w:tcPr>
            <w:tcW w:w="9625" w:type="dxa"/>
            <w:gridSpan w:val="7"/>
            <w:shd w:val="clear" w:color="auto" w:fill="D9D9D9" w:themeFill="background1" w:themeFillShade="D9"/>
          </w:tcPr>
          <w:p w14:paraId="38804FE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8. Exemption from import duties for goods imported for trade promotion purposes</w:t>
            </w:r>
          </w:p>
        </w:tc>
      </w:tr>
      <w:tr w:rsidR="00C943A7" w:rsidRPr="007669E1" w14:paraId="7A715CB6" w14:textId="77777777" w:rsidTr="001D5220">
        <w:tc>
          <w:tcPr>
            <w:tcW w:w="2425" w:type="dxa"/>
          </w:tcPr>
          <w:p w14:paraId="3EB94211"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642855D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are not charged on certain goods imported for trade promotion purposes, including samples of goods, printed advertising materials, and goods intended for presentation at trade fair or other similar events.</w:t>
            </w:r>
          </w:p>
        </w:tc>
      </w:tr>
      <w:tr w:rsidR="00C943A7" w:rsidRPr="007669E1" w14:paraId="00FCC3A8" w14:textId="77777777" w:rsidTr="001D5220">
        <w:tc>
          <w:tcPr>
            <w:tcW w:w="2425" w:type="dxa"/>
          </w:tcPr>
          <w:p w14:paraId="69FEA2E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68BBA02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532E4F19" w14:textId="77777777" w:rsidTr="001D5220">
        <w:tc>
          <w:tcPr>
            <w:tcW w:w="2425" w:type="dxa"/>
          </w:tcPr>
          <w:p w14:paraId="7BEAA75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7421E3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Trade promoters</w:t>
            </w:r>
          </w:p>
        </w:tc>
      </w:tr>
      <w:tr w:rsidR="00C943A7" w:rsidRPr="007669E1" w14:paraId="04AD85B0" w14:textId="77777777" w:rsidTr="001D5220">
        <w:tc>
          <w:tcPr>
            <w:tcW w:w="2425" w:type="dxa"/>
          </w:tcPr>
          <w:p w14:paraId="329D618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5AB2492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62FD38B" w14:textId="77777777" w:rsidTr="001D5220">
        <w:tc>
          <w:tcPr>
            <w:tcW w:w="2425" w:type="dxa"/>
          </w:tcPr>
          <w:p w14:paraId="0FEE519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44BD88A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5C95299F" w14:textId="77777777" w:rsidTr="001D5220">
        <w:tc>
          <w:tcPr>
            <w:tcW w:w="2425" w:type="dxa"/>
          </w:tcPr>
          <w:p w14:paraId="63D35EC6"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3EE7C5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253 to 259</w:t>
            </w:r>
          </w:p>
        </w:tc>
      </w:tr>
      <w:tr w:rsidR="00C943A7" w:rsidRPr="007669E1" w14:paraId="12B0D11C" w14:textId="77777777" w:rsidTr="001D5220">
        <w:trPr>
          <w:trHeight w:val="182"/>
        </w:trPr>
        <w:tc>
          <w:tcPr>
            <w:tcW w:w="2425" w:type="dxa"/>
            <w:vMerge w:val="restart"/>
          </w:tcPr>
          <w:p w14:paraId="616A8FD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501C946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trade.</w:t>
            </w:r>
          </w:p>
          <w:p w14:paraId="73760B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BF40C16" w14:textId="77777777" w:rsidTr="001D5220">
        <w:trPr>
          <w:trHeight w:val="182"/>
        </w:trPr>
        <w:tc>
          <w:tcPr>
            <w:tcW w:w="2425" w:type="dxa"/>
            <w:vMerge/>
          </w:tcPr>
          <w:p w14:paraId="2452D3D9"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1895F9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4CA11D7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C9A7CED" w14:textId="77777777" w:rsidTr="001D5220">
        <w:tc>
          <w:tcPr>
            <w:tcW w:w="2425" w:type="dxa"/>
          </w:tcPr>
          <w:p w14:paraId="3C80882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lastRenderedPageBreak/>
              <w:t>Source of Data</w:t>
            </w:r>
          </w:p>
        </w:tc>
        <w:tc>
          <w:tcPr>
            <w:tcW w:w="7200" w:type="dxa"/>
            <w:gridSpan w:val="6"/>
          </w:tcPr>
          <w:p w14:paraId="29F30F3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5008769" w14:textId="77777777" w:rsidTr="001D5220">
        <w:tc>
          <w:tcPr>
            <w:tcW w:w="2425" w:type="dxa"/>
          </w:tcPr>
          <w:p w14:paraId="7DB77DC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0361AB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83CDA9A" w14:textId="77777777" w:rsidTr="001D5220">
        <w:tc>
          <w:tcPr>
            <w:tcW w:w="2425" w:type="dxa"/>
          </w:tcPr>
          <w:p w14:paraId="1057B2E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0F76B6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77584F1" w14:textId="77777777" w:rsidTr="001D5220">
        <w:tc>
          <w:tcPr>
            <w:tcW w:w="2425" w:type="dxa"/>
          </w:tcPr>
          <w:p w14:paraId="319B20F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274D31A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4DBF96E" w14:textId="77777777" w:rsidTr="001D5220">
        <w:trPr>
          <w:trHeight w:val="91"/>
        </w:trPr>
        <w:tc>
          <w:tcPr>
            <w:tcW w:w="2425" w:type="dxa"/>
            <w:vMerge w:val="restart"/>
          </w:tcPr>
          <w:p w14:paraId="5279E5C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97096B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5F522C9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6E85755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10F39EA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6D1AB69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775F01" w:rsidRPr="007669E1" w14:paraId="5DD72CFB" w14:textId="77777777" w:rsidTr="001D5220">
        <w:trPr>
          <w:trHeight w:val="305"/>
        </w:trPr>
        <w:tc>
          <w:tcPr>
            <w:tcW w:w="2425" w:type="dxa"/>
            <w:vMerge/>
          </w:tcPr>
          <w:p w14:paraId="75FCAF8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9E69B3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EDD90C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35080F9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114BD46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2520292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2E5906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6D336FB9" w14:textId="77777777" w:rsidTr="001D5220">
        <w:tc>
          <w:tcPr>
            <w:tcW w:w="9625" w:type="dxa"/>
            <w:gridSpan w:val="7"/>
            <w:shd w:val="clear" w:color="auto" w:fill="D9D9D9" w:themeFill="background1" w:themeFillShade="D9"/>
          </w:tcPr>
          <w:p w14:paraId="5BE14C28" w14:textId="5B78C77B"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9. Exemption for diplomats and representatives of international organizations</w:t>
            </w:r>
          </w:p>
        </w:tc>
      </w:tr>
      <w:tr w:rsidR="00C943A7" w:rsidRPr="007669E1" w14:paraId="3CEA4CE2" w14:textId="77777777" w:rsidTr="001D5220">
        <w:tc>
          <w:tcPr>
            <w:tcW w:w="2425" w:type="dxa"/>
          </w:tcPr>
          <w:p w14:paraId="6951FA3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08F8693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Imported goods and means of transport in the possession of diplomatic missions, consular offices and international organizations can indefinitely be subject to a suspensive customs regime, allowing for their effective exemption from import duties.</w:t>
            </w:r>
          </w:p>
        </w:tc>
      </w:tr>
      <w:tr w:rsidR="00C943A7" w:rsidRPr="007669E1" w14:paraId="7EBB0BF1" w14:textId="77777777" w:rsidTr="001D5220">
        <w:tc>
          <w:tcPr>
            <w:tcW w:w="2425" w:type="dxa"/>
          </w:tcPr>
          <w:p w14:paraId="0394606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6E4240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AB95359" w14:textId="77777777" w:rsidTr="001D5220">
        <w:tc>
          <w:tcPr>
            <w:tcW w:w="2425" w:type="dxa"/>
          </w:tcPr>
          <w:p w14:paraId="68C6290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152154A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Members of diplomatic missions, consular offices and international organizations and their families</w:t>
            </w:r>
          </w:p>
        </w:tc>
      </w:tr>
      <w:tr w:rsidR="00C943A7" w:rsidRPr="007669E1" w14:paraId="4E3403B5" w14:textId="77777777" w:rsidTr="001D5220">
        <w:tc>
          <w:tcPr>
            <w:tcW w:w="2425" w:type="dxa"/>
          </w:tcPr>
          <w:p w14:paraId="72BF5E8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3299B7F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F919592" w14:textId="77777777" w:rsidTr="001D5220">
        <w:tc>
          <w:tcPr>
            <w:tcW w:w="2425" w:type="dxa"/>
          </w:tcPr>
          <w:p w14:paraId="3C7F035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6FAF9F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7FC9AF48" w14:textId="77777777" w:rsidTr="001D5220">
        <w:tc>
          <w:tcPr>
            <w:tcW w:w="2425" w:type="dxa"/>
          </w:tcPr>
          <w:p w14:paraId="4F23DAA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2D891A7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Code, article 69 (2</w:t>
            </w:r>
            <w:r w:rsidRPr="007669E1">
              <w:rPr>
                <w:rFonts w:ascii="Segoe UI" w:hAnsi="Segoe UI" w:cs="Segoe UI"/>
                <w:sz w:val="18"/>
                <w:szCs w:val="18"/>
                <w:vertAlign w:val="superscript"/>
              </w:rPr>
              <w:t>3</w:t>
            </w:r>
            <w:r w:rsidRPr="007669E1">
              <w:rPr>
                <w:rFonts w:ascii="Segoe UI" w:hAnsi="Segoe UI" w:cs="Segoe UI"/>
                <w:sz w:val="18"/>
                <w:szCs w:val="18"/>
              </w:rPr>
              <w:t>)</w:t>
            </w:r>
          </w:p>
        </w:tc>
      </w:tr>
      <w:tr w:rsidR="00C943A7" w:rsidRPr="007669E1" w14:paraId="049191E2" w14:textId="77777777" w:rsidTr="001D5220">
        <w:trPr>
          <w:trHeight w:val="182"/>
        </w:trPr>
        <w:tc>
          <w:tcPr>
            <w:tcW w:w="2425" w:type="dxa"/>
            <w:vMerge w:val="restart"/>
          </w:tcPr>
          <w:p w14:paraId="77564BB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44A4E27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generally provided on a reciprocal basis and reflects established practices in international relations between governments.</w:t>
            </w:r>
          </w:p>
        </w:tc>
      </w:tr>
      <w:tr w:rsidR="00C943A7" w:rsidRPr="007669E1" w14:paraId="5A7D594D" w14:textId="77777777" w:rsidTr="001D5220">
        <w:trPr>
          <w:trHeight w:val="182"/>
        </w:trPr>
        <w:tc>
          <w:tcPr>
            <w:tcW w:w="2425" w:type="dxa"/>
            <w:vMerge/>
          </w:tcPr>
          <w:p w14:paraId="5F962E9E"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1F8740F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2D4D85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EF783CD" w14:textId="77777777" w:rsidTr="001D5220">
        <w:tc>
          <w:tcPr>
            <w:tcW w:w="2425" w:type="dxa"/>
          </w:tcPr>
          <w:p w14:paraId="15D7BFE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10EAE8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4D1DA1AE" w14:textId="77777777" w:rsidTr="001D5220">
        <w:tc>
          <w:tcPr>
            <w:tcW w:w="2425" w:type="dxa"/>
          </w:tcPr>
          <w:p w14:paraId="18881AE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387DCC91"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296EC608" w14:textId="77777777" w:rsidTr="001D5220">
        <w:tc>
          <w:tcPr>
            <w:tcW w:w="2425" w:type="dxa"/>
          </w:tcPr>
          <w:p w14:paraId="04D0633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497BB22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5ABE68F" w14:textId="77777777" w:rsidTr="001D5220">
        <w:tc>
          <w:tcPr>
            <w:tcW w:w="2425" w:type="dxa"/>
          </w:tcPr>
          <w:p w14:paraId="19AFF36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0E198F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83DE56C" w14:textId="77777777" w:rsidTr="001D5220">
        <w:trPr>
          <w:trHeight w:val="91"/>
        </w:trPr>
        <w:tc>
          <w:tcPr>
            <w:tcW w:w="2425" w:type="dxa"/>
            <w:vMerge w:val="restart"/>
          </w:tcPr>
          <w:p w14:paraId="2EB8A57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CB06B7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1717BF0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050725C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7E407D9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0B1FA65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A2051E" w:rsidRPr="007669E1" w14:paraId="3D4BEB0D" w14:textId="77777777" w:rsidTr="001D5220">
        <w:trPr>
          <w:trHeight w:val="305"/>
        </w:trPr>
        <w:tc>
          <w:tcPr>
            <w:tcW w:w="2425" w:type="dxa"/>
            <w:vMerge/>
          </w:tcPr>
          <w:p w14:paraId="59973D7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A1D16C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5.0</w:t>
            </w:r>
          </w:p>
        </w:tc>
        <w:tc>
          <w:tcPr>
            <w:tcW w:w="1385" w:type="dxa"/>
            <w:shd w:val="clear" w:color="auto" w:fill="auto"/>
          </w:tcPr>
          <w:p w14:paraId="68FEC9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0.1</w:t>
            </w:r>
          </w:p>
        </w:tc>
        <w:tc>
          <w:tcPr>
            <w:tcW w:w="1385" w:type="dxa"/>
            <w:gridSpan w:val="2"/>
            <w:shd w:val="clear" w:color="auto" w:fill="auto"/>
          </w:tcPr>
          <w:p w14:paraId="11934F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12.7</w:t>
            </w:r>
          </w:p>
        </w:tc>
        <w:tc>
          <w:tcPr>
            <w:tcW w:w="1385" w:type="dxa"/>
            <w:shd w:val="clear" w:color="auto" w:fill="auto"/>
          </w:tcPr>
          <w:p w14:paraId="5B4E38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11.8</w:t>
            </w:r>
          </w:p>
        </w:tc>
        <w:tc>
          <w:tcPr>
            <w:tcW w:w="1660" w:type="dxa"/>
            <w:shd w:val="clear" w:color="auto" w:fill="BFBFBF" w:themeFill="background1" w:themeFillShade="BF"/>
          </w:tcPr>
          <w:p w14:paraId="62E66F6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6.3</w:t>
            </w:r>
          </w:p>
        </w:tc>
      </w:tr>
    </w:tbl>
    <w:p w14:paraId="24853382"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4D24E959" w14:textId="77777777" w:rsidTr="001D5220">
        <w:tc>
          <w:tcPr>
            <w:tcW w:w="9625" w:type="dxa"/>
            <w:gridSpan w:val="7"/>
            <w:shd w:val="clear" w:color="auto" w:fill="D9D9D9" w:themeFill="background1" w:themeFillShade="D9"/>
          </w:tcPr>
          <w:p w14:paraId="2515B74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10. Exemption from import duties for gifts received in the context of international relations</w:t>
            </w:r>
          </w:p>
        </w:tc>
      </w:tr>
      <w:tr w:rsidR="00C943A7" w:rsidRPr="007669E1" w14:paraId="1EDABD67" w14:textId="77777777" w:rsidTr="001D5220">
        <w:tc>
          <w:tcPr>
            <w:tcW w:w="2425" w:type="dxa"/>
          </w:tcPr>
          <w:p w14:paraId="1C18CAE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7E2CFC5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Official gifts received or to be received from a foreign country or certain foreign organizations are exempt from import duties.</w:t>
            </w:r>
          </w:p>
        </w:tc>
      </w:tr>
      <w:tr w:rsidR="00C943A7" w:rsidRPr="007669E1" w14:paraId="6E13D08E" w14:textId="77777777" w:rsidTr="001D5220">
        <w:tc>
          <w:tcPr>
            <w:tcW w:w="2425" w:type="dxa"/>
          </w:tcPr>
          <w:p w14:paraId="48A0D9A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5DCBCA1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741AFACA" w14:textId="77777777" w:rsidTr="001D5220">
        <w:tc>
          <w:tcPr>
            <w:tcW w:w="2425" w:type="dxa"/>
          </w:tcPr>
          <w:p w14:paraId="0934C46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485EB3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granted foreign awards</w:t>
            </w:r>
          </w:p>
        </w:tc>
      </w:tr>
      <w:tr w:rsidR="00C943A7" w:rsidRPr="007669E1" w14:paraId="6799421D" w14:textId="77777777" w:rsidTr="001D5220">
        <w:tc>
          <w:tcPr>
            <w:tcW w:w="2425" w:type="dxa"/>
          </w:tcPr>
          <w:p w14:paraId="4A141E0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00D0DC1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BEF107C" w14:textId="77777777" w:rsidTr="001D5220">
        <w:tc>
          <w:tcPr>
            <w:tcW w:w="2425" w:type="dxa"/>
          </w:tcPr>
          <w:p w14:paraId="7D8A3CD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3B4D9F8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496C10F5" w14:textId="77777777" w:rsidTr="001D5220">
        <w:tc>
          <w:tcPr>
            <w:tcW w:w="2425" w:type="dxa"/>
          </w:tcPr>
          <w:p w14:paraId="0D582F3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0B1897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251</w:t>
            </w:r>
          </w:p>
        </w:tc>
      </w:tr>
      <w:tr w:rsidR="00C943A7" w:rsidRPr="007669E1" w14:paraId="4087BC22" w14:textId="77777777" w:rsidTr="001D5220">
        <w:trPr>
          <w:trHeight w:val="182"/>
        </w:trPr>
        <w:tc>
          <w:tcPr>
            <w:tcW w:w="2425" w:type="dxa"/>
            <w:vMerge w:val="restart"/>
          </w:tcPr>
          <w:p w14:paraId="51D353A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333D26E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relations.</w:t>
            </w:r>
          </w:p>
          <w:p w14:paraId="4C0A41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3462E4A9" w14:textId="77777777" w:rsidTr="001D5220">
        <w:trPr>
          <w:trHeight w:val="182"/>
        </w:trPr>
        <w:tc>
          <w:tcPr>
            <w:tcW w:w="2425" w:type="dxa"/>
            <w:vMerge/>
          </w:tcPr>
          <w:p w14:paraId="32493619"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3DAD3D7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A1AE2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635DA5A" w14:textId="77777777" w:rsidTr="001D5220">
        <w:tc>
          <w:tcPr>
            <w:tcW w:w="2425" w:type="dxa"/>
          </w:tcPr>
          <w:p w14:paraId="50EAEFD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60004A7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1EF8742" w14:textId="77777777" w:rsidTr="001D5220">
        <w:tc>
          <w:tcPr>
            <w:tcW w:w="2425" w:type="dxa"/>
          </w:tcPr>
          <w:p w14:paraId="5B0672B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216C47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88CEA10" w14:textId="77777777" w:rsidTr="001D5220">
        <w:tc>
          <w:tcPr>
            <w:tcW w:w="2425" w:type="dxa"/>
          </w:tcPr>
          <w:p w14:paraId="6D24C34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366415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D62036B" w14:textId="77777777" w:rsidTr="001D5220">
        <w:tc>
          <w:tcPr>
            <w:tcW w:w="2425" w:type="dxa"/>
          </w:tcPr>
          <w:p w14:paraId="10FC40A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lastRenderedPageBreak/>
              <w:t>Revenue Cost Reporting</w:t>
            </w:r>
          </w:p>
        </w:tc>
        <w:tc>
          <w:tcPr>
            <w:tcW w:w="7200" w:type="dxa"/>
            <w:gridSpan w:val="6"/>
          </w:tcPr>
          <w:p w14:paraId="384A17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C89290A" w14:textId="77777777" w:rsidTr="001D5220">
        <w:trPr>
          <w:trHeight w:val="91"/>
        </w:trPr>
        <w:tc>
          <w:tcPr>
            <w:tcW w:w="2425" w:type="dxa"/>
            <w:vMerge w:val="restart"/>
          </w:tcPr>
          <w:p w14:paraId="0429E93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6E5293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306BFAD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39825F8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5998511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436C4B1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775F01" w:rsidRPr="007669E1" w14:paraId="73F62550" w14:textId="77777777" w:rsidTr="001D5220">
        <w:trPr>
          <w:trHeight w:val="305"/>
        </w:trPr>
        <w:tc>
          <w:tcPr>
            <w:tcW w:w="2425" w:type="dxa"/>
            <w:vMerge/>
          </w:tcPr>
          <w:p w14:paraId="24F8384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192E45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B4F99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17D1FB2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6D9C2AD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B24F5C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4502739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7E6E723D" w14:textId="77777777" w:rsidTr="001D5220">
        <w:tc>
          <w:tcPr>
            <w:tcW w:w="9625" w:type="dxa"/>
            <w:gridSpan w:val="7"/>
            <w:shd w:val="clear" w:color="auto" w:fill="D9D9D9" w:themeFill="background1" w:themeFillShade="D9"/>
          </w:tcPr>
          <w:p w14:paraId="0A190F5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11. Exemption from import duties for goods intended for heads of state</w:t>
            </w:r>
          </w:p>
        </w:tc>
      </w:tr>
      <w:tr w:rsidR="00C943A7" w:rsidRPr="007669E1" w14:paraId="616F16FF" w14:textId="77777777" w:rsidTr="001D5220">
        <w:tc>
          <w:tcPr>
            <w:tcW w:w="2425" w:type="dxa"/>
          </w:tcPr>
          <w:p w14:paraId="6E21951B" w14:textId="77777777" w:rsidR="007E7377" w:rsidRPr="007669E1" w:rsidRDefault="007E7377" w:rsidP="00E90BA7">
            <w:pPr>
              <w:spacing w:before="20" w:after="20" w:line="240" w:lineRule="auto"/>
              <w:jc w:val="both"/>
              <w:rPr>
                <w:rFonts w:ascii="Segoe UI" w:hAnsi="Segoe UI" w:cs="Segoe UI"/>
                <w:sz w:val="18"/>
                <w:szCs w:val="18"/>
              </w:rPr>
            </w:pPr>
            <w:r w:rsidRPr="00056C45">
              <w:rPr>
                <w:rFonts w:ascii="Segoe UI" w:hAnsi="Segoe UI" w:cs="Segoe UI"/>
                <w:b/>
                <w:bCs/>
                <w:sz w:val="18"/>
                <w:szCs w:val="18"/>
              </w:rPr>
              <w:t>Description</w:t>
            </w:r>
          </w:p>
        </w:tc>
        <w:tc>
          <w:tcPr>
            <w:tcW w:w="7200" w:type="dxa"/>
            <w:gridSpan w:val="6"/>
          </w:tcPr>
          <w:p w14:paraId="19620BE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Gifts offered to heads of state during official events, as well as goods for the use or consumption of foreign heads of state or official representatives, are exempt from import duties on a reciprocal basis.</w:t>
            </w:r>
          </w:p>
        </w:tc>
      </w:tr>
      <w:tr w:rsidR="00C943A7" w:rsidRPr="007669E1" w14:paraId="550FBA54" w14:textId="77777777" w:rsidTr="001D5220">
        <w:tc>
          <w:tcPr>
            <w:tcW w:w="2425" w:type="dxa"/>
          </w:tcPr>
          <w:p w14:paraId="7DD227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Type of Tax Affected</w:t>
            </w:r>
          </w:p>
        </w:tc>
        <w:tc>
          <w:tcPr>
            <w:tcW w:w="7200" w:type="dxa"/>
            <w:gridSpan w:val="6"/>
          </w:tcPr>
          <w:p w14:paraId="023F64E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024C44C" w14:textId="77777777" w:rsidTr="001D5220">
        <w:tc>
          <w:tcPr>
            <w:tcW w:w="2425" w:type="dxa"/>
          </w:tcPr>
          <w:p w14:paraId="576C076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Beneficiaries</w:t>
            </w:r>
          </w:p>
        </w:tc>
        <w:tc>
          <w:tcPr>
            <w:tcW w:w="7200" w:type="dxa"/>
            <w:gridSpan w:val="6"/>
          </w:tcPr>
          <w:p w14:paraId="6663DD1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Heads of state</w:t>
            </w:r>
          </w:p>
        </w:tc>
      </w:tr>
      <w:tr w:rsidR="00C943A7" w:rsidRPr="007669E1" w14:paraId="3894C044" w14:textId="77777777" w:rsidTr="001D5220">
        <w:tc>
          <w:tcPr>
            <w:tcW w:w="2425" w:type="dxa"/>
          </w:tcPr>
          <w:p w14:paraId="3D8B596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Type of Measure</w:t>
            </w:r>
          </w:p>
        </w:tc>
        <w:tc>
          <w:tcPr>
            <w:tcW w:w="7200" w:type="dxa"/>
            <w:gridSpan w:val="6"/>
          </w:tcPr>
          <w:p w14:paraId="25F163F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5B48B81" w14:textId="77777777" w:rsidTr="001D5220">
        <w:tc>
          <w:tcPr>
            <w:tcW w:w="2425" w:type="dxa"/>
          </w:tcPr>
          <w:p w14:paraId="3DA0B9C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Reason why this Measure is not part of the Benchmark Tax System</w:t>
            </w:r>
          </w:p>
        </w:tc>
        <w:tc>
          <w:tcPr>
            <w:tcW w:w="7200" w:type="dxa"/>
            <w:gridSpan w:val="6"/>
          </w:tcPr>
          <w:p w14:paraId="5A03252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BF500A6" w14:textId="77777777" w:rsidTr="001D5220">
        <w:tc>
          <w:tcPr>
            <w:tcW w:w="2425" w:type="dxa"/>
          </w:tcPr>
          <w:p w14:paraId="3A589A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Legal Reference</w:t>
            </w:r>
          </w:p>
        </w:tc>
        <w:tc>
          <w:tcPr>
            <w:tcW w:w="7200" w:type="dxa"/>
            <w:gridSpan w:val="6"/>
          </w:tcPr>
          <w:p w14:paraId="743B248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252</w:t>
            </w:r>
          </w:p>
        </w:tc>
      </w:tr>
      <w:tr w:rsidR="00C943A7" w:rsidRPr="007669E1" w14:paraId="73627875" w14:textId="77777777" w:rsidTr="001D5220">
        <w:trPr>
          <w:trHeight w:val="182"/>
        </w:trPr>
        <w:tc>
          <w:tcPr>
            <w:tcW w:w="2425" w:type="dxa"/>
            <w:vMerge w:val="restart"/>
          </w:tcPr>
          <w:p w14:paraId="21269D6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Implementation Objectives, and History</w:t>
            </w:r>
          </w:p>
        </w:tc>
        <w:tc>
          <w:tcPr>
            <w:tcW w:w="7200" w:type="dxa"/>
            <w:gridSpan w:val="6"/>
          </w:tcPr>
          <w:p w14:paraId="617020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international relations.</w:t>
            </w:r>
          </w:p>
          <w:p w14:paraId="25A62E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BD1E4DC" w14:textId="77777777" w:rsidTr="001D5220">
        <w:trPr>
          <w:trHeight w:val="182"/>
        </w:trPr>
        <w:tc>
          <w:tcPr>
            <w:tcW w:w="2425" w:type="dxa"/>
            <w:vMerge/>
          </w:tcPr>
          <w:p w14:paraId="23B41C36" w14:textId="77777777" w:rsidR="007E7377" w:rsidRPr="007669E1" w:rsidRDefault="007E7377" w:rsidP="00E90BA7">
            <w:pPr>
              <w:spacing w:before="20" w:after="20" w:line="240" w:lineRule="auto"/>
              <w:jc w:val="both"/>
              <w:rPr>
                <w:rFonts w:ascii="Segoe UI" w:hAnsi="Segoe UI" w:cs="Segoe UI"/>
                <w:sz w:val="18"/>
                <w:szCs w:val="18"/>
              </w:rPr>
            </w:pPr>
          </w:p>
        </w:tc>
        <w:tc>
          <w:tcPr>
            <w:tcW w:w="3462" w:type="dxa"/>
            <w:gridSpan w:val="3"/>
          </w:tcPr>
          <w:p w14:paraId="4FAB194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1F4EA6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AD5ED74" w14:textId="77777777" w:rsidTr="001D5220">
        <w:tc>
          <w:tcPr>
            <w:tcW w:w="2425" w:type="dxa"/>
          </w:tcPr>
          <w:p w14:paraId="1E45AB9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Source of Data</w:t>
            </w:r>
          </w:p>
        </w:tc>
        <w:tc>
          <w:tcPr>
            <w:tcW w:w="7200" w:type="dxa"/>
            <w:gridSpan w:val="6"/>
          </w:tcPr>
          <w:p w14:paraId="71D531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48A6B20" w14:textId="77777777" w:rsidTr="001D5220">
        <w:tc>
          <w:tcPr>
            <w:tcW w:w="2425" w:type="dxa"/>
          </w:tcPr>
          <w:p w14:paraId="1C03404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Estimation Method</w:t>
            </w:r>
          </w:p>
        </w:tc>
        <w:tc>
          <w:tcPr>
            <w:tcW w:w="7200" w:type="dxa"/>
            <w:gridSpan w:val="6"/>
          </w:tcPr>
          <w:p w14:paraId="43C696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E33D333" w14:textId="77777777" w:rsidTr="001D5220">
        <w:tc>
          <w:tcPr>
            <w:tcW w:w="2425" w:type="dxa"/>
          </w:tcPr>
          <w:p w14:paraId="3D3C848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Number of Beneficiaries</w:t>
            </w:r>
          </w:p>
        </w:tc>
        <w:tc>
          <w:tcPr>
            <w:tcW w:w="7200" w:type="dxa"/>
            <w:gridSpan w:val="6"/>
          </w:tcPr>
          <w:p w14:paraId="55B57A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7F23E15" w14:textId="77777777" w:rsidTr="001D5220">
        <w:tc>
          <w:tcPr>
            <w:tcW w:w="2425" w:type="dxa"/>
          </w:tcPr>
          <w:p w14:paraId="153A1A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Revenue Cost Reporting</w:t>
            </w:r>
          </w:p>
        </w:tc>
        <w:tc>
          <w:tcPr>
            <w:tcW w:w="7200" w:type="dxa"/>
            <w:gridSpan w:val="6"/>
          </w:tcPr>
          <w:p w14:paraId="71092C3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355D6F1" w14:textId="77777777" w:rsidTr="001D5220">
        <w:trPr>
          <w:trHeight w:val="91"/>
        </w:trPr>
        <w:tc>
          <w:tcPr>
            <w:tcW w:w="2425" w:type="dxa"/>
            <w:vMerge w:val="restart"/>
          </w:tcPr>
          <w:p w14:paraId="7344681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25A50F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7DE0CB1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33DC873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2E3B98F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3F6791E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775F01" w:rsidRPr="007669E1" w14:paraId="0726C45B" w14:textId="77777777" w:rsidTr="001D5220">
        <w:trPr>
          <w:trHeight w:val="305"/>
        </w:trPr>
        <w:tc>
          <w:tcPr>
            <w:tcW w:w="2425" w:type="dxa"/>
            <w:vMerge/>
          </w:tcPr>
          <w:p w14:paraId="0F23849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0A3433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7255859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5F1F28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DF2F43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2C8F0E5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75477DDE"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79028FFD" w14:textId="77777777" w:rsidTr="001D5220">
        <w:tc>
          <w:tcPr>
            <w:tcW w:w="9625" w:type="dxa"/>
            <w:gridSpan w:val="7"/>
            <w:shd w:val="clear" w:color="auto" w:fill="D9D9D9" w:themeFill="background1" w:themeFillShade="D9"/>
          </w:tcPr>
          <w:p w14:paraId="52B4B14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12. Exemption from import duties for goods for official use</w:t>
            </w:r>
          </w:p>
        </w:tc>
      </w:tr>
      <w:tr w:rsidR="00C943A7" w:rsidRPr="007669E1" w14:paraId="243BF6EE" w14:textId="77777777" w:rsidTr="001D5220">
        <w:tc>
          <w:tcPr>
            <w:tcW w:w="2425" w:type="dxa"/>
          </w:tcPr>
          <w:p w14:paraId="725AE5E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2431C414"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for official use imported by foreign citizens in accordance with legislation or an international agreement to which the Republic of Moldova is a party are exempt from import duties.</w:t>
            </w:r>
          </w:p>
        </w:tc>
      </w:tr>
      <w:tr w:rsidR="00C943A7" w:rsidRPr="007669E1" w14:paraId="369AD91C" w14:textId="77777777" w:rsidTr="001D5220">
        <w:tc>
          <w:tcPr>
            <w:tcW w:w="2425" w:type="dxa"/>
          </w:tcPr>
          <w:p w14:paraId="2B7CBCC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6B62566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035F1251" w14:textId="77777777" w:rsidTr="001D5220">
        <w:tc>
          <w:tcPr>
            <w:tcW w:w="2425" w:type="dxa"/>
          </w:tcPr>
          <w:p w14:paraId="6D87D98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0FB08E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residents importing goods for official use</w:t>
            </w:r>
          </w:p>
        </w:tc>
      </w:tr>
      <w:tr w:rsidR="00C943A7" w:rsidRPr="007669E1" w14:paraId="7F15F69D" w14:textId="77777777" w:rsidTr="001D5220">
        <w:tc>
          <w:tcPr>
            <w:tcW w:w="2425" w:type="dxa"/>
          </w:tcPr>
          <w:p w14:paraId="714E641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6763EA0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290DC0B" w14:textId="77777777" w:rsidTr="001D5220">
        <w:tc>
          <w:tcPr>
            <w:tcW w:w="2425" w:type="dxa"/>
          </w:tcPr>
          <w:p w14:paraId="08A2F0B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6DF8F30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AA3E1EF" w14:textId="77777777" w:rsidTr="001D5220">
        <w:tc>
          <w:tcPr>
            <w:tcW w:w="2425" w:type="dxa"/>
          </w:tcPr>
          <w:p w14:paraId="0A564CF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2BD377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b)</w:t>
            </w:r>
          </w:p>
        </w:tc>
      </w:tr>
      <w:tr w:rsidR="00C943A7" w:rsidRPr="007669E1" w14:paraId="09FEB0F4" w14:textId="77777777" w:rsidTr="001D5220">
        <w:trPr>
          <w:trHeight w:val="182"/>
        </w:trPr>
        <w:tc>
          <w:tcPr>
            <w:tcW w:w="2425" w:type="dxa"/>
            <w:vMerge w:val="restart"/>
          </w:tcPr>
          <w:p w14:paraId="2C1F8F9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51D361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reflects established practices in international relations between governments.</w:t>
            </w:r>
          </w:p>
          <w:p w14:paraId="355146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5D11F5E6" w14:textId="77777777" w:rsidTr="001D5220">
        <w:trPr>
          <w:trHeight w:val="182"/>
        </w:trPr>
        <w:tc>
          <w:tcPr>
            <w:tcW w:w="2425" w:type="dxa"/>
            <w:vMerge/>
          </w:tcPr>
          <w:p w14:paraId="0AD72A61"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7B818561" w14:textId="715C54E4"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7866D617" w:rsidRPr="007669E1">
              <w:rPr>
                <w:rFonts w:ascii="Segoe UI" w:hAnsi="Segoe UI" w:cs="Segoe UI"/>
                <w:sz w:val="18"/>
                <w:szCs w:val="18"/>
              </w:rPr>
              <w:t xml:space="preserve"> 1997</w:t>
            </w:r>
          </w:p>
        </w:tc>
        <w:tc>
          <w:tcPr>
            <w:tcW w:w="3738" w:type="dxa"/>
            <w:gridSpan w:val="3"/>
          </w:tcPr>
          <w:p w14:paraId="32E6D8A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13883B4D" w14:textId="77777777" w:rsidTr="001D5220">
        <w:tc>
          <w:tcPr>
            <w:tcW w:w="2425" w:type="dxa"/>
          </w:tcPr>
          <w:p w14:paraId="15136F1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2599AC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76581D4" w14:textId="77777777" w:rsidTr="001D5220">
        <w:tc>
          <w:tcPr>
            <w:tcW w:w="2425" w:type="dxa"/>
          </w:tcPr>
          <w:p w14:paraId="6C57BD3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7D036C7A"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44AEA4CF" w14:textId="77777777" w:rsidTr="001D5220">
        <w:tc>
          <w:tcPr>
            <w:tcW w:w="2425" w:type="dxa"/>
          </w:tcPr>
          <w:p w14:paraId="5C325F1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137683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B8316C0" w14:textId="77777777" w:rsidTr="001D5220">
        <w:tc>
          <w:tcPr>
            <w:tcW w:w="2425" w:type="dxa"/>
          </w:tcPr>
          <w:p w14:paraId="7AF5710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34FD7BC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181E9D5" w14:textId="77777777" w:rsidTr="001D5220">
        <w:trPr>
          <w:trHeight w:val="91"/>
        </w:trPr>
        <w:tc>
          <w:tcPr>
            <w:tcW w:w="2425" w:type="dxa"/>
            <w:vMerge w:val="restart"/>
          </w:tcPr>
          <w:p w14:paraId="6F0CB53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58FF2F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0E67CED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3F75AB1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2030C38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09C9104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A2051E" w:rsidRPr="007669E1" w14:paraId="68684951" w14:textId="77777777" w:rsidTr="001D5220">
        <w:trPr>
          <w:trHeight w:val="305"/>
        </w:trPr>
        <w:tc>
          <w:tcPr>
            <w:tcW w:w="2425" w:type="dxa"/>
            <w:vMerge/>
          </w:tcPr>
          <w:p w14:paraId="6FF43DC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7F324B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1,632.2</w:t>
            </w:r>
          </w:p>
        </w:tc>
        <w:tc>
          <w:tcPr>
            <w:tcW w:w="1385" w:type="dxa"/>
            <w:shd w:val="clear" w:color="auto" w:fill="auto"/>
          </w:tcPr>
          <w:p w14:paraId="15D40D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1,632.2</w:t>
            </w:r>
          </w:p>
        </w:tc>
        <w:tc>
          <w:tcPr>
            <w:tcW w:w="1385" w:type="dxa"/>
            <w:gridSpan w:val="2"/>
            <w:shd w:val="clear" w:color="auto" w:fill="auto"/>
          </w:tcPr>
          <w:p w14:paraId="030ED26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1,632.2</w:t>
            </w:r>
          </w:p>
        </w:tc>
        <w:tc>
          <w:tcPr>
            <w:tcW w:w="1385" w:type="dxa"/>
            <w:shd w:val="clear" w:color="auto" w:fill="auto"/>
          </w:tcPr>
          <w:p w14:paraId="6AAAC9A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1,632.2</w:t>
            </w:r>
          </w:p>
        </w:tc>
        <w:tc>
          <w:tcPr>
            <w:tcW w:w="1660" w:type="dxa"/>
            <w:shd w:val="clear" w:color="auto" w:fill="BFBFBF" w:themeFill="background1" w:themeFillShade="BF"/>
          </w:tcPr>
          <w:p w14:paraId="3506FEC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1,632.2</w:t>
            </w:r>
          </w:p>
        </w:tc>
      </w:tr>
    </w:tbl>
    <w:p w14:paraId="03D1976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21764246" w14:textId="77777777" w:rsidTr="001D5220">
        <w:tc>
          <w:tcPr>
            <w:tcW w:w="9625" w:type="dxa"/>
            <w:gridSpan w:val="7"/>
            <w:shd w:val="clear" w:color="auto" w:fill="D9D9D9" w:themeFill="background1" w:themeFillShade="D9"/>
          </w:tcPr>
          <w:p w14:paraId="4726401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13. Exemption from import duties for various official documents and goods</w:t>
            </w:r>
          </w:p>
        </w:tc>
      </w:tr>
      <w:tr w:rsidR="00C943A7" w:rsidRPr="007669E1" w14:paraId="6EAC9E91" w14:textId="77777777" w:rsidTr="001D5220">
        <w:tc>
          <w:tcPr>
            <w:tcW w:w="2425" w:type="dxa"/>
          </w:tcPr>
          <w:p w14:paraId="50D93D0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390778A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Official and other documents and goods listed in article 269 of the new Customs Code are exempt from import duties, including: foreign official documents sent to the government of Moldova or intended for free distribution in Moldova; objects to be presented as evidence or for other similar purposes to the courts or other authorities in Moldova; official printed forms of a foreign country; and photos, slides and molds for photos, sent to press agencies or newspaper or magazine publishers.</w:t>
            </w:r>
          </w:p>
        </w:tc>
      </w:tr>
      <w:tr w:rsidR="00C943A7" w:rsidRPr="007669E1" w14:paraId="344C0CF6" w14:textId="77777777" w:rsidTr="001D5220">
        <w:tc>
          <w:tcPr>
            <w:tcW w:w="2425" w:type="dxa"/>
          </w:tcPr>
          <w:p w14:paraId="6F4C233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56EF45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DD9BA59" w14:textId="77777777" w:rsidTr="001D5220">
        <w:tc>
          <w:tcPr>
            <w:tcW w:w="2425" w:type="dxa"/>
          </w:tcPr>
          <w:p w14:paraId="649A11E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05AECC21"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A5637A9" w14:textId="77777777" w:rsidTr="001D5220">
        <w:tc>
          <w:tcPr>
            <w:tcW w:w="2425" w:type="dxa"/>
          </w:tcPr>
          <w:p w14:paraId="44CEB03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484A02B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D674E32" w14:textId="77777777" w:rsidTr="001D5220">
        <w:tc>
          <w:tcPr>
            <w:tcW w:w="2425" w:type="dxa"/>
          </w:tcPr>
          <w:p w14:paraId="38A235CC"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41F6A01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61C929F" w14:textId="77777777" w:rsidTr="001D5220">
        <w:tc>
          <w:tcPr>
            <w:tcW w:w="2425" w:type="dxa"/>
          </w:tcPr>
          <w:p w14:paraId="6F2F997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101F917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269</w:t>
            </w:r>
          </w:p>
        </w:tc>
      </w:tr>
      <w:tr w:rsidR="00C943A7" w:rsidRPr="007669E1" w14:paraId="58832B91" w14:textId="77777777" w:rsidTr="001D5220">
        <w:trPr>
          <w:trHeight w:val="182"/>
        </w:trPr>
        <w:tc>
          <w:tcPr>
            <w:tcW w:w="2425" w:type="dxa"/>
            <w:vMerge w:val="restart"/>
          </w:tcPr>
          <w:p w14:paraId="3131921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55BD416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1A4108E8" w14:textId="77777777" w:rsidTr="001D5220">
        <w:trPr>
          <w:trHeight w:val="182"/>
        </w:trPr>
        <w:tc>
          <w:tcPr>
            <w:tcW w:w="2425" w:type="dxa"/>
            <w:vMerge/>
          </w:tcPr>
          <w:p w14:paraId="3B2B2C06"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0244AD9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FC3167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AD03D20" w14:textId="77777777" w:rsidTr="001D5220">
        <w:tc>
          <w:tcPr>
            <w:tcW w:w="2425" w:type="dxa"/>
          </w:tcPr>
          <w:p w14:paraId="4BFF6F91"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2167EB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73F38DD" w14:textId="77777777" w:rsidTr="001D5220">
        <w:tc>
          <w:tcPr>
            <w:tcW w:w="2425" w:type="dxa"/>
          </w:tcPr>
          <w:p w14:paraId="11C5C52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6B2A0CF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DBB7EA9" w14:textId="77777777" w:rsidTr="001D5220">
        <w:tc>
          <w:tcPr>
            <w:tcW w:w="2425" w:type="dxa"/>
          </w:tcPr>
          <w:p w14:paraId="5F7562D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355E4CF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D71B8FC" w14:textId="77777777" w:rsidTr="001D5220">
        <w:tc>
          <w:tcPr>
            <w:tcW w:w="2425" w:type="dxa"/>
          </w:tcPr>
          <w:p w14:paraId="1CF71EE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4F69EB3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9FB2DBC" w14:textId="77777777" w:rsidTr="001D5220">
        <w:trPr>
          <w:trHeight w:val="91"/>
        </w:trPr>
        <w:tc>
          <w:tcPr>
            <w:tcW w:w="2425" w:type="dxa"/>
            <w:vMerge w:val="restart"/>
          </w:tcPr>
          <w:p w14:paraId="7ED255C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6311F36"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058740C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30CBA8F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101DF3C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681F0B2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775F01" w:rsidRPr="007669E1" w14:paraId="76F39F08" w14:textId="77777777" w:rsidTr="001D5220">
        <w:trPr>
          <w:trHeight w:val="305"/>
        </w:trPr>
        <w:tc>
          <w:tcPr>
            <w:tcW w:w="2425" w:type="dxa"/>
            <w:vMerge/>
          </w:tcPr>
          <w:p w14:paraId="04164DF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6BA51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4C25D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F85B0D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6DE67C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5D3FE2F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7B28ECAA"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2AEF3695" w14:textId="77777777" w:rsidTr="001D5220">
        <w:tc>
          <w:tcPr>
            <w:tcW w:w="9625" w:type="dxa"/>
            <w:gridSpan w:val="7"/>
            <w:shd w:val="clear" w:color="auto" w:fill="D9D9D9" w:themeFill="background1" w:themeFillShade="D9"/>
          </w:tcPr>
          <w:p w14:paraId="6C0C3236"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14. Exemption for foreign military forces and international intervention teams</w:t>
            </w:r>
          </w:p>
        </w:tc>
      </w:tr>
      <w:tr w:rsidR="00C943A7" w:rsidRPr="007669E1" w14:paraId="2FEB002E" w14:textId="77777777" w:rsidTr="001D5220">
        <w:tc>
          <w:tcPr>
            <w:tcW w:w="2425" w:type="dxa"/>
          </w:tcPr>
          <w:p w14:paraId="360DBA7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47B61907"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foreign military forces carrying out temporary military applications or by international intervention teams that participate in joint exercises in Moldova are exempt from import duties.</w:t>
            </w:r>
          </w:p>
        </w:tc>
      </w:tr>
      <w:tr w:rsidR="00C943A7" w:rsidRPr="007669E1" w14:paraId="7702C17D" w14:textId="77777777" w:rsidTr="001D5220">
        <w:tc>
          <w:tcPr>
            <w:tcW w:w="2425" w:type="dxa"/>
          </w:tcPr>
          <w:p w14:paraId="6572A7FF"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7AA3BF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D221E93" w14:textId="77777777" w:rsidTr="001D5220">
        <w:tc>
          <w:tcPr>
            <w:tcW w:w="2425" w:type="dxa"/>
          </w:tcPr>
          <w:p w14:paraId="3FC5CF5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22AF60D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military forces, international intervention teams</w:t>
            </w:r>
          </w:p>
        </w:tc>
      </w:tr>
      <w:tr w:rsidR="00C943A7" w:rsidRPr="007669E1" w14:paraId="3F673953" w14:textId="77777777" w:rsidTr="001D5220">
        <w:tc>
          <w:tcPr>
            <w:tcW w:w="2425" w:type="dxa"/>
          </w:tcPr>
          <w:p w14:paraId="60FBAF6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3285505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7E1D53B" w14:textId="77777777" w:rsidTr="001D5220">
        <w:tc>
          <w:tcPr>
            <w:tcW w:w="2425" w:type="dxa"/>
          </w:tcPr>
          <w:p w14:paraId="760EEF5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360062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4F1E4623" w14:textId="77777777" w:rsidTr="001D5220">
        <w:tc>
          <w:tcPr>
            <w:tcW w:w="2425" w:type="dxa"/>
          </w:tcPr>
          <w:p w14:paraId="3DBE0C0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3EE143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9) and 10)</w:t>
            </w:r>
          </w:p>
          <w:p w14:paraId="62F43EE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articles 28 x) and x</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00DF6444" w14:textId="77777777" w:rsidTr="001D5220">
        <w:trPr>
          <w:trHeight w:val="182"/>
        </w:trPr>
        <w:tc>
          <w:tcPr>
            <w:tcW w:w="2425" w:type="dxa"/>
            <w:vMerge w:val="restart"/>
          </w:tcPr>
          <w:p w14:paraId="5775903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39D76075" w14:textId="706785E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measures reflect established practices in international relations between governments.</w:t>
            </w:r>
          </w:p>
          <w:p w14:paraId="542A9693" w14:textId="436FEF29" w:rsidR="007E7377" w:rsidRPr="007669E1" w:rsidRDefault="76757F9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Article 28 x</w:t>
            </w:r>
            <w:r w:rsidRPr="007669E1">
              <w:rPr>
                <w:rFonts w:ascii="Segoe UI" w:hAnsi="Segoe UI" w:cs="Segoe UI"/>
                <w:sz w:val="18"/>
                <w:szCs w:val="18"/>
                <w:vertAlign w:val="superscript"/>
              </w:rPr>
              <w:t>1</w:t>
            </w:r>
            <w:r w:rsidRPr="007669E1">
              <w:rPr>
                <w:rFonts w:ascii="Segoe UI" w:hAnsi="Segoe UI" w:cs="Segoe UI"/>
                <w:sz w:val="18"/>
                <w:szCs w:val="18"/>
              </w:rPr>
              <w:t xml:space="preserve"> </w:t>
            </w:r>
            <w:r w:rsidR="7822A4C0" w:rsidRPr="007669E1">
              <w:rPr>
                <w:rFonts w:ascii="Segoe UI" w:hAnsi="Segoe UI" w:cs="Segoe UI"/>
                <w:sz w:val="18"/>
                <w:szCs w:val="18"/>
              </w:rPr>
              <w:t xml:space="preserve">was </w:t>
            </w:r>
            <w:r w:rsidRPr="007669E1">
              <w:rPr>
                <w:rFonts w:ascii="Segoe UI" w:hAnsi="Segoe UI" w:cs="Segoe UI"/>
                <w:sz w:val="18"/>
                <w:szCs w:val="18"/>
              </w:rPr>
              <w:t>introduced in 2020.</w:t>
            </w:r>
          </w:p>
        </w:tc>
      </w:tr>
      <w:tr w:rsidR="00C943A7" w:rsidRPr="007669E1" w14:paraId="4A949C30" w14:textId="77777777" w:rsidTr="001D5220">
        <w:trPr>
          <w:trHeight w:val="182"/>
        </w:trPr>
        <w:tc>
          <w:tcPr>
            <w:tcW w:w="2425" w:type="dxa"/>
            <w:vMerge/>
          </w:tcPr>
          <w:p w14:paraId="15163689"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1036D13B" w14:textId="4BB346E5"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r w:rsidR="1AC106EB" w:rsidRPr="007669E1">
              <w:rPr>
                <w:rFonts w:ascii="Segoe UI" w:hAnsi="Segoe UI" w:cs="Segoe UI"/>
                <w:sz w:val="18"/>
                <w:szCs w:val="18"/>
              </w:rPr>
              <w:t xml:space="preserve"> 2013</w:t>
            </w:r>
          </w:p>
        </w:tc>
        <w:tc>
          <w:tcPr>
            <w:tcW w:w="3738" w:type="dxa"/>
            <w:gridSpan w:val="3"/>
          </w:tcPr>
          <w:p w14:paraId="220590E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633F46B" w14:textId="77777777" w:rsidTr="001D5220">
        <w:tc>
          <w:tcPr>
            <w:tcW w:w="2425" w:type="dxa"/>
          </w:tcPr>
          <w:p w14:paraId="4238AA5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12EC16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26201C0F" w14:textId="77777777" w:rsidTr="001D5220">
        <w:tc>
          <w:tcPr>
            <w:tcW w:w="2425" w:type="dxa"/>
          </w:tcPr>
          <w:p w14:paraId="123471F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0104899E"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3BB12A86" w14:textId="77777777" w:rsidTr="001D5220">
        <w:tc>
          <w:tcPr>
            <w:tcW w:w="2425" w:type="dxa"/>
          </w:tcPr>
          <w:p w14:paraId="38E144F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3520859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D4961EC" w14:textId="77777777" w:rsidTr="001D5220">
        <w:tc>
          <w:tcPr>
            <w:tcW w:w="2425" w:type="dxa"/>
          </w:tcPr>
          <w:p w14:paraId="16B93385"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59FA2A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A6F5A86" w14:textId="77777777" w:rsidTr="001D5220">
        <w:trPr>
          <w:trHeight w:val="91"/>
        </w:trPr>
        <w:tc>
          <w:tcPr>
            <w:tcW w:w="2425" w:type="dxa"/>
            <w:vMerge w:val="restart"/>
          </w:tcPr>
          <w:p w14:paraId="333E9E4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44C150B"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75D0006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47ABDB6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270D3851"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413647D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A2051E" w:rsidRPr="007669E1" w14:paraId="2777EDC0" w14:textId="77777777" w:rsidTr="001D5220">
        <w:trPr>
          <w:trHeight w:val="305"/>
        </w:trPr>
        <w:tc>
          <w:tcPr>
            <w:tcW w:w="2425" w:type="dxa"/>
            <w:vMerge/>
          </w:tcPr>
          <w:p w14:paraId="7CF0A8D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789F1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269.2</w:t>
            </w:r>
          </w:p>
        </w:tc>
        <w:tc>
          <w:tcPr>
            <w:tcW w:w="1385" w:type="dxa"/>
            <w:shd w:val="clear" w:color="auto" w:fill="auto"/>
          </w:tcPr>
          <w:p w14:paraId="4207B03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282.0</w:t>
            </w:r>
          </w:p>
        </w:tc>
        <w:tc>
          <w:tcPr>
            <w:tcW w:w="1385" w:type="dxa"/>
            <w:gridSpan w:val="2"/>
            <w:shd w:val="clear" w:color="auto" w:fill="auto"/>
          </w:tcPr>
          <w:p w14:paraId="3C00EC9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1,487.3</w:t>
            </w:r>
          </w:p>
        </w:tc>
        <w:tc>
          <w:tcPr>
            <w:tcW w:w="1385" w:type="dxa"/>
            <w:shd w:val="clear" w:color="auto" w:fill="auto"/>
          </w:tcPr>
          <w:p w14:paraId="0A80AA2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121.0</w:t>
            </w:r>
          </w:p>
        </w:tc>
        <w:tc>
          <w:tcPr>
            <w:tcW w:w="1660" w:type="dxa"/>
            <w:shd w:val="clear" w:color="auto" w:fill="BFBFBF" w:themeFill="background1" w:themeFillShade="BF"/>
          </w:tcPr>
          <w:p w14:paraId="050B8EF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294.1</w:t>
            </w:r>
          </w:p>
        </w:tc>
      </w:tr>
    </w:tbl>
    <w:p w14:paraId="3EE8A0B0"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4CC0034F" w14:textId="77777777" w:rsidTr="001D5220">
        <w:tc>
          <w:tcPr>
            <w:tcW w:w="9625" w:type="dxa"/>
            <w:gridSpan w:val="7"/>
            <w:shd w:val="clear" w:color="auto" w:fill="D9D9D9" w:themeFill="background1" w:themeFillShade="D9"/>
          </w:tcPr>
          <w:p w14:paraId="7D6953C7"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lastRenderedPageBreak/>
              <w:t>15. Exemptions for humanitarian aid and international assistance projects</w:t>
            </w:r>
          </w:p>
        </w:tc>
      </w:tr>
      <w:tr w:rsidR="00C943A7" w:rsidRPr="007669E1" w14:paraId="751F3192" w14:textId="77777777" w:rsidTr="001D5220">
        <w:tc>
          <w:tcPr>
            <w:tcW w:w="2425" w:type="dxa"/>
          </w:tcPr>
          <w:p w14:paraId="7D4BDE03"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62912401" w14:textId="078EBBBE"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Imported goods that consist in humanitarian aid are exempt from import duties. Goods intended for technical assistance projects carried out in Moldova by international organizations and donor countries or financed from grants granted to the government are also exempt from import duties. Furthermore, goods imported as donations, for philanthropic purposes or for certain specified financial assistance projects are exempt from import duties.</w:t>
            </w:r>
          </w:p>
        </w:tc>
      </w:tr>
      <w:tr w:rsidR="00C943A7" w:rsidRPr="007669E1" w14:paraId="0B4DCFD8" w14:textId="77777777" w:rsidTr="001D5220">
        <w:tc>
          <w:tcPr>
            <w:tcW w:w="2425" w:type="dxa"/>
          </w:tcPr>
          <w:p w14:paraId="48BDADD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2FC3F2F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50522C9C" w14:textId="77777777" w:rsidTr="001D5220">
        <w:tc>
          <w:tcPr>
            <w:tcW w:w="2425" w:type="dxa"/>
          </w:tcPr>
          <w:p w14:paraId="432B559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707EEC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Organizations providing aid and assistance</w:t>
            </w:r>
          </w:p>
        </w:tc>
      </w:tr>
      <w:tr w:rsidR="00C943A7" w:rsidRPr="007669E1" w14:paraId="587CF050" w14:textId="77777777" w:rsidTr="001D5220">
        <w:tc>
          <w:tcPr>
            <w:tcW w:w="2425" w:type="dxa"/>
          </w:tcPr>
          <w:p w14:paraId="7B86316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66229A0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41D7B0C" w14:textId="77777777" w:rsidTr="001D5220">
        <w:tc>
          <w:tcPr>
            <w:tcW w:w="2425" w:type="dxa"/>
          </w:tcPr>
          <w:p w14:paraId="4C1C161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6C89235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364C26BF" w14:textId="77777777" w:rsidTr="001D5220">
        <w:tc>
          <w:tcPr>
            <w:tcW w:w="2425" w:type="dxa"/>
          </w:tcPr>
          <w:p w14:paraId="5A066F46"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43E7AA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2) to 4)</w:t>
            </w:r>
          </w:p>
          <w:p w14:paraId="29790A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Code, articles 69(2</w:t>
            </w:r>
            <w:r w:rsidRPr="007669E1">
              <w:rPr>
                <w:rFonts w:ascii="Segoe UI" w:hAnsi="Segoe UI" w:cs="Segoe UI"/>
                <w:sz w:val="18"/>
                <w:szCs w:val="18"/>
                <w:vertAlign w:val="superscript"/>
              </w:rPr>
              <w:t>2</w:t>
            </w:r>
            <w:r w:rsidRPr="007669E1">
              <w:rPr>
                <w:rFonts w:ascii="Segoe UI" w:hAnsi="Segoe UI" w:cs="Segoe UI"/>
                <w:sz w:val="18"/>
                <w:szCs w:val="18"/>
              </w:rPr>
              <w:t>) and 70(2)</w:t>
            </w:r>
          </w:p>
          <w:p w14:paraId="23A2C42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articles 28 d), e), n), n</w:t>
            </w:r>
            <w:r w:rsidRPr="007669E1">
              <w:rPr>
                <w:rFonts w:ascii="Segoe UI" w:hAnsi="Segoe UI" w:cs="Segoe UI"/>
                <w:sz w:val="18"/>
                <w:szCs w:val="18"/>
                <w:vertAlign w:val="superscript"/>
              </w:rPr>
              <w:t>1</w:t>
            </w:r>
            <w:r w:rsidRPr="007669E1">
              <w:rPr>
                <w:rFonts w:ascii="Segoe UI" w:hAnsi="Segoe UI" w:cs="Segoe UI"/>
                <w:sz w:val="18"/>
                <w:szCs w:val="18"/>
              </w:rPr>
              <w:t>), n</w:t>
            </w:r>
            <w:r w:rsidRPr="007669E1">
              <w:rPr>
                <w:rFonts w:ascii="Segoe UI" w:hAnsi="Segoe UI" w:cs="Segoe UI"/>
                <w:sz w:val="18"/>
                <w:szCs w:val="18"/>
                <w:vertAlign w:val="superscript"/>
              </w:rPr>
              <w:t>2</w:t>
            </w:r>
            <w:r w:rsidRPr="007669E1">
              <w:rPr>
                <w:rFonts w:ascii="Segoe UI" w:hAnsi="Segoe UI" w:cs="Segoe UI"/>
                <w:sz w:val="18"/>
                <w:szCs w:val="18"/>
              </w:rPr>
              <w:t>), n</w:t>
            </w:r>
            <w:r w:rsidRPr="007669E1">
              <w:rPr>
                <w:rFonts w:ascii="Segoe UI" w:hAnsi="Segoe UI" w:cs="Segoe UI"/>
                <w:sz w:val="18"/>
                <w:szCs w:val="18"/>
                <w:vertAlign w:val="superscript"/>
              </w:rPr>
              <w:t>3</w:t>
            </w:r>
            <w:r w:rsidRPr="007669E1">
              <w:rPr>
                <w:rFonts w:ascii="Segoe UI" w:hAnsi="Segoe UI" w:cs="Segoe UI"/>
                <w:sz w:val="18"/>
                <w:szCs w:val="18"/>
              </w:rPr>
              <w:t>), n</w:t>
            </w:r>
            <w:r w:rsidRPr="007669E1">
              <w:rPr>
                <w:rFonts w:ascii="Segoe UI" w:hAnsi="Segoe UI" w:cs="Segoe UI"/>
                <w:sz w:val="18"/>
                <w:szCs w:val="18"/>
                <w:vertAlign w:val="superscript"/>
              </w:rPr>
              <w:t>4</w:t>
            </w:r>
            <w:r w:rsidRPr="007669E1">
              <w:rPr>
                <w:rFonts w:ascii="Segoe UI" w:hAnsi="Segoe UI" w:cs="Segoe UI"/>
                <w:sz w:val="18"/>
                <w:szCs w:val="18"/>
              </w:rPr>
              <w:t>) and n</w:t>
            </w:r>
            <w:r w:rsidRPr="007669E1">
              <w:rPr>
                <w:rFonts w:ascii="Segoe UI" w:hAnsi="Segoe UI" w:cs="Segoe UI"/>
                <w:sz w:val="18"/>
                <w:szCs w:val="18"/>
                <w:vertAlign w:val="superscript"/>
              </w:rPr>
              <w:t>5</w:t>
            </w:r>
            <w:r w:rsidRPr="007669E1">
              <w:rPr>
                <w:rFonts w:ascii="Segoe UI" w:hAnsi="Segoe UI" w:cs="Segoe UI"/>
                <w:sz w:val="18"/>
                <w:szCs w:val="18"/>
              </w:rPr>
              <w:t>)</w:t>
            </w:r>
          </w:p>
        </w:tc>
      </w:tr>
      <w:tr w:rsidR="00C943A7" w:rsidRPr="007669E1" w14:paraId="7E8EF8D3" w14:textId="77777777" w:rsidTr="001D5220">
        <w:trPr>
          <w:trHeight w:val="182"/>
        </w:trPr>
        <w:tc>
          <w:tcPr>
            <w:tcW w:w="2425" w:type="dxa"/>
            <w:vMerge w:val="restart"/>
          </w:tcPr>
          <w:p w14:paraId="22773CA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535EFF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exemptions are intended to facilitate humanitarian and assistance projects in Moldova.</w:t>
            </w:r>
          </w:p>
        </w:tc>
      </w:tr>
      <w:tr w:rsidR="00C943A7" w:rsidRPr="007669E1" w14:paraId="5052B105" w14:textId="77777777" w:rsidTr="001D5220">
        <w:trPr>
          <w:trHeight w:val="182"/>
        </w:trPr>
        <w:tc>
          <w:tcPr>
            <w:tcW w:w="2425" w:type="dxa"/>
            <w:vMerge/>
          </w:tcPr>
          <w:p w14:paraId="4DECC324"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0F072C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13383C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1FB2FDF" w14:textId="77777777" w:rsidTr="001D5220">
        <w:tc>
          <w:tcPr>
            <w:tcW w:w="2425" w:type="dxa"/>
          </w:tcPr>
          <w:p w14:paraId="0F5DFD36"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23C7C5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1B1A8961" w14:textId="77777777" w:rsidTr="001D5220">
        <w:tc>
          <w:tcPr>
            <w:tcW w:w="2425" w:type="dxa"/>
          </w:tcPr>
          <w:p w14:paraId="5C6849E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27E86FEC"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0058C53B" w14:textId="77777777" w:rsidTr="001D5220">
        <w:tc>
          <w:tcPr>
            <w:tcW w:w="2425" w:type="dxa"/>
          </w:tcPr>
          <w:p w14:paraId="6414FD2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1440430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3150C84" w14:textId="77777777" w:rsidTr="001D5220">
        <w:tc>
          <w:tcPr>
            <w:tcW w:w="2425" w:type="dxa"/>
          </w:tcPr>
          <w:p w14:paraId="68931FC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6F3804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5511B58" w14:textId="77777777" w:rsidTr="001D5220">
        <w:trPr>
          <w:trHeight w:val="91"/>
        </w:trPr>
        <w:tc>
          <w:tcPr>
            <w:tcW w:w="2425" w:type="dxa"/>
            <w:vMerge w:val="restart"/>
          </w:tcPr>
          <w:p w14:paraId="698E00F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7C6E0F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2018</w:t>
            </w:r>
          </w:p>
        </w:tc>
        <w:tc>
          <w:tcPr>
            <w:tcW w:w="1385" w:type="dxa"/>
          </w:tcPr>
          <w:p w14:paraId="73B20FA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2019</w:t>
            </w:r>
          </w:p>
        </w:tc>
        <w:tc>
          <w:tcPr>
            <w:tcW w:w="1385" w:type="dxa"/>
            <w:gridSpan w:val="2"/>
          </w:tcPr>
          <w:p w14:paraId="110FF116"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2020</w:t>
            </w:r>
          </w:p>
        </w:tc>
        <w:tc>
          <w:tcPr>
            <w:tcW w:w="1385" w:type="dxa"/>
          </w:tcPr>
          <w:p w14:paraId="2BA08414"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2021</w:t>
            </w:r>
          </w:p>
        </w:tc>
        <w:tc>
          <w:tcPr>
            <w:tcW w:w="1660" w:type="dxa"/>
          </w:tcPr>
          <w:p w14:paraId="47F7B7C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2022</w:t>
            </w:r>
          </w:p>
        </w:tc>
      </w:tr>
      <w:tr w:rsidR="00A2051E" w:rsidRPr="007669E1" w14:paraId="2EC7C052" w14:textId="77777777" w:rsidTr="001D5220">
        <w:trPr>
          <w:trHeight w:val="305"/>
        </w:trPr>
        <w:tc>
          <w:tcPr>
            <w:tcW w:w="2425" w:type="dxa"/>
            <w:vMerge/>
          </w:tcPr>
          <w:p w14:paraId="1392A33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B8D0B5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50,273.3</w:t>
            </w:r>
          </w:p>
        </w:tc>
        <w:tc>
          <w:tcPr>
            <w:tcW w:w="1385" w:type="dxa"/>
            <w:shd w:val="clear" w:color="auto" w:fill="auto"/>
          </w:tcPr>
          <w:p w14:paraId="6CF8DA9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39,262.2</w:t>
            </w:r>
          </w:p>
        </w:tc>
        <w:tc>
          <w:tcPr>
            <w:tcW w:w="1385" w:type="dxa"/>
            <w:gridSpan w:val="2"/>
            <w:shd w:val="clear" w:color="auto" w:fill="auto"/>
          </w:tcPr>
          <w:p w14:paraId="21E62E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64,612.2</w:t>
            </w:r>
          </w:p>
        </w:tc>
        <w:tc>
          <w:tcPr>
            <w:tcW w:w="1385" w:type="dxa"/>
            <w:shd w:val="clear" w:color="auto" w:fill="auto"/>
          </w:tcPr>
          <w:p w14:paraId="169ED3A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98,332.0</w:t>
            </w:r>
          </w:p>
        </w:tc>
        <w:tc>
          <w:tcPr>
            <w:tcW w:w="1660" w:type="dxa"/>
            <w:shd w:val="clear" w:color="auto" w:fill="BFBFBF" w:themeFill="background1" w:themeFillShade="BF"/>
          </w:tcPr>
          <w:p w14:paraId="662B863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87,364.4</w:t>
            </w:r>
          </w:p>
        </w:tc>
      </w:tr>
    </w:tbl>
    <w:p w14:paraId="4029DE4F"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056C45" w14:paraId="085DC50D" w14:textId="77777777" w:rsidTr="001D5220">
        <w:tc>
          <w:tcPr>
            <w:tcW w:w="9625" w:type="dxa"/>
            <w:gridSpan w:val="7"/>
            <w:shd w:val="clear" w:color="auto" w:fill="D9D9D9" w:themeFill="background1" w:themeFillShade="D9"/>
          </w:tcPr>
          <w:p w14:paraId="2142525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16. Exemption from import duties for international aid</w:t>
            </w:r>
          </w:p>
        </w:tc>
      </w:tr>
      <w:tr w:rsidR="00C943A7" w:rsidRPr="007669E1" w14:paraId="0B5F5EB4" w14:textId="77777777" w:rsidTr="001D5220">
        <w:tc>
          <w:tcPr>
            <w:tcW w:w="2425" w:type="dxa"/>
          </w:tcPr>
          <w:p w14:paraId="105D375A"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Description</w:t>
            </w:r>
          </w:p>
        </w:tc>
        <w:tc>
          <w:tcPr>
            <w:tcW w:w="7200" w:type="dxa"/>
            <w:gridSpan w:val="6"/>
          </w:tcPr>
          <w:p w14:paraId="632130F0"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are not charged on goods donated and/or imported by state institutions or other philanthropic governmental organizations to be distributed free of charge to needy persons. Also exempt are donated office equipment and supplies to be used exclusively for operational needs or for the fulfillment of philanthropic purposes.</w:t>
            </w:r>
          </w:p>
        </w:tc>
      </w:tr>
      <w:tr w:rsidR="00C943A7" w:rsidRPr="007669E1" w14:paraId="00A80909" w14:textId="77777777" w:rsidTr="001D5220">
        <w:tc>
          <w:tcPr>
            <w:tcW w:w="2425" w:type="dxa"/>
          </w:tcPr>
          <w:p w14:paraId="64C0C800"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Tax Affected</w:t>
            </w:r>
          </w:p>
        </w:tc>
        <w:tc>
          <w:tcPr>
            <w:tcW w:w="7200" w:type="dxa"/>
            <w:gridSpan w:val="6"/>
          </w:tcPr>
          <w:p w14:paraId="52C5931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6DB25A8E" w14:textId="77777777" w:rsidTr="001D5220">
        <w:tc>
          <w:tcPr>
            <w:tcW w:w="2425" w:type="dxa"/>
          </w:tcPr>
          <w:p w14:paraId="496F5C8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Beneficiaries</w:t>
            </w:r>
          </w:p>
        </w:tc>
        <w:tc>
          <w:tcPr>
            <w:tcW w:w="7200" w:type="dxa"/>
            <w:gridSpan w:val="6"/>
          </w:tcPr>
          <w:p w14:paraId="503DCB7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institutions or other philanthropic governmental organizations</w:t>
            </w:r>
          </w:p>
        </w:tc>
      </w:tr>
      <w:tr w:rsidR="00C943A7" w:rsidRPr="007669E1" w14:paraId="5A695853" w14:textId="77777777" w:rsidTr="001D5220">
        <w:tc>
          <w:tcPr>
            <w:tcW w:w="2425" w:type="dxa"/>
          </w:tcPr>
          <w:p w14:paraId="6E48F5B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Type of Measure</w:t>
            </w:r>
          </w:p>
        </w:tc>
        <w:tc>
          <w:tcPr>
            <w:tcW w:w="7200" w:type="dxa"/>
            <w:gridSpan w:val="6"/>
          </w:tcPr>
          <w:p w14:paraId="000853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60DC019" w14:textId="77777777" w:rsidTr="001D5220">
        <w:tc>
          <w:tcPr>
            <w:tcW w:w="2425" w:type="dxa"/>
          </w:tcPr>
          <w:p w14:paraId="166E4B5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Reason why this Measure is not part of the Benchmark Tax System</w:t>
            </w:r>
          </w:p>
        </w:tc>
        <w:tc>
          <w:tcPr>
            <w:tcW w:w="7200" w:type="dxa"/>
            <w:gridSpan w:val="6"/>
          </w:tcPr>
          <w:p w14:paraId="204DDC6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2D15D9F" w14:textId="77777777" w:rsidTr="001D5220">
        <w:tc>
          <w:tcPr>
            <w:tcW w:w="2425" w:type="dxa"/>
          </w:tcPr>
          <w:p w14:paraId="388F670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Legal Reference</w:t>
            </w:r>
          </w:p>
        </w:tc>
        <w:tc>
          <w:tcPr>
            <w:tcW w:w="7200" w:type="dxa"/>
            <w:gridSpan w:val="6"/>
          </w:tcPr>
          <w:p w14:paraId="706F8F1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 to 277</w:t>
            </w:r>
            <w:r w:rsidRPr="007669E1">
              <w:rPr>
                <w:rFonts w:ascii="Segoe UI" w:hAnsi="Segoe UI" w:cs="Segoe UI"/>
                <w:sz w:val="18"/>
                <w:szCs w:val="18"/>
                <w:vertAlign w:val="superscript"/>
              </w:rPr>
              <w:t>4</w:t>
            </w:r>
          </w:p>
        </w:tc>
      </w:tr>
      <w:tr w:rsidR="00C943A7" w:rsidRPr="007669E1" w14:paraId="56AA5CD4" w14:textId="77777777" w:rsidTr="001D5220">
        <w:trPr>
          <w:trHeight w:val="182"/>
        </w:trPr>
        <w:tc>
          <w:tcPr>
            <w:tcW w:w="2425" w:type="dxa"/>
            <w:vMerge w:val="restart"/>
          </w:tcPr>
          <w:p w14:paraId="35013E68"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Implementation Objectives, and History</w:t>
            </w:r>
          </w:p>
        </w:tc>
        <w:tc>
          <w:tcPr>
            <w:tcW w:w="7200" w:type="dxa"/>
            <w:gridSpan w:val="6"/>
          </w:tcPr>
          <w:p w14:paraId="0BC3E4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the provision of international aid.</w:t>
            </w:r>
          </w:p>
          <w:p w14:paraId="75263AC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BAA5E32" w14:textId="77777777" w:rsidTr="001D5220">
        <w:trPr>
          <w:trHeight w:val="182"/>
        </w:trPr>
        <w:tc>
          <w:tcPr>
            <w:tcW w:w="2425" w:type="dxa"/>
            <w:vMerge/>
          </w:tcPr>
          <w:p w14:paraId="60B81E2F" w14:textId="77777777" w:rsidR="007E7377" w:rsidRPr="00056C45" w:rsidRDefault="007E7377" w:rsidP="00E90BA7">
            <w:pPr>
              <w:spacing w:before="20" w:after="20" w:line="240" w:lineRule="auto"/>
              <w:jc w:val="both"/>
              <w:rPr>
                <w:rFonts w:ascii="Segoe UI" w:hAnsi="Segoe UI" w:cs="Segoe UI"/>
                <w:b/>
                <w:bCs/>
                <w:sz w:val="18"/>
                <w:szCs w:val="18"/>
              </w:rPr>
            </w:pPr>
          </w:p>
        </w:tc>
        <w:tc>
          <w:tcPr>
            <w:tcW w:w="3462" w:type="dxa"/>
            <w:gridSpan w:val="3"/>
          </w:tcPr>
          <w:p w14:paraId="126AE3D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29B479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94EAF7B" w14:textId="77777777" w:rsidTr="001D5220">
        <w:tc>
          <w:tcPr>
            <w:tcW w:w="2425" w:type="dxa"/>
          </w:tcPr>
          <w:p w14:paraId="21EC55B2"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Source of Data</w:t>
            </w:r>
          </w:p>
        </w:tc>
        <w:tc>
          <w:tcPr>
            <w:tcW w:w="7200" w:type="dxa"/>
            <w:gridSpan w:val="6"/>
          </w:tcPr>
          <w:p w14:paraId="02A043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40D3490" w14:textId="77777777" w:rsidTr="001D5220">
        <w:tc>
          <w:tcPr>
            <w:tcW w:w="2425" w:type="dxa"/>
          </w:tcPr>
          <w:p w14:paraId="3AAEEC89"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Estimation Method</w:t>
            </w:r>
          </w:p>
        </w:tc>
        <w:tc>
          <w:tcPr>
            <w:tcW w:w="7200" w:type="dxa"/>
            <w:gridSpan w:val="6"/>
          </w:tcPr>
          <w:p w14:paraId="63B50EF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B17322D" w14:textId="77777777" w:rsidTr="001D5220">
        <w:tc>
          <w:tcPr>
            <w:tcW w:w="2425" w:type="dxa"/>
          </w:tcPr>
          <w:p w14:paraId="79A64FAD"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Number of Beneficiaries</w:t>
            </w:r>
          </w:p>
        </w:tc>
        <w:tc>
          <w:tcPr>
            <w:tcW w:w="7200" w:type="dxa"/>
            <w:gridSpan w:val="6"/>
          </w:tcPr>
          <w:p w14:paraId="7C4B98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A93A129" w14:textId="77777777" w:rsidTr="001D5220">
        <w:tc>
          <w:tcPr>
            <w:tcW w:w="2425" w:type="dxa"/>
          </w:tcPr>
          <w:p w14:paraId="43ECD79E" w14:textId="77777777" w:rsidR="007E7377" w:rsidRPr="00056C45" w:rsidRDefault="007E7377" w:rsidP="00E90BA7">
            <w:pPr>
              <w:spacing w:before="20" w:after="20" w:line="240" w:lineRule="auto"/>
              <w:jc w:val="both"/>
              <w:rPr>
                <w:rFonts w:ascii="Segoe UI" w:hAnsi="Segoe UI" w:cs="Segoe UI"/>
                <w:b/>
                <w:bCs/>
                <w:sz w:val="18"/>
                <w:szCs w:val="18"/>
              </w:rPr>
            </w:pPr>
            <w:r w:rsidRPr="00056C45">
              <w:rPr>
                <w:rFonts w:ascii="Segoe UI" w:hAnsi="Segoe UI" w:cs="Segoe UI"/>
                <w:b/>
                <w:bCs/>
                <w:sz w:val="18"/>
                <w:szCs w:val="18"/>
              </w:rPr>
              <w:t>Revenue Cost Reporting</w:t>
            </w:r>
          </w:p>
        </w:tc>
        <w:tc>
          <w:tcPr>
            <w:tcW w:w="7200" w:type="dxa"/>
            <w:gridSpan w:val="6"/>
          </w:tcPr>
          <w:p w14:paraId="701898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8673ECA" w14:textId="77777777" w:rsidTr="001D5220">
        <w:trPr>
          <w:trHeight w:val="91"/>
        </w:trPr>
        <w:tc>
          <w:tcPr>
            <w:tcW w:w="2425" w:type="dxa"/>
            <w:vMerge w:val="restart"/>
          </w:tcPr>
          <w:p w14:paraId="0C9A8A6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FBD13B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33A971E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068457E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1E2D2BB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45F2A31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674EF7EA" w14:textId="77777777" w:rsidTr="001D5220">
        <w:trPr>
          <w:trHeight w:val="305"/>
        </w:trPr>
        <w:tc>
          <w:tcPr>
            <w:tcW w:w="2425" w:type="dxa"/>
            <w:vMerge/>
          </w:tcPr>
          <w:p w14:paraId="7BE07CE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E24D2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5BDD27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2E3F70B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52D3649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2C6950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B89C0D2"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6144E1E4" w14:textId="77777777" w:rsidTr="001D5220">
        <w:tc>
          <w:tcPr>
            <w:tcW w:w="9625" w:type="dxa"/>
            <w:gridSpan w:val="7"/>
            <w:shd w:val="clear" w:color="auto" w:fill="D9D9D9" w:themeFill="background1" w:themeFillShade="D9"/>
          </w:tcPr>
          <w:p w14:paraId="4EB718F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17. Exemptions established under the Compact Agreement with the Millennium Challenge Corporation</w:t>
            </w:r>
          </w:p>
        </w:tc>
      </w:tr>
      <w:tr w:rsidR="00C943A7" w:rsidRPr="007669E1" w14:paraId="53E1F138" w14:textId="77777777" w:rsidTr="001D5220">
        <w:tc>
          <w:tcPr>
            <w:tcW w:w="2425" w:type="dxa"/>
          </w:tcPr>
          <w:p w14:paraId="2A9AC9D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0F3DE0B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On January 22, 2010, Moldova signed a compact agreement with the Millennium Challenges Corporation regarding the implementation of five-year assistance program financed by the United States and intended to support policies and programs to foster sustainable economic growth and reduce poverty. In support of this agreement, goods and services intended to realize and ensure the sustainability of the investments made pursuant to this agreement benefit from certain exemptions or refunds from taxes and duties, including from excise duties and import duties.</w:t>
            </w:r>
          </w:p>
        </w:tc>
      </w:tr>
      <w:tr w:rsidR="00C943A7" w:rsidRPr="007669E1" w14:paraId="559F511D" w14:textId="77777777" w:rsidTr="001D5220">
        <w:tc>
          <w:tcPr>
            <w:tcW w:w="2425" w:type="dxa"/>
          </w:tcPr>
          <w:p w14:paraId="1DEFC20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11F3EB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5C7B0EE" w14:textId="77777777" w:rsidTr="001D5220">
        <w:tc>
          <w:tcPr>
            <w:tcW w:w="2425" w:type="dxa"/>
          </w:tcPr>
          <w:p w14:paraId="5BF7B2C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4892760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 institutions and organizations making investments financed under this agreement</w:t>
            </w:r>
          </w:p>
        </w:tc>
      </w:tr>
      <w:tr w:rsidR="00C943A7" w:rsidRPr="007669E1" w14:paraId="4D5AB1A6" w14:textId="77777777" w:rsidTr="001D5220">
        <w:tc>
          <w:tcPr>
            <w:tcW w:w="2425" w:type="dxa"/>
          </w:tcPr>
          <w:p w14:paraId="48DB7CF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2756F0A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19B7D6F" w14:textId="77777777" w:rsidTr="001D5220">
        <w:tc>
          <w:tcPr>
            <w:tcW w:w="2425" w:type="dxa"/>
          </w:tcPr>
          <w:p w14:paraId="2B5E00A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504AD35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360D0166" w14:textId="77777777" w:rsidTr="001D5220">
        <w:tc>
          <w:tcPr>
            <w:tcW w:w="2425" w:type="dxa"/>
          </w:tcPr>
          <w:p w14:paraId="252805A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0B6ED5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Decision no. 949 of 12-10-2010 for the approval of the Regulation regarding the application of the value added tax exemption with the right of deduction, as well as the exemption from the payment of taxes, fees and other mandatory payments established by the "Compact" Agreement</w:t>
            </w:r>
          </w:p>
        </w:tc>
      </w:tr>
      <w:tr w:rsidR="00C943A7" w:rsidRPr="007669E1" w14:paraId="66EA4C61" w14:textId="77777777" w:rsidTr="001D5220">
        <w:trPr>
          <w:trHeight w:val="182"/>
        </w:trPr>
        <w:tc>
          <w:tcPr>
            <w:tcW w:w="2425" w:type="dxa"/>
            <w:vMerge w:val="restart"/>
          </w:tcPr>
          <w:p w14:paraId="2BFB7D6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6A076A2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implementation of the compact agreement signed with the Millennium Challenge Corporation.</w:t>
            </w:r>
          </w:p>
          <w:p w14:paraId="397F624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Decision no. of 12-10-2010.</w:t>
            </w:r>
          </w:p>
        </w:tc>
      </w:tr>
      <w:tr w:rsidR="00C943A7" w:rsidRPr="007669E1" w14:paraId="04840BBC" w14:textId="77777777" w:rsidTr="001D5220">
        <w:trPr>
          <w:trHeight w:val="182"/>
        </w:trPr>
        <w:tc>
          <w:tcPr>
            <w:tcW w:w="2425" w:type="dxa"/>
            <w:vMerge/>
          </w:tcPr>
          <w:p w14:paraId="4581187A"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0494E81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2010</w:t>
            </w:r>
          </w:p>
        </w:tc>
        <w:tc>
          <w:tcPr>
            <w:tcW w:w="3738" w:type="dxa"/>
            <w:gridSpan w:val="3"/>
          </w:tcPr>
          <w:p w14:paraId="5F98D08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68AA58F" w14:textId="77777777" w:rsidTr="001D5220">
        <w:tc>
          <w:tcPr>
            <w:tcW w:w="2425" w:type="dxa"/>
          </w:tcPr>
          <w:p w14:paraId="58C2CC1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441D63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6A7A86C1" w14:textId="77777777" w:rsidTr="001D5220">
        <w:tc>
          <w:tcPr>
            <w:tcW w:w="2425" w:type="dxa"/>
          </w:tcPr>
          <w:p w14:paraId="7FFE42F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585C5D77"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6DA30BC4" w14:textId="77777777" w:rsidTr="001D5220">
        <w:tc>
          <w:tcPr>
            <w:tcW w:w="2425" w:type="dxa"/>
          </w:tcPr>
          <w:p w14:paraId="799082D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37F92F9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BE0D07C" w14:textId="77777777" w:rsidTr="001D5220">
        <w:tc>
          <w:tcPr>
            <w:tcW w:w="2425" w:type="dxa"/>
          </w:tcPr>
          <w:p w14:paraId="2307579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6BB7F93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444FE80" w14:textId="77777777" w:rsidTr="001D5220">
        <w:trPr>
          <w:trHeight w:val="91"/>
        </w:trPr>
        <w:tc>
          <w:tcPr>
            <w:tcW w:w="2425" w:type="dxa"/>
            <w:vMerge w:val="restart"/>
          </w:tcPr>
          <w:p w14:paraId="4AAAD15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62D6AC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6765C69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468012C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3A5C3AA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7F43BA0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6A6427F4" w14:textId="77777777" w:rsidTr="001D5220">
        <w:trPr>
          <w:trHeight w:val="305"/>
        </w:trPr>
        <w:tc>
          <w:tcPr>
            <w:tcW w:w="2425" w:type="dxa"/>
            <w:vMerge/>
          </w:tcPr>
          <w:p w14:paraId="45E471D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7F0B3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18355A5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38.1</w:t>
            </w:r>
          </w:p>
        </w:tc>
        <w:tc>
          <w:tcPr>
            <w:tcW w:w="1385" w:type="dxa"/>
            <w:gridSpan w:val="2"/>
            <w:shd w:val="clear" w:color="auto" w:fill="auto"/>
          </w:tcPr>
          <w:p w14:paraId="51D83B6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107.3</w:t>
            </w:r>
          </w:p>
        </w:tc>
        <w:tc>
          <w:tcPr>
            <w:tcW w:w="1385" w:type="dxa"/>
            <w:shd w:val="clear" w:color="auto" w:fill="auto"/>
          </w:tcPr>
          <w:p w14:paraId="6F6C09A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325.9</w:t>
            </w:r>
          </w:p>
        </w:tc>
        <w:tc>
          <w:tcPr>
            <w:tcW w:w="1660" w:type="dxa"/>
            <w:shd w:val="clear" w:color="auto" w:fill="BFBFBF" w:themeFill="background1" w:themeFillShade="BF"/>
          </w:tcPr>
          <w:p w14:paraId="1EBA413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370.8</w:t>
            </w:r>
          </w:p>
        </w:tc>
      </w:tr>
    </w:tbl>
    <w:p w14:paraId="1F5DA119"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4011D680" w14:textId="77777777" w:rsidTr="001D5220">
        <w:tc>
          <w:tcPr>
            <w:tcW w:w="9625" w:type="dxa"/>
            <w:gridSpan w:val="7"/>
            <w:shd w:val="clear" w:color="auto" w:fill="D9D9D9" w:themeFill="background1" w:themeFillShade="D9"/>
          </w:tcPr>
          <w:p w14:paraId="65F9ED4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18. Exemption from import duties for goods for the use of disaster victims</w:t>
            </w:r>
          </w:p>
        </w:tc>
      </w:tr>
      <w:tr w:rsidR="00C943A7" w:rsidRPr="007669E1" w14:paraId="4B4A2E60" w14:textId="77777777" w:rsidTr="001D5220">
        <w:tc>
          <w:tcPr>
            <w:tcW w:w="2425" w:type="dxa"/>
          </w:tcPr>
          <w:p w14:paraId="075ECE6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5B223B4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intended for free distribution to victims of disasters in Moldova, as well as goods imported by state institutions and governmental rescue organizations for their activity, are exempt from import duties.</w:t>
            </w:r>
          </w:p>
        </w:tc>
      </w:tr>
      <w:tr w:rsidR="00C943A7" w:rsidRPr="007669E1" w14:paraId="3B07B185" w14:textId="77777777" w:rsidTr="001D5220">
        <w:tc>
          <w:tcPr>
            <w:tcW w:w="2425" w:type="dxa"/>
          </w:tcPr>
          <w:p w14:paraId="77E1E93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30BC189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4FBB2B82" w14:textId="77777777" w:rsidTr="001D5220">
        <w:tc>
          <w:tcPr>
            <w:tcW w:w="2425" w:type="dxa"/>
          </w:tcPr>
          <w:p w14:paraId="3132074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674EA92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Disaster victims</w:t>
            </w:r>
          </w:p>
        </w:tc>
      </w:tr>
      <w:tr w:rsidR="00C943A7" w:rsidRPr="007669E1" w14:paraId="678C9158" w14:textId="77777777" w:rsidTr="001D5220">
        <w:tc>
          <w:tcPr>
            <w:tcW w:w="2425" w:type="dxa"/>
          </w:tcPr>
          <w:p w14:paraId="5A80EFD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1F7F09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829C1FC" w14:textId="77777777" w:rsidTr="001D5220">
        <w:tc>
          <w:tcPr>
            <w:tcW w:w="2425" w:type="dxa"/>
          </w:tcPr>
          <w:p w14:paraId="16B0BC9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153F4A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3BA95670" w14:textId="77777777" w:rsidTr="001D5220">
        <w:tc>
          <w:tcPr>
            <w:tcW w:w="2425" w:type="dxa"/>
          </w:tcPr>
          <w:p w14:paraId="3503A54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67E79E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12</w:t>
            </w:r>
            <w:r w:rsidRPr="007669E1">
              <w:rPr>
                <w:rFonts w:ascii="Segoe UI" w:hAnsi="Segoe UI" w:cs="Segoe UI"/>
                <w:sz w:val="18"/>
                <w:szCs w:val="18"/>
              </w:rPr>
              <w:t xml:space="preserve"> to 277</w:t>
            </w:r>
            <w:r w:rsidRPr="007669E1">
              <w:rPr>
                <w:rFonts w:ascii="Segoe UI" w:hAnsi="Segoe UI" w:cs="Segoe UI"/>
                <w:sz w:val="18"/>
                <w:szCs w:val="18"/>
                <w:vertAlign w:val="superscript"/>
              </w:rPr>
              <w:t>17</w:t>
            </w:r>
          </w:p>
        </w:tc>
      </w:tr>
      <w:tr w:rsidR="00C943A7" w:rsidRPr="007669E1" w14:paraId="0534005C" w14:textId="77777777" w:rsidTr="001D5220">
        <w:trPr>
          <w:trHeight w:val="182"/>
        </w:trPr>
        <w:tc>
          <w:tcPr>
            <w:tcW w:w="2425" w:type="dxa"/>
            <w:vMerge w:val="restart"/>
          </w:tcPr>
          <w:p w14:paraId="6A65DE5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6110107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disaster victims.</w:t>
            </w:r>
          </w:p>
          <w:p w14:paraId="4054830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664EAAB5" w14:textId="77777777" w:rsidTr="001D5220">
        <w:trPr>
          <w:trHeight w:val="182"/>
        </w:trPr>
        <w:tc>
          <w:tcPr>
            <w:tcW w:w="2425" w:type="dxa"/>
            <w:vMerge/>
          </w:tcPr>
          <w:p w14:paraId="36FE8836"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5DBC61B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EFCE0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4E3721B" w14:textId="77777777" w:rsidTr="001D5220">
        <w:tc>
          <w:tcPr>
            <w:tcW w:w="2425" w:type="dxa"/>
          </w:tcPr>
          <w:p w14:paraId="72F7D93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2953F4C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CDDCD0C" w14:textId="77777777" w:rsidTr="001D5220">
        <w:tc>
          <w:tcPr>
            <w:tcW w:w="2425" w:type="dxa"/>
          </w:tcPr>
          <w:p w14:paraId="749D458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5081566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7AFA184" w14:textId="77777777" w:rsidTr="001D5220">
        <w:tc>
          <w:tcPr>
            <w:tcW w:w="2425" w:type="dxa"/>
          </w:tcPr>
          <w:p w14:paraId="34100E5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lastRenderedPageBreak/>
              <w:t>Number of Beneficiaries</w:t>
            </w:r>
          </w:p>
        </w:tc>
        <w:tc>
          <w:tcPr>
            <w:tcW w:w="7200" w:type="dxa"/>
            <w:gridSpan w:val="6"/>
          </w:tcPr>
          <w:p w14:paraId="6702F6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CFE5D23" w14:textId="77777777" w:rsidTr="001D5220">
        <w:tc>
          <w:tcPr>
            <w:tcW w:w="2425" w:type="dxa"/>
          </w:tcPr>
          <w:p w14:paraId="27D431F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128E02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4263F85" w14:textId="77777777" w:rsidTr="001D5220">
        <w:trPr>
          <w:trHeight w:val="91"/>
        </w:trPr>
        <w:tc>
          <w:tcPr>
            <w:tcW w:w="2425" w:type="dxa"/>
            <w:vMerge w:val="restart"/>
          </w:tcPr>
          <w:p w14:paraId="75480B5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7E8CE2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693A2A4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7775AE4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78ABBF9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6FE30AE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26FB73FF" w14:textId="77777777" w:rsidTr="001D5220">
        <w:trPr>
          <w:trHeight w:val="305"/>
        </w:trPr>
        <w:tc>
          <w:tcPr>
            <w:tcW w:w="2425" w:type="dxa"/>
            <w:vMerge/>
          </w:tcPr>
          <w:p w14:paraId="7A5FB80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524590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E787C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0F4A000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24EF8FE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570E48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79DC18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58469BB3" w14:textId="77777777" w:rsidTr="001D5220">
        <w:tc>
          <w:tcPr>
            <w:tcW w:w="9625" w:type="dxa"/>
            <w:gridSpan w:val="7"/>
            <w:shd w:val="clear" w:color="auto" w:fill="D9D9D9" w:themeFill="background1" w:themeFillShade="D9"/>
          </w:tcPr>
          <w:p w14:paraId="1A15FAE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19. Exemptions for means of transport for persons with disabilities of the locomotor apparatus</w:t>
            </w:r>
          </w:p>
        </w:tc>
      </w:tr>
      <w:tr w:rsidR="00C943A7" w:rsidRPr="007669E1" w14:paraId="369B755D" w14:textId="77777777" w:rsidTr="001D5220">
        <w:tc>
          <w:tcPr>
            <w:tcW w:w="2425" w:type="dxa"/>
          </w:tcPr>
          <w:p w14:paraId="27CFF59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700CD02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transport imported for the transportation of persons with disabilities of the locomotive apparatus are exempt from import duties.</w:t>
            </w:r>
          </w:p>
        </w:tc>
      </w:tr>
      <w:tr w:rsidR="00C943A7" w:rsidRPr="007669E1" w14:paraId="317B9F47" w14:textId="77777777" w:rsidTr="001D5220">
        <w:tc>
          <w:tcPr>
            <w:tcW w:w="2425" w:type="dxa"/>
          </w:tcPr>
          <w:p w14:paraId="04F245F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5D7375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0745702" w14:textId="77777777" w:rsidTr="001D5220">
        <w:tc>
          <w:tcPr>
            <w:tcW w:w="2425" w:type="dxa"/>
          </w:tcPr>
          <w:p w14:paraId="6E9A442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2F3572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Persons with disabilities of the locomotive apparatus</w:t>
            </w:r>
          </w:p>
        </w:tc>
      </w:tr>
      <w:tr w:rsidR="00C943A7" w:rsidRPr="007669E1" w14:paraId="67CF5BDC" w14:textId="77777777" w:rsidTr="001D5220">
        <w:tc>
          <w:tcPr>
            <w:tcW w:w="2425" w:type="dxa"/>
          </w:tcPr>
          <w:p w14:paraId="7A3AA82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3752353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1575B2A" w14:textId="77777777" w:rsidTr="001D5220">
        <w:tc>
          <w:tcPr>
            <w:tcW w:w="2425" w:type="dxa"/>
          </w:tcPr>
          <w:p w14:paraId="1903F69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4816E4E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57C2EF4" w14:textId="77777777" w:rsidTr="001D5220">
        <w:tc>
          <w:tcPr>
            <w:tcW w:w="2425" w:type="dxa"/>
          </w:tcPr>
          <w:p w14:paraId="7F51226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66A2134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13) a)</w:t>
            </w:r>
          </w:p>
          <w:p w14:paraId="72CA4B7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Code, article 20 (4</w:t>
            </w:r>
            <w:r w:rsidRPr="007669E1">
              <w:rPr>
                <w:rFonts w:ascii="Segoe UI" w:hAnsi="Segoe UI" w:cs="Segoe UI"/>
                <w:sz w:val="18"/>
                <w:szCs w:val="18"/>
                <w:vertAlign w:val="superscript"/>
              </w:rPr>
              <w:t>1</w:t>
            </w:r>
            <w:r w:rsidRPr="007669E1">
              <w:rPr>
                <w:rFonts w:ascii="Segoe UI" w:hAnsi="Segoe UI" w:cs="Segoe UI"/>
                <w:sz w:val="18"/>
                <w:szCs w:val="18"/>
              </w:rPr>
              <w:t>) 1)</w:t>
            </w:r>
          </w:p>
          <w:p w14:paraId="55BD97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z) 1</w:t>
            </w:r>
          </w:p>
        </w:tc>
      </w:tr>
      <w:tr w:rsidR="00C943A7" w:rsidRPr="007669E1" w14:paraId="4D1EE6D2" w14:textId="77777777" w:rsidTr="001D5220">
        <w:trPr>
          <w:trHeight w:val="182"/>
        </w:trPr>
        <w:tc>
          <w:tcPr>
            <w:tcW w:w="2425" w:type="dxa"/>
            <w:vMerge w:val="restart"/>
          </w:tcPr>
          <w:p w14:paraId="68223E6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04BFCCC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individuals with disabilities of the locomotive apparatus.</w:t>
            </w:r>
          </w:p>
        </w:tc>
      </w:tr>
      <w:tr w:rsidR="00C943A7" w:rsidRPr="007669E1" w14:paraId="4ACAA1E3" w14:textId="77777777" w:rsidTr="001D5220">
        <w:trPr>
          <w:trHeight w:val="182"/>
        </w:trPr>
        <w:tc>
          <w:tcPr>
            <w:tcW w:w="2425" w:type="dxa"/>
            <w:vMerge/>
          </w:tcPr>
          <w:p w14:paraId="3589F6E8"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08D1FC5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ACAA2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22DEA6C" w14:textId="77777777" w:rsidTr="001D5220">
        <w:tc>
          <w:tcPr>
            <w:tcW w:w="2425" w:type="dxa"/>
          </w:tcPr>
          <w:p w14:paraId="5AB150D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5F7623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57B22D50" w14:textId="77777777" w:rsidTr="001D5220">
        <w:tc>
          <w:tcPr>
            <w:tcW w:w="2425" w:type="dxa"/>
          </w:tcPr>
          <w:p w14:paraId="468717B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47A673B8"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79EF54C8" w14:textId="77777777" w:rsidTr="001D5220">
        <w:tc>
          <w:tcPr>
            <w:tcW w:w="2425" w:type="dxa"/>
          </w:tcPr>
          <w:p w14:paraId="69813D3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1E172B9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453705" w14:textId="77777777" w:rsidTr="001D5220">
        <w:tc>
          <w:tcPr>
            <w:tcW w:w="2425" w:type="dxa"/>
          </w:tcPr>
          <w:p w14:paraId="6D94673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71481B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2F132B1" w14:textId="77777777" w:rsidTr="001D5220">
        <w:trPr>
          <w:trHeight w:val="91"/>
        </w:trPr>
        <w:tc>
          <w:tcPr>
            <w:tcW w:w="2425" w:type="dxa"/>
            <w:vMerge w:val="restart"/>
          </w:tcPr>
          <w:p w14:paraId="585CB50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7998AE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872DD6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49A5248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5F76C33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6A2B874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34AE99E5" w14:textId="77777777" w:rsidTr="001D5220">
        <w:trPr>
          <w:trHeight w:val="305"/>
        </w:trPr>
        <w:tc>
          <w:tcPr>
            <w:tcW w:w="2425" w:type="dxa"/>
            <w:vMerge/>
          </w:tcPr>
          <w:p w14:paraId="1A3274D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CB9FD7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263E1E3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381914B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53CA54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6.1</w:t>
            </w:r>
          </w:p>
        </w:tc>
        <w:tc>
          <w:tcPr>
            <w:tcW w:w="1660" w:type="dxa"/>
            <w:shd w:val="clear" w:color="auto" w:fill="auto"/>
          </w:tcPr>
          <w:p w14:paraId="729E0EE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2952C84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2FCCBB21" w14:textId="77777777" w:rsidTr="001D5220">
        <w:tc>
          <w:tcPr>
            <w:tcW w:w="9625" w:type="dxa"/>
            <w:gridSpan w:val="7"/>
            <w:shd w:val="clear" w:color="auto" w:fill="D9D9D9" w:themeFill="background1" w:themeFillShade="D9"/>
          </w:tcPr>
          <w:p w14:paraId="67D9F65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 Exemption from import duties for goods for the use of disabled persons</w:t>
            </w:r>
          </w:p>
        </w:tc>
      </w:tr>
      <w:tr w:rsidR="00C943A7" w:rsidRPr="007669E1" w14:paraId="0D5E5C1F" w14:textId="77777777" w:rsidTr="001D5220">
        <w:tc>
          <w:tcPr>
            <w:tcW w:w="2425" w:type="dxa"/>
          </w:tcPr>
          <w:p w14:paraId="5C33B20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4642D7D2"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specially designed for the educational, scientific or cultural development of the blind are exempt from import duties. Similarly, goods specially designed for the education, employment or social promotion of persons with physical or mental disabilities, other than the blind, are exempt from import duties.</w:t>
            </w:r>
          </w:p>
        </w:tc>
      </w:tr>
      <w:tr w:rsidR="00C943A7" w:rsidRPr="007669E1" w14:paraId="6FCF075D" w14:textId="77777777" w:rsidTr="001D5220">
        <w:tc>
          <w:tcPr>
            <w:tcW w:w="2425" w:type="dxa"/>
          </w:tcPr>
          <w:p w14:paraId="7800DA0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53B8B39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4137DA2" w14:textId="77777777" w:rsidTr="001D5220">
        <w:tc>
          <w:tcPr>
            <w:tcW w:w="2425" w:type="dxa"/>
          </w:tcPr>
          <w:p w14:paraId="745A749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4D38B8B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Disabled individuals</w:t>
            </w:r>
          </w:p>
        </w:tc>
      </w:tr>
      <w:tr w:rsidR="00C943A7" w:rsidRPr="007669E1" w14:paraId="6301651E" w14:textId="77777777" w:rsidTr="001D5220">
        <w:tc>
          <w:tcPr>
            <w:tcW w:w="2425" w:type="dxa"/>
          </w:tcPr>
          <w:p w14:paraId="4AC75CF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5D460A2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20862B9" w14:textId="77777777" w:rsidTr="001D5220">
        <w:tc>
          <w:tcPr>
            <w:tcW w:w="2425" w:type="dxa"/>
          </w:tcPr>
          <w:p w14:paraId="47912B0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272BAF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4E9ACF70" w14:textId="77777777" w:rsidTr="001D5220">
        <w:tc>
          <w:tcPr>
            <w:tcW w:w="2425" w:type="dxa"/>
          </w:tcPr>
          <w:p w14:paraId="26C02E5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35BDD4D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5</w:t>
            </w:r>
            <w:r w:rsidRPr="007669E1">
              <w:rPr>
                <w:rFonts w:ascii="Segoe UI" w:hAnsi="Segoe UI" w:cs="Segoe UI"/>
                <w:sz w:val="18"/>
                <w:szCs w:val="18"/>
              </w:rPr>
              <w:t xml:space="preserve"> to 277</w:t>
            </w:r>
            <w:r w:rsidRPr="007669E1">
              <w:rPr>
                <w:rFonts w:ascii="Segoe UI" w:hAnsi="Segoe UI" w:cs="Segoe UI"/>
                <w:sz w:val="18"/>
                <w:szCs w:val="18"/>
                <w:vertAlign w:val="superscript"/>
              </w:rPr>
              <w:t>11</w:t>
            </w:r>
          </w:p>
        </w:tc>
      </w:tr>
      <w:tr w:rsidR="00C943A7" w:rsidRPr="007669E1" w14:paraId="3CCDF10B" w14:textId="77777777" w:rsidTr="001D5220">
        <w:trPr>
          <w:trHeight w:val="182"/>
        </w:trPr>
        <w:tc>
          <w:tcPr>
            <w:tcW w:w="2425" w:type="dxa"/>
            <w:vMerge w:val="restart"/>
          </w:tcPr>
          <w:p w14:paraId="2414D04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4D8736C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disabled individuals.</w:t>
            </w:r>
          </w:p>
          <w:p w14:paraId="574CEA8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19C111DE" w14:textId="77777777" w:rsidTr="001D5220">
        <w:trPr>
          <w:trHeight w:val="182"/>
        </w:trPr>
        <w:tc>
          <w:tcPr>
            <w:tcW w:w="2425" w:type="dxa"/>
            <w:vMerge/>
          </w:tcPr>
          <w:p w14:paraId="43A50F15"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2E407B8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AD007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5D88818F" w14:textId="77777777" w:rsidTr="001D5220">
        <w:tc>
          <w:tcPr>
            <w:tcW w:w="2425" w:type="dxa"/>
          </w:tcPr>
          <w:p w14:paraId="1ED720A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3E0B96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D95253E" w14:textId="77777777" w:rsidTr="001D5220">
        <w:tc>
          <w:tcPr>
            <w:tcW w:w="2425" w:type="dxa"/>
          </w:tcPr>
          <w:p w14:paraId="58DF290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043703B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D0641AD" w14:textId="77777777" w:rsidTr="001D5220">
        <w:tc>
          <w:tcPr>
            <w:tcW w:w="2425" w:type="dxa"/>
          </w:tcPr>
          <w:p w14:paraId="6DC29F1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5E5E91A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65A41AE" w14:textId="77777777" w:rsidTr="001D5220">
        <w:tc>
          <w:tcPr>
            <w:tcW w:w="2425" w:type="dxa"/>
          </w:tcPr>
          <w:p w14:paraId="241288C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761608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FBD2CD8" w14:textId="77777777" w:rsidTr="001D5220">
        <w:trPr>
          <w:trHeight w:val="91"/>
        </w:trPr>
        <w:tc>
          <w:tcPr>
            <w:tcW w:w="2425" w:type="dxa"/>
            <w:vMerge w:val="restart"/>
          </w:tcPr>
          <w:p w14:paraId="0F96965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F12513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1CC1602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4192771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2AF036D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5C742BB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1291FF2F" w14:textId="77777777" w:rsidTr="001D5220">
        <w:trPr>
          <w:trHeight w:val="305"/>
        </w:trPr>
        <w:tc>
          <w:tcPr>
            <w:tcW w:w="2425" w:type="dxa"/>
            <w:vMerge/>
          </w:tcPr>
          <w:p w14:paraId="476E4AD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D3AC57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02B572F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0609465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2CDBC60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0647FBC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05F764AA"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11B2680C" w14:textId="77777777" w:rsidTr="001D5220">
        <w:tc>
          <w:tcPr>
            <w:tcW w:w="9625" w:type="dxa"/>
            <w:gridSpan w:val="7"/>
            <w:shd w:val="clear" w:color="auto" w:fill="D9D9D9" w:themeFill="background1" w:themeFillShade="D9"/>
          </w:tcPr>
          <w:p w14:paraId="7EDD7A8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21. Exemption from import duties in respect of the production of medicines</w:t>
            </w:r>
          </w:p>
        </w:tc>
      </w:tr>
      <w:tr w:rsidR="00C943A7" w:rsidRPr="007669E1" w14:paraId="0BD847FF" w14:textId="77777777" w:rsidTr="001D5220">
        <w:tc>
          <w:tcPr>
            <w:tcW w:w="2425" w:type="dxa"/>
          </w:tcPr>
          <w:p w14:paraId="044E4BE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4AC1E76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Medicinal raw materials, materials, articles, and primary and secondary packaging used in the preparation and production of medicines, with the exception of ethyl alcohol and cosmetics, are exempt from import duties.</w:t>
            </w:r>
          </w:p>
        </w:tc>
      </w:tr>
      <w:tr w:rsidR="00C943A7" w:rsidRPr="007669E1" w14:paraId="459BBB12" w14:textId="77777777" w:rsidTr="001D5220">
        <w:tc>
          <w:tcPr>
            <w:tcW w:w="2425" w:type="dxa"/>
          </w:tcPr>
          <w:p w14:paraId="034EBDB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7ED17C5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6398616B" w14:textId="77777777" w:rsidTr="001D5220">
        <w:tc>
          <w:tcPr>
            <w:tcW w:w="2425" w:type="dxa"/>
          </w:tcPr>
          <w:p w14:paraId="02648B9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664AEDF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Manufacturers of medicines</w:t>
            </w:r>
          </w:p>
        </w:tc>
      </w:tr>
      <w:tr w:rsidR="00C943A7" w:rsidRPr="007669E1" w14:paraId="30A4DA08" w14:textId="77777777" w:rsidTr="001D5220">
        <w:tc>
          <w:tcPr>
            <w:tcW w:w="2425" w:type="dxa"/>
          </w:tcPr>
          <w:p w14:paraId="67DE2F4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51C93FE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C135509" w14:textId="77777777" w:rsidTr="001D5220">
        <w:tc>
          <w:tcPr>
            <w:tcW w:w="2425" w:type="dxa"/>
          </w:tcPr>
          <w:p w14:paraId="3F4D345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0FDD690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650036E" w14:textId="77777777" w:rsidTr="001D5220">
        <w:tc>
          <w:tcPr>
            <w:tcW w:w="2425" w:type="dxa"/>
          </w:tcPr>
          <w:p w14:paraId="4CB2212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68AE71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11)</w:t>
            </w:r>
          </w:p>
          <w:p w14:paraId="073EFB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z</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443459DB" w14:textId="77777777" w:rsidTr="001D5220">
        <w:trPr>
          <w:trHeight w:val="182"/>
        </w:trPr>
        <w:tc>
          <w:tcPr>
            <w:tcW w:w="2425" w:type="dxa"/>
            <w:vMerge w:val="restart"/>
          </w:tcPr>
          <w:p w14:paraId="16A05FC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21869CA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production of pharmaceutical products in Moldova.</w:t>
            </w:r>
          </w:p>
        </w:tc>
      </w:tr>
      <w:tr w:rsidR="00C943A7" w:rsidRPr="007669E1" w14:paraId="744A9D63" w14:textId="77777777" w:rsidTr="001D5220">
        <w:trPr>
          <w:trHeight w:val="182"/>
        </w:trPr>
        <w:tc>
          <w:tcPr>
            <w:tcW w:w="2425" w:type="dxa"/>
            <w:vMerge/>
          </w:tcPr>
          <w:p w14:paraId="27680053"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5BE13AD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6A9BC11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73CF1DF" w14:textId="77777777" w:rsidTr="001D5220">
        <w:tc>
          <w:tcPr>
            <w:tcW w:w="2425" w:type="dxa"/>
          </w:tcPr>
          <w:p w14:paraId="6D84D49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1BDCF8A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1FB748F3" w14:textId="77777777" w:rsidTr="001D5220">
        <w:tc>
          <w:tcPr>
            <w:tcW w:w="2425" w:type="dxa"/>
          </w:tcPr>
          <w:p w14:paraId="4817B68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50C13912"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BE3EEF9" w14:textId="77777777" w:rsidTr="001D5220">
        <w:tc>
          <w:tcPr>
            <w:tcW w:w="2425" w:type="dxa"/>
          </w:tcPr>
          <w:p w14:paraId="55764AD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362245F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C6C0A51" w14:textId="77777777" w:rsidTr="001D5220">
        <w:tc>
          <w:tcPr>
            <w:tcW w:w="2425" w:type="dxa"/>
          </w:tcPr>
          <w:p w14:paraId="5253AE2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6F4D1D5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711AAD8" w14:textId="77777777" w:rsidTr="001D5220">
        <w:trPr>
          <w:trHeight w:val="91"/>
        </w:trPr>
        <w:tc>
          <w:tcPr>
            <w:tcW w:w="2425" w:type="dxa"/>
            <w:vMerge w:val="restart"/>
          </w:tcPr>
          <w:p w14:paraId="57D4B2B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5DA23D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6C9D38B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6695568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0A25BD6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64E101D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0C4EA06F" w14:textId="77777777" w:rsidTr="001D5220">
        <w:trPr>
          <w:trHeight w:val="305"/>
        </w:trPr>
        <w:tc>
          <w:tcPr>
            <w:tcW w:w="2425" w:type="dxa"/>
            <w:vMerge/>
          </w:tcPr>
          <w:p w14:paraId="6BD3EA5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BD235E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4,131.5</w:t>
            </w:r>
          </w:p>
        </w:tc>
        <w:tc>
          <w:tcPr>
            <w:tcW w:w="1385" w:type="dxa"/>
            <w:shd w:val="clear" w:color="auto" w:fill="auto"/>
          </w:tcPr>
          <w:p w14:paraId="0A6B4D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4,736.6</w:t>
            </w:r>
          </w:p>
        </w:tc>
        <w:tc>
          <w:tcPr>
            <w:tcW w:w="1385" w:type="dxa"/>
            <w:gridSpan w:val="2"/>
            <w:shd w:val="clear" w:color="auto" w:fill="auto"/>
          </w:tcPr>
          <w:p w14:paraId="517FFBD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3,881.7</w:t>
            </w:r>
          </w:p>
        </w:tc>
        <w:tc>
          <w:tcPr>
            <w:tcW w:w="1385" w:type="dxa"/>
            <w:shd w:val="clear" w:color="auto" w:fill="auto"/>
          </w:tcPr>
          <w:p w14:paraId="35ECAA7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3,341.9</w:t>
            </w:r>
          </w:p>
        </w:tc>
        <w:tc>
          <w:tcPr>
            <w:tcW w:w="1660" w:type="dxa"/>
            <w:shd w:val="clear" w:color="auto" w:fill="BFBFBF" w:themeFill="background1" w:themeFillShade="BF"/>
          </w:tcPr>
          <w:p w14:paraId="5355594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3,883.6</w:t>
            </w:r>
          </w:p>
        </w:tc>
      </w:tr>
    </w:tbl>
    <w:p w14:paraId="3F6D792C"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3A1200E9" w14:textId="77777777" w:rsidTr="001D5220">
        <w:tc>
          <w:tcPr>
            <w:tcW w:w="9625" w:type="dxa"/>
            <w:gridSpan w:val="7"/>
            <w:shd w:val="clear" w:color="auto" w:fill="D9D9D9" w:themeFill="background1" w:themeFillShade="D9"/>
          </w:tcPr>
          <w:p w14:paraId="65CE655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22. Exemption from import duties for reference substances for quality control of medicines</w:t>
            </w:r>
          </w:p>
        </w:tc>
      </w:tr>
      <w:tr w:rsidR="00C943A7" w:rsidRPr="007669E1" w14:paraId="50845294" w14:textId="77777777" w:rsidTr="001D5220">
        <w:tc>
          <w:tcPr>
            <w:tcW w:w="2425" w:type="dxa"/>
          </w:tcPr>
          <w:p w14:paraId="5FB9C9B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757CD1AA"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Samples of reference substances approved by the World Health Organization for the control of the quality of materials used in the manufacture of medicines are exempt from import duties.</w:t>
            </w:r>
          </w:p>
        </w:tc>
      </w:tr>
      <w:tr w:rsidR="00C943A7" w:rsidRPr="007669E1" w14:paraId="2B26A14B" w14:textId="77777777" w:rsidTr="001D5220">
        <w:tc>
          <w:tcPr>
            <w:tcW w:w="2425" w:type="dxa"/>
          </w:tcPr>
          <w:p w14:paraId="7F60E04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42895F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B29AF92" w14:textId="77777777" w:rsidTr="001D5220">
        <w:tc>
          <w:tcPr>
            <w:tcW w:w="2425" w:type="dxa"/>
          </w:tcPr>
          <w:p w14:paraId="0406931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0B46835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Manufacturers of medicines</w:t>
            </w:r>
          </w:p>
        </w:tc>
      </w:tr>
      <w:tr w:rsidR="00C943A7" w:rsidRPr="007669E1" w14:paraId="7BF5CFBC" w14:textId="77777777" w:rsidTr="001D5220">
        <w:tc>
          <w:tcPr>
            <w:tcW w:w="2425" w:type="dxa"/>
          </w:tcPr>
          <w:p w14:paraId="79413D6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56DD1ED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2AD2B08" w14:textId="77777777" w:rsidTr="001D5220">
        <w:tc>
          <w:tcPr>
            <w:tcW w:w="2425" w:type="dxa"/>
          </w:tcPr>
          <w:p w14:paraId="202F5C2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53EE29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FA42A66" w14:textId="77777777" w:rsidTr="001D5220">
        <w:tc>
          <w:tcPr>
            <w:tcW w:w="2425" w:type="dxa"/>
          </w:tcPr>
          <w:p w14:paraId="7858D3C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02C08B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248</w:t>
            </w:r>
          </w:p>
        </w:tc>
      </w:tr>
      <w:tr w:rsidR="00C943A7" w:rsidRPr="007669E1" w14:paraId="3102E717" w14:textId="77777777" w:rsidTr="001D5220">
        <w:trPr>
          <w:trHeight w:val="182"/>
        </w:trPr>
        <w:tc>
          <w:tcPr>
            <w:tcW w:w="2425" w:type="dxa"/>
            <w:vMerge w:val="restart"/>
          </w:tcPr>
          <w:p w14:paraId="47FB645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12466E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production of medicines in Moldova.</w:t>
            </w:r>
          </w:p>
          <w:p w14:paraId="331468B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1A6D427" w14:textId="77777777" w:rsidTr="001D5220">
        <w:trPr>
          <w:trHeight w:val="182"/>
        </w:trPr>
        <w:tc>
          <w:tcPr>
            <w:tcW w:w="2425" w:type="dxa"/>
            <w:vMerge/>
          </w:tcPr>
          <w:p w14:paraId="57681B52"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4FECFAF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5163ED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CABDE36" w14:textId="77777777" w:rsidTr="001D5220">
        <w:tc>
          <w:tcPr>
            <w:tcW w:w="2425" w:type="dxa"/>
          </w:tcPr>
          <w:p w14:paraId="7825874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52C28D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3F01678" w14:textId="77777777" w:rsidTr="001D5220">
        <w:tc>
          <w:tcPr>
            <w:tcW w:w="2425" w:type="dxa"/>
          </w:tcPr>
          <w:p w14:paraId="3878873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02E7713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F837DF1" w14:textId="77777777" w:rsidTr="001D5220">
        <w:tc>
          <w:tcPr>
            <w:tcW w:w="2425" w:type="dxa"/>
          </w:tcPr>
          <w:p w14:paraId="2C9A9CE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428190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73B9D06" w14:textId="77777777" w:rsidTr="001D5220">
        <w:tc>
          <w:tcPr>
            <w:tcW w:w="2425" w:type="dxa"/>
          </w:tcPr>
          <w:p w14:paraId="72838C5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3BAD02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25F9EE8" w14:textId="77777777" w:rsidTr="001D5220">
        <w:trPr>
          <w:trHeight w:val="91"/>
        </w:trPr>
        <w:tc>
          <w:tcPr>
            <w:tcW w:w="2425" w:type="dxa"/>
            <w:vMerge w:val="restart"/>
          </w:tcPr>
          <w:p w14:paraId="4503D83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F8B1C6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6CCCA5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097B7DA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618FD71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663B776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58890F67" w14:textId="77777777" w:rsidTr="001D5220">
        <w:trPr>
          <w:trHeight w:val="305"/>
        </w:trPr>
        <w:tc>
          <w:tcPr>
            <w:tcW w:w="2425" w:type="dxa"/>
            <w:vMerge/>
          </w:tcPr>
          <w:p w14:paraId="795FD58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C8EFB5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444E643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0E67AA2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9F7BD5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702863C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D20C62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7B11B042" w14:textId="77777777" w:rsidTr="001D5220">
        <w:tc>
          <w:tcPr>
            <w:tcW w:w="9625" w:type="dxa"/>
            <w:gridSpan w:val="7"/>
            <w:shd w:val="clear" w:color="auto" w:fill="D9D9D9" w:themeFill="background1" w:themeFillShade="D9"/>
          </w:tcPr>
          <w:p w14:paraId="0D5E7095" w14:textId="77777777" w:rsidR="007E7377" w:rsidRPr="00864C2A" w:rsidRDefault="007E7377" w:rsidP="00E90BA7">
            <w:pPr>
              <w:keepNext/>
              <w:spacing w:before="20" w:after="20" w:line="240" w:lineRule="auto"/>
              <w:jc w:val="both"/>
              <w:rPr>
                <w:rFonts w:ascii="Segoe UI" w:hAnsi="Segoe UI" w:cs="Segoe UI"/>
                <w:b/>
                <w:bCs/>
                <w:sz w:val="18"/>
                <w:szCs w:val="18"/>
              </w:rPr>
            </w:pPr>
            <w:r w:rsidRPr="00864C2A">
              <w:rPr>
                <w:rFonts w:ascii="Segoe UI" w:hAnsi="Segoe UI" w:cs="Segoe UI"/>
                <w:b/>
                <w:bCs/>
                <w:sz w:val="18"/>
                <w:szCs w:val="18"/>
              </w:rPr>
              <w:lastRenderedPageBreak/>
              <w:t>23. Exemption from import duties for certain medical products and instruments</w:t>
            </w:r>
          </w:p>
        </w:tc>
      </w:tr>
      <w:tr w:rsidR="00C943A7" w:rsidRPr="007669E1" w14:paraId="6A8135D4" w14:textId="77777777" w:rsidTr="001D5220">
        <w:tc>
          <w:tcPr>
            <w:tcW w:w="2425" w:type="dxa"/>
          </w:tcPr>
          <w:p w14:paraId="70A3D3A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57FB9B49" w14:textId="77777777" w:rsidR="007E7377" w:rsidRPr="007669E1" w:rsidRDefault="007E7377" w:rsidP="00E90BA7">
            <w:pPr>
              <w:keepNext/>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are not charged on imports by accredited institutions and laboratories of human blood and its derivatives and reagents used to determine blood groups and tissue types to be used for non-commercial medical or scientific purposes.</w:t>
            </w:r>
          </w:p>
        </w:tc>
      </w:tr>
      <w:tr w:rsidR="00C943A7" w:rsidRPr="007669E1" w14:paraId="629DA785" w14:textId="77777777" w:rsidTr="001D5220">
        <w:tc>
          <w:tcPr>
            <w:tcW w:w="2425" w:type="dxa"/>
          </w:tcPr>
          <w:p w14:paraId="79FAFEF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2D13909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9EECD21" w14:textId="77777777" w:rsidTr="001D5220">
        <w:tc>
          <w:tcPr>
            <w:tcW w:w="2425" w:type="dxa"/>
          </w:tcPr>
          <w:p w14:paraId="553096E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4419B98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Accredited institutions and laboratories</w:t>
            </w:r>
          </w:p>
        </w:tc>
      </w:tr>
      <w:tr w:rsidR="00C943A7" w:rsidRPr="007669E1" w14:paraId="23829B69" w14:textId="77777777" w:rsidTr="001D5220">
        <w:tc>
          <w:tcPr>
            <w:tcW w:w="2425" w:type="dxa"/>
          </w:tcPr>
          <w:p w14:paraId="49402C1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3DE8B55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8AD1E26" w14:textId="77777777" w:rsidTr="001D5220">
        <w:tc>
          <w:tcPr>
            <w:tcW w:w="2425" w:type="dxa"/>
          </w:tcPr>
          <w:p w14:paraId="6490D0D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22A82C0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B7CB477" w14:textId="77777777" w:rsidTr="001D5220">
        <w:tc>
          <w:tcPr>
            <w:tcW w:w="2425" w:type="dxa"/>
          </w:tcPr>
          <w:p w14:paraId="146A4DF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4D3E562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243 to 247</w:t>
            </w:r>
          </w:p>
        </w:tc>
      </w:tr>
      <w:tr w:rsidR="00C943A7" w:rsidRPr="007669E1" w14:paraId="52B1E7D6" w14:textId="77777777" w:rsidTr="001D5220">
        <w:trPr>
          <w:trHeight w:val="182"/>
        </w:trPr>
        <w:tc>
          <w:tcPr>
            <w:tcW w:w="2425" w:type="dxa"/>
            <w:vMerge w:val="restart"/>
          </w:tcPr>
          <w:p w14:paraId="2A243B4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4B0405C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medical and scientific research.</w:t>
            </w:r>
          </w:p>
          <w:p w14:paraId="745DEF4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2F657CA" w14:textId="77777777" w:rsidTr="001D5220">
        <w:trPr>
          <w:trHeight w:val="182"/>
        </w:trPr>
        <w:tc>
          <w:tcPr>
            <w:tcW w:w="2425" w:type="dxa"/>
            <w:vMerge/>
          </w:tcPr>
          <w:p w14:paraId="0E17E39F"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45840D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5FF01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6907B75" w14:textId="77777777" w:rsidTr="001D5220">
        <w:tc>
          <w:tcPr>
            <w:tcW w:w="2425" w:type="dxa"/>
          </w:tcPr>
          <w:p w14:paraId="4F92D3B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4ED0426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C8313F6" w14:textId="77777777" w:rsidTr="001D5220">
        <w:tc>
          <w:tcPr>
            <w:tcW w:w="2425" w:type="dxa"/>
          </w:tcPr>
          <w:p w14:paraId="0FDCEBA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29494FB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6A70D67" w14:textId="77777777" w:rsidTr="001D5220">
        <w:tc>
          <w:tcPr>
            <w:tcW w:w="2425" w:type="dxa"/>
          </w:tcPr>
          <w:p w14:paraId="4BA1BC5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16C2B50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6663FD4" w14:textId="77777777" w:rsidTr="001D5220">
        <w:tc>
          <w:tcPr>
            <w:tcW w:w="2425" w:type="dxa"/>
          </w:tcPr>
          <w:p w14:paraId="11BA160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2AEC4D8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E497C69" w14:textId="77777777" w:rsidTr="001D5220">
        <w:trPr>
          <w:trHeight w:val="91"/>
        </w:trPr>
        <w:tc>
          <w:tcPr>
            <w:tcW w:w="2425" w:type="dxa"/>
            <w:vMerge w:val="restart"/>
          </w:tcPr>
          <w:p w14:paraId="5BAB8C6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F36CDF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489836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3A83097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500F0E8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6CACDA8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1ADAA599" w14:textId="77777777" w:rsidTr="001D5220">
        <w:trPr>
          <w:trHeight w:val="305"/>
        </w:trPr>
        <w:tc>
          <w:tcPr>
            <w:tcW w:w="2425" w:type="dxa"/>
            <w:vMerge/>
          </w:tcPr>
          <w:p w14:paraId="2436A7A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FCB88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1E3C376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072714F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015AE17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688D83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10F9CBC"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20463F1C" w14:textId="77777777" w:rsidTr="001D5220">
        <w:tc>
          <w:tcPr>
            <w:tcW w:w="9625" w:type="dxa"/>
            <w:gridSpan w:val="7"/>
            <w:shd w:val="clear" w:color="auto" w:fill="D9D9D9" w:themeFill="background1" w:themeFillShade="D9"/>
          </w:tcPr>
          <w:p w14:paraId="5EFCB8B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24. Exemption from import duties for dialyzers</w:t>
            </w:r>
          </w:p>
        </w:tc>
      </w:tr>
      <w:tr w:rsidR="00C943A7" w:rsidRPr="007669E1" w14:paraId="7BCD9728" w14:textId="77777777" w:rsidTr="001D5220">
        <w:tc>
          <w:tcPr>
            <w:tcW w:w="2425" w:type="dxa"/>
          </w:tcPr>
          <w:p w14:paraId="41EFE2B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2AD9ACF9"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Dialyzers under tariff heading 842129 are exempt from import duties.</w:t>
            </w:r>
          </w:p>
        </w:tc>
      </w:tr>
      <w:tr w:rsidR="00C943A7" w:rsidRPr="007669E1" w14:paraId="7189921F" w14:textId="77777777" w:rsidTr="001D5220">
        <w:tc>
          <w:tcPr>
            <w:tcW w:w="2425" w:type="dxa"/>
          </w:tcPr>
          <w:p w14:paraId="192CDD6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6936ACA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1254657" w14:textId="77777777" w:rsidTr="001D5220">
        <w:tc>
          <w:tcPr>
            <w:tcW w:w="2425" w:type="dxa"/>
          </w:tcPr>
          <w:p w14:paraId="45B7B63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33D5EE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Healthcare institutions</w:t>
            </w:r>
          </w:p>
        </w:tc>
      </w:tr>
      <w:tr w:rsidR="00C943A7" w:rsidRPr="007669E1" w14:paraId="41BB2745" w14:textId="77777777" w:rsidTr="001D5220">
        <w:tc>
          <w:tcPr>
            <w:tcW w:w="2425" w:type="dxa"/>
          </w:tcPr>
          <w:p w14:paraId="7E083D0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1D1B774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E4C9D67" w14:textId="77777777" w:rsidTr="001D5220">
        <w:tc>
          <w:tcPr>
            <w:tcW w:w="2425" w:type="dxa"/>
          </w:tcPr>
          <w:p w14:paraId="43DE6B6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46CBAA2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C85E1E0" w14:textId="77777777" w:rsidTr="001D5220">
        <w:tc>
          <w:tcPr>
            <w:tcW w:w="2425" w:type="dxa"/>
          </w:tcPr>
          <w:p w14:paraId="2C3F211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0CE5D47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12)</w:t>
            </w:r>
          </w:p>
          <w:p w14:paraId="6815846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z</w:t>
            </w:r>
            <w:r w:rsidRPr="007669E1">
              <w:rPr>
                <w:rFonts w:ascii="Segoe UI" w:hAnsi="Segoe UI" w:cs="Segoe UI"/>
                <w:sz w:val="18"/>
                <w:szCs w:val="18"/>
                <w:vertAlign w:val="superscript"/>
              </w:rPr>
              <w:t>2</w:t>
            </w:r>
            <w:r w:rsidRPr="007669E1">
              <w:rPr>
                <w:rFonts w:ascii="Segoe UI" w:hAnsi="Segoe UI" w:cs="Segoe UI"/>
                <w:sz w:val="18"/>
                <w:szCs w:val="18"/>
              </w:rPr>
              <w:t>)</w:t>
            </w:r>
          </w:p>
        </w:tc>
      </w:tr>
      <w:tr w:rsidR="00C943A7" w:rsidRPr="007669E1" w14:paraId="5FF54B5E" w14:textId="77777777" w:rsidTr="001D5220">
        <w:trPr>
          <w:trHeight w:val="182"/>
        </w:trPr>
        <w:tc>
          <w:tcPr>
            <w:tcW w:w="2425" w:type="dxa"/>
            <w:vMerge w:val="restart"/>
          </w:tcPr>
          <w:p w14:paraId="5737228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793421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access to dialyzers for healthcare institutions.</w:t>
            </w:r>
          </w:p>
        </w:tc>
      </w:tr>
      <w:tr w:rsidR="00C943A7" w:rsidRPr="007669E1" w14:paraId="3298EA15" w14:textId="77777777" w:rsidTr="001D5220">
        <w:trPr>
          <w:trHeight w:val="182"/>
        </w:trPr>
        <w:tc>
          <w:tcPr>
            <w:tcW w:w="2425" w:type="dxa"/>
            <w:vMerge/>
          </w:tcPr>
          <w:p w14:paraId="60592D56"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582D346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594120E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C5EAB8D" w14:textId="77777777" w:rsidTr="001D5220">
        <w:tc>
          <w:tcPr>
            <w:tcW w:w="2425" w:type="dxa"/>
          </w:tcPr>
          <w:p w14:paraId="2F58F42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029A814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33C143EC" w14:textId="77777777" w:rsidTr="001D5220">
        <w:tc>
          <w:tcPr>
            <w:tcW w:w="2425" w:type="dxa"/>
          </w:tcPr>
          <w:p w14:paraId="56E83ED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26C02111"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61E54687" w14:textId="77777777" w:rsidTr="001D5220">
        <w:tc>
          <w:tcPr>
            <w:tcW w:w="2425" w:type="dxa"/>
          </w:tcPr>
          <w:p w14:paraId="185777C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6E9B96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2DFDD6D" w14:textId="77777777" w:rsidTr="001D5220">
        <w:tc>
          <w:tcPr>
            <w:tcW w:w="2425" w:type="dxa"/>
          </w:tcPr>
          <w:p w14:paraId="33CF9EE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3F0FF96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E7A26E8" w14:textId="77777777" w:rsidTr="001D5220">
        <w:trPr>
          <w:trHeight w:val="91"/>
        </w:trPr>
        <w:tc>
          <w:tcPr>
            <w:tcW w:w="2425" w:type="dxa"/>
            <w:vMerge w:val="restart"/>
          </w:tcPr>
          <w:p w14:paraId="413E85D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6A1BB3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597D73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3D292A1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6F40492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10447CF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02047E2A" w14:textId="77777777" w:rsidTr="001D5220">
        <w:trPr>
          <w:trHeight w:val="305"/>
        </w:trPr>
        <w:tc>
          <w:tcPr>
            <w:tcW w:w="2425" w:type="dxa"/>
            <w:vMerge/>
          </w:tcPr>
          <w:p w14:paraId="1F3367B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21E1A9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1,223.2</w:t>
            </w:r>
          </w:p>
        </w:tc>
        <w:tc>
          <w:tcPr>
            <w:tcW w:w="1385" w:type="dxa"/>
            <w:shd w:val="clear" w:color="auto" w:fill="auto"/>
          </w:tcPr>
          <w:p w14:paraId="27EDEC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995.9</w:t>
            </w:r>
          </w:p>
        </w:tc>
        <w:tc>
          <w:tcPr>
            <w:tcW w:w="1385" w:type="dxa"/>
            <w:gridSpan w:val="2"/>
            <w:shd w:val="clear" w:color="auto" w:fill="auto"/>
          </w:tcPr>
          <w:p w14:paraId="6D9D143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1,597.6</w:t>
            </w:r>
          </w:p>
        </w:tc>
        <w:tc>
          <w:tcPr>
            <w:tcW w:w="1385" w:type="dxa"/>
            <w:shd w:val="clear" w:color="auto" w:fill="auto"/>
          </w:tcPr>
          <w:p w14:paraId="3E1E6A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1,595.6</w:t>
            </w:r>
          </w:p>
        </w:tc>
        <w:tc>
          <w:tcPr>
            <w:tcW w:w="1660" w:type="dxa"/>
            <w:shd w:val="clear" w:color="auto" w:fill="BFBFBF" w:themeFill="background1" w:themeFillShade="BF"/>
          </w:tcPr>
          <w:p w14:paraId="2FDE663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1,908.1</w:t>
            </w:r>
          </w:p>
        </w:tc>
      </w:tr>
    </w:tbl>
    <w:p w14:paraId="0168C27D"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52597EC2" w14:textId="77777777" w:rsidTr="001D5220">
        <w:tc>
          <w:tcPr>
            <w:tcW w:w="9625" w:type="dxa"/>
            <w:gridSpan w:val="7"/>
            <w:shd w:val="clear" w:color="auto" w:fill="D9D9D9" w:themeFill="background1" w:themeFillShade="D9"/>
          </w:tcPr>
          <w:p w14:paraId="2AF9F5D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25. Exemption from import duties for COVID-19 vaccines</w:t>
            </w:r>
          </w:p>
        </w:tc>
      </w:tr>
      <w:tr w:rsidR="00C943A7" w:rsidRPr="007669E1" w14:paraId="6C089716" w14:textId="77777777" w:rsidTr="001D5220">
        <w:tc>
          <w:tcPr>
            <w:tcW w:w="2425" w:type="dxa"/>
          </w:tcPr>
          <w:p w14:paraId="4E60CBF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727E22C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Imports of anti-COVID-19 vaccines procured from governmental financial sources are exempt from import duties.</w:t>
            </w:r>
          </w:p>
        </w:tc>
      </w:tr>
      <w:tr w:rsidR="00C943A7" w:rsidRPr="007669E1" w14:paraId="7BABE786" w14:textId="77777777" w:rsidTr="001D5220">
        <w:tc>
          <w:tcPr>
            <w:tcW w:w="2425" w:type="dxa"/>
          </w:tcPr>
          <w:p w14:paraId="209917C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2C31558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E43D6CF" w14:textId="77777777" w:rsidTr="001D5220">
        <w:tc>
          <w:tcPr>
            <w:tcW w:w="2425" w:type="dxa"/>
          </w:tcPr>
          <w:p w14:paraId="0CDDEFB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39416EC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Government</w:t>
            </w:r>
          </w:p>
        </w:tc>
      </w:tr>
      <w:tr w:rsidR="00C943A7" w:rsidRPr="007669E1" w14:paraId="0CC034D0" w14:textId="77777777" w:rsidTr="001D5220">
        <w:tc>
          <w:tcPr>
            <w:tcW w:w="2425" w:type="dxa"/>
          </w:tcPr>
          <w:p w14:paraId="2B94891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lastRenderedPageBreak/>
              <w:t>Type of Measure</w:t>
            </w:r>
          </w:p>
        </w:tc>
        <w:tc>
          <w:tcPr>
            <w:tcW w:w="7200" w:type="dxa"/>
            <w:gridSpan w:val="6"/>
          </w:tcPr>
          <w:p w14:paraId="7C5CBCB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415940A" w14:textId="77777777" w:rsidTr="001D5220">
        <w:tc>
          <w:tcPr>
            <w:tcW w:w="2425" w:type="dxa"/>
          </w:tcPr>
          <w:p w14:paraId="44B6C6E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32FAA19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15B7467" w14:textId="77777777" w:rsidTr="001D5220">
        <w:tc>
          <w:tcPr>
            <w:tcW w:w="2425" w:type="dxa"/>
          </w:tcPr>
          <w:p w14:paraId="5ADD255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70EE4F0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z</w:t>
            </w:r>
            <w:r w:rsidRPr="007669E1">
              <w:rPr>
                <w:rFonts w:ascii="Segoe UI" w:hAnsi="Segoe UI" w:cs="Segoe UI"/>
                <w:sz w:val="18"/>
                <w:szCs w:val="18"/>
                <w:vertAlign w:val="superscript"/>
              </w:rPr>
              <w:t>4</w:t>
            </w:r>
            <w:r w:rsidRPr="007669E1">
              <w:rPr>
                <w:rFonts w:ascii="Segoe UI" w:hAnsi="Segoe UI" w:cs="Segoe UI"/>
                <w:sz w:val="18"/>
                <w:szCs w:val="18"/>
              </w:rPr>
              <w:t>)</w:t>
            </w:r>
          </w:p>
        </w:tc>
      </w:tr>
      <w:tr w:rsidR="00C943A7" w:rsidRPr="007669E1" w14:paraId="1D957926" w14:textId="77777777" w:rsidTr="001D5220">
        <w:trPr>
          <w:trHeight w:val="182"/>
        </w:trPr>
        <w:tc>
          <w:tcPr>
            <w:tcW w:w="2425" w:type="dxa"/>
            <w:vMerge w:val="restart"/>
          </w:tcPr>
          <w:p w14:paraId="2C8D3C6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415322F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access to COVID-19 vaccines.</w:t>
            </w:r>
          </w:p>
          <w:p w14:paraId="2D716A7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Law no. 35 of 18-03-2021.</w:t>
            </w:r>
          </w:p>
          <w:p w14:paraId="730EE5D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28F5901D" w14:textId="77777777" w:rsidTr="001D5220">
        <w:trPr>
          <w:trHeight w:val="182"/>
        </w:trPr>
        <w:tc>
          <w:tcPr>
            <w:tcW w:w="2425" w:type="dxa"/>
            <w:vMerge/>
          </w:tcPr>
          <w:p w14:paraId="0A557841"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0BF31A1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2021</w:t>
            </w:r>
          </w:p>
        </w:tc>
        <w:tc>
          <w:tcPr>
            <w:tcW w:w="3738" w:type="dxa"/>
            <w:gridSpan w:val="3"/>
          </w:tcPr>
          <w:p w14:paraId="083D0B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1F579736" w14:textId="77777777" w:rsidTr="001D5220">
        <w:tc>
          <w:tcPr>
            <w:tcW w:w="2425" w:type="dxa"/>
          </w:tcPr>
          <w:p w14:paraId="6FA67F1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6165F4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486487B" w14:textId="77777777" w:rsidTr="001D5220">
        <w:tc>
          <w:tcPr>
            <w:tcW w:w="2425" w:type="dxa"/>
          </w:tcPr>
          <w:p w14:paraId="7E50BE4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7AA12E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EE87E19" w14:textId="77777777" w:rsidTr="001D5220">
        <w:tc>
          <w:tcPr>
            <w:tcW w:w="2425" w:type="dxa"/>
          </w:tcPr>
          <w:p w14:paraId="7E974B8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0D38963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1F06D48" w14:textId="77777777" w:rsidTr="001D5220">
        <w:tc>
          <w:tcPr>
            <w:tcW w:w="2425" w:type="dxa"/>
          </w:tcPr>
          <w:p w14:paraId="483A5A0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019D7D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7509577" w14:textId="77777777" w:rsidTr="001D5220">
        <w:trPr>
          <w:trHeight w:val="91"/>
        </w:trPr>
        <w:tc>
          <w:tcPr>
            <w:tcW w:w="2425" w:type="dxa"/>
            <w:vMerge w:val="restart"/>
          </w:tcPr>
          <w:p w14:paraId="4F9D190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8D61DE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294564A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6634518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0028C4F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3718390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4C3CCB0C" w14:textId="77777777" w:rsidTr="001D5220">
        <w:trPr>
          <w:trHeight w:val="305"/>
        </w:trPr>
        <w:tc>
          <w:tcPr>
            <w:tcW w:w="2425" w:type="dxa"/>
            <w:vMerge/>
          </w:tcPr>
          <w:p w14:paraId="2982C8E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96120A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3E2D7F8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7281487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64C6A7F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660" w:type="dxa"/>
            <w:shd w:val="clear" w:color="auto" w:fill="auto"/>
          </w:tcPr>
          <w:p w14:paraId="3426B6B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bl>
    <w:p w14:paraId="53465E27"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3302C732" w14:textId="77777777" w:rsidTr="001D5220">
        <w:tc>
          <w:tcPr>
            <w:tcW w:w="9625" w:type="dxa"/>
            <w:gridSpan w:val="7"/>
            <w:shd w:val="clear" w:color="auto" w:fill="D9D9D9" w:themeFill="background1" w:themeFillShade="D9"/>
          </w:tcPr>
          <w:p w14:paraId="4D96F35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26. Exemption from import duties for books, periodicals and didactic materials</w:t>
            </w:r>
          </w:p>
        </w:tc>
      </w:tr>
      <w:tr w:rsidR="00C943A7" w:rsidRPr="007669E1" w14:paraId="4DF68803" w14:textId="77777777" w:rsidTr="001D5220">
        <w:tc>
          <w:tcPr>
            <w:tcW w:w="2425" w:type="dxa"/>
          </w:tcPr>
          <w:p w14:paraId="0CA09A8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08555DA7"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Imports of books, periodicals (except those of an advertising or erotic nature) and didactic materials for preschools and educational and curative institutions are exempt from import duties.</w:t>
            </w:r>
          </w:p>
        </w:tc>
      </w:tr>
      <w:tr w:rsidR="00C943A7" w:rsidRPr="007669E1" w14:paraId="1C521081" w14:textId="77777777" w:rsidTr="001D5220">
        <w:tc>
          <w:tcPr>
            <w:tcW w:w="2425" w:type="dxa"/>
          </w:tcPr>
          <w:p w14:paraId="05CCCBB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1CAFB8D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71F1B0E5" w14:textId="77777777" w:rsidTr="001D5220">
        <w:tc>
          <w:tcPr>
            <w:tcW w:w="2425" w:type="dxa"/>
          </w:tcPr>
          <w:p w14:paraId="134FF1E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7CFF872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Households, preschools, educational and curative institutions</w:t>
            </w:r>
          </w:p>
        </w:tc>
      </w:tr>
      <w:tr w:rsidR="00C943A7" w:rsidRPr="007669E1" w14:paraId="500FF44C" w14:textId="77777777" w:rsidTr="001D5220">
        <w:tc>
          <w:tcPr>
            <w:tcW w:w="2425" w:type="dxa"/>
          </w:tcPr>
          <w:p w14:paraId="601C429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37338F5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C35B162" w14:textId="77777777" w:rsidTr="001D5220">
        <w:tc>
          <w:tcPr>
            <w:tcW w:w="2425" w:type="dxa"/>
          </w:tcPr>
          <w:p w14:paraId="0F1BD7B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3A2F1B4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7EF826B4" w14:textId="77777777" w:rsidTr="001D5220">
        <w:tc>
          <w:tcPr>
            <w:tcW w:w="2425" w:type="dxa"/>
          </w:tcPr>
          <w:p w14:paraId="72E2C07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7FFF44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j)</w:t>
            </w:r>
          </w:p>
        </w:tc>
      </w:tr>
      <w:tr w:rsidR="00C943A7" w:rsidRPr="007669E1" w14:paraId="405E6D7D" w14:textId="77777777" w:rsidTr="001D5220">
        <w:trPr>
          <w:trHeight w:val="182"/>
        </w:trPr>
        <w:tc>
          <w:tcPr>
            <w:tcW w:w="2425" w:type="dxa"/>
            <w:vMerge w:val="restart"/>
          </w:tcPr>
          <w:p w14:paraId="10F1C85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269FA2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education.</w:t>
            </w:r>
          </w:p>
          <w:p w14:paraId="55307DF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680F01B9" w14:textId="77777777" w:rsidTr="001D5220">
        <w:trPr>
          <w:trHeight w:val="182"/>
        </w:trPr>
        <w:tc>
          <w:tcPr>
            <w:tcW w:w="2425" w:type="dxa"/>
            <w:vMerge/>
          </w:tcPr>
          <w:p w14:paraId="019B23B0"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37B4D1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EC8CA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1EFCA5BE" w14:textId="77777777" w:rsidTr="001D5220">
        <w:tc>
          <w:tcPr>
            <w:tcW w:w="2425" w:type="dxa"/>
          </w:tcPr>
          <w:p w14:paraId="22C1FE2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073F35B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56712286" w14:textId="77777777" w:rsidTr="001D5220">
        <w:tc>
          <w:tcPr>
            <w:tcW w:w="2425" w:type="dxa"/>
          </w:tcPr>
          <w:p w14:paraId="5D6F31F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0DDC45DF"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38F19DF7" w14:textId="77777777" w:rsidTr="001D5220">
        <w:tc>
          <w:tcPr>
            <w:tcW w:w="2425" w:type="dxa"/>
          </w:tcPr>
          <w:p w14:paraId="4D46567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1E6F8FF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E6160BC" w14:textId="77777777" w:rsidTr="001D5220">
        <w:tc>
          <w:tcPr>
            <w:tcW w:w="2425" w:type="dxa"/>
          </w:tcPr>
          <w:p w14:paraId="2845D3E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19DF80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36F07CA" w14:textId="77777777" w:rsidTr="001D5220">
        <w:trPr>
          <w:trHeight w:val="91"/>
        </w:trPr>
        <w:tc>
          <w:tcPr>
            <w:tcW w:w="2425" w:type="dxa"/>
            <w:vMerge w:val="restart"/>
          </w:tcPr>
          <w:p w14:paraId="68C8C9F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9F8CF0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92A8E7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50A8461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6296D36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4F38DC7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30B9732D" w14:textId="77777777" w:rsidTr="001D5220">
        <w:trPr>
          <w:trHeight w:val="305"/>
        </w:trPr>
        <w:tc>
          <w:tcPr>
            <w:tcW w:w="2425" w:type="dxa"/>
            <w:vMerge/>
          </w:tcPr>
          <w:p w14:paraId="658AB78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5B0C75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10,202.5</w:t>
            </w:r>
          </w:p>
        </w:tc>
        <w:tc>
          <w:tcPr>
            <w:tcW w:w="1385" w:type="dxa"/>
            <w:shd w:val="clear" w:color="auto" w:fill="auto"/>
          </w:tcPr>
          <w:p w14:paraId="39DCE9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12,656.1</w:t>
            </w:r>
          </w:p>
        </w:tc>
        <w:tc>
          <w:tcPr>
            <w:tcW w:w="1385" w:type="dxa"/>
            <w:gridSpan w:val="2"/>
            <w:shd w:val="clear" w:color="auto" w:fill="auto"/>
          </w:tcPr>
          <w:p w14:paraId="6AE9DA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10,412.4</w:t>
            </w:r>
          </w:p>
        </w:tc>
        <w:tc>
          <w:tcPr>
            <w:tcW w:w="1385" w:type="dxa"/>
            <w:shd w:val="clear" w:color="auto" w:fill="auto"/>
          </w:tcPr>
          <w:p w14:paraId="287BF5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13,058.2</w:t>
            </w:r>
          </w:p>
        </w:tc>
        <w:tc>
          <w:tcPr>
            <w:tcW w:w="1660" w:type="dxa"/>
            <w:shd w:val="clear" w:color="auto" w:fill="BFBFBF" w:themeFill="background1" w:themeFillShade="BF"/>
          </w:tcPr>
          <w:p w14:paraId="3695ED3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13,668.9</w:t>
            </w:r>
          </w:p>
        </w:tc>
      </w:tr>
    </w:tbl>
    <w:p w14:paraId="55846149"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398D4E80" w14:textId="77777777" w:rsidTr="001D5220">
        <w:tc>
          <w:tcPr>
            <w:tcW w:w="9625" w:type="dxa"/>
            <w:gridSpan w:val="7"/>
            <w:shd w:val="clear" w:color="auto" w:fill="D9D9D9" w:themeFill="background1" w:themeFillShade="D9"/>
          </w:tcPr>
          <w:p w14:paraId="5295027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27. Exemption from import duties for educational, scientific and cultural materials</w:t>
            </w:r>
          </w:p>
        </w:tc>
      </w:tr>
      <w:tr w:rsidR="00C943A7" w:rsidRPr="007669E1" w14:paraId="0C9EA5E7" w14:textId="77777777" w:rsidTr="001D5220">
        <w:tc>
          <w:tcPr>
            <w:tcW w:w="2425" w:type="dxa"/>
          </w:tcPr>
          <w:p w14:paraId="7D095D3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6B49E337"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Educational and scientific materials (such as scientific instruments and devices, laboratory animals, biological and chemical substances) imported for non-commercial purposes by public and private educational and research institutions are exempt from import duties.</w:t>
            </w:r>
          </w:p>
        </w:tc>
      </w:tr>
      <w:tr w:rsidR="00C943A7" w:rsidRPr="007669E1" w14:paraId="6A06FE0B" w14:textId="77777777" w:rsidTr="001D5220">
        <w:tc>
          <w:tcPr>
            <w:tcW w:w="2425" w:type="dxa"/>
          </w:tcPr>
          <w:p w14:paraId="3D4F383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232BFF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3D10D3C" w14:textId="77777777" w:rsidTr="001D5220">
        <w:tc>
          <w:tcPr>
            <w:tcW w:w="2425" w:type="dxa"/>
          </w:tcPr>
          <w:p w14:paraId="294CD40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036DBBF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Educational, scientific and cultural institutions</w:t>
            </w:r>
          </w:p>
        </w:tc>
      </w:tr>
      <w:tr w:rsidR="00C943A7" w:rsidRPr="007669E1" w14:paraId="3BABA971" w14:textId="77777777" w:rsidTr="001D5220">
        <w:tc>
          <w:tcPr>
            <w:tcW w:w="2425" w:type="dxa"/>
          </w:tcPr>
          <w:p w14:paraId="25F57F1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5619ED2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C3B67CC" w14:textId="77777777" w:rsidTr="001D5220">
        <w:tc>
          <w:tcPr>
            <w:tcW w:w="2425" w:type="dxa"/>
          </w:tcPr>
          <w:p w14:paraId="4390175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lastRenderedPageBreak/>
              <w:t>Reason why this Measure is not part of the Benchmark Tax System</w:t>
            </w:r>
          </w:p>
        </w:tc>
        <w:tc>
          <w:tcPr>
            <w:tcW w:w="7200" w:type="dxa"/>
            <w:gridSpan w:val="6"/>
          </w:tcPr>
          <w:p w14:paraId="09DC1C6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40453665" w14:textId="77777777" w:rsidTr="001D5220">
        <w:tc>
          <w:tcPr>
            <w:tcW w:w="2425" w:type="dxa"/>
          </w:tcPr>
          <w:p w14:paraId="6E09F40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0EE347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233 to 242</w:t>
            </w:r>
          </w:p>
        </w:tc>
      </w:tr>
      <w:tr w:rsidR="00C943A7" w:rsidRPr="007669E1" w14:paraId="526260A4" w14:textId="77777777" w:rsidTr="001D5220">
        <w:trPr>
          <w:trHeight w:val="182"/>
        </w:trPr>
        <w:tc>
          <w:tcPr>
            <w:tcW w:w="2425" w:type="dxa"/>
            <w:vMerge w:val="restart"/>
          </w:tcPr>
          <w:p w14:paraId="3A4494C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740BCF0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education, scientific research and culture.</w:t>
            </w:r>
          </w:p>
          <w:p w14:paraId="041270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4589CF7C" w14:textId="77777777" w:rsidTr="001D5220">
        <w:trPr>
          <w:trHeight w:val="182"/>
        </w:trPr>
        <w:tc>
          <w:tcPr>
            <w:tcW w:w="2425" w:type="dxa"/>
            <w:vMerge/>
          </w:tcPr>
          <w:p w14:paraId="23226852"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7A08C5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D7ED3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FC3FF26" w14:textId="77777777" w:rsidTr="001D5220">
        <w:tc>
          <w:tcPr>
            <w:tcW w:w="2425" w:type="dxa"/>
          </w:tcPr>
          <w:p w14:paraId="52E9958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661A087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3EA68BF" w14:textId="77777777" w:rsidTr="001D5220">
        <w:tc>
          <w:tcPr>
            <w:tcW w:w="2425" w:type="dxa"/>
          </w:tcPr>
          <w:p w14:paraId="6D200B9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0168FE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CEDDC23" w14:textId="77777777" w:rsidTr="001D5220">
        <w:tc>
          <w:tcPr>
            <w:tcW w:w="2425" w:type="dxa"/>
          </w:tcPr>
          <w:p w14:paraId="42C12DA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0801ED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06D045D" w14:textId="77777777" w:rsidTr="001D5220">
        <w:tc>
          <w:tcPr>
            <w:tcW w:w="2425" w:type="dxa"/>
          </w:tcPr>
          <w:p w14:paraId="5C22FAF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45029D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29FA129" w14:textId="77777777" w:rsidTr="001D5220">
        <w:trPr>
          <w:trHeight w:val="91"/>
        </w:trPr>
        <w:tc>
          <w:tcPr>
            <w:tcW w:w="2425" w:type="dxa"/>
            <w:vMerge w:val="restart"/>
          </w:tcPr>
          <w:p w14:paraId="414D286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814796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482007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1A57C65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3460E8E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04D38B9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10022C53" w14:textId="77777777" w:rsidTr="001D5220">
        <w:trPr>
          <w:trHeight w:val="305"/>
        </w:trPr>
        <w:tc>
          <w:tcPr>
            <w:tcW w:w="2425" w:type="dxa"/>
            <w:vMerge/>
          </w:tcPr>
          <w:p w14:paraId="00F6724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98B7D4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4751614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180D183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96732C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714B22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3E6B368E"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7C93D1D3" w14:textId="77777777" w:rsidTr="001D5220">
        <w:tc>
          <w:tcPr>
            <w:tcW w:w="9625" w:type="dxa"/>
            <w:gridSpan w:val="7"/>
            <w:shd w:val="clear" w:color="auto" w:fill="D9D9D9" w:themeFill="background1" w:themeFillShade="D9"/>
          </w:tcPr>
          <w:p w14:paraId="3218CD9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28. Exemption from import duties for goods imported for examination, analysis or testing</w:t>
            </w:r>
          </w:p>
        </w:tc>
      </w:tr>
      <w:tr w:rsidR="00C943A7" w:rsidRPr="007669E1" w14:paraId="3C72322B" w14:textId="77777777" w:rsidTr="001D5220">
        <w:tc>
          <w:tcPr>
            <w:tcW w:w="2425" w:type="dxa"/>
          </w:tcPr>
          <w:p w14:paraId="4DE57FC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7864573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to be subjected to examination, analysis or testing to determine their composition, quality or other technical characteristics for the purpose of information or industrial or commercial research and outside of sales promotion operations are exempt from import duties.</w:t>
            </w:r>
          </w:p>
        </w:tc>
      </w:tr>
      <w:tr w:rsidR="00C943A7" w:rsidRPr="007669E1" w14:paraId="18EBB156" w14:textId="77777777" w:rsidTr="001D5220">
        <w:tc>
          <w:tcPr>
            <w:tcW w:w="2425" w:type="dxa"/>
          </w:tcPr>
          <w:p w14:paraId="03FB722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6057873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20ADB5E" w14:textId="77777777" w:rsidTr="001D5220">
        <w:tc>
          <w:tcPr>
            <w:tcW w:w="2425" w:type="dxa"/>
          </w:tcPr>
          <w:p w14:paraId="24FEEDF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62FCA9C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Individuals conducting industrial or commercial research</w:t>
            </w:r>
          </w:p>
        </w:tc>
      </w:tr>
      <w:tr w:rsidR="00C943A7" w:rsidRPr="007669E1" w14:paraId="0A59B489" w14:textId="77777777" w:rsidTr="001D5220">
        <w:tc>
          <w:tcPr>
            <w:tcW w:w="2425" w:type="dxa"/>
          </w:tcPr>
          <w:p w14:paraId="458E59F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011E817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0E37198" w14:textId="77777777" w:rsidTr="001D5220">
        <w:tc>
          <w:tcPr>
            <w:tcW w:w="2425" w:type="dxa"/>
          </w:tcPr>
          <w:p w14:paraId="2E6F9A6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0A82397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6F23CA3" w14:textId="77777777" w:rsidTr="001D5220">
        <w:tc>
          <w:tcPr>
            <w:tcW w:w="2425" w:type="dxa"/>
          </w:tcPr>
          <w:p w14:paraId="7089B0D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6D53124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260 to 266</w:t>
            </w:r>
          </w:p>
        </w:tc>
      </w:tr>
      <w:tr w:rsidR="00C943A7" w:rsidRPr="007669E1" w14:paraId="24C77DE6" w14:textId="77777777" w:rsidTr="001D5220">
        <w:trPr>
          <w:trHeight w:val="182"/>
        </w:trPr>
        <w:tc>
          <w:tcPr>
            <w:tcW w:w="2425" w:type="dxa"/>
            <w:vMerge w:val="restart"/>
          </w:tcPr>
          <w:p w14:paraId="360D0E4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2DE8DA0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industrial and commercial research.</w:t>
            </w:r>
          </w:p>
          <w:p w14:paraId="59015F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52F8D47A" w14:textId="77777777" w:rsidTr="001D5220">
        <w:trPr>
          <w:trHeight w:val="182"/>
        </w:trPr>
        <w:tc>
          <w:tcPr>
            <w:tcW w:w="2425" w:type="dxa"/>
            <w:vMerge/>
          </w:tcPr>
          <w:p w14:paraId="1435A784"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696826F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5BAB3AB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690252F" w14:textId="77777777" w:rsidTr="001D5220">
        <w:tc>
          <w:tcPr>
            <w:tcW w:w="2425" w:type="dxa"/>
          </w:tcPr>
          <w:p w14:paraId="2EFC1D2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18F7D41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1C00830" w14:textId="77777777" w:rsidTr="001D5220">
        <w:tc>
          <w:tcPr>
            <w:tcW w:w="2425" w:type="dxa"/>
          </w:tcPr>
          <w:p w14:paraId="12EF6A1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05C500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A89846B" w14:textId="77777777" w:rsidTr="001D5220">
        <w:tc>
          <w:tcPr>
            <w:tcW w:w="2425" w:type="dxa"/>
          </w:tcPr>
          <w:p w14:paraId="6F06FFB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7A8CE71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D3845AC" w14:textId="77777777" w:rsidTr="001D5220">
        <w:tc>
          <w:tcPr>
            <w:tcW w:w="2425" w:type="dxa"/>
          </w:tcPr>
          <w:p w14:paraId="58A9BF7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0323BDE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3C9C351" w14:textId="77777777" w:rsidTr="001D5220">
        <w:trPr>
          <w:trHeight w:val="91"/>
        </w:trPr>
        <w:tc>
          <w:tcPr>
            <w:tcW w:w="2425" w:type="dxa"/>
            <w:vMerge w:val="restart"/>
          </w:tcPr>
          <w:p w14:paraId="42D57E4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35B1DE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29967AC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0CF14B6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1FE5CAB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4D9DA4D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7EB1422F" w14:textId="77777777" w:rsidTr="001D5220">
        <w:trPr>
          <w:trHeight w:val="305"/>
        </w:trPr>
        <w:tc>
          <w:tcPr>
            <w:tcW w:w="2425" w:type="dxa"/>
            <w:vMerge/>
          </w:tcPr>
          <w:p w14:paraId="5E56D3E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40BA7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0E1358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1742EFE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7DFAC15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7D9196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7145123D"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1279ABC8" w14:textId="77777777" w:rsidTr="001D5220">
        <w:tc>
          <w:tcPr>
            <w:tcW w:w="9625" w:type="dxa"/>
            <w:gridSpan w:val="7"/>
            <w:shd w:val="clear" w:color="auto" w:fill="D9D9D9" w:themeFill="background1" w:themeFillShade="D9"/>
          </w:tcPr>
          <w:p w14:paraId="01D9901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29. Exemption from import duties for the State Commission for the Testing of Plant Varieties</w:t>
            </w:r>
          </w:p>
        </w:tc>
      </w:tr>
      <w:tr w:rsidR="00C943A7" w:rsidRPr="007669E1" w14:paraId="7B3DFB0C" w14:textId="77777777" w:rsidTr="001D5220">
        <w:tc>
          <w:tcPr>
            <w:tcW w:w="2425" w:type="dxa"/>
          </w:tcPr>
          <w:p w14:paraId="60BFE0F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3C253A65"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Imports of samples of seeds and planting material, intended for official testing carried out by the State Commission for the Testing of Plant Varieties, are exempt from import duties.</w:t>
            </w:r>
          </w:p>
        </w:tc>
      </w:tr>
      <w:tr w:rsidR="00C943A7" w:rsidRPr="007669E1" w14:paraId="3A5A0F47" w14:textId="77777777" w:rsidTr="001D5220">
        <w:tc>
          <w:tcPr>
            <w:tcW w:w="2425" w:type="dxa"/>
          </w:tcPr>
          <w:p w14:paraId="13D4EAB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6A3CD23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9877A1C" w14:textId="77777777" w:rsidTr="001D5220">
        <w:tc>
          <w:tcPr>
            <w:tcW w:w="2425" w:type="dxa"/>
          </w:tcPr>
          <w:p w14:paraId="2C08FB9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6FA7F5A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Commission for the Testing of Plant Varieties</w:t>
            </w:r>
          </w:p>
        </w:tc>
      </w:tr>
      <w:tr w:rsidR="00C943A7" w:rsidRPr="007669E1" w14:paraId="1B0E455D" w14:textId="77777777" w:rsidTr="001D5220">
        <w:tc>
          <w:tcPr>
            <w:tcW w:w="2425" w:type="dxa"/>
          </w:tcPr>
          <w:p w14:paraId="7D643C7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096FA4B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4FEBC1B" w14:textId="77777777" w:rsidTr="001D5220">
        <w:tc>
          <w:tcPr>
            <w:tcW w:w="2425" w:type="dxa"/>
          </w:tcPr>
          <w:p w14:paraId="0D87CE9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2E0C32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591EC731" w14:textId="77777777" w:rsidTr="001D5220">
        <w:tc>
          <w:tcPr>
            <w:tcW w:w="2425" w:type="dxa"/>
          </w:tcPr>
          <w:p w14:paraId="5B83101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lastRenderedPageBreak/>
              <w:t>Legal Reference</w:t>
            </w:r>
          </w:p>
        </w:tc>
        <w:tc>
          <w:tcPr>
            <w:tcW w:w="7200" w:type="dxa"/>
            <w:gridSpan w:val="6"/>
          </w:tcPr>
          <w:p w14:paraId="4E0CB8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Combined Nomenclature of Goods, article 9 under "general rules concerning the application of customs duty"</w:t>
            </w:r>
          </w:p>
        </w:tc>
      </w:tr>
      <w:tr w:rsidR="00C943A7" w:rsidRPr="007669E1" w14:paraId="2025BD9A" w14:textId="77777777" w:rsidTr="001D5220">
        <w:trPr>
          <w:trHeight w:val="182"/>
        </w:trPr>
        <w:tc>
          <w:tcPr>
            <w:tcW w:w="2425" w:type="dxa"/>
            <w:vMerge w:val="restart"/>
          </w:tcPr>
          <w:p w14:paraId="0CCC890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1DB0BB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facilitate the work of the State Commission for the Testing of Plant Varieties.</w:t>
            </w:r>
          </w:p>
        </w:tc>
      </w:tr>
      <w:tr w:rsidR="00C943A7" w:rsidRPr="007669E1" w14:paraId="56A44DBF" w14:textId="77777777" w:rsidTr="001D5220">
        <w:trPr>
          <w:trHeight w:val="182"/>
        </w:trPr>
        <w:tc>
          <w:tcPr>
            <w:tcW w:w="2425" w:type="dxa"/>
            <w:vMerge/>
          </w:tcPr>
          <w:p w14:paraId="62E77C42"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6596DC7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6794E8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EAF5B32" w14:textId="77777777" w:rsidTr="001D5220">
        <w:tc>
          <w:tcPr>
            <w:tcW w:w="2425" w:type="dxa"/>
          </w:tcPr>
          <w:p w14:paraId="7847772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68B3A43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372C8C87" w14:textId="77777777" w:rsidTr="001D5220">
        <w:tc>
          <w:tcPr>
            <w:tcW w:w="2425" w:type="dxa"/>
          </w:tcPr>
          <w:p w14:paraId="384A741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1B556C68"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F77C98E" w14:textId="77777777" w:rsidTr="001D5220">
        <w:tc>
          <w:tcPr>
            <w:tcW w:w="2425" w:type="dxa"/>
          </w:tcPr>
          <w:p w14:paraId="4317DA1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051707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1987AAD" w14:textId="77777777" w:rsidTr="001D5220">
        <w:tc>
          <w:tcPr>
            <w:tcW w:w="2425" w:type="dxa"/>
          </w:tcPr>
          <w:p w14:paraId="117C426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670B250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CF58970" w14:textId="77777777" w:rsidTr="001D5220">
        <w:trPr>
          <w:trHeight w:val="91"/>
        </w:trPr>
        <w:tc>
          <w:tcPr>
            <w:tcW w:w="2425" w:type="dxa"/>
            <w:vMerge w:val="restart"/>
          </w:tcPr>
          <w:p w14:paraId="41A6FF5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E9F555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0199100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6808528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2251EBA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3BCAC50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5F1243D1" w14:textId="77777777" w:rsidTr="001D5220">
        <w:trPr>
          <w:trHeight w:val="305"/>
        </w:trPr>
        <w:tc>
          <w:tcPr>
            <w:tcW w:w="2425" w:type="dxa"/>
            <w:vMerge/>
          </w:tcPr>
          <w:p w14:paraId="22A67D1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81A52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48.7</w:t>
            </w:r>
          </w:p>
        </w:tc>
        <w:tc>
          <w:tcPr>
            <w:tcW w:w="1385" w:type="dxa"/>
            <w:shd w:val="clear" w:color="auto" w:fill="auto"/>
          </w:tcPr>
          <w:p w14:paraId="54DD814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33.4</w:t>
            </w:r>
          </w:p>
        </w:tc>
        <w:tc>
          <w:tcPr>
            <w:tcW w:w="1385" w:type="dxa"/>
            <w:gridSpan w:val="2"/>
            <w:shd w:val="clear" w:color="auto" w:fill="auto"/>
          </w:tcPr>
          <w:p w14:paraId="50B45D8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30.1</w:t>
            </w:r>
          </w:p>
        </w:tc>
        <w:tc>
          <w:tcPr>
            <w:tcW w:w="1385" w:type="dxa"/>
            <w:shd w:val="clear" w:color="auto" w:fill="auto"/>
          </w:tcPr>
          <w:p w14:paraId="3274BF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0.0</w:t>
            </w:r>
          </w:p>
        </w:tc>
        <w:tc>
          <w:tcPr>
            <w:tcW w:w="1660" w:type="dxa"/>
            <w:shd w:val="clear" w:color="auto" w:fill="BFBFBF" w:themeFill="background1" w:themeFillShade="BF"/>
          </w:tcPr>
          <w:p w14:paraId="43DF0D6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27.8</w:t>
            </w:r>
          </w:p>
        </w:tc>
      </w:tr>
    </w:tbl>
    <w:p w14:paraId="5AC09E7D"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7D86F84E" w14:textId="77777777" w:rsidTr="001D5220">
        <w:tc>
          <w:tcPr>
            <w:tcW w:w="9625" w:type="dxa"/>
            <w:gridSpan w:val="7"/>
            <w:shd w:val="clear" w:color="auto" w:fill="D9D9D9" w:themeFill="background1" w:themeFillShade="D9"/>
          </w:tcPr>
          <w:p w14:paraId="2A8CFB0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30. Exemption from import duties for goods donated by the International Olympic Committee and European and international sport federations</w:t>
            </w:r>
          </w:p>
        </w:tc>
      </w:tr>
      <w:tr w:rsidR="00C943A7" w:rsidRPr="007669E1" w14:paraId="0AA76796" w14:textId="77777777" w:rsidTr="001D5220">
        <w:tc>
          <w:tcPr>
            <w:tcW w:w="2425" w:type="dxa"/>
          </w:tcPr>
          <w:p w14:paraId="3DF0D47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5B133364"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Machine, equipment and gratification attributes received as donations by the National Olympic Committee and the relevant national sports federations from the International Olympic Committee or the relevant European and international sports federations for the training of performance athletes and the promotion of the Olympic movement are exempt from import duties.</w:t>
            </w:r>
          </w:p>
        </w:tc>
      </w:tr>
      <w:tr w:rsidR="00C943A7" w:rsidRPr="007669E1" w14:paraId="651C319F" w14:textId="77777777" w:rsidTr="001D5220">
        <w:tc>
          <w:tcPr>
            <w:tcW w:w="2425" w:type="dxa"/>
          </w:tcPr>
          <w:p w14:paraId="533D9A5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7D55F16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FBFD0CF" w14:textId="77777777" w:rsidTr="001D5220">
        <w:tc>
          <w:tcPr>
            <w:tcW w:w="2425" w:type="dxa"/>
          </w:tcPr>
          <w:p w14:paraId="05A89C2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307BFDA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National Olympic Committee, national sports federations</w:t>
            </w:r>
          </w:p>
        </w:tc>
      </w:tr>
      <w:tr w:rsidR="00C943A7" w:rsidRPr="007669E1" w14:paraId="75FFA3A8" w14:textId="77777777" w:rsidTr="001D5220">
        <w:tc>
          <w:tcPr>
            <w:tcW w:w="2425" w:type="dxa"/>
          </w:tcPr>
          <w:p w14:paraId="1CBA4B7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31ED41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C90D4A7" w14:textId="77777777" w:rsidTr="001D5220">
        <w:tc>
          <w:tcPr>
            <w:tcW w:w="2425" w:type="dxa"/>
          </w:tcPr>
          <w:p w14:paraId="6B36667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21065F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74353103" w14:textId="77777777" w:rsidTr="001D5220">
        <w:tc>
          <w:tcPr>
            <w:tcW w:w="2425" w:type="dxa"/>
          </w:tcPr>
          <w:p w14:paraId="2B3AC09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07FC3ED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5)</w:t>
            </w:r>
          </w:p>
          <w:p w14:paraId="7303CF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o)</w:t>
            </w:r>
          </w:p>
        </w:tc>
      </w:tr>
      <w:tr w:rsidR="00C943A7" w:rsidRPr="007669E1" w14:paraId="303CB8B8" w14:textId="77777777" w:rsidTr="001D5220">
        <w:trPr>
          <w:trHeight w:val="182"/>
        </w:trPr>
        <w:tc>
          <w:tcPr>
            <w:tcW w:w="2425" w:type="dxa"/>
            <w:vMerge w:val="restart"/>
          </w:tcPr>
          <w:p w14:paraId="37A6312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7DB8A9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exemption is intended to support the practice of professional sports in Moldova.</w:t>
            </w:r>
          </w:p>
        </w:tc>
      </w:tr>
      <w:tr w:rsidR="00C943A7" w:rsidRPr="007669E1" w14:paraId="0449E35B" w14:textId="77777777" w:rsidTr="001D5220">
        <w:trPr>
          <w:trHeight w:val="182"/>
        </w:trPr>
        <w:tc>
          <w:tcPr>
            <w:tcW w:w="2425" w:type="dxa"/>
            <w:vMerge/>
          </w:tcPr>
          <w:p w14:paraId="24873600"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722F58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1D669AB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0F2B1F45" w14:textId="77777777" w:rsidTr="001D5220">
        <w:tc>
          <w:tcPr>
            <w:tcW w:w="2425" w:type="dxa"/>
          </w:tcPr>
          <w:p w14:paraId="21A3C61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22F43F3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4983F919" w14:textId="77777777" w:rsidTr="001D5220">
        <w:tc>
          <w:tcPr>
            <w:tcW w:w="2425" w:type="dxa"/>
          </w:tcPr>
          <w:p w14:paraId="045B433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3C2DF104"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6B2EC199" w14:textId="77777777" w:rsidTr="001D5220">
        <w:tc>
          <w:tcPr>
            <w:tcW w:w="2425" w:type="dxa"/>
          </w:tcPr>
          <w:p w14:paraId="66F81B5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573D714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D25D0B0" w14:textId="77777777" w:rsidTr="001D5220">
        <w:tc>
          <w:tcPr>
            <w:tcW w:w="2425" w:type="dxa"/>
          </w:tcPr>
          <w:p w14:paraId="7BC5F58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7468377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9466CAF" w14:textId="77777777" w:rsidTr="001D5220">
        <w:trPr>
          <w:trHeight w:val="91"/>
        </w:trPr>
        <w:tc>
          <w:tcPr>
            <w:tcW w:w="2425" w:type="dxa"/>
            <w:vMerge w:val="restart"/>
          </w:tcPr>
          <w:p w14:paraId="0EC3C9C8"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820A8F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67FEE51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38A8A47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38BB1B2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7D0DE63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1D6A0FB5" w14:textId="77777777" w:rsidTr="001D5220">
        <w:trPr>
          <w:trHeight w:val="305"/>
        </w:trPr>
        <w:tc>
          <w:tcPr>
            <w:tcW w:w="2425" w:type="dxa"/>
            <w:vMerge/>
          </w:tcPr>
          <w:p w14:paraId="3DC423C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89E727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2,102.5</w:t>
            </w:r>
          </w:p>
        </w:tc>
        <w:tc>
          <w:tcPr>
            <w:tcW w:w="1385" w:type="dxa"/>
            <w:shd w:val="clear" w:color="auto" w:fill="auto"/>
          </w:tcPr>
          <w:p w14:paraId="61996C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1,567.7</w:t>
            </w:r>
          </w:p>
        </w:tc>
        <w:tc>
          <w:tcPr>
            <w:tcW w:w="1385" w:type="dxa"/>
            <w:gridSpan w:val="2"/>
            <w:shd w:val="clear" w:color="auto" w:fill="auto"/>
          </w:tcPr>
          <w:p w14:paraId="55ED42A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1,533.8</w:t>
            </w:r>
          </w:p>
        </w:tc>
        <w:tc>
          <w:tcPr>
            <w:tcW w:w="1385" w:type="dxa"/>
            <w:shd w:val="clear" w:color="auto" w:fill="auto"/>
          </w:tcPr>
          <w:p w14:paraId="0A23297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5,069.6</w:t>
            </w:r>
          </w:p>
        </w:tc>
        <w:tc>
          <w:tcPr>
            <w:tcW w:w="1660" w:type="dxa"/>
            <w:shd w:val="clear" w:color="auto" w:fill="BFBFBF" w:themeFill="background1" w:themeFillShade="BF"/>
          </w:tcPr>
          <w:p w14:paraId="01FB369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3,476.2</w:t>
            </w:r>
          </w:p>
        </w:tc>
      </w:tr>
    </w:tbl>
    <w:p w14:paraId="08E945DC"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76EDA70A" w14:textId="77777777" w:rsidTr="001D5220">
        <w:tc>
          <w:tcPr>
            <w:tcW w:w="9625" w:type="dxa"/>
            <w:gridSpan w:val="7"/>
            <w:shd w:val="clear" w:color="auto" w:fill="D9D9D9" w:themeFill="background1" w:themeFillShade="D9"/>
          </w:tcPr>
          <w:p w14:paraId="7829CEC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31. Exemption from import duties for pharmaceutical products used at international sporting events</w:t>
            </w:r>
          </w:p>
        </w:tc>
      </w:tr>
      <w:tr w:rsidR="00C943A7" w:rsidRPr="007669E1" w14:paraId="1B2B8F24" w14:textId="77777777" w:rsidTr="001D5220">
        <w:tc>
          <w:tcPr>
            <w:tcW w:w="2425" w:type="dxa"/>
          </w:tcPr>
          <w:p w14:paraId="162E1E40"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024B3B3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Pharmaceutical products intended to be used by people or animals coming from foreign countries to participate in international sporting events organized in Moldova are exempt from import duties.</w:t>
            </w:r>
          </w:p>
        </w:tc>
      </w:tr>
      <w:tr w:rsidR="00C943A7" w:rsidRPr="007669E1" w14:paraId="47FA2C95" w14:textId="77777777" w:rsidTr="001D5220">
        <w:tc>
          <w:tcPr>
            <w:tcW w:w="2425" w:type="dxa"/>
          </w:tcPr>
          <w:p w14:paraId="711F099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4EC072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67E5BA61" w14:textId="77777777" w:rsidTr="001D5220">
        <w:tc>
          <w:tcPr>
            <w:tcW w:w="2425" w:type="dxa"/>
          </w:tcPr>
          <w:p w14:paraId="638D1C6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3787982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athletes competing in Moldova</w:t>
            </w:r>
          </w:p>
        </w:tc>
      </w:tr>
      <w:tr w:rsidR="00C943A7" w:rsidRPr="007669E1" w14:paraId="0020A1B0" w14:textId="77777777" w:rsidTr="001D5220">
        <w:tc>
          <w:tcPr>
            <w:tcW w:w="2425" w:type="dxa"/>
          </w:tcPr>
          <w:p w14:paraId="732C18BE"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7DBE146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FA408AA" w14:textId="77777777" w:rsidTr="001D5220">
        <w:tc>
          <w:tcPr>
            <w:tcW w:w="2425" w:type="dxa"/>
          </w:tcPr>
          <w:p w14:paraId="7EE7855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12F2975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7F3F7EB" w14:textId="77777777" w:rsidTr="001D5220">
        <w:tc>
          <w:tcPr>
            <w:tcW w:w="2425" w:type="dxa"/>
          </w:tcPr>
          <w:p w14:paraId="52ED66D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lastRenderedPageBreak/>
              <w:t>Legal Reference</w:t>
            </w:r>
          </w:p>
        </w:tc>
        <w:tc>
          <w:tcPr>
            <w:tcW w:w="7200" w:type="dxa"/>
            <w:gridSpan w:val="6"/>
          </w:tcPr>
          <w:p w14:paraId="788EC3A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249</w:t>
            </w:r>
          </w:p>
        </w:tc>
      </w:tr>
      <w:tr w:rsidR="00C943A7" w:rsidRPr="007669E1" w14:paraId="5844E3B7" w14:textId="77777777" w:rsidTr="001D5220">
        <w:trPr>
          <w:trHeight w:val="182"/>
        </w:trPr>
        <w:tc>
          <w:tcPr>
            <w:tcW w:w="2425" w:type="dxa"/>
            <w:vMerge w:val="restart"/>
          </w:tcPr>
          <w:p w14:paraId="057AB2B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4F27B14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organization of international sporting events in Moldova.</w:t>
            </w:r>
          </w:p>
          <w:p w14:paraId="40C81E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4235EE0E" w14:textId="77777777" w:rsidTr="001D5220">
        <w:trPr>
          <w:trHeight w:val="182"/>
        </w:trPr>
        <w:tc>
          <w:tcPr>
            <w:tcW w:w="2425" w:type="dxa"/>
            <w:vMerge/>
          </w:tcPr>
          <w:p w14:paraId="65E0B753"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78E5CEC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233BA50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9026919" w14:textId="77777777" w:rsidTr="001D5220">
        <w:tc>
          <w:tcPr>
            <w:tcW w:w="2425" w:type="dxa"/>
          </w:tcPr>
          <w:p w14:paraId="29FA6EF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0780F3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5B12FC9" w14:textId="77777777" w:rsidTr="001D5220">
        <w:tc>
          <w:tcPr>
            <w:tcW w:w="2425" w:type="dxa"/>
          </w:tcPr>
          <w:p w14:paraId="6C86D0A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0AFF782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9C596C0" w14:textId="77777777" w:rsidTr="001D5220">
        <w:tc>
          <w:tcPr>
            <w:tcW w:w="2425" w:type="dxa"/>
          </w:tcPr>
          <w:p w14:paraId="7982EDA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2EE45CB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E3C7CA9" w14:textId="77777777" w:rsidTr="001D5220">
        <w:tc>
          <w:tcPr>
            <w:tcW w:w="2425" w:type="dxa"/>
          </w:tcPr>
          <w:p w14:paraId="7C34F50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16A9E17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D859F89" w14:textId="77777777" w:rsidTr="001D5220">
        <w:trPr>
          <w:trHeight w:val="91"/>
        </w:trPr>
        <w:tc>
          <w:tcPr>
            <w:tcW w:w="2425" w:type="dxa"/>
            <w:vMerge w:val="restart"/>
          </w:tcPr>
          <w:p w14:paraId="418729B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9587F3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5316299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14475FF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1138C70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4A38BBB3"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0465D4C2" w14:textId="77777777" w:rsidTr="001D5220">
        <w:trPr>
          <w:trHeight w:val="305"/>
        </w:trPr>
        <w:tc>
          <w:tcPr>
            <w:tcW w:w="2425" w:type="dxa"/>
            <w:vMerge/>
          </w:tcPr>
          <w:p w14:paraId="0A463EF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3EB18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2D26F0B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9EE83E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5E47682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74733FD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519FD770"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5EF1B5C5" w14:textId="77777777" w:rsidTr="001D5220">
        <w:tc>
          <w:tcPr>
            <w:tcW w:w="9625" w:type="dxa"/>
            <w:gridSpan w:val="7"/>
            <w:shd w:val="clear" w:color="auto" w:fill="D9D9D9" w:themeFill="background1" w:themeFillShade="D9"/>
          </w:tcPr>
          <w:p w14:paraId="7C18D008"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32. Exemption from import duties in respect of the arena of national interest project</w:t>
            </w:r>
          </w:p>
        </w:tc>
      </w:tr>
      <w:tr w:rsidR="00C943A7" w:rsidRPr="007669E1" w14:paraId="549E90F2" w14:textId="77777777" w:rsidTr="001D5220">
        <w:tc>
          <w:tcPr>
            <w:tcW w:w="2425" w:type="dxa"/>
          </w:tcPr>
          <w:p w14:paraId="79D731E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Description</w:t>
            </w:r>
          </w:p>
        </w:tc>
        <w:tc>
          <w:tcPr>
            <w:tcW w:w="7200" w:type="dxa"/>
            <w:gridSpan w:val="6"/>
          </w:tcPr>
          <w:p w14:paraId="4FA3A931"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by the partners within the public-private partnership project for the design and construction of the multipurpose arena of national interest in accordance with article 11 a) of Law no. 179/2008, and intended directly for the implementation of this project, are exempt from import duties.</w:t>
            </w:r>
          </w:p>
        </w:tc>
      </w:tr>
      <w:tr w:rsidR="00C943A7" w:rsidRPr="007669E1" w14:paraId="417A7D65" w14:textId="77777777" w:rsidTr="001D5220">
        <w:tc>
          <w:tcPr>
            <w:tcW w:w="2425" w:type="dxa"/>
          </w:tcPr>
          <w:p w14:paraId="622B6D1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Tax Affected</w:t>
            </w:r>
          </w:p>
        </w:tc>
        <w:tc>
          <w:tcPr>
            <w:tcW w:w="7200" w:type="dxa"/>
            <w:gridSpan w:val="6"/>
          </w:tcPr>
          <w:p w14:paraId="370477F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2BFF286" w14:textId="77777777" w:rsidTr="001D5220">
        <w:tc>
          <w:tcPr>
            <w:tcW w:w="2425" w:type="dxa"/>
          </w:tcPr>
          <w:p w14:paraId="1329568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Beneficiaries</w:t>
            </w:r>
          </w:p>
        </w:tc>
        <w:tc>
          <w:tcPr>
            <w:tcW w:w="7200" w:type="dxa"/>
            <w:gridSpan w:val="6"/>
          </w:tcPr>
          <w:p w14:paraId="33E9FDF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Partners of the public-private partnership involved in the design and construction of this project</w:t>
            </w:r>
          </w:p>
        </w:tc>
      </w:tr>
      <w:tr w:rsidR="00C943A7" w:rsidRPr="007669E1" w14:paraId="7BCA8E9F" w14:textId="77777777" w:rsidTr="001D5220">
        <w:tc>
          <w:tcPr>
            <w:tcW w:w="2425" w:type="dxa"/>
          </w:tcPr>
          <w:p w14:paraId="08C7CEB5"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Type of Measure</w:t>
            </w:r>
          </w:p>
        </w:tc>
        <w:tc>
          <w:tcPr>
            <w:tcW w:w="7200" w:type="dxa"/>
            <w:gridSpan w:val="6"/>
          </w:tcPr>
          <w:p w14:paraId="7451A8E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1028B0C" w14:textId="77777777" w:rsidTr="001D5220">
        <w:tc>
          <w:tcPr>
            <w:tcW w:w="2425" w:type="dxa"/>
          </w:tcPr>
          <w:p w14:paraId="24CE53CA"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Reason why this Measure is not part of the Benchmark Tax System</w:t>
            </w:r>
          </w:p>
        </w:tc>
        <w:tc>
          <w:tcPr>
            <w:tcW w:w="7200" w:type="dxa"/>
            <w:gridSpan w:val="6"/>
          </w:tcPr>
          <w:p w14:paraId="1A7120C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38AF934" w14:textId="77777777" w:rsidTr="001D5220">
        <w:tc>
          <w:tcPr>
            <w:tcW w:w="2425" w:type="dxa"/>
          </w:tcPr>
          <w:p w14:paraId="599CF34C"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Legal Reference</w:t>
            </w:r>
          </w:p>
        </w:tc>
        <w:tc>
          <w:tcPr>
            <w:tcW w:w="7200" w:type="dxa"/>
            <w:gridSpan w:val="6"/>
          </w:tcPr>
          <w:p w14:paraId="752E7D5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o</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5408EAD0" w14:textId="77777777" w:rsidTr="001D5220">
        <w:trPr>
          <w:trHeight w:val="182"/>
        </w:trPr>
        <w:tc>
          <w:tcPr>
            <w:tcW w:w="2425" w:type="dxa"/>
            <w:vMerge w:val="restart"/>
          </w:tcPr>
          <w:p w14:paraId="5586F2C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Implementation Objectives, and History</w:t>
            </w:r>
          </w:p>
        </w:tc>
        <w:tc>
          <w:tcPr>
            <w:tcW w:w="7200" w:type="dxa"/>
            <w:gridSpan w:val="6"/>
          </w:tcPr>
          <w:p w14:paraId="351C2FD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intended to support the construction of the multipurpose arena of national interest.</w:t>
            </w:r>
          </w:p>
          <w:p w14:paraId="1564B88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67A47E79" w14:textId="77777777" w:rsidTr="001D5220">
        <w:trPr>
          <w:trHeight w:val="182"/>
        </w:trPr>
        <w:tc>
          <w:tcPr>
            <w:tcW w:w="2425" w:type="dxa"/>
            <w:vMerge/>
          </w:tcPr>
          <w:p w14:paraId="7525157C" w14:textId="77777777" w:rsidR="007E7377" w:rsidRPr="00864C2A" w:rsidRDefault="007E7377" w:rsidP="00E90BA7">
            <w:pPr>
              <w:spacing w:before="20" w:after="20" w:line="240" w:lineRule="auto"/>
              <w:jc w:val="both"/>
              <w:rPr>
                <w:rFonts w:ascii="Segoe UI" w:hAnsi="Segoe UI" w:cs="Segoe UI"/>
                <w:b/>
                <w:bCs/>
                <w:sz w:val="18"/>
                <w:szCs w:val="18"/>
              </w:rPr>
            </w:pPr>
          </w:p>
        </w:tc>
        <w:tc>
          <w:tcPr>
            <w:tcW w:w="3462" w:type="dxa"/>
            <w:gridSpan w:val="3"/>
          </w:tcPr>
          <w:p w14:paraId="2AB633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AED2B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0F763D15" w14:textId="77777777" w:rsidTr="001D5220">
        <w:tc>
          <w:tcPr>
            <w:tcW w:w="2425" w:type="dxa"/>
          </w:tcPr>
          <w:p w14:paraId="2C94C7F1"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Source of Data</w:t>
            </w:r>
          </w:p>
        </w:tc>
        <w:tc>
          <w:tcPr>
            <w:tcW w:w="7200" w:type="dxa"/>
            <w:gridSpan w:val="6"/>
          </w:tcPr>
          <w:p w14:paraId="62C7362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16CE9D32" w14:textId="77777777" w:rsidTr="001D5220">
        <w:tc>
          <w:tcPr>
            <w:tcW w:w="2425" w:type="dxa"/>
          </w:tcPr>
          <w:p w14:paraId="4612153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Estimation Method</w:t>
            </w:r>
          </w:p>
        </w:tc>
        <w:tc>
          <w:tcPr>
            <w:tcW w:w="7200" w:type="dxa"/>
            <w:gridSpan w:val="6"/>
          </w:tcPr>
          <w:p w14:paraId="3EC49681"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CCA6124" w14:textId="77777777" w:rsidTr="001D5220">
        <w:tc>
          <w:tcPr>
            <w:tcW w:w="2425" w:type="dxa"/>
          </w:tcPr>
          <w:p w14:paraId="0F7141D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Number of Beneficiaries</w:t>
            </w:r>
          </w:p>
        </w:tc>
        <w:tc>
          <w:tcPr>
            <w:tcW w:w="7200" w:type="dxa"/>
            <w:gridSpan w:val="6"/>
          </w:tcPr>
          <w:p w14:paraId="06F76AD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610C5D9" w14:textId="77777777" w:rsidTr="001D5220">
        <w:tc>
          <w:tcPr>
            <w:tcW w:w="2425" w:type="dxa"/>
          </w:tcPr>
          <w:p w14:paraId="5AFD9444"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Revenue Cost Reporting</w:t>
            </w:r>
          </w:p>
        </w:tc>
        <w:tc>
          <w:tcPr>
            <w:tcW w:w="7200" w:type="dxa"/>
            <w:gridSpan w:val="6"/>
          </w:tcPr>
          <w:p w14:paraId="4D2DEE0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8E20F36" w14:textId="77777777" w:rsidTr="001D5220">
        <w:trPr>
          <w:trHeight w:val="91"/>
        </w:trPr>
        <w:tc>
          <w:tcPr>
            <w:tcW w:w="2425" w:type="dxa"/>
            <w:vMerge w:val="restart"/>
          </w:tcPr>
          <w:p w14:paraId="7C83111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B33718D"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0F98121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57FB4E27"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5EF21EC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0993DF1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775F01" w:rsidRPr="007669E1" w14:paraId="0DECB389" w14:textId="77777777" w:rsidTr="001D5220">
        <w:trPr>
          <w:trHeight w:val="305"/>
        </w:trPr>
        <w:tc>
          <w:tcPr>
            <w:tcW w:w="2425" w:type="dxa"/>
            <w:vMerge/>
          </w:tcPr>
          <w:p w14:paraId="636E314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565668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39.2</w:t>
            </w:r>
          </w:p>
        </w:tc>
        <w:tc>
          <w:tcPr>
            <w:tcW w:w="1385" w:type="dxa"/>
            <w:shd w:val="clear" w:color="auto" w:fill="auto"/>
          </w:tcPr>
          <w:p w14:paraId="6E1A4A6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10,277.9</w:t>
            </w:r>
          </w:p>
        </w:tc>
        <w:tc>
          <w:tcPr>
            <w:tcW w:w="1385" w:type="dxa"/>
            <w:gridSpan w:val="2"/>
            <w:shd w:val="clear" w:color="auto" w:fill="auto"/>
          </w:tcPr>
          <w:p w14:paraId="01A59F6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25.0</w:t>
            </w:r>
          </w:p>
        </w:tc>
        <w:tc>
          <w:tcPr>
            <w:tcW w:w="1385" w:type="dxa"/>
            <w:shd w:val="clear" w:color="auto" w:fill="auto"/>
          </w:tcPr>
          <w:p w14:paraId="49E0CC4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009401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4CB047F0"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864C2A" w14:paraId="12098308" w14:textId="77777777" w:rsidTr="001D5220">
        <w:tc>
          <w:tcPr>
            <w:tcW w:w="9625" w:type="dxa"/>
            <w:gridSpan w:val="7"/>
            <w:shd w:val="clear" w:color="auto" w:fill="D9D9D9" w:themeFill="background1" w:themeFillShade="D9"/>
          </w:tcPr>
          <w:p w14:paraId="21C4B2BB"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33. Exemption from import duties for fixed assets included in statutory capital</w:t>
            </w:r>
          </w:p>
        </w:tc>
      </w:tr>
      <w:tr w:rsidR="00C943A7" w:rsidRPr="007669E1" w14:paraId="515D6A38" w14:textId="77777777" w:rsidTr="001D5220">
        <w:tc>
          <w:tcPr>
            <w:tcW w:w="2425" w:type="dxa"/>
          </w:tcPr>
          <w:p w14:paraId="11F48E3E"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Description</w:t>
            </w:r>
          </w:p>
        </w:tc>
        <w:tc>
          <w:tcPr>
            <w:tcW w:w="7200" w:type="dxa"/>
            <w:gridSpan w:val="6"/>
          </w:tcPr>
          <w:p w14:paraId="6E01AD2C"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Fixed assets used directly in the manufacture of products, in the provision of services or in the execution of works included in the statutory capital of a company for accounting purposes are exempt from import duties.</w:t>
            </w:r>
          </w:p>
        </w:tc>
      </w:tr>
      <w:tr w:rsidR="00C943A7" w:rsidRPr="007669E1" w14:paraId="21D1A277" w14:textId="77777777" w:rsidTr="001D5220">
        <w:tc>
          <w:tcPr>
            <w:tcW w:w="2425" w:type="dxa"/>
          </w:tcPr>
          <w:p w14:paraId="07C0BC4A"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Tax Affected</w:t>
            </w:r>
          </w:p>
        </w:tc>
        <w:tc>
          <w:tcPr>
            <w:tcW w:w="7200" w:type="dxa"/>
            <w:gridSpan w:val="6"/>
          </w:tcPr>
          <w:p w14:paraId="080423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721CCD62" w14:textId="77777777" w:rsidTr="001D5220">
        <w:tc>
          <w:tcPr>
            <w:tcW w:w="2425" w:type="dxa"/>
          </w:tcPr>
          <w:p w14:paraId="025269FA"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Beneficiaries</w:t>
            </w:r>
          </w:p>
        </w:tc>
        <w:tc>
          <w:tcPr>
            <w:tcW w:w="7200" w:type="dxa"/>
            <w:gridSpan w:val="6"/>
          </w:tcPr>
          <w:p w14:paraId="2EB85EE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w:t>
            </w:r>
          </w:p>
        </w:tc>
      </w:tr>
      <w:tr w:rsidR="00C943A7" w:rsidRPr="007669E1" w14:paraId="3D5498EE" w14:textId="77777777" w:rsidTr="001D5220">
        <w:tc>
          <w:tcPr>
            <w:tcW w:w="2425" w:type="dxa"/>
          </w:tcPr>
          <w:p w14:paraId="56000BCE"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Measure</w:t>
            </w:r>
          </w:p>
        </w:tc>
        <w:tc>
          <w:tcPr>
            <w:tcW w:w="7200" w:type="dxa"/>
            <w:gridSpan w:val="6"/>
          </w:tcPr>
          <w:p w14:paraId="5AD1CA8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0E5DEED" w14:textId="77777777" w:rsidTr="001D5220">
        <w:tc>
          <w:tcPr>
            <w:tcW w:w="2425" w:type="dxa"/>
          </w:tcPr>
          <w:p w14:paraId="717BB92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Reason why this Measure is not part of the Benchmark Tax System</w:t>
            </w:r>
          </w:p>
        </w:tc>
        <w:tc>
          <w:tcPr>
            <w:tcW w:w="7200" w:type="dxa"/>
            <w:gridSpan w:val="6"/>
          </w:tcPr>
          <w:p w14:paraId="327AED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48835526" w14:textId="77777777" w:rsidTr="001D5220">
        <w:tc>
          <w:tcPr>
            <w:tcW w:w="2425" w:type="dxa"/>
          </w:tcPr>
          <w:p w14:paraId="7DA5E89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lastRenderedPageBreak/>
              <w:t>Legal Reference</w:t>
            </w:r>
          </w:p>
        </w:tc>
        <w:tc>
          <w:tcPr>
            <w:tcW w:w="7200" w:type="dxa"/>
            <w:gridSpan w:val="6"/>
          </w:tcPr>
          <w:p w14:paraId="60D8AF1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6)</w:t>
            </w:r>
          </w:p>
          <w:p w14:paraId="73C0DA4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q</w:t>
            </w:r>
            <w:r w:rsidRPr="007669E1">
              <w:rPr>
                <w:rFonts w:ascii="Segoe UI" w:hAnsi="Segoe UI" w:cs="Segoe UI"/>
                <w:sz w:val="18"/>
                <w:szCs w:val="18"/>
                <w:vertAlign w:val="superscript"/>
              </w:rPr>
              <w:t>2</w:t>
            </w:r>
            <w:r w:rsidRPr="007669E1">
              <w:rPr>
                <w:rFonts w:ascii="Segoe UI" w:hAnsi="Segoe UI" w:cs="Segoe UI"/>
                <w:sz w:val="18"/>
                <w:szCs w:val="18"/>
              </w:rPr>
              <w:t>)</w:t>
            </w:r>
          </w:p>
        </w:tc>
      </w:tr>
      <w:tr w:rsidR="00C943A7" w:rsidRPr="007669E1" w14:paraId="29F749D4" w14:textId="77777777" w:rsidTr="001D5220">
        <w:trPr>
          <w:trHeight w:val="182"/>
        </w:trPr>
        <w:tc>
          <w:tcPr>
            <w:tcW w:w="2425" w:type="dxa"/>
            <w:vMerge w:val="restart"/>
          </w:tcPr>
          <w:p w14:paraId="71666DD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Implementation Objectives, and History</w:t>
            </w:r>
          </w:p>
        </w:tc>
        <w:tc>
          <w:tcPr>
            <w:tcW w:w="7200" w:type="dxa"/>
            <w:gridSpan w:val="6"/>
          </w:tcPr>
          <w:p w14:paraId="0190C58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business investment.</w:t>
            </w:r>
          </w:p>
        </w:tc>
      </w:tr>
      <w:tr w:rsidR="00C943A7" w:rsidRPr="007669E1" w14:paraId="4298E3C9" w14:textId="77777777" w:rsidTr="001D5220">
        <w:trPr>
          <w:trHeight w:val="182"/>
        </w:trPr>
        <w:tc>
          <w:tcPr>
            <w:tcW w:w="2425" w:type="dxa"/>
            <w:vMerge/>
          </w:tcPr>
          <w:p w14:paraId="0ED805D0" w14:textId="77777777" w:rsidR="007E7377" w:rsidRPr="00FD2085" w:rsidRDefault="007E7377" w:rsidP="00E90BA7">
            <w:pPr>
              <w:spacing w:before="20" w:after="20" w:line="240" w:lineRule="auto"/>
              <w:jc w:val="both"/>
              <w:rPr>
                <w:rFonts w:ascii="Segoe UI" w:hAnsi="Segoe UI" w:cs="Segoe UI"/>
                <w:b/>
                <w:bCs/>
                <w:sz w:val="18"/>
                <w:szCs w:val="18"/>
              </w:rPr>
            </w:pPr>
          </w:p>
        </w:tc>
        <w:tc>
          <w:tcPr>
            <w:tcW w:w="3462" w:type="dxa"/>
            <w:gridSpan w:val="3"/>
          </w:tcPr>
          <w:p w14:paraId="1063B9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5CD3C0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35CACDDB" w14:textId="77777777" w:rsidTr="001D5220">
        <w:tc>
          <w:tcPr>
            <w:tcW w:w="2425" w:type="dxa"/>
          </w:tcPr>
          <w:p w14:paraId="7E676DAF"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Source of Data</w:t>
            </w:r>
          </w:p>
        </w:tc>
        <w:tc>
          <w:tcPr>
            <w:tcW w:w="7200" w:type="dxa"/>
            <w:gridSpan w:val="6"/>
          </w:tcPr>
          <w:p w14:paraId="60E7C05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C82CF99" w14:textId="77777777" w:rsidTr="001D5220">
        <w:tc>
          <w:tcPr>
            <w:tcW w:w="2425" w:type="dxa"/>
          </w:tcPr>
          <w:p w14:paraId="404814E3"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Estimation Method</w:t>
            </w:r>
          </w:p>
        </w:tc>
        <w:tc>
          <w:tcPr>
            <w:tcW w:w="7200" w:type="dxa"/>
            <w:gridSpan w:val="6"/>
          </w:tcPr>
          <w:p w14:paraId="28562980"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738475CC" w14:textId="77777777" w:rsidTr="001D5220">
        <w:tc>
          <w:tcPr>
            <w:tcW w:w="2425" w:type="dxa"/>
          </w:tcPr>
          <w:p w14:paraId="1162C79F"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Number of Beneficiaries</w:t>
            </w:r>
          </w:p>
        </w:tc>
        <w:tc>
          <w:tcPr>
            <w:tcW w:w="7200" w:type="dxa"/>
            <w:gridSpan w:val="6"/>
          </w:tcPr>
          <w:p w14:paraId="1590EA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87DA82B" w14:textId="77777777" w:rsidTr="001D5220">
        <w:tc>
          <w:tcPr>
            <w:tcW w:w="2425" w:type="dxa"/>
          </w:tcPr>
          <w:p w14:paraId="3BA8163C"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Revenue Cost Reporting</w:t>
            </w:r>
          </w:p>
        </w:tc>
        <w:tc>
          <w:tcPr>
            <w:tcW w:w="7200" w:type="dxa"/>
            <w:gridSpan w:val="6"/>
          </w:tcPr>
          <w:p w14:paraId="3A69D0D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24D34E0" w14:textId="77777777" w:rsidTr="001D5220">
        <w:trPr>
          <w:trHeight w:val="91"/>
        </w:trPr>
        <w:tc>
          <w:tcPr>
            <w:tcW w:w="2425" w:type="dxa"/>
            <w:vMerge w:val="restart"/>
          </w:tcPr>
          <w:p w14:paraId="57A927D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F6AB2CF"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2018</w:t>
            </w:r>
          </w:p>
        </w:tc>
        <w:tc>
          <w:tcPr>
            <w:tcW w:w="1385" w:type="dxa"/>
          </w:tcPr>
          <w:p w14:paraId="0B5A7629"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2019</w:t>
            </w:r>
          </w:p>
        </w:tc>
        <w:tc>
          <w:tcPr>
            <w:tcW w:w="1385" w:type="dxa"/>
            <w:gridSpan w:val="2"/>
          </w:tcPr>
          <w:p w14:paraId="2873B6E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2020</w:t>
            </w:r>
          </w:p>
        </w:tc>
        <w:tc>
          <w:tcPr>
            <w:tcW w:w="1385" w:type="dxa"/>
          </w:tcPr>
          <w:p w14:paraId="7A3C4B46"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2021</w:t>
            </w:r>
          </w:p>
        </w:tc>
        <w:tc>
          <w:tcPr>
            <w:tcW w:w="1660" w:type="dxa"/>
          </w:tcPr>
          <w:p w14:paraId="7620C5B2" w14:textId="77777777" w:rsidR="007E7377" w:rsidRPr="00864C2A" w:rsidRDefault="007E7377" w:rsidP="00E90BA7">
            <w:pPr>
              <w:spacing w:before="20" w:after="20" w:line="240" w:lineRule="auto"/>
              <w:jc w:val="both"/>
              <w:rPr>
                <w:rFonts w:ascii="Segoe UI" w:hAnsi="Segoe UI" w:cs="Segoe UI"/>
                <w:b/>
                <w:bCs/>
                <w:sz w:val="18"/>
                <w:szCs w:val="18"/>
              </w:rPr>
            </w:pPr>
            <w:r w:rsidRPr="00864C2A">
              <w:rPr>
                <w:rFonts w:ascii="Segoe UI" w:hAnsi="Segoe UI" w:cs="Segoe UI"/>
                <w:b/>
                <w:bCs/>
                <w:sz w:val="18"/>
                <w:szCs w:val="18"/>
              </w:rPr>
              <w:t>2022</w:t>
            </w:r>
          </w:p>
        </w:tc>
      </w:tr>
      <w:tr w:rsidR="00A2051E" w:rsidRPr="007669E1" w14:paraId="09197401" w14:textId="77777777" w:rsidTr="001D5220">
        <w:trPr>
          <w:trHeight w:val="305"/>
        </w:trPr>
        <w:tc>
          <w:tcPr>
            <w:tcW w:w="2425" w:type="dxa"/>
            <w:vMerge/>
          </w:tcPr>
          <w:p w14:paraId="46F24EE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8CA43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21,644.5</w:t>
            </w:r>
          </w:p>
        </w:tc>
        <w:tc>
          <w:tcPr>
            <w:tcW w:w="1385" w:type="dxa"/>
            <w:shd w:val="clear" w:color="auto" w:fill="auto"/>
          </w:tcPr>
          <w:p w14:paraId="627FB27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28,160.5</w:t>
            </w:r>
          </w:p>
        </w:tc>
        <w:tc>
          <w:tcPr>
            <w:tcW w:w="1385" w:type="dxa"/>
            <w:gridSpan w:val="2"/>
            <w:shd w:val="clear" w:color="auto" w:fill="auto"/>
          </w:tcPr>
          <w:p w14:paraId="57EF7E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16,786.3</w:t>
            </w:r>
          </w:p>
        </w:tc>
        <w:tc>
          <w:tcPr>
            <w:tcW w:w="1385" w:type="dxa"/>
            <w:shd w:val="clear" w:color="auto" w:fill="auto"/>
          </w:tcPr>
          <w:p w14:paraId="19E2BE2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55,590.9</w:t>
            </w:r>
          </w:p>
        </w:tc>
        <w:tc>
          <w:tcPr>
            <w:tcW w:w="1660" w:type="dxa"/>
            <w:shd w:val="clear" w:color="auto" w:fill="BFBFBF" w:themeFill="background1" w:themeFillShade="BF"/>
          </w:tcPr>
          <w:p w14:paraId="2AA4A34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43,588.1</w:t>
            </w:r>
          </w:p>
        </w:tc>
      </w:tr>
    </w:tbl>
    <w:p w14:paraId="3083F23A"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D2085" w14:paraId="31A578A1" w14:textId="77777777" w:rsidTr="001D5220">
        <w:tc>
          <w:tcPr>
            <w:tcW w:w="9625" w:type="dxa"/>
            <w:gridSpan w:val="7"/>
            <w:shd w:val="clear" w:color="auto" w:fill="D9D9D9" w:themeFill="background1" w:themeFillShade="D9"/>
          </w:tcPr>
          <w:p w14:paraId="50F066D2"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34. Exemption from import duties for construction materials for detention facilities</w:t>
            </w:r>
          </w:p>
        </w:tc>
      </w:tr>
      <w:tr w:rsidR="00C943A7" w:rsidRPr="007669E1" w14:paraId="7F2F568C" w14:textId="77777777" w:rsidTr="001D5220">
        <w:tc>
          <w:tcPr>
            <w:tcW w:w="2425" w:type="dxa"/>
          </w:tcPr>
          <w:p w14:paraId="3411995F"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Description</w:t>
            </w:r>
          </w:p>
        </w:tc>
        <w:tc>
          <w:tcPr>
            <w:tcW w:w="7200" w:type="dxa"/>
            <w:gridSpan w:val="6"/>
          </w:tcPr>
          <w:p w14:paraId="2235A60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 duties paid on goods intended for the construction and assembly works carried out for the construction of criminal investigation facilities with the capacity of 1,600 places of detention are refunded within 45 days.</w:t>
            </w:r>
          </w:p>
        </w:tc>
      </w:tr>
      <w:tr w:rsidR="00C943A7" w:rsidRPr="007669E1" w14:paraId="57C06DB7" w14:textId="77777777" w:rsidTr="001D5220">
        <w:tc>
          <w:tcPr>
            <w:tcW w:w="2425" w:type="dxa"/>
          </w:tcPr>
          <w:p w14:paraId="56182A4D"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Tax Affected</w:t>
            </w:r>
          </w:p>
        </w:tc>
        <w:tc>
          <w:tcPr>
            <w:tcW w:w="7200" w:type="dxa"/>
            <w:gridSpan w:val="6"/>
          </w:tcPr>
          <w:p w14:paraId="781BA61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67AD8EC4" w14:textId="77777777" w:rsidTr="001D5220">
        <w:tc>
          <w:tcPr>
            <w:tcW w:w="2425" w:type="dxa"/>
          </w:tcPr>
          <w:p w14:paraId="0C3DF4E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Beneficiaries</w:t>
            </w:r>
          </w:p>
        </w:tc>
        <w:tc>
          <w:tcPr>
            <w:tcW w:w="7200" w:type="dxa"/>
            <w:gridSpan w:val="6"/>
          </w:tcPr>
          <w:p w14:paraId="3FE8F93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Developers of new detention facilities</w:t>
            </w:r>
          </w:p>
        </w:tc>
      </w:tr>
      <w:tr w:rsidR="00C943A7" w:rsidRPr="007669E1" w14:paraId="316B30FA" w14:textId="77777777" w:rsidTr="001D5220">
        <w:tc>
          <w:tcPr>
            <w:tcW w:w="2425" w:type="dxa"/>
          </w:tcPr>
          <w:p w14:paraId="084AE29A"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Measure</w:t>
            </w:r>
          </w:p>
        </w:tc>
        <w:tc>
          <w:tcPr>
            <w:tcW w:w="7200" w:type="dxa"/>
            <w:gridSpan w:val="6"/>
          </w:tcPr>
          <w:p w14:paraId="3BE3E8E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Refund</w:t>
            </w:r>
          </w:p>
        </w:tc>
      </w:tr>
      <w:tr w:rsidR="00C943A7" w:rsidRPr="007669E1" w14:paraId="4F65ECC5" w14:textId="77777777" w:rsidTr="001D5220">
        <w:tc>
          <w:tcPr>
            <w:tcW w:w="2425" w:type="dxa"/>
          </w:tcPr>
          <w:p w14:paraId="7842A3BC"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Reason why this Measure is not part of the Benchmark Tax System</w:t>
            </w:r>
          </w:p>
        </w:tc>
        <w:tc>
          <w:tcPr>
            <w:tcW w:w="7200" w:type="dxa"/>
            <w:gridSpan w:val="6"/>
          </w:tcPr>
          <w:p w14:paraId="2F9056F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Refunds of import duties are considered tax expenditures.</w:t>
            </w:r>
          </w:p>
        </w:tc>
      </w:tr>
      <w:tr w:rsidR="00C943A7" w:rsidRPr="007669E1" w14:paraId="6A518B93" w14:textId="77777777" w:rsidTr="001D5220">
        <w:tc>
          <w:tcPr>
            <w:tcW w:w="2425" w:type="dxa"/>
          </w:tcPr>
          <w:p w14:paraId="143918A3"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Legal Reference</w:t>
            </w:r>
          </w:p>
        </w:tc>
        <w:tc>
          <w:tcPr>
            <w:tcW w:w="7200" w:type="dxa"/>
            <w:gridSpan w:val="6"/>
          </w:tcPr>
          <w:p w14:paraId="6D72DB3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Combined Nomenclature of Goods, article 10 under "general rules concerning the application of customs duty"</w:t>
            </w:r>
          </w:p>
        </w:tc>
      </w:tr>
      <w:tr w:rsidR="00C943A7" w:rsidRPr="007669E1" w14:paraId="184308C0" w14:textId="77777777" w:rsidTr="001D5220">
        <w:trPr>
          <w:trHeight w:val="182"/>
        </w:trPr>
        <w:tc>
          <w:tcPr>
            <w:tcW w:w="2425" w:type="dxa"/>
            <w:vMerge w:val="restart"/>
          </w:tcPr>
          <w:p w14:paraId="55646D21"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Implementation Objectives, and History</w:t>
            </w:r>
          </w:p>
        </w:tc>
        <w:tc>
          <w:tcPr>
            <w:tcW w:w="7200" w:type="dxa"/>
            <w:gridSpan w:val="6"/>
          </w:tcPr>
          <w:p w14:paraId="08BB65F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construction of new detention facilities.</w:t>
            </w:r>
          </w:p>
        </w:tc>
      </w:tr>
      <w:tr w:rsidR="00C943A7" w:rsidRPr="007669E1" w14:paraId="2AF9E8DE" w14:textId="77777777" w:rsidTr="001D5220">
        <w:trPr>
          <w:trHeight w:val="182"/>
        </w:trPr>
        <w:tc>
          <w:tcPr>
            <w:tcW w:w="2425" w:type="dxa"/>
            <w:vMerge/>
          </w:tcPr>
          <w:p w14:paraId="5EB36FAF" w14:textId="77777777" w:rsidR="007E7377" w:rsidRPr="00FD2085" w:rsidRDefault="007E7377" w:rsidP="00E90BA7">
            <w:pPr>
              <w:spacing w:before="20" w:after="20" w:line="240" w:lineRule="auto"/>
              <w:jc w:val="both"/>
              <w:rPr>
                <w:rFonts w:ascii="Segoe UI" w:hAnsi="Segoe UI" w:cs="Segoe UI"/>
                <w:b/>
                <w:bCs/>
                <w:sz w:val="18"/>
                <w:szCs w:val="18"/>
              </w:rPr>
            </w:pPr>
          </w:p>
        </w:tc>
        <w:tc>
          <w:tcPr>
            <w:tcW w:w="3462" w:type="dxa"/>
            <w:gridSpan w:val="3"/>
          </w:tcPr>
          <w:p w14:paraId="24D086C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6ECF8A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E63EE9D" w14:textId="77777777" w:rsidTr="001D5220">
        <w:tc>
          <w:tcPr>
            <w:tcW w:w="2425" w:type="dxa"/>
          </w:tcPr>
          <w:p w14:paraId="5067635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Source of Data</w:t>
            </w:r>
          </w:p>
        </w:tc>
        <w:tc>
          <w:tcPr>
            <w:tcW w:w="7200" w:type="dxa"/>
            <w:gridSpan w:val="6"/>
          </w:tcPr>
          <w:p w14:paraId="295AE08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188A8BB" w14:textId="77777777" w:rsidTr="001D5220">
        <w:tc>
          <w:tcPr>
            <w:tcW w:w="2425" w:type="dxa"/>
          </w:tcPr>
          <w:p w14:paraId="7AC5BB8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Estimation Method</w:t>
            </w:r>
          </w:p>
        </w:tc>
        <w:tc>
          <w:tcPr>
            <w:tcW w:w="7200" w:type="dxa"/>
            <w:gridSpan w:val="6"/>
          </w:tcPr>
          <w:p w14:paraId="0EB7F04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60F4DBC" w14:textId="77777777" w:rsidTr="001D5220">
        <w:tc>
          <w:tcPr>
            <w:tcW w:w="2425" w:type="dxa"/>
          </w:tcPr>
          <w:p w14:paraId="32BDF3D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Number of Beneficiaries</w:t>
            </w:r>
          </w:p>
        </w:tc>
        <w:tc>
          <w:tcPr>
            <w:tcW w:w="7200" w:type="dxa"/>
            <w:gridSpan w:val="6"/>
          </w:tcPr>
          <w:p w14:paraId="3C4033C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4450340" w14:textId="77777777" w:rsidTr="001D5220">
        <w:tc>
          <w:tcPr>
            <w:tcW w:w="2425" w:type="dxa"/>
          </w:tcPr>
          <w:p w14:paraId="1425E31E"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Revenue Cost Reporting</w:t>
            </w:r>
          </w:p>
        </w:tc>
        <w:tc>
          <w:tcPr>
            <w:tcW w:w="7200" w:type="dxa"/>
            <w:gridSpan w:val="6"/>
          </w:tcPr>
          <w:p w14:paraId="0C86A3C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B1360DA" w14:textId="77777777" w:rsidTr="001D5220">
        <w:trPr>
          <w:trHeight w:val="91"/>
        </w:trPr>
        <w:tc>
          <w:tcPr>
            <w:tcW w:w="2425" w:type="dxa"/>
            <w:vMerge w:val="restart"/>
          </w:tcPr>
          <w:p w14:paraId="069A637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BE60B44"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2018</w:t>
            </w:r>
          </w:p>
        </w:tc>
        <w:tc>
          <w:tcPr>
            <w:tcW w:w="1385" w:type="dxa"/>
          </w:tcPr>
          <w:p w14:paraId="734B1D65"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2019</w:t>
            </w:r>
          </w:p>
        </w:tc>
        <w:tc>
          <w:tcPr>
            <w:tcW w:w="1385" w:type="dxa"/>
            <w:gridSpan w:val="2"/>
          </w:tcPr>
          <w:p w14:paraId="23B3A8E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2020</w:t>
            </w:r>
          </w:p>
        </w:tc>
        <w:tc>
          <w:tcPr>
            <w:tcW w:w="1385" w:type="dxa"/>
          </w:tcPr>
          <w:p w14:paraId="3E63471D"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2021</w:t>
            </w:r>
          </w:p>
        </w:tc>
        <w:tc>
          <w:tcPr>
            <w:tcW w:w="1660" w:type="dxa"/>
          </w:tcPr>
          <w:p w14:paraId="01ABE8EC"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2022</w:t>
            </w:r>
          </w:p>
        </w:tc>
      </w:tr>
      <w:tr w:rsidR="00775F01" w:rsidRPr="007669E1" w14:paraId="10BDCDCB" w14:textId="77777777" w:rsidTr="001D5220">
        <w:trPr>
          <w:trHeight w:val="305"/>
        </w:trPr>
        <w:tc>
          <w:tcPr>
            <w:tcW w:w="2425" w:type="dxa"/>
            <w:vMerge/>
          </w:tcPr>
          <w:p w14:paraId="7177711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E3ABE2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7E9C96C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5851699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464CDEA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0E05D4B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5C8C946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D2085" w14:paraId="041A0E35" w14:textId="77777777" w:rsidTr="001D5220">
        <w:tc>
          <w:tcPr>
            <w:tcW w:w="9625" w:type="dxa"/>
            <w:gridSpan w:val="7"/>
            <w:shd w:val="clear" w:color="auto" w:fill="D9D9D9" w:themeFill="background1" w:themeFillShade="D9"/>
          </w:tcPr>
          <w:p w14:paraId="1825FAFA"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35. Exemption from import duties in respect of the repair of the Parliament building</w:t>
            </w:r>
          </w:p>
        </w:tc>
      </w:tr>
      <w:tr w:rsidR="00C943A7" w:rsidRPr="007669E1" w14:paraId="4EAD698C" w14:textId="77777777" w:rsidTr="001D5220">
        <w:tc>
          <w:tcPr>
            <w:tcW w:w="2425" w:type="dxa"/>
          </w:tcPr>
          <w:p w14:paraId="769FC25F"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Description</w:t>
            </w:r>
          </w:p>
        </w:tc>
        <w:tc>
          <w:tcPr>
            <w:tcW w:w="7200" w:type="dxa"/>
            <w:gridSpan w:val="6"/>
          </w:tcPr>
          <w:p w14:paraId="69F09C69"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machinery, equipment and furniture intended for the repair of the Parliament building are exempt from import duties for the year 2018.</w:t>
            </w:r>
          </w:p>
        </w:tc>
      </w:tr>
      <w:tr w:rsidR="00C943A7" w:rsidRPr="007669E1" w14:paraId="3B35D0A9" w14:textId="77777777" w:rsidTr="001D5220">
        <w:tc>
          <w:tcPr>
            <w:tcW w:w="2425" w:type="dxa"/>
          </w:tcPr>
          <w:p w14:paraId="6DB6EDEF"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Tax Affected</w:t>
            </w:r>
          </w:p>
        </w:tc>
        <w:tc>
          <w:tcPr>
            <w:tcW w:w="7200" w:type="dxa"/>
            <w:gridSpan w:val="6"/>
          </w:tcPr>
          <w:p w14:paraId="1DD2CE0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65FDB9D" w14:textId="77777777" w:rsidTr="001D5220">
        <w:tc>
          <w:tcPr>
            <w:tcW w:w="2425" w:type="dxa"/>
          </w:tcPr>
          <w:p w14:paraId="1A92A423"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Beneficiaries</w:t>
            </w:r>
          </w:p>
        </w:tc>
        <w:tc>
          <w:tcPr>
            <w:tcW w:w="7200" w:type="dxa"/>
            <w:gridSpan w:val="6"/>
          </w:tcPr>
          <w:p w14:paraId="06AF83C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Contractors charged with the repair of the Parliament building</w:t>
            </w:r>
          </w:p>
        </w:tc>
      </w:tr>
      <w:tr w:rsidR="00C943A7" w:rsidRPr="007669E1" w14:paraId="5723A7E5" w14:textId="77777777" w:rsidTr="001D5220">
        <w:tc>
          <w:tcPr>
            <w:tcW w:w="2425" w:type="dxa"/>
          </w:tcPr>
          <w:p w14:paraId="7678D9D8"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Measure</w:t>
            </w:r>
          </w:p>
        </w:tc>
        <w:tc>
          <w:tcPr>
            <w:tcW w:w="7200" w:type="dxa"/>
            <w:gridSpan w:val="6"/>
          </w:tcPr>
          <w:p w14:paraId="154A1C1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049B0E3" w14:textId="77777777" w:rsidTr="001D5220">
        <w:tc>
          <w:tcPr>
            <w:tcW w:w="2425" w:type="dxa"/>
          </w:tcPr>
          <w:p w14:paraId="0DECCF5D"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Reason why this Measure is not part of the Benchmark Tax System</w:t>
            </w:r>
          </w:p>
        </w:tc>
        <w:tc>
          <w:tcPr>
            <w:tcW w:w="7200" w:type="dxa"/>
            <w:gridSpan w:val="6"/>
          </w:tcPr>
          <w:p w14:paraId="50DBEE1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4AEB7BE" w14:textId="77777777" w:rsidTr="001D5220">
        <w:tc>
          <w:tcPr>
            <w:tcW w:w="2425" w:type="dxa"/>
          </w:tcPr>
          <w:p w14:paraId="4613C7B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Legal Reference</w:t>
            </w:r>
          </w:p>
        </w:tc>
        <w:tc>
          <w:tcPr>
            <w:tcW w:w="7200" w:type="dxa"/>
            <w:gridSpan w:val="6"/>
          </w:tcPr>
          <w:p w14:paraId="7FE1636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t</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2611D07A" w14:textId="77777777" w:rsidTr="001D5220">
        <w:trPr>
          <w:trHeight w:val="182"/>
        </w:trPr>
        <w:tc>
          <w:tcPr>
            <w:tcW w:w="2425" w:type="dxa"/>
            <w:vMerge w:val="restart"/>
          </w:tcPr>
          <w:p w14:paraId="3DCBA15B"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Implementation Objectives, and History</w:t>
            </w:r>
          </w:p>
        </w:tc>
        <w:tc>
          <w:tcPr>
            <w:tcW w:w="7200" w:type="dxa"/>
            <w:gridSpan w:val="6"/>
          </w:tcPr>
          <w:p w14:paraId="47F9F5C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intended to facilitate the repair of the Parliament building.</w:t>
            </w:r>
          </w:p>
          <w:p w14:paraId="5B56A5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 effect from 2016 to 2018 only and is to be repealed as of July 1, 2023.</w:t>
            </w:r>
          </w:p>
        </w:tc>
      </w:tr>
      <w:tr w:rsidR="00C943A7" w:rsidRPr="007669E1" w14:paraId="79500735" w14:textId="77777777" w:rsidTr="001D5220">
        <w:trPr>
          <w:trHeight w:val="182"/>
        </w:trPr>
        <w:tc>
          <w:tcPr>
            <w:tcW w:w="2425" w:type="dxa"/>
            <w:vMerge/>
          </w:tcPr>
          <w:p w14:paraId="147791F1" w14:textId="77777777" w:rsidR="007E7377" w:rsidRPr="00FD2085" w:rsidRDefault="007E7377" w:rsidP="00E90BA7">
            <w:pPr>
              <w:spacing w:before="20" w:after="20" w:line="240" w:lineRule="auto"/>
              <w:jc w:val="both"/>
              <w:rPr>
                <w:rFonts w:ascii="Segoe UI" w:hAnsi="Segoe UI" w:cs="Segoe UI"/>
                <w:b/>
                <w:bCs/>
                <w:sz w:val="18"/>
                <w:szCs w:val="18"/>
              </w:rPr>
            </w:pPr>
          </w:p>
        </w:tc>
        <w:tc>
          <w:tcPr>
            <w:tcW w:w="3462" w:type="dxa"/>
            <w:gridSpan w:val="3"/>
          </w:tcPr>
          <w:p w14:paraId="4A26982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5A8D7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6AB9DBB4" w14:textId="77777777" w:rsidTr="001D5220">
        <w:tc>
          <w:tcPr>
            <w:tcW w:w="2425" w:type="dxa"/>
          </w:tcPr>
          <w:p w14:paraId="0E318081"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Source of Data</w:t>
            </w:r>
          </w:p>
        </w:tc>
        <w:tc>
          <w:tcPr>
            <w:tcW w:w="7200" w:type="dxa"/>
            <w:gridSpan w:val="6"/>
          </w:tcPr>
          <w:p w14:paraId="1C1B9F4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714B0DC9" w14:textId="77777777" w:rsidTr="001D5220">
        <w:tc>
          <w:tcPr>
            <w:tcW w:w="2425" w:type="dxa"/>
          </w:tcPr>
          <w:p w14:paraId="772E66B9"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lastRenderedPageBreak/>
              <w:t>Estimation Method</w:t>
            </w:r>
          </w:p>
        </w:tc>
        <w:tc>
          <w:tcPr>
            <w:tcW w:w="7200" w:type="dxa"/>
            <w:gridSpan w:val="6"/>
          </w:tcPr>
          <w:p w14:paraId="4A27BB58"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0120482A" w14:textId="77777777" w:rsidTr="001D5220">
        <w:tc>
          <w:tcPr>
            <w:tcW w:w="2425" w:type="dxa"/>
          </w:tcPr>
          <w:p w14:paraId="675CCAA8"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Number of Beneficiaries</w:t>
            </w:r>
          </w:p>
        </w:tc>
        <w:tc>
          <w:tcPr>
            <w:tcW w:w="7200" w:type="dxa"/>
            <w:gridSpan w:val="6"/>
          </w:tcPr>
          <w:p w14:paraId="6DD78BE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6593DB1" w14:textId="77777777" w:rsidTr="001D5220">
        <w:tc>
          <w:tcPr>
            <w:tcW w:w="2425" w:type="dxa"/>
          </w:tcPr>
          <w:p w14:paraId="4E7D1BF1"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Revenue Cost Reporting</w:t>
            </w:r>
          </w:p>
        </w:tc>
        <w:tc>
          <w:tcPr>
            <w:tcW w:w="7200" w:type="dxa"/>
            <w:gridSpan w:val="6"/>
          </w:tcPr>
          <w:p w14:paraId="30A5DE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4093340" w14:textId="77777777" w:rsidTr="001D5220">
        <w:trPr>
          <w:trHeight w:val="91"/>
        </w:trPr>
        <w:tc>
          <w:tcPr>
            <w:tcW w:w="2425" w:type="dxa"/>
            <w:vMerge w:val="restart"/>
          </w:tcPr>
          <w:p w14:paraId="08A08C4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232B652"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2018</w:t>
            </w:r>
          </w:p>
        </w:tc>
        <w:tc>
          <w:tcPr>
            <w:tcW w:w="1385" w:type="dxa"/>
          </w:tcPr>
          <w:p w14:paraId="3E892D8C"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2019</w:t>
            </w:r>
          </w:p>
        </w:tc>
        <w:tc>
          <w:tcPr>
            <w:tcW w:w="1385" w:type="dxa"/>
            <w:gridSpan w:val="2"/>
          </w:tcPr>
          <w:p w14:paraId="2FA531D2"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2020</w:t>
            </w:r>
          </w:p>
        </w:tc>
        <w:tc>
          <w:tcPr>
            <w:tcW w:w="1385" w:type="dxa"/>
          </w:tcPr>
          <w:p w14:paraId="6F751695"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2021</w:t>
            </w:r>
          </w:p>
        </w:tc>
        <w:tc>
          <w:tcPr>
            <w:tcW w:w="1660" w:type="dxa"/>
          </w:tcPr>
          <w:p w14:paraId="79F05566"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2022</w:t>
            </w:r>
          </w:p>
        </w:tc>
      </w:tr>
      <w:tr w:rsidR="00775F01" w:rsidRPr="007669E1" w14:paraId="3028D1BF" w14:textId="77777777" w:rsidTr="001D5220">
        <w:trPr>
          <w:trHeight w:val="305"/>
        </w:trPr>
        <w:tc>
          <w:tcPr>
            <w:tcW w:w="2425" w:type="dxa"/>
            <w:vMerge/>
          </w:tcPr>
          <w:p w14:paraId="3FFFE83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77BF77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332.6</w:t>
            </w:r>
          </w:p>
        </w:tc>
        <w:tc>
          <w:tcPr>
            <w:tcW w:w="1385" w:type="dxa"/>
            <w:shd w:val="clear" w:color="auto" w:fill="auto"/>
          </w:tcPr>
          <w:p w14:paraId="49D0A1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3C1A11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164CC04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9781E2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9036C99"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D2085" w14:paraId="109FCB1F" w14:textId="77777777" w:rsidTr="001D5220">
        <w:tc>
          <w:tcPr>
            <w:tcW w:w="9625" w:type="dxa"/>
            <w:gridSpan w:val="7"/>
            <w:shd w:val="clear" w:color="auto" w:fill="D9D9D9" w:themeFill="background1" w:themeFillShade="D9"/>
          </w:tcPr>
          <w:p w14:paraId="0369E5C1"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36. Exemption from import duties for aircrafts, helicopters and locomotives</w:t>
            </w:r>
          </w:p>
        </w:tc>
      </w:tr>
      <w:tr w:rsidR="00C943A7" w:rsidRPr="007669E1" w14:paraId="13F467C0" w14:textId="77777777" w:rsidTr="001D5220">
        <w:tc>
          <w:tcPr>
            <w:tcW w:w="2425" w:type="dxa"/>
          </w:tcPr>
          <w:p w14:paraId="5D402BF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Description</w:t>
            </w:r>
          </w:p>
        </w:tc>
        <w:tc>
          <w:tcPr>
            <w:tcW w:w="7200" w:type="dxa"/>
            <w:gridSpan w:val="6"/>
          </w:tcPr>
          <w:p w14:paraId="01E39C6B"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Aircrafts, helicopters, locomotives, self-propelled rail cars for public passenger transport, and parts thereof, are exempt from import duties.</w:t>
            </w:r>
          </w:p>
        </w:tc>
      </w:tr>
      <w:tr w:rsidR="00C943A7" w:rsidRPr="007669E1" w14:paraId="41E3C403" w14:textId="77777777" w:rsidTr="001D5220">
        <w:tc>
          <w:tcPr>
            <w:tcW w:w="2425" w:type="dxa"/>
          </w:tcPr>
          <w:p w14:paraId="223CF10B"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Tax Affected</w:t>
            </w:r>
          </w:p>
        </w:tc>
        <w:tc>
          <w:tcPr>
            <w:tcW w:w="7200" w:type="dxa"/>
            <w:gridSpan w:val="6"/>
          </w:tcPr>
          <w:p w14:paraId="16F7F7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6FF2CDFB" w14:textId="77777777" w:rsidTr="001D5220">
        <w:tc>
          <w:tcPr>
            <w:tcW w:w="2425" w:type="dxa"/>
          </w:tcPr>
          <w:p w14:paraId="59E38FD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Beneficiaries</w:t>
            </w:r>
          </w:p>
        </w:tc>
        <w:tc>
          <w:tcPr>
            <w:tcW w:w="7200" w:type="dxa"/>
            <w:gridSpan w:val="6"/>
          </w:tcPr>
          <w:p w14:paraId="0A12026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Transportation companies</w:t>
            </w:r>
          </w:p>
        </w:tc>
      </w:tr>
      <w:tr w:rsidR="00C943A7" w:rsidRPr="007669E1" w14:paraId="7EEDFB97" w14:textId="77777777" w:rsidTr="001D5220">
        <w:tc>
          <w:tcPr>
            <w:tcW w:w="2425" w:type="dxa"/>
          </w:tcPr>
          <w:p w14:paraId="50D50899"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Type of Measure</w:t>
            </w:r>
          </w:p>
        </w:tc>
        <w:tc>
          <w:tcPr>
            <w:tcW w:w="7200" w:type="dxa"/>
            <w:gridSpan w:val="6"/>
          </w:tcPr>
          <w:p w14:paraId="17B7BD8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680031E" w14:textId="77777777" w:rsidTr="001D5220">
        <w:tc>
          <w:tcPr>
            <w:tcW w:w="2425" w:type="dxa"/>
          </w:tcPr>
          <w:p w14:paraId="0AD9C81E"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Reason why this Measure is not part of the Benchmark Tax System</w:t>
            </w:r>
          </w:p>
        </w:tc>
        <w:tc>
          <w:tcPr>
            <w:tcW w:w="7200" w:type="dxa"/>
            <w:gridSpan w:val="6"/>
          </w:tcPr>
          <w:p w14:paraId="5FDEEEE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347BA54" w14:textId="77777777" w:rsidTr="001D5220">
        <w:tc>
          <w:tcPr>
            <w:tcW w:w="2425" w:type="dxa"/>
          </w:tcPr>
          <w:p w14:paraId="7804384A"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Legal Reference</w:t>
            </w:r>
          </w:p>
        </w:tc>
        <w:tc>
          <w:tcPr>
            <w:tcW w:w="7200" w:type="dxa"/>
            <w:gridSpan w:val="6"/>
          </w:tcPr>
          <w:p w14:paraId="54F05708" w14:textId="77777777" w:rsidR="007E7377" w:rsidRPr="007669E1" w:rsidRDefault="007E7377" w:rsidP="00E90BA7">
            <w:pPr>
              <w:spacing w:before="20" w:after="20" w:line="240" w:lineRule="auto"/>
              <w:jc w:val="both"/>
              <w:rPr>
                <w:rFonts w:ascii="Segoe UI" w:hAnsi="Segoe UI" w:cs="Segoe UI"/>
                <w:sz w:val="18"/>
                <w:szCs w:val="18"/>
                <w:vertAlign w:val="superscript"/>
              </w:rPr>
            </w:pPr>
            <w:r w:rsidRPr="007669E1">
              <w:rPr>
                <w:rFonts w:ascii="Segoe UI" w:hAnsi="Segoe UI" w:cs="Segoe UI"/>
                <w:sz w:val="18"/>
                <w:szCs w:val="18"/>
              </w:rPr>
              <w:t>Customs Tariff, article 28 y</w:t>
            </w:r>
            <w:r w:rsidRPr="007669E1">
              <w:rPr>
                <w:rFonts w:ascii="Segoe UI" w:hAnsi="Segoe UI" w:cs="Segoe UI"/>
                <w:sz w:val="18"/>
                <w:szCs w:val="18"/>
                <w:vertAlign w:val="superscript"/>
              </w:rPr>
              <w:t>1</w:t>
            </w:r>
            <w:r w:rsidRPr="007669E1">
              <w:rPr>
                <w:rFonts w:ascii="Segoe UI" w:hAnsi="Segoe UI" w:cs="Segoe UI"/>
                <w:sz w:val="18"/>
                <w:szCs w:val="18"/>
              </w:rPr>
              <w:t>)</w:t>
            </w:r>
          </w:p>
        </w:tc>
      </w:tr>
      <w:tr w:rsidR="00C943A7" w:rsidRPr="007669E1" w14:paraId="6D82BE24" w14:textId="77777777" w:rsidTr="001D5220">
        <w:trPr>
          <w:trHeight w:val="182"/>
        </w:trPr>
        <w:tc>
          <w:tcPr>
            <w:tcW w:w="2425" w:type="dxa"/>
            <w:vMerge w:val="restart"/>
          </w:tcPr>
          <w:p w14:paraId="11C3FBFD"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Implementation Objectives, and History</w:t>
            </w:r>
          </w:p>
        </w:tc>
        <w:tc>
          <w:tcPr>
            <w:tcW w:w="7200" w:type="dxa"/>
            <w:gridSpan w:val="6"/>
          </w:tcPr>
          <w:p w14:paraId="26A6D9B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domestic transportation companies.</w:t>
            </w:r>
          </w:p>
          <w:p w14:paraId="69FB6C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7C96DD56" w14:textId="77777777" w:rsidTr="001D5220">
        <w:trPr>
          <w:trHeight w:val="182"/>
        </w:trPr>
        <w:tc>
          <w:tcPr>
            <w:tcW w:w="2425" w:type="dxa"/>
            <w:vMerge/>
          </w:tcPr>
          <w:p w14:paraId="4BC555A0" w14:textId="77777777" w:rsidR="007E7377" w:rsidRPr="00FD2085" w:rsidRDefault="007E7377" w:rsidP="00E90BA7">
            <w:pPr>
              <w:spacing w:before="20" w:after="20" w:line="240" w:lineRule="auto"/>
              <w:jc w:val="both"/>
              <w:rPr>
                <w:rFonts w:ascii="Segoe UI" w:hAnsi="Segoe UI" w:cs="Segoe UI"/>
                <w:b/>
                <w:bCs/>
                <w:sz w:val="18"/>
                <w:szCs w:val="18"/>
              </w:rPr>
            </w:pPr>
          </w:p>
        </w:tc>
        <w:tc>
          <w:tcPr>
            <w:tcW w:w="3462" w:type="dxa"/>
            <w:gridSpan w:val="3"/>
          </w:tcPr>
          <w:p w14:paraId="6C72C05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094A25C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3AAAFB99" w14:textId="77777777" w:rsidTr="001D5220">
        <w:tc>
          <w:tcPr>
            <w:tcW w:w="2425" w:type="dxa"/>
          </w:tcPr>
          <w:p w14:paraId="42B61AFD"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Source of Data</w:t>
            </w:r>
          </w:p>
        </w:tc>
        <w:tc>
          <w:tcPr>
            <w:tcW w:w="7200" w:type="dxa"/>
            <w:gridSpan w:val="6"/>
          </w:tcPr>
          <w:p w14:paraId="5F36215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8519C15" w14:textId="77777777" w:rsidTr="001D5220">
        <w:tc>
          <w:tcPr>
            <w:tcW w:w="2425" w:type="dxa"/>
          </w:tcPr>
          <w:p w14:paraId="4C82FE5D"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Estimation Method</w:t>
            </w:r>
          </w:p>
        </w:tc>
        <w:tc>
          <w:tcPr>
            <w:tcW w:w="7200" w:type="dxa"/>
            <w:gridSpan w:val="6"/>
          </w:tcPr>
          <w:p w14:paraId="5865113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3511B12" w14:textId="77777777" w:rsidTr="001D5220">
        <w:tc>
          <w:tcPr>
            <w:tcW w:w="2425" w:type="dxa"/>
          </w:tcPr>
          <w:p w14:paraId="2DDDA134"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Number of Beneficiaries</w:t>
            </w:r>
          </w:p>
        </w:tc>
        <w:tc>
          <w:tcPr>
            <w:tcW w:w="7200" w:type="dxa"/>
            <w:gridSpan w:val="6"/>
          </w:tcPr>
          <w:p w14:paraId="2A7E1DF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25604EA" w14:textId="77777777" w:rsidTr="001D5220">
        <w:tc>
          <w:tcPr>
            <w:tcW w:w="2425" w:type="dxa"/>
          </w:tcPr>
          <w:p w14:paraId="1988692B"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Revenue Cost Reporting</w:t>
            </w:r>
          </w:p>
        </w:tc>
        <w:tc>
          <w:tcPr>
            <w:tcW w:w="7200" w:type="dxa"/>
            <w:gridSpan w:val="6"/>
          </w:tcPr>
          <w:p w14:paraId="213752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0DA8283" w14:textId="77777777" w:rsidTr="001D5220">
        <w:trPr>
          <w:trHeight w:val="91"/>
        </w:trPr>
        <w:tc>
          <w:tcPr>
            <w:tcW w:w="2425" w:type="dxa"/>
            <w:vMerge w:val="restart"/>
          </w:tcPr>
          <w:p w14:paraId="190771C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DA5BBC9"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2018</w:t>
            </w:r>
          </w:p>
        </w:tc>
        <w:tc>
          <w:tcPr>
            <w:tcW w:w="1385" w:type="dxa"/>
          </w:tcPr>
          <w:p w14:paraId="6A21E09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2019</w:t>
            </w:r>
          </w:p>
        </w:tc>
        <w:tc>
          <w:tcPr>
            <w:tcW w:w="1385" w:type="dxa"/>
            <w:gridSpan w:val="2"/>
          </w:tcPr>
          <w:p w14:paraId="30B1E124"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2020</w:t>
            </w:r>
          </w:p>
        </w:tc>
        <w:tc>
          <w:tcPr>
            <w:tcW w:w="1385" w:type="dxa"/>
          </w:tcPr>
          <w:p w14:paraId="3316E537"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2021</w:t>
            </w:r>
          </w:p>
        </w:tc>
        <w:tc>
          <w:tcPr>
            <w:tcW w:w="1660" w:type="dxa"/>
          </w:tcPr>
          <w:p w14:paraId="10643F3B"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2022</w:t>
            </w:r>
          </w:p>
        </w:tc>
      </w:tr>
      <w:tr w:rsidR="00775F01" w:rsidRPr="007669E1" w14:paraId="33831D48" w14:textId="77777777" w:rsidTr="001D5220">
        <w:trPr>
          <w:trHeight w:val="305"/>
        </w:trPr>
        <w:tc>
          <w:tcPr>
            <w:tcW w:w="2425" w:type="dxa"/>
            <w:vMerge/>
          </w:tcPr>
          <w:p w14:paraId="09CDD1C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7F49DD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E5770C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3B8E8D4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66CF012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2E6D55D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48071684"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FD2085" w14:paraId="026C0CE5" w14:textId="77777777" w:rsidTr="001D5220">
        <w:tc>
          <w:tcPr>
            <w:tcW w:w="9625" w:type="dxa"/>
            <w:gridSpan w:val="7"/>
            <w:shd w:val="clear" w:color="auto" w:fill="D9D9D9" w:themeFill="background1" w:themeFillShade="D9"/>
          </w:tcPr>
          <w:p w14:paraId="52F7AB1B" w14:textId="77777777" w:rsidR="007E7377" w:rsidRPr="00FD2085" w:rsidRDefault="007E7377" w:rsidP="00E90BA7">
            <w:pPr>
              <w:spacing w:before="20" w:after="20" w:line="240" w:lineRule="auto"/>
              <w:jc w:val="both"/>
              <w:rPr>
                <w:rFonts w:ascii="Segoe UI" w:hAnsi="Segoe UI" w:cs="Segoe UI"/>
                <w:b/>
                <w:bCs/>
                <w:sz w:val="18"/>
                <w:szCs w:val="18"/>
              </w:rPr>
            </w:pPr>
            <w:r w:rsidRPr="00FD2085">
              <w:rPr>
                <w:rFonts w:ascii="Segoe UI" w:hAnsi="Segoe UI" w:cs="Segoe UI"/>
                <w:b/>
                <w:bCs/>
                <w:sz w:val="18"/>
                <w:szCs w:val="18"/>
              </w:rPr>
              <w:t>37. Exemption from import duties in respect of international transportation</w:t>
            </w:r>
          </w:p>
        </w:tc>
      </w:tr>
      <w:tr w:rsidR="00C943A7" w:rsidRPr="007669E1" w14:paraId="4D879024" w14:textId="77777777" w:rsidTr="001D5220">
        <w:tc>
          <w:tcPr>
            <w:tcW w:w="2425" w:type="dxa"/>
          </w:tcPr>
          <w:p w14:paraId="063757C1"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Description</w:t>
            </w:r>
          </w:p>
        </w:tc>
        <w:tc>
          <w:tcPr>
            <w:tcW w:w="7200" w:type="dxa"/>
            <w:gridSpan w:val="6"/>
          </w:tcPr>
          <w:p w14:paraId="142E4130"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transport used for the international transport of passengers and goods, as well as technical and material supply items, equipment, fuel and food necessary for the operation of these means of transport, are exempt from import duties.</w:t>
            </w:r>
          </w:p>
        </w:tc>
      </w:tr>
      <w:tr w:rsidR="00C943A7" w:rsidRPr="007669E1" w14:paraId="7333CED7" w14:textId="77777777" w:rsidTr="001D5220">
        <w:tc>
          <w:tcPr>
            <w:tcW w:w="2425" w:type="dxa"/>
          </w:tcPr>
          <w:p w14:paraId="64B18B22"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Type of Tax Affected</w:t>
            </w:r>
          </w:p>
        </w:tc>
        <w:tc>
          <w:tcPr>
            <w:tcW w:w="7200" w:type="dxa"/>
            <w:gridSpan w:val="6"/>
          </w:tcPr>
          <w:p w14:paraId="0A3375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0490117A" w14:textId="77777777" w:rsidTr="001D5220">
        <w:tc>
          <w:tcPr>
            <w:tcW w:w="2425" w:type="dxa"/>
          </w:tcPr>
          <w:p w14:paraId="259300E6"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Beneficiaries</w:t>
            </w:r>
          </w:p>
        </w:tc>
        <w:tc>
          <w:tcPr>
            <w:tcW w:w="7200" w:type="dxa"/>
            <w:gridSpan w:val="6"/>
          </w:tcPr>
          <w:p w14:paraId="1396358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International transportation companies</w:t>
            </w:r>
          </w:p>
        </w:tc>
      </w:tr>
      <w:tr w:rsidR="00C943A7" w:rsidRPr="007669E1" w14:paraId="4E336FE3" w14:textId="77777777" w:rsidTr="001D5220">
        <w:tc>
          <w:tcPr>
            <w:tcW w:w="2425" w:type="dxa"/>
          </w:tcPr>
          <w:p w14:paraId="25FB26DA"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Type of Measure</w:t>
            </w:r>
          </w:p>
        </w:tc>
        <w:tc>
          <w:tcPr>
            <w:tcW w:w="7200" w:type="dxa"/>
            <w:gridSpan w:val="6"/>
          </w:tcPr>
          <w:p w14:paraId="2F0E2F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251BBE4C" w14:textId="77777777" w:rsidTr="001D5220">
        <w:tc>
          <w:tcPr>
            <w:tcW w:w="2425" w:type="dxa"/>
          </w:tcPr>
          <w:p w14:paraId="26584251"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Reason why this Measure is not part of the Benchmark Tax System</w:t>
            </w:r>
          </w:p>
        </w:tc>
        <w:tc>
          <w:tcPr>
            <w:tcW w:w="7200" w:type="dxa"/>
            <w:gridSpan w:val="6"/>
          </w:tcPr>
          <w:p w14:paraId="22F4D1A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4E835FB" w14:textId="77777777" w:rsidTr="001D5220">
        <w:tc>
          <w:tcPr>
            <w:tcW w:w="2425" w:type="dxa"/>
          </w:tcPr>
          <w:p w14:paraId="34604027"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Legal Reference</w:t>
            </w:r>
          </w:p>
        </w:tc>
        <w:tc>
          <w:tcPr>
            <w:tcW w:w="7200" w:type="dxa"/>
            <w:gridSpan w:val="6"/>
          </w:tcPr>
          <w:p w14:paraId="6B89EA2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a)</w:t>
            </w:r>
          </w:p>
        </w:tc>
      </w:tr>
      <w:tr w:rsidR="00C943A7" w:rsidRPr="007669E1" w14:paraId="13DFC47B" w14:textId="77777777" w:rsidTr="001D5220">
        <w:trPr>
          <w:trHeight w:val="182"/>
        </w:trPr>
        <w:tc>
          <w:tcPr>
            <w:tcW w:w="2425" w:type="dxa"/>
            <w:vMerge w:val="restart"/>
          </w:tcPr>
          <w:p w14:paraId="7B6B9BFF"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Implementation Objectives, and History</w:t>
            </w:r>
          </w:p>
        </w:tc>
        <w:tc>
          <w:tcPr>
            <w:tcW w:w="7200" w:type="dxa"/>
            <w:gridSpan w:val="6"/>
          </w:tcPr>
          <w:p w14:paraId="6A4C803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51AA2710" w14:textId="77777777" w:rsidTr="001D5220">
        <w:trPr>
          <w:trHeight w:val="182"/>
        </w:trPr>
        <w:tc>
          <w:tcPr>
            <w:tcW w:w="2425" w:type="dxa"/>
            <w:vMerge/>
          </w:tcPr>
          <w:p w14:paraId="0A8157E3" w14:textId="77777777" w:rsidR="007E7377" w:rsidRPr="00272108" w:rsidRDefault="007E7377" w:rsidP="00E90BA7">
            <w:pPr>
              <w:spacing w:before="20" w:after="20" w:line="240" w:lineRule="auto"/>
              <w:jc w:val="both"/>
              <w:rPr>
                <w:rFonts w:ascii="Segoe UI" w:hAnsi="Segoe UI" w:cs="Segoe UI"/>
                <w:b/>
                <w:bCs/>
                <w:sz w:val="18"/>
                <w:szCs w:val="18"/>
              </w:rPr>
            </w:pPr>
          </w:p>
        </w:tc>
        <w:tc>
          <w:tcPr>
            <w:tcW w:w="3462" w:type="dxa"/>
            <w:gridSpan w:val="3"/>
          </w:tcPr>
          <w:p w14:paraId="1F1551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0FE7FB8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46A005CD" w14:textId="77777777" w:rsidTr="001D5220">
        <w:tc>
          <w:tcPr>
            <w:tcW w:w="2425" w:type="dxa"/>
          </w:tcPr>
          <w:p w14:paraId="07A97EA9"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Source of Data</w:t>
            </w:r>
          </w:p>
        </w:tc>
        <w:tc>
          <w:tcPr>
            <w:tcW w:w="7200" w:type="dxa"/>
            <w:gridSpan w:val="6"/>
          </w:tcPr>
          <w:p w14:paraId="0C6CD7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6B01DA1" w14:textId="77777777" w:rsidTr="001D5220">
        <w:tc>
          <w:tcPr>
            <w:tcW w:w="2425" w:type="dxa"/>
          </w:tcPr>
          <w:p w14:paraId="040B6F01"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Estimation Method</w:t>
            </w:r>
          </w:p>
        </w:tc>
        <w:tc>
          <w:tcPr>
            <w:tcW w:w="7200" w:type="dxa"/>
            <w:gridSpan w:val="6"/>
          </w:tcPr>
          <w:p w14:paraId="45AE318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7866B8B" w14:textId="77777777" w:rsidTr="001D5220">
        <w:tc>
          <w:tcPr>
            <w:tcW w:w="2425" w:type="dxa"/>
          </w:tcPr>
          <w:p w14:paraId="6D6D8BC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Number of Beneficiaries</w:t>
            </w:r>
          </w:p>
        </w:tc>
        <w:tc>
          <w:tcPr>
            <w:tcW w:w="7200" w:type="dxa"/>
            <w:gridSpan w:val="6"/>
          </w:tcPr>
          <w:p w14:paraId="1E98D09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7B81267" w14:textId="77777777" w:rsidTr="001D5220">
        <w:tc>
          <w:tcPr>
            <w:tcW w:w="2425" w:type="dxa"/>
          </w:tcPr>
          <w:p w14:paraId="2AD8B307"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Revenue Cost Reporting</w:t>
            </w:r>
          </w:p>
        </w:tc>
        <w:tc>
          <w:tcPr>
            <w:tcW w:w="7200" w:type="dxa"/>
            <w:gridSpan w:val="6"/>
          </w:tcPr>
          <w:p w14:paraId="5658CCD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5BD72ACC" w14:textId="77777777" w:rsidTr="001D5220">
        <w:trPr>
          <w:trHeight w:val="91"/>
        </w:trPr>
        <w:tc>
          <w:tcPr>
            <w:tcW w:w="2425" w:type="dxa"/>
            <w:vMerge w:val="restart"/>
          </w:tcPr>
          <w:p w14:paraId="5BA6C44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7C47684"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2018</w:t>
            </w:r>
          </w:p>
        </w:tc>
        <w:tc>
          <w:tcPr>
            <w:tcW w:w="1385" w:type="dxa"/>
          </w:tcPr>
          <w:p w14:paraId="37036B90"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2019</w:t>
            </w:r>
          </w:p>
        </w:tc>
        <w:tc>
          <w:tcPr>
            <w:tcW w:w="1385" w:type="dxa"/>
            <w:gridSpan w:val="2"/>
          </w:tcPr>
          <w:p w14:paraId="19424357"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2020</w:t>
            </w:r>
          </w:p>
        </w:tc>
        <w:tc>
          <w:tcPr>
            <w:tcW w:w="1385" w:type="dxa"/>
          </w:tcPr>
          <w:p w14:paraId="1E1E13C9"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2021</w:t>
            </w:r>
          </w:p>
        </w:tc>
        <w:tc>
          <w:tcPr>
            <w:tcW w:w="1660" w:type="dxa"/>
          </w:tcPr>
          <w:p w14:paraId="02E9BBD2"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2022</w:t>
            </w:r>
          </w:p>
        </w:tc>
      </w:tr>
      <w:tr w:rsidR="00775F01" w:rsidRPr="007669E1" w14:paraId="1B94A54F" w14:textId="77777777" w:rsidTr="001D5220">
        <w:trPr>
          <w:trHeight w:val="305"/>
        </w:trPr>
        <w:tc>
          <w:tcPr>
            <w:tcW w:w="2425" w:type="dxa"/>
            <w:vMerge/>
          </w:tcPr>
          <w:p w14:paraId="6891C73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B93E05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313651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0A1B0A1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4A5FC8A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7A2CCB8"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309681D8"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272108" w14:paraId="32F94C7A" w14:textId="77777777" w:rsidTr="001D5220">
        <w:tc>
          <w:tcPr>
            <w:tcW w:w="9625" w:type="dxa"/>
            <w:gridSpan w:val="7"/>
            <w:shd w:val="clear" w:color="auto" w:fill="D9D9D9" w:themeFill="background1" w:themeFillShade="D9"/>
          </w:tcPr>
          <w:p w14:paraId="19001383"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38. Exemption from import duties for imported buses and trucks</w:t>
            </w:r>
          </w:p>
        </w:tc>
      </w:tr>
      <w:tr w:rsidR="00C943A7" w:rsidRPr="007669E1" w14:paraId="2C444C57" w14:textId="77777777" w:rsidTr="001D5220">
        <w:tc>
          <w:tcPr>
            <w:tcW w:w="2425" w:type="dxa"/>
          </w:tcPr>
          <w:p w14:paraId="20F7AD87"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Description</w:t>
            </w:r>
          </w:p>
        </w:tc>
        <w:tc>
          <w:tcPr>
            <w:tcW w:w="7200" w:type="dxa"/>
            <w:gridSpan w:val="6"/>
          </w:tcPr>
          <w:p w14:paraId="58C8D947"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Imports of buses and trucks with an exploitation term of up to 7 years are not subject to import duties.</w:t>
            </w:r>
          </w:p>
        </w:tc>
      </w:tr>
      <w:tr w:rsidR="00C943A7" w:rsidRPr="007669E1" w14:paraId="328D17BC" w14:textId="77777777" w:rsidTr="001D5220">
        <w:tc>
          <w:tcPr>
            <w:tcW w:w="2425" w:type="dxa"/>
          </w:tcPr>
          <w:p w14:paraId="53316D63"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Type of Tax Affected</w:t>
            </w:r>
          </w:p>
        </w:tc>
        <w:tc>
          <w:tcPr>
            <w:tcW w:w="7200" w:type="dxa"/>
            <w:gridSpan w:val="6"/>
          </w:tcPr>
          <w:p w14:paraId="2A3E494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4FDAD18" w14:textId="77777777" w:rsidTr="001D5220">
        <w:tc>
          <w:tcPr>
            <w:tcW w:w="2425" w:type="dxa"/>
          </w:tcPr>
          <w:p w14:paraId="69D447F5"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Beneficiaries</w:t>
            </w:r>
          </w:p>
        </w:tc>
        <w:tc>
          <w:tcPr>
            <w:tcW w:w="7200" w:type="dxa"/>
            <w:gridSpan w:val="6"/>
          </w:tcPr>
          <w:p w14:paraId="0FD978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Importers of buses and trucks</w:t>
            </w:r>
          </w:p>
        </w:tc>
      </w:tr>
      <w:tr w:rsidR="00C943A7" w:rsidRPr="007669E1" w14:paraId="30E1C5D8" w14:textId="77777777" w:rsidTr="001D5220">
        <w:tc>
          <w:tcPr>
            <w:tcW w:w="2425" w:type="dxa"/>
          </w:tcPr>
          <w:p w14:paraId="32E63528"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Type of Measure</w:t>
            </w:r>
          </w:p>
        </w:tc>
        <w:tc>
          <w:tcPr>
            <w:tcW w:w="7200" w:type="dxa"/>
            <w:gridSpan w:val="6"/>
          </w:tcPr>
          <w:p w14:paraId="4492054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6CEC75E" w14:textId="77777777" w:rsidTr="001D5220">
        <w:tc>
          <w:tcPr>
            <w:tcW w:w="2425" w:type="dxa"/>
          </w:tcPr>
          <w:p w14:paraId="606FC0C4"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Reason why this Measure is not part of the Benchmark Tax System</w:t>
            </w:r>
          </w:p>
        </w:tc>
        <w:tc>
          <w:tcPr>
            <w:tcW w:w="7200" w:type="dxa"/>
            <w:gridSpan w:val="6"/>
          </w:tcPr>
          <w:p w14:paraId="3A42FC1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1D78BCE" w14:textId="77777777" w:rsidTr="001D5220">
        <w:tc>
          <w:tcPr>
            <w:tcW w:w="2425" w:type="dxa"/>
          </w:tcPr>
          <w:p w14:paraId="35C32B07"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Legal Reference</w:t>
            </w:r>
          </w:p>
        </w:tc>
        <w:tc>
          <w:tcPr>
            <w:tcW w:w="7200" w:type="dxa"/>
            <w:gridSpan w:val="6"/>
          </w:tcPr>
          <w:p w14:paraId="1B56892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Combined Nomenclature of Goods, article 7 under "general rules concerning the application of customs duty"</w:t>
            </w:r>
          </w:p>
        </w:tc>
      </w:tr>
      <w:tr w:rsidR="00C943A7" w:rsidRPr="007669E1" w14:paraId="1A4BB228" w14:textId="77777777" w:rsidTr="001D5220">
        <w:trPr>
          <w:trHeight w:val="182"/>
        </w:trPr>
        <w:tc>
          <w:tcPr>
            <w:tcW w:w="2425" w:type="dxa"/>
            <w:vMerge w:val="restart"/>
          </w:tcPr>
          <w:p w14:paraId="251B4F5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Implementation Objectives, and History</w:t>
            </w:r>
          </w:p>
        </w:tc>
        <w:tc>
          <w:tcPr>
            <w:tcW w:w="7200" w:type="dxa"/>
            <w:gridSpan w:val="6"/>
          </w:tcPr>
          <w:p w14:paraId="23C010A8"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1F3638F3" w14:textId="77777777" w:rsidTr="001D5220">
        <w:trPr>
          <w:trHeight w:val="182"/>
        </w:trPr>
        <w:tc>
          <w:tcPr>
            <w:tcW w:w="2425" w:type="dxa"/>
            <w:vMerge/>
          </w:tcPr>
          <w:p w14:paraId="64FE7A0D" w14:textId="77777777" w:rsidR="007E7377" w:rsidRPr="00272108" w:rsidRDefault="007E7377" w:rsidP="00E90BA7">
            <w:pPr>
              <w:spacing w:before="20" w:after="20" w:line="240" w:lineRule="auto"/>
              <w:jc w:val="both"/>
              <w:rPr>
                <w:rFonts w:ascii="Segoe UI" w:hAnsi="Segoe UI" w:cs="Segoe UI"/>
                <w:b/>
                <w:bCs/>
                <w:sz w:val="18"/>
                <w:szCs w:val="18"/>
              </w:rPr>
            </w:pPr>
          </w:p>
        </w:tc>
        <w:tc>
          <w:tcPr>
            <w:tcW w:w="3462" w:type="dxa"/>
            <w:gridSpan w:val="3"/>
          </w:tcPr>
          <w:p w14:paraId="119D36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5742229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3F6A274" w14:textId="77777777" w:rsidTr="001D5220">
        <w:tc>
          <w:tcPr>
            <w:tcW w:w="2425" w:type="dxa"/>
          </w:tcPr>
          <w:p w14:paraId="7E33954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Source of Data</w:t>
            </w:r>
          </w:p>
        </w:tc>
        <w:tc>
          <w:tcPr>
            <w:tcW w:w="7200" w:type="dxa"/>
            <w:gridSpan w:val="6"/>
          </w:tcPr>
          <w:p w14:paraId="1BF3685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1B200C7F" w14:textId="77777777" w:rsidTr="001D5220">
        <w:tc>
          <w:tcPr>
            <w:tcW w:w="2425" w:type="dxa"/>
          </w:tcPr>
          <w:p w14:paraId="07C3159C"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Estimation Method</w:t>
            </w:r>
          </w:p>
        </w:tc>
        <w:tc>
          <w:tcPr>
            <w:tcW w:w="7200" w:type="dxa"/>
            <w:gridSpan w:val="6"/>
          </w:tcPr>
          <w:p w14:paraId="6220B080"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12B653D9" w14:textId="77777777" w:rsidTr="001D5220">
        <w:tc>
          <w:tcPr>
            <w:tcW w:w="2425" w:type="dxa"/>
          </w:tcPr>
          <w:p w14:paraId="378C307D"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Number of Beneficiaries</w:t>
            </w:r>
          </w:p>
        </w:tc>
        <w:tc>
          <w:tcPr>
            <w:tcW w:w="7200" w:type="dxa"/>
            <w:gridSpan w:val="6"/>
          </w:tcPr>
          <w:p w14:paraId="182D08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9B9E25D" w14:textId="77777777" w:rsidTr="001D5220">
        <w:tc>
          <w:tcPr>
            <w:tcW w:w="2425" w:type="dxa"/>
          </w:tcPr>
          <w:p w14:paraId="77BB5CF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Revenue Cost Reporting</w:t>
            </w:r>
          </w:p>
        </w:tc>
        <w:tc>
          <w:tcPr>
            <w:tcW w:w="7200" w:type="dxa"/>
            <w:gridSpan w:val="6"/>
          </w:tcPr>
          <w:p w14:paraId="69EB0F6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1AB70D9F" w14:textId="77777777" w:rsidTr="001D5220">
        <w:trPr>
          <w:trHeight w:val="91"/>
        </w:trPr>
        <w:tc>
          <w:tcPr>
            <w:tcW w:w="2425" w:type="dxa"/>
            <w:vMerge w:val="restart"/>
          </w:tcPr>
          <w:p w14:paraId="6B2DF9B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DD23CC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2018</w:t>
            </w:r>
          </w:p>
        </w:tc>
        <w:tc>
          <w:tcPr>
            <w:tcW w:w="1385" w:type="dxa"/>
          </w:tcPr>
          <w:p w14:paraId="65732B0F"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2019</w:t>
            </w:r>
          </w:p>
        </w:tc>
        <w:tc>
          <w:tcPr>
            <w:tcW w:w="1385" w:type="dxa"/>
            <w:gridSpan w:val="2"/>
          </w:tcPr>
          <w:p w14:paraId="0E47CD32"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2020</w:t>
            </w:r>
          </w:p>
        </w:tc>
        <w:tc>
          <w:tcPr>
            <w:tcW w:w="1385" w:type="dxa"/>
          </w:tcPr>
          <w:p w14:paraId="7397BC78"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2021</w:t>
            </w:r>
          </w:p>
        </w:tc>
        <w:tc>
          <w:tcPr>
            <w:tcW w:w="1660" w:type="dxa"/>
          </w:tcPr>
          <w:p w14:paraId="1F264879"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2022</w:t>
            </w:r>
          </w:p>
        </w:tc>
      </w:tr>
      <w:tr w:rsidR="00A2051E" w:rsidRPr="007669E1" w14:paraId="5D85D737" w14:textId="77777777" w:rsidTr="001D5220">
        <w:trPr>
          <w:trHeight w:val="305"/>
        </w:trPr>
        <w:tc>
          <w:tcPr>
            <w:tcW w:w="2425" w:type="dxa"/>
            <w:vMerge/>
          </w:tcPr>
          <w:p w14:paraId="7B92410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4D6D46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20,576.2</w:t>
            </w:r>
          </w:p>
        </w:tc>
        <w:tc>
          <w:tcPr>
            <w:tcW w:w="1385" w:type="dxa"/>
            <w:shd w:val="clear" w:color="auto" w:fill="auto"/>
          </w:tcPr>
          <w:p w14:paraId="309F92A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16,711.4</w:t>
            </w:r>
          </w:p>
        </w:tc>
        <w:tc>
          <w:tcPr>
            <w:tcW w:w="1385" w:type="dxa"/>
            <w:gridSpan w:val="2"/>
            <w:shd w:val="clear" w:color="auto" w:fill="auto"/>
          </w:tcPr>
          <w:p w14:paraId="74C976E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11,768.4</w:t>
            </w:r>
          </w:p>
        </w:tc>
        <w:tc>
          <w:tcPr>
            <w:tcW w:w="1385" w:type="dxa"/>
            <w:shd w:val="clear" w:color="auto" w:fill="auto"/>
          </w:tcPr>
          <w:p w14:paraId="6FE2F6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26,628.9</w:t>
            </w:r>
          </w:p>
        </w:tc>
        <w:tc>
          <w:tcPr>
            <w:tcW w:w="1660" w:type="dxa"/>
            <w:shd w:val="clear" w:color="auto" w:fill="BFBFBF" w:themeFill="background1" w:themeFillShade="BF"/>
          </w:tcPr>
          <w:p w14:paraId="711569B9"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23,981.8</w:t>
            </w:r>
          </w:p>
        </w:tc>
      </w:tr>
    </w:tbl>
    <w:p w14:paraId="729E404E"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272108" w14:paraId="2DBFF23A" w14:textId="77777777" w:rsidTr="001D5220">
        <w:tc>
          <w:tcPr>
            <w:tcW w:w="9625" w:type="dxa"/>
            <w:gridSpan w:val="7"/>
            <w:shd w:val="clear" w:color="auto" w:fill="D9D9D9" w:themeFill="background1" w:themeFillShade="D9"/>
          </w:tcPr>
          <w:p w14:paraId="3C15DCAF"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39. Exemption for certain imported public utility vehicles</w:t>
            </w:r>
          </w:p>
        </w:tc>
      </w:tr>
      <w:tr w:rsidR="00C943A7" w:rsidRPr="007669E1" w14:paraId="725EE4FB" w14:textId="77777777" w:rsidTr="001D5220">
        <w:tc>
          <w:tcPr>
            <w:tcW w:w="2425" w:type="dxa"/>
          </w:tcPr>
          <w:p w14:paraId="37BC6DF1"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Description</w:t>
            </w:r>
          </w:p>
        </w:tc>
        <w:tc>
          <w:tcPr>
            <w:tcW w:w="7200" w:type="dxa"/>
            <w:gridSpan w:val="6"/>
          </w:tcPr>
          <w:p w14:paraId="52D28C5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transport imported free of charge and intended for medical purposes, extinguishing fires, street cleaning, spreading materials or waste collection are exempt from import duties.</w:t>
            </w:r>
          </w:p>
        </w:tc>
      </w:tr>
      <w:tr w:rsidR="00C943A7" w:rsidRPr="007669E1" w14:paraId="2EE9DE49" w14:textId="77777777" w:rsidTr="001D5220">
        <w:tc>
          <w:tcPr>
            <w:tcW w:w="2425" w:type="dxa"/>
          </w:tcPr>
          <w:p w14:paraId="3D83694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Type of Tax Affected</w:t>
            </w:r>
          </w:p>
        </w:tc>
        <w:tc>
          <w:tcPr>
            <w:tcW w:w="7200" w:type="dxa"/>
            <w:gridSpan w:val="6"/>
          </w:tcPr>
          <w:p w14:paraId="756B42A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63A412E9" w14:textId="77777777" w:rsidTr="001D5220">
        <w:tc>
          <w:tcPr>
            <w:tcW w:w="2425" w:type="dxa"/>
          </w:tcPr>
          <w:p w14:paraId="5D015EAD"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Beneficiaries</w:t>
            </w:r>
          </w:p>
        </w:tc>
        <w:tc>
          <w:tcPr>
            <w:tcW w:w="7200" w:type="dxa"/>
            <w:gridSpan w:val="6"/>
          </w:tcPr>
          <w:p w14:paraId="1899E99E"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0276DC43" w14:textId="77777777" w:rsidTr="001D5220">
        <w:tc>
          <w:tcPr>
            <w:tcW w:w="2425" w:type="dxa"/>
          </w:tcPr>
          <w:p w14:paraId="28765D8C"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Type of Measure</w:t>
            </w:r>
          </w:p>
        </w:tc>
        <w:tc>
          <w:tcPr>
            <w:tcW w:w="7200" w:type="dxa"/>
            <w:gridSpan w:val="6"/>
          </w:tcPr>
          <w:p w14:paraId="5FEF82B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1184CFF" w14:textId="77777777" w:rsidTr="001D5220">
        <w:tc>
          <w:tcPr>
            <w:tcW w:w="2425" w:type="dxa"/>
          </w:tcPr>
          <w:p w14:paraId="24EC9CC8"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Reason why this Measure is not part of the Benchmark Tax System</w:t>
            </w:r>
          </w:p>
        </w:tc>
        <w:tc>
          <w:tcPr>
            <w:tcW w:w="7200" w:type="dxa"/>
            <w:gridSpan w:val="6"/>
          </w:tcPr>
          <w:p w14:paraId="24475F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93F2E15" w14:textId="77777777" w:rsidTr="001D5220">
        <w:tc>
          <w:tcPr>
            <w:tcW w:w="2425" w:type="dxa"/>
          </w:tcPr>
          <w:p w14:paraId="7C4EC9B2"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Legal Reference</w:t>
            </w:r>
          </w:p>
        </w:tc>
        <w:tc>
          <w:tcPr>
            <w:tcW w:w="7200" w:type="dxa"/>
            <w:gridSpan w:val="6"/>
          </w:tcPr>
          <w:p w14:paraId="759CA3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13) b)</w:t>
            </w:r>
          </w:p>
          <w:p w14:paraId="153B5C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Code, article 20 4</w:t>
            </w:r>
            <w:r w:rsidRPr="007669E1">
              <w:rPr>
                <w:rFonts w:ascii="Segoe UI" w:hAnsi="Segoe UI" w:cs="Segoe UI"/>
                <w:sz w:val="18"/>
                <w:szCs w:val="18"/>
                <w:vertAlign w:val="superscript"/>
              </w:rPr>
              <w:t>1</w:t>
            </w:r>
            <w:r w:rsidRPr="007669E1">
              <w:rPr>
                <w:rFonts w:ascii="Segoe UI" w:hAnsi="Segoe UI" w:cs="Segoe UI"/>
                <w:sz w:val="18"/>
                <w:szCs w:val="18"/>
              </w:rPr>
              <w:t>) 2)</w:t>
            </w:r>
          </w:p>
          <w:p w14:paraId="2146192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z) 2</w:t>
            </w:r>
          </w:p>
        </w:tc>
      </w:tr>
      <w:tr w:rsidR="00C943A7" w:rsidRPr="007669E1" w14:paraId="7B2040CA" w14:textId="77777777" w:rsidTr="001D5220">
        <w:trPr>
          <w:trHeight w:val="182"/>
        </w:trPr>
        <w:tc>
          <w:tcPr>
            <w:tcW w:w="2425" w:type="dxa"/>
            <w:vMerge w:val="restart"/>
          </w:tcPr>
          <w:p w14:paraId="27D7915B"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Implementation Objectives, and History</w:t>
            </w:r>
          </w:p>
        </w:tc>
        <w:tc>
          <w:tcPr>
            <w:tcW w:w="7200" w:type="dxa"/>
            <w:gridSpan w:val="6"/>
          </w:tcPr>
          <w:p w14:paraId="13F00C9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provision of public utility services.</w:t>
            </w:r>
          </w:p>
        </w:tc>
      </w:tr>
      <w:tr w:rsidR="00C943A7" w:rsidRPr="007669E1" w14:paraId="5A284A4C" w14:textId="77777777" w:rsidTr="001D5220">
        <w:trPr>
          <w:trHeight w:val="182"/>
        </w:trPr>
        <w:tc>
          <w:tcPr>
            <w:tcW w:w="2425" w:type="dxa"/>
            <w:vMerge/>
          </w:tcPr>
          <w:p w14:paraId="1F628536" w14:textId="77777777" w:rsidR="007E7377" w:rsidRPr="00272108" w:rsidRDefault="007E7377" w:rsidP="00E90BA7">
            <w:pPr>
              <w:spacing w:before="20" w:after="20" w:line="240" w:lineRule="auto"/>
              <w:jc w:val="both"/>
              <w:rPr>
                <w:rFonts w:ascii="Segoe UI" w:hAnsi="Segoe UI" w:cs="Segoe UI"/>
                <w:b/>
                <w:bCs/>
                <w:sz w:val="18"/>
                <w:szCs w:val="18"/>
              </w:rPr>
            </w:pPr>
          </w:p>
        </w:tc>
        <w:tc>
          <w:tcPr>
            <w:tcW w:w="3462" w:type="dxa"/>
            <w:gridSpan w:val="3"/>
          </w:tcPr>
          <w:p w14:paraId="219D3DF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85EDBF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14EB8EF" w14:textId="77777777" w:rsidTr="001D5220">
        <w:tc>
          <w:tcPr>
            <w:tcW w:w="2425" w:type="dxa"/>
          </w:tcPr>
          <w:p w14:paraId="56B723B8"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Source of Data</w:t>
            </w:r>
          </w:p>
        </w:tc>
        <w:tc>
          <w:tcPr>
            <w:tcW w:w="7200" w:type="dxa"/>
            <w:gridSpan w:val="6"/>
          </w:tcPr>
          <w:p w14:paraId="4AE2291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51EB6C23" w14:textId="77777777" w:rsidTr="001D5220">
        <w:tc>
          <w:tcPr>
            <w:tcW w:w="2425" w:type="dxa"/>
          </w:tcPr>
          <w:p w14:paraId="24198C68"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Estimation Method</w:t>
            </w:r>
          </w:p>
        </w:tc>
        <w:tc>
          <w:tcPr>
            <w:tcW w:w="7200" w:type="dxa"/>
            <w:gridSpan w:val="6"/>
          </w:tcPr>
          <w:p w14:paraId="032C349F"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45DB3686" w14:textId="77777777" w:rsidTr="001D5220">
        <w:tc>
          <w:tcPr>
            <w:tcW w:w="2425" w:type="dxa"/>
          </w:tcPr>
          <w:p w14:paraId="4FA05348"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Number of Beneficiaries</w:t>
            </w:r>
          </w:p>
        </w:tc>
        <w:tc>
          <w:tcPr>
            <w:tcW w:w="7200" w:type="dxa"/>
            <w:gridSpan w:val="6"/>
          </w:tcPr>
          <w:p w14:paraId="54A7D6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D7E5956" w14:textId="77777777" w:rsidTr="001D5220">
        <w:tc>
          <w:tcPr>
            <w:tcW w:w="2425" w:type="dxa"/>
          </w:tcPr>
          <w:p w14:paraId="05C77B5D"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Revenue Cost Reporting</w:t>
            </w:r>
          </w:p>
        </w:tc>
        <w:tc>
          <w:tcPr>
            <w:tcW w:w="7200" w:type="dxa"/>
            <w:gridSpan w:val="6"/>
          </w:tcPr>
          <w:p w14:paraId="50D4599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5296B3A" w14:textId="77777777" w:rsidTr="001D5220">
        <w:trPr>
          <w:trHeight w:val="91"/>
        </w:trPr>
        <w:tc>
          <w:tcPr>
            <w:tcW w:w="2425" w:type="dxa"/>
            <w:vMerge w:val="restart"/>
          </w:tcPr>
          <w:p w14:paraId="733623C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F06E2DA"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2018</w:t>
            </w:r>
          </w:p>
        </w:tc>
        <w:tc>
          <w:tcPr>
            <w:tcW w:w="1385" w:type="dxa"/>
          </w:tcPr>
          <w:p w14:paraId="4639BE81"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2019</w:t>
            </w:r>
          </w:p>
        </w:tc>
        <w:tc>
          <w:tcPr>
            <w:tcW w:w="1385" w:type="dxa"/>
            <w:gridSpan w:val="2"/>
          </w:tcPr>
          <w:p w14:paraId="304E37B3"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2020</w:t>
            </w:r>
          </w:p>
        </w:tc>
        <w:tc>
          <w:tcPr>
            <w:tcW w:w="1385" w:type="dxa"/>
          </w:tcPr>
          <w:p w14:paraId="43BBA9E4"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2021</w:t>
            </w:r>
          </w:p>
        </w:tc>
        <w:tc>
          <w:tcPr>
            <w:tcW w:w="1660" w:type="dxa"/>
          </w:tcPr>
          <w:p w14:paraId="11715DD5" w14:textId="77777777" w:rsidR="007E7377" w:rsidRPr="00272108" w:rsidRDefault="007E7377" w:rsidP="00E90BA7">
            <w:pPr>
              <w:spacing w:before="20" w:after="20" w:line="240" w:lineRule="auto"/>
              <w:jc w:val="both"/>
              <w:rPr>
                <w:rFonts w:ascii="Segoe UI" w:hAnsi="Segoe UI" w:cs="Segoe UI"/>
                <w:b/>
                <w:bCs/>
                <w:sz w:val="18"/>
                <w:szCs w:val="18"/>
              </w:rPr>
            </w:pPr>
            <w:r w:rsidRPr="00272108">
              <w:rPr>
                <w:rFonts w:ascii="Segoe UI" w:hAnsi="Segoe UI" w:cs="Segoe UI"/>
                <w:b/>
                <w:bCs/>
                <w:sz w:val="18"/>
                <w:szCs w:val="18"/>
              </w:rPr>
              <w:t>2022</w:t>
            </w:r>
          </w:p>
        </w:tc>
      </w:tr>
      <w:tr w:rsidR="00A2051E" w:rsidRPr="007669E1" w14:paraId="7FA3ACE8" w14:textId="77777777" w:rsidTr="001D5220">
        <w:trPr>
          <w:trHeight w:val="305"/>
        </w:trPr>
        <w:tc>
          <w:tcPr>
            <w:tcW w:w="2425" w:type="dxa"/>
            <w:vMerge/>
          </w:tcPr>
          <w:p w14:paraId="6103686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AC963E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292.7</w:t>
            </w:r>
          </w:p>
        </w:tc>
        <w:tc>
          <w:tcPr>
            <w:tcW w:w="1385" w:type="dxa"/>
            <w:shd w:val="clear" w:color="auto" w:fill="auto"/>
          </w:tcPr>
          <w:p w14:paraId="7B0A740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29.0</w:t>
            </w:r>
          </w:p>
        </w:tc>
        <w:tc>
          <w:tcPr>
            <w:tcW w:w="1385" w:type="dxa"/>
            <w:gridSpan w:val="2"/>
            <w:shd w:val="clear" w:color="auto" w:fill="auto"/>
          </w:tcPr>
          <w:p w14:paraId="5B11111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314.4</w:t>
            </w:r>
          </w:p>
        </w:tc>
        <w:tc>
          <w:tcPr>
            <w:tcW w:w="1385" w:type="dxa"/>
            <w:shd w:val="clear" w:color="auto" w:fill="auto"/>
          </w:tcPr>
          <w:p w14:paraId="38C9B1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157.7</w:t>
            </w:r>
          </w:p>
        </w:tc>
        <w:tc>
          <w:tcPr>
            <w:tcW w:w="1660" w:type="dxa"/>
            <w:shd w:val="clear" w:color="auto" w:fill="BFBFBF" w:themeFill="background1" w:themeFillShade="BF"/>
          </w:tcPr>
          <w:p w14:paraId="2CACE39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i/>
                <w:sz w:val="18"/>
                <w:szCs w:val="18"/>
              </w:rPr>
              <w:t>157.7</w:t>
            </w:r>
          </w:p>
        </w:tc>
      </w:tr>
    </w:tbl>
    <w:p w14:paraId="452D420F"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272108" w14:paraId="234269F0" w14:textId="77777777" w:rsidTr="001D5220">
        <w:tc>
          <w:tcPr>
            <w:tcW w:w="9625" w:type="dxa"/>
            <w:gridSpan w:val="7"/>
            <w:shd w:val="clear" w:color="auto" w:fill="D9D9D9" w:themeFill="background1" w:themeFillShade="D9"/>
          </w:tcPr>
          <w:p w14:paraId="744C0400" w14:textId="77777777" w:rsidR="007E7377" w:rsidRPr="00272108" w:rsidRDefault="007E7377" w:rsidP="00E90BA7">
            <w:pPr>
              <w:keepNext/>
              <w:spacing w:before="20" w:after="20" w:line="240" w:lineRule="auto"/>
              <w:jc w:val="both"/>
              <w:rPr>
                <w:rFonts w:ascii="Segoe UI" w:hAnsi="Segoe UI" w:cs="Segoe UI"/>
                <w:b/>
                <w:bCs/>
                <w:sz w:val="18"/>
                <w:szCs w:val="18"/>
              </w:rPr>
            </w:pPr>
            <w:r w:rsidRPr="00272108">
              <w:rPr>
                <w:rFonts w:ascii="Segoe UI" w:hAnsi="Segoe UI" w:cs="Segoe UI"/>
                <w:b/>
                <w:bCs/>
                <w:sz w:val="18"/>
                <w:szCs w:val="18"/>
              </w:rPr>
              <w:lastRenderedPageBreak/>
              <w:t>40. Exemption from import duties for wind energy generators</w:t>
            </w:r>
          </w:p>
        </w:tc>
      </w:tr>
      <w:tr w:rsidR="00C943A7" w:rsidRPr="007669E1" w14:paraId="40D4089E" w14:textId="77777777" w:rsidTr="001D5220">
        <w:tc>
          <w:tcPr>
            <w:tcW w:w="2425" w:type="dxa"/>
          </w:tcPr>
          <w:p w14:paraId="45E6F26E" w14:textId="77777777" w:rsidR="007E7377" w:rsidRPr="00135232" w:rsidRDefault="007E7377" w:rsidP="00E90BA7">
            <w:pPr>
              <w:keepNext/>
              <w:spacing w:before="20" w:after="20" w:line="240" w:lineRule="auto"/>
              <w:jc w:val="both"/>
              <w:rPr>
                <w:rFonts w:ascii="Segoe UI" w:hAnsi="Segoe UI" w:cs="Segoe UI"/>
                <w:b/>
                <w:bCs/>
                <w:sz w:val="18"/>
                <w:szCs w:val="18"/>
              </w:rPr>
            </w:pPr>
            <w:r w:rsidRPr="00135232">
              <w:rPr>
                <w:rFonts w:ascii="Segoe UI" w:hAnsi="Segoe UI" w:cs="Segoe UI"/>
                <w:b/>
                <w:bCs/>
                <w:sz w:val="18"/>
                <w:szCs w:val="18"/>
              </w:rPr>
              <w:t>Description</w:t>
            </w:r>
          </w:p>
        </w:tc>
        <w:tc>
          <w:tcPr>
            <w:tcW w:w="7200" w:type="dxa"/>
            <w:gridSpan w:val="6"/>
          </w:tcPr>
          <w:p w14:paraId="47EF426C" w14:textId="77777777" w:rsidR="007E7377" w:rsidRPr="007669E1" w:rsidRDefault="007E7377" w:rsidP="00E90BA7">
            <w:pPr>
              <w:keepNext/>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Imports of wind energy generators (tariff heading 850231) with a capacity greater than 1 MW were exempt from import duties prior to January 1, 2016.</w:t>
            </w:r>
          </w:p>
        </w:tc>
      </w:tr>
      <w:tr w:rsidR="00C943A7" w:rsidRPr="007669E1" w14:paraId="1D7051FA" w14:textId="77777777" w:rsidTr="001D5220">
        <w:tc>
          <w:tcPr>
            <w:tcW w:w="2425" w:type="dxa"/>
          </w:tcPr>
          <w:p w14:paraId="215B7802"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Tax Affected</w:t>
            </w:r>
          </w:p>
        </w:tc>
        <w:tc>
          <w:tcPr>
            <w:tcW w:w="7200" w:type="dxa"/>
            <w:gridSpan w:val="6"/>
          </w:tcPr>
          <w:p w14:paraId="4D1799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3E55089" w14:textId="77777777" w:rsidTr="001D5220">
        <w:tc>
          <w:tcPr>
            <w:tcW w:w="2425" w:type="dxa"/>
          </w:tcPr>
          <w:p w14:paraId="7905B78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Beneficiaries</w:t>
            </w:r>
          </w:p>
        </w:tc>
        <w:tc>
          <w:tcPr>
            <w:tcW w:w="7200" w:type="dxa"/>
            <w:gridSpan w:val="6"/>
          </w:tcPr>
          <w:p w14:paraId="6B5E18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Renewable electricity producers</w:t>
            </w:r>
          </w:p>
        </w:tc>
      </w:tr>
      <w:tr w:rsidR="00C943A7" w:rsidRPr="007669E1" w14:paraId="2E57A207" w14:textId="77777777" w:rsidTr="001D5220">
        <w:tc>
          <w:tcPr>
            <w:tcW w:w="2425" w:type="dxa"/>
          </w:tcPr>
          <w:p w14:paraId="5F4F4759"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Measure</w:t>
            </w:r>
          </w:p>
        </w:tc>
        <w:tc>
          <w:tcPr>
            <w:tcW w:w="7200" w:type="dxa"/>
            <w:gridSpan w:val="6"/>
          </w:tcPr>
          <w:p w14:paraId="7F71084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259B516" w14:textId="77777777" w:rsidTr="001D5220">
        <w:tc>
          <w:tcPr>
            <w:tcW w:w="2425" w:type="dxa"/>
          </w:tcPr>
          <w:p w14:paraId="72EFA15C"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Reason why this Measure is not part of the Benchmark Tax System</w:t>
            </w:r>
          </w:p>
        </w:tc>
        <w:tc>
          <w:tcPr>
            <w:tcW w:w="7200" w:type="dxa"/>
            <w:gridSpan w:val="6"/>
          </w:tcPr>
          <w:p w14:paraId="6E0E36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541B3E5B" w14:textId="77777777" w:rsidTr="001D5220">
        <w:tc>
          <w:tcPr>
            <w:tcW w:w="2425" w:type="dxa"/>
          </w:tcPr>
          <w:p w14:paraId="3684D9A5"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Legal Reference</w:t>
            </w:r>
          </w:p>
        </w:tc>
        <w:tc>
          <w:tcPr>
            <w:tcW w:w="7200" w:type="dxa"/>
            <w:gridSpan w:val="6"/>
          </w:tcPr>
          <w:p w14:paraId="219E61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w)</w:t>
            </w:r>
          </w:p>
        </w:tc>
      </w:tr>
      <w:tr w:rsidR="00C943A7" w:rsidRPr="007669E1" w14:paraId="04BF87DE" w14:textId="77777777" w:rsidTr="001D5220">
        <w:trPr>
          <w:trHeight w:val="182"/>
        </w:trPr>
        <w:tc>
          <w:tcPr>
            <w:tcW w:w="2425" w:type="dxa"/>
            <w:vMerge w:val="restart"/>
          </w:tcPr>
          <w:p w14:paraId="3434021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Implementation Objectives, and History</w:t>
            </w:r>
          </w:p>
        </w:tc>
        <w:tc>
          <w:tcPr>
            <w:tcW w:w="7200" w:type="dxa"/>
            <w:gridSpan w:val="6"/>
          </w:tcPr>
          <w:p w14:paraId="4A4064A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was intended to support the development of renewable energy in Moldova.</w:t>
            </w:r>
          </w:p>
          <w:p w14:paraId="236214A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ceased to have effect as of January 1, 2016 and is to be repealed as of July 1, 2023.</w:t>
            </w:r>
          </w:p>
        </w:tc>
      </w:tr>
      <w:tr w:rsidR="00C943A7" w:rsidRPr="007669E1" w14:paraId="3E6CF61F" w14:textId="77777777" w:rsidTr="001D5220">
        <w:trPr>
          <w:trHeight w:val="182"/>
        </w:trPr>
        <w:tc>
          <w:tcPr>
            <w:tcW w:w="2425" w:type="dxa"/>
            <w:vMerge/>
          </w:tcPr>
          <w:p w14:paraId="42CBF56A" w14:textId="77777777" w:rsidR="007E7377" w:rsidRPr="00135232" w:rsidRDefault="007E7377" w:rsidP="00E90BA7">
            <w:pPr>
              <w:spacing w:before="20" w:after="20" w:line="240" w:lineRule="auto"/>
              <w:jc w:val="both"/>
              <w:rPr>
                <w:rFonts w:ascii="Segoe UI" w:hAnsi="Segoe UI" w:cs="Segoe UI"/>
                <w:b/>
                <w:bCs/>
                <w:sz w:val="18"/>
                <w:szCs w:val="18"/>
              </w:rPr>
            </w:pPr>
          </w:p>
        </w:tc>
        <w:tc>
          <w:tcPr>
            <w:tcW w:w="3462" w:type="dxa"/>
            <w:gridSpan w:val="3"/>
          </w:tcPr>
          <w:p w14:paraId="2592ABF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06DBEF0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1813FA2F" w14:textId="77777777" w:rsidTr="001D5220">
        <w:tc>
          <w:tcPr>
            <w:tcW w:w="2425" w:type="dxa"/>
          </w:tcPr>
          <w:p w14:paraId="752AC74B"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Source of Data</w:t>
            </w:r>
          </w:p>
        </w:tc>
        <w:tc>
          <w:tcPr>
            <w:tcW w:w="7200" w:type="dxa"/>
            <w:gridSpan w:val="6"/>
          </w:tcPr>
          <w:p w14:paraId="052C85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9240080" w14:textId="77777777" w:rsidTr="001D5220">
        <w:tc>
          <w:tcPr>
            <w:tcW w:w="2425" w:type="dxa"/>
          </w:tcPr>
          <w:p w14:paraId="517191F9"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Estimation Method</w:t>
            </w:r>
          </w:p>
        </w:tc>
        <w:tc>
          <w:tcPr>
            <w:tcW w:w="7200" w:type="dxa"/>
            <w:gridSpan w:val="6"/>
          </w:tcPr>
          <w:p w14:paraId="0CF9E07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6134AC4" w14:textId="77777777" w:rsidTr="001D5220">
        <w:tc>
          <w:tcPr>
            <w:tcW w:w="2425" w:type="dxa"/>
          </w:tcPr>
          <w:p w14:paraId="25342A35"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Number of Beneficiaries</w:t>
            </w:r>
          </w:p>
        </w:tc>
        <w:tc>
          <w:tcPr>
            <w:tcW w:w="7200" w:type="dxa"/>
            <w:gridSpan w:val="6"/>
          </w:tcPr>
          <w:p w14:paraId="5D4408D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B57B356" w14:textId="77777777" w:rsidTr="001D5220">
        <w:tc>
          <w:tcPr>
            <w:tcW w:w="2425" w:type="dxa"/>
          </w:tcPr>
          <w:p w14:paraId="7D27F8F2"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Revenue Cost Reporting</w:t>
            </w:r>
          </w:p>
        </w:tc>
        <w:tc>
          <w:tcPr>
            <w:tcW w:w="7200" w:type="dxa"/>
            <w:gridSpan w:val="6"/>
          </w:tcPr>
          <w:p w14:paraId="0186618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78336FD5" w14:textId="77777777" w:rsidTr="001D5220">
        <w:trPr>
          <w:trHeight w:val="91"/>
        </w:trPr>
        <w:tc>
          <w:tcPr>
            <w:tcW w:w="2425" w:type="dxa"/>
            <w:vMerge w:val="restart"/>
          </w:tcPr>
          <w:p w14:paraId="0E87AE6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63B7C2E"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2018</w:t>
            </w:r>
          </w:p>
        </w:tc>
        <w:tc>
          <w:tcPr>
            <w:tcW w:w="1385" w:type="dxa"/>
          </w:tcPr>
          <w:p w14:paraId="3317B41C"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2019</w:t>
            </w:r>
          </w:p>
        </w:tc>
        <w:tc>
          <w:tcPr>
            <w:tcW w:w="1385" w:type="dxa"/>
            <w:gridSpan w:val="2"/>
          </w:tcPr>
          <w:p w14:paraId="2F656BA1"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2020</w:t>
            </w:r>
          </w:p>
        </w:tc>
        <w:tc>
          <w:tcPr>
            <w:tcW w:w="1385" w:type="dxa"/>
          </w:tcPr>
          <w:p w14:paraId="60DECC5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2021</w:t>
            </w:r>
          </w:p>
        </w:tc>
        <w:tc>
          <w:tcPr>
            <w:tcW w:w="1660" w:type="dxa"/>
          </w:tcPr>
          <w:p w14:paraId="5E5183A0"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2022</w:t>
            </w:r>
          </w:p>
        </w:tc>
      </w:tr>
      <w:tr w:rsidR="00775F01" w:rsidRPr="007669E1" w14:paraId="6451C177" w14:textId="77777777" w:rsidTr="001D5220">
        <w:trPr>
          <w:trHeight w:val="305"/>
        </w:trPr>
        <w:tc>
          <w:tcPr>
            <w:tcW w:w="2425" w:type="dxa"/>
            <w:vMerge/>
          </w:tcPr>
          <w:p w14:paraId="68562EF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D55C6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6EB7877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11D51C3B"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7A8ACDF"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CFCABA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2F77DAFB"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35232" w14:paraId="60B7613F" w14:textId="77777777" w:rsidTr="001D5220">
        <w:tc>
          <w:tcPr>
            <w:tcW w:w="9625" w:type="dxa"/>
            <w:gridSpan w:val="7"/>
            <w:shd w:val="clear" w:color="auto" w:fill="D9D9D9" w:themeFill="background1" w:themeFillShade="D9"/>
          </w:tcPr>
          <w:p w14:paraId="2418A67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41. Exemption from import duties for used batteries</w:t>
            </w:r>
          </w:p>
        </w:tc>
      </w:tr>
      <w:tr w:rsidR="00C943A7" w:rsidRPr="007669E1" w14:paraId="56DB1C33" w14:textId="77777777" w:rsidTr="001D5220">
        <w:tc>
          <w:tcPr>
            <w:tcW w:w="2425" w:type="dxa"/>
          </w:tcPr>
          <w:p w14:paraId="761AA04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Description</w:t>
            </w:r>
          </w:p>
        </w:tc>
        <w:tc>
          <w:tcPr>
            <w:tcW w:w="7200" w:type="dxa"/>
            <w:gridSpan w:val="6"/>
          </w:tcPr>
          <w:p w14:paraId="768491D2"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Waste and scraps of batteries and electric accumulators and discarded electric cell batteries and electric accumulators are exempt from import duties.</w:t>
            </w:r>
          </w:p>
        </w:tc>
      </w:tr>
      <w:tr w:rsidR="00C943A7" w:rsidRPr="007669E1" w14:paraId="61E8F7CF" w14:textId="77777777" w:rsidTr="001D5220">
        <w:tc>
          <w:tcPr>
            <w:tcW w:w="2425" w:type="dxa"/>
          </w:tcPr>
          <w:p w14:paraId="2ED5B48F"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Tax Affected</w:t>
            </w:r>
          </w:p>
        </w:tc>
        <w:tc>
          <w:tcPr>
            <w:tcW w:w="7200" w:type="dxa"/>
            <w:gridSpan w:val="6"/>
          </w:tcPr>
          <w:p w14:paraId="577C983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427F414E" w14:textId="77777777" w:rsidTr="001D5220">
        <w:tc>
          <w:tcPr>
            <w:tcW w:w="2425" w:type="dxa"/>
          </w:tcPr>
          <w:p w14:paraId="41779B0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Beneficiaries</w:t>
            </w:r>
          </w:p>
        </w:tc>
        <w:tc>
          <w:tcPr>
            <w:tcW w:w="7200" w:type="dxa"/>
            <w:gridSpan w:val="6"/>
          </w:tcPr>
          <w:p w14:paraId="2482A1A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Importers of used batteries</w:t>
            </w:r>
          </w:p>
        </w:tc>
      </w:tr>
      <w:tr w:rsidR="00C943A7" w:rsidRPr="007669E1" w14:paraId="38324E0C" w14:textId="77777777" w:rsidTr="001D5220">
        <w:tc>
          <w:tcPr>
            <w:tcW w:w="2425" w:type="dxa"/>
          </w:tcPr>
          <w:p w14:paraId="26F9206F"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Measure</w:t>
            </w:r>
          </w:p>
        </w:tc>
        <w:tc>
          <w:tcPr>
            <w:tcW w:w="7200" w:type="dxa"/>
            <w:gridSpan w:val="6"/>
          </w:tcPr>
          <w:p w14:paraId="3E5E06A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046CC02A" w14:textId="77777777" w:rsidTr="001D5220">
        <w:tc>
          <w:tcPr>
            <w:tcW w:w="2425" w:type="dxa"/>
          </w:tcPr>
          <w:p w14:paraId="7CE8F53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Reason why this Measure is not part of the Benchmark Tax System</w:t>
            </w:r>
          </w:p>
        </w:tc>
        <w:tc>
          <w:tcPr>
            <w:tcW w:w="7200" w:type="dxa"/>
            <w:gridSpan w:val="6"/>
          </w:tcPr>
          <w:p w14:paraId="1014AE3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E12E620" w14:textId="77777777" w:rsidTr="001D5220">
        <w:tc>
          <w:tcPr>
            <w:tcW w:w="2425" w:type="dxa"/>
          </w:tcPr>
          <w:p w14:paraId="5B14BD9C"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Legal Reference</w:t>
            </w:r>
          </w:p>
        </w:tc>
        <w:tc>
          <w:tcPr>
            <w:tcW w:w="7200" w:type="dxa"/>
            <w:gridSpan w:val="6"/>
          </w:tcPr>
          <w:p w14:paraId="45BAE5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y)</w:t>
            </w:r>
          </w:p>
        </w:tc>
      </w:tr>
      <w:tr w:rsidR="00C943A7" w:rsidRPr="007669E1" w14:paraId="0D6CAD75" w14:textId="77777777" w:rsidTr="001D5220">
        <w:trPr>
          <w:trHeight w:val="182"/>
        </w:trPr>
        <w:tc>
          <w:tcPr>
            <w:tcW w:w="2425" w:type="dxa"/>
            <w:vMerge w:val="restart"/>
          </w:tcPr>
          <w:p w14:paraId="2613223C"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Implementation Objectives, and History</w:t>
            </w:r>
          </w:p>
        </w:tc>
        <w:tc>
          <w:tcPr>
            <w:tcW w:w="7200" w:type="dxa"/>
            <w:gridSpan w:val="6"/>
          </w:tcPr>
          <w:p w14:paraId="47150BA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79B21B57" w14:textId="77777777" w:rsidTr="001D5220">
        <w:trPr>
          <w:trHeight w:val="182"/>
        </w:trPr>
        <w:tc>
          <w:tcPr>
            <w:tcW w:w="2425" w:type="dxa"/>
            <w:vMerge/>
          </w:tcPr>
          <w:p w14:paraId="1D47264A" w14:textId="77777777" w:rsidR="007E7377" w:rsidRPr="00135232" w:rsidRDefault="007E7377" w:rsidP="00E90BA7">
            <w:pPr>
              <w:spacing w:before="20" w:after="20" w:line="240" w:lineRule="auto"/>
              <w:jc w:val="both"/>
              <w:rPr>
                <w:rFonts w:ascii="Segoe UI" w:hAnsi="Segoe UI" w:cs="Segoe UI"/>
                <w:b/>
                <w:bCs/>
                <w:sz w:val="18"/>
                <w:szCs w:val="18"/>
              </w:rPr>
            </w:pPr>
          </w:p>
        </w:tc>
        <w:tc>
          <w:tcPr>
            <w:tcW w:w="3462" w:type="dxa"/>
            <w:gridSpan w:val="3"/>
          </w:tcPr>
          <w:p w14:paraId="4D94B4F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5CEFE1B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42F6282E" w14:textId="77777777" w:rsidTr="001D5220">
        <w:tc>
          <w:tcPr>
            <w:tcW w:w="2425" w:type="dxa"/>
          </w:tcPr>
          <w:p w14:paraId="40CFC2DB"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Source of Data</w:t>
            </w:r>
          </w:p>
        </w:tc>
        <w:tc>
          <w:tcPr>
            <w:tcW w:w="7200" w:type="dxa"/>
            <w:gridSpan w:val="6"/>
          </w:tcPr>
          <w:p w14:paraId="7D7314E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9759FB8" w14:textId="77777777" w:rsidTr="001D5220">
        <w:tc>
          <w:tcPr>
            <w:tcW w:w="2425" w:type="dxa"/>
          </w:tcPr>
          <w:p w14:paraId="78703829"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Estimation Method</w:t>
            </w:r>
          </w:p>
        </w:tc>
        <w:tc>
          <w:tcPr>
            <w:tcW w:w="7200" w:type="dxa"/>
            <w:gridSpan w:val="6"/>
          </w:tcPr>
          <w:p w14:paraId="042779B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BDF03A6" w14:textId="77777777" w:rsidTr="001D5220">
        <w:tc>
          <w:tcPr>
            <w:tcW w:w="2425" w:type="dxa"/>
          </w:tcPr>
          <w:p w14:paraId="307D5D2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Number of Beneficiaries</w:t>
            </w:r>
          </w:p>
        </w:tc>
        <w:tc>
          <w:tcPr>
            <w:tcW w:w="7200" w:type="dxa"/>
            <w:gridSpan w:val="6"/>
          </w:tcPr>
          <w:p w14:paraId="546BEFE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FF1F0F7" w14:textId="77777777" w:rsidTr="001D5220">
        <w:tc>
          <w:tcPr>
            <w:tcW w:w="2425" w:type="dxa"/>
          </w:tcPr>
          <w:p w14:paraId="459BE0E1"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Revenue Cost Reporting</w:t>
            </w:r>
          </w:p>
        </w:tc>
        <w:tc>
          <w:tcPr>
            <w:tcW w:w="7200" w:type="dxa"/>
            <w:gridSpan w:val="6"/>
          </w:tcPr>
          <w:p w14:paraId="080EEEF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2F062794" w14:textId="77777777" w:rsidTr="001D5220">
        <w:trPr>
          <w:trHeight w:val="91"/>
        </w:trPr>
        <w:tc>
          <w:tcPr>
            <w:tcW w:w="2425" w:type="dxa"/>
            <w:vMerge w:val="restart"/>
          </w:tcPr>
          <w:p w14:paraId="3FB603E7"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4C09C65"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2018</w:t>
            </w:r>
          </w:p>
        </w:tc>
        <w:tc>
          <w:tcPr>
            <w:tcW w:w="1385" w:type="dxa"/>
          </w:tcPr>
          <w:p w14:paraId="2C3CA29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2019</w:t>
            </w:r>
          </w:p>
        </w:tc>
        <w:tc>
          <w:tcPr>
            <w:tcW w:w="1385" w:type="dxa"/>
            <w:gridSpan w:val="2"/>
          </w:tcPr>
          <w:p w14:paraId="2D37254C"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2020</w:t>
            </w:r>
          </w:p>
        </w:tc>
        <w:tc>
          <w:tcPr>
            <w:tcW w:w="1385" w:type="dxa"/>
          </w:tcPr>
          <w:p w14:paraId="379E9A4B"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2021</w:t>
            </w:r>
          </w:p>
        </w:tc>
        <w:tc>
          <w:tcPr>
            <w:tcW w:w="1660" w:type="dxa"/>
          </w:tcPr>
          <w:p w14:paraId="5A92063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2022</w:t>
            </w:r>
          </w:p>
        </w:tc>
      </w:tr>
      <w:tr w:rsidR="00775F01" w:rsidRPr="007669E1" w14:paraId="506BCED0" w14:textId="77777777" w:rsidTr="001D5220">
        <w:trPr>
          <w:trHeight w:val="305"/>
        </w:trPr>
        <w:tc>
          <w:tcPr>
            <w:tcW w:w="2425" w:type="dxa"/>
            <w:vMerge/>
          </w:tcPr>
          <w:p w14:paraId="1A29354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9EEB15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15159BA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790097E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26D1458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45650B35"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52E9E43E"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35232" w14:paraId="1FBAAAD8" w14:textId="77777777" w:rsidTr="001D5220">
        <w:tc>
          <w:tcPr>
            <w:tcW w:w="9625" w:type="dxa"/>
            <w:gridSpan w:val="7"/>
            <w:shd w:val="clear" w:color="auto" w:fill="D9D9D9" w:themeFill="background1" w:themeFillShade="D9"/>
          </w:tcPr>
          <w:p w14:paraId="71E600D4"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42. Exemption from import duties for electric generators</w:t>
            </w:r>
          </w:p>
        </w:tc>
      </w:tr>
      <w:tr w:rsidR="00C943A7" w:rsidRPr="007669E1" w14:paraId="7166F835" w14:textId="77777777" w:rsidTr="001D5220">
        <w:tc>
          <w:tcPr>
            <w:tcW w:w="2425" w:type="dxa"/>
          </w:tcPr>
          <w:p w14:paraId="5738F49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Description</w:t>
            </w:r>
          </w:p>
        </w:tc>
        <w:tc>
          <w:tcPr>
            <w:tcW w:w="7200" w:type="dxa"/>
            <w:gridSpan w:val="6"/>
          </w:tcPr>
          <w:p w14:paraId="3F0D0433"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Electric generators with a power of more than 75 kW but of a maximum of 375 kW, parts for generators and apparatus for switching electrical circuits are exempt from import duties.</w:t>
            </w:r>
          </w:p>
        </w:tc>
      </w:tr>
      <w:tr w:rsidR="00C943A7" w:rsidRPr="007669E1" w14:paraId="2743D741" w14:textId="77777777" w:rsidTr="001D5220">
        <w:tc>
          <w:tcPr>
            <w:tcW w:w="2425" w:type="dxa"/>
          </w:tcPr>
          <w:p w14:paraId="164D07BC"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Tax Affected</w:t>
            </w:r>
          </w:p>
        </w:tc>
        <w:tc>
          <w:tcPr>
            <w:tcW w:w="7200" w:type="dxa"/>
            <w:gridSpan w:val="6"/>
          </w:tcPr>
          <w:p w14:paraId="242E822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6F59F79" w14:textId="77777777" w:rsidTr="001D5220">
        <w:tc>
          <w:tcPr>
            <w:tcW w:w="2425" w:type="dxa"/>
          </w:tcPr>
          <w:p w14:paraId="70A59E38"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Beneficiaries</w:t>
            </w:r>
          </w:p>
        </w:tc>
        <w:tc>
          <w:tcPr>
            <w:tcW w:w="7200" w:type="dxa"/>
            <w:gridSpan w:val="6"/>
          </w:tcPr>
          <w:p w14:paraId="1CB3C0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Electricity producers</w:t>
            </w:r>
          </w:p>
        </w:tc>
      </w:tr>
      <w:tr w:rsidR="00C943A7" w:rsidRPr="007669E1" w14:paraId="38CCC9A8" w14:textId="77777777" w:rsidTr="001D5220">
        <w:tc>
          <w:tcPr>
            <w:tcW w:w="2425" w:type="dxa"/>
          </w:tcPr>
          <w:p w14:paraId="07F3C11F"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lastRenderedPageBreak/>
              <w:t>Type of Measure</w:t>
            </w:r>
          </w:p>
        </w:tc>
        <w:tc>
          <w:tcPr>
            <w:tcW w:w="7200" w:type="dxa"/>
            <w:gridSpan w:val="6"/>
          </w:tcPr>
          <w:p w14:paraId="2D4485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92B81F6" w14:textId="77777777" w:rsidTr="001D5220">
        <w:tc>
          <w:tcPr>
            <w:tcW w:w="2425" w:type="dxa"/>
          </w:tcPr>
          <w:p w14:paraId="23610BDF"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Reason why this Measure is not part of the Benchmark Tax System</w:t>
            </w:r>
          </w:p>
        </w:tc>
        <w:tc>
          <w:tcPr>
            <w:tcW w:w="7200" w:type="dxa"/>
            <w:gridSpan w:val="6"/>
          </w:tcPr>
          <w:p w14:paraId="5D113BA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37DB675" w14:textId="77777777" w:rsidTr="001D5220">
        <w:tc>
          <w:tcPr>
            <w:tcW w:w="2425" w:type="dxa"/>
          </w:tcPr>
          <w:p w14:paraId="1525AEF5"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Legal Reference</w:t>
            </w:r>
          </w:p>
        </w:tc>
        <w:tc>
          <w:tcPr>
            <w:tcW w:w="7200" w:type="dxa"/>
            <w:gridSpan w:val="6"/>
          </w:tcPr>
          <w:p w14:paraId="61B5B8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y</w:t>
            </w:r>
            <w:r w:rsidRPr="007669E1">
              <w:rPr>
                <w:rFonts w:ascii="Segoe UI" w:hAnsi="Segoe UI" w:cs="Segoe UI"/>
                <w:sz w:val="18"/>
                <w:szCs w:val="18"/>
                <w:vertAlign w:val="superscript"/>
              </w:rPr>
              <w:t>2</w:t>
            </w:r>
            <w:r w:rsidRPr="007669E1">
              <w:rPr>
                <w:rFonts w:ascii="Segoe UI" w:hAnsi="Segoe UI" w:cs="Segoe UI"/>
                <w:sz w:val="18"/>
                <w:szCs w:val="18"/>
              </w:rPr>
              <w:t>)</w:t>
            </w:r>
          </w:p>
        </w:tc>
      </w:tr>
      <w:tr w:rsidR="00C943A7" w:rsidRPr="007669E1" w14:paraId="24628891" w14:textId="77777777" w:rsidTr="001D5220">
        <w:trPr>
          <w:trHeight w:val="182"/>
        </w:trPr>
        <w:tc>
          <w:tcPr>
            <w:tcW w:w="2425" w:type="dxa"/>
            <w:vMerge w:val="restart"/>
          </w:tcPr>
          <w:p w14:paraId="58CD6106"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Implementation Objectives, and History</w:t>
            </w:r>
          </w:p>
        </w:tc>
        <w:tc>
          <w:tcPr>
            <w:tcW w:w="7200" w:type="dxa"/>
            <w:gridSpan w:val="6"/>
          </w:tcPr>
          <w:p w14:paraId="5A0FF7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development of the energy sector in Moldova.</w:t>
            </w:r>
          </w:p>
          <w:p w14:paraId="319E63A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to be repealed as of July 1, 2023.</w:t>
            </w:r>
          </w:p>
        </w:tc>
      </w:tr>
      <w:tr w:rsidR="00C943A7" w:rsidRPr="007669E1" w14:paraId="41CE82C5" w14:textId="77777777" w:rsidTr="001D5220">
        <w:trPr>
          <w:trHeight w:val="182"/>
        </w:trPr>
        <w:tc>
          <w:tcPr>
            <w:tcW w:w="2425" w:type="dxa"/>
            <w:vMerge/>
          </w:tcPr>
          <w:p w14:paraId="731DD64C" w14:textId="77777777" w:rsidR="007E7377" w:rsidRPr="00135232" w:rsidRDefault="007E7377" w:rsidP="00E90BA7">
            <w:pPr>
              <w:spacing w:before="20" w:after="20" w:line="240" w:lineRule="auto"/>
              <w:jc w:val="both"/>
              <w:rPr>
                <w:rFonts w:ascii="Segoe UI" w:hAnsi="Segoe UI" w:cs="Segoe UI"/>
                <w:b/>
                <w:bCs/>
                <w:sz w:val="18"/>
                <w:szCs w:val="18"/>
              </w:rPr>
            </w:pPr>
          </w:p>
        </w:tc>
        <w:tc>
          <w:tcPr>
            <w:tcW w:w="3462" w:type="dxa"/>
            <w:gridSpan w:val="3"/>
          </w:tcPr>
          <w:p w14:paraId="5AB3279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60250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2023/07/01</w:t>
            </w:r>
          </w:p>
        </w:tc>
      </w:tr>
      <w:tr w:rsidR="00C943A7" w:rsidRPr="007669E1" w14:paraId="7429225C" w14:textId="77777777" w:rsidTr="001D5220">
        <w:tc>
          <w:tcPr>
            <w:tcW w:w="2425" w:type="dxa"/>
          </w:tcPr>
          <w:p w14:paraId="2A7B8447"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Source of Data</w:t>
            </w:r>
          </w:p>
        </w:tc>
        <w:tc>
          <w:tcPr>
            <w:tcW w:w="7200" w:type="dxa"/>
            <w:gridSpan w:val="6"/>
          </w:tcPr>
          <w:p w14:paraId="5F8E60E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2816669" w14:textId="77777777" w:rsidTr="001D5220">
        <w:tc>
          <w:tcPr>
            <w:tcW w:w="2425" w:type="dxa"/>
          </w:tcPr>
          <w:p w14:paraId="6918217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Estimation Method</w:t>
            </w:r>
          </w:p>
        </w:tc>
        <w:tc>
          <w:tcPr>
            <w:tcW w:w="7200" w:type="dxa"/>
            <w:gridSpan w:val="6"/>
          </w:tcPr>
          <w:p w14:paraId="5DC826B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34A8A95" w14:textId="77777777" w:rsidTr="001D5220">
        <w:tc>
          <w:tcPr>
            <w:tcW w:w="2425" w:type="dxa"/>
          </w:tcPr>
          <w:p w14:paraId="1942ABA1"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Number of Beneficiaries</w:t>
            </w:r>
          </w:p>
        </w:tc>
        <w:tc>
          <w:tcPr>
            <w:tcW w:w="7200" w:type="dxa"/>
            <w:gridSpan w:val="6"/>
          </w:tcPr>
          <w:p w14:paraId="2DBEFF0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A817DC1" w14:textId="77777777" w:rsidTr="001D5220">
        <w:tc>
          <w:tcPr>
            <w:tcW w:w="2425" w:type="dxa"/>
          </w:tcPr>
          <w:p w14:paraId="2DB34435"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Revenue Cost Reporting</w:t>
            </w:r>
          </w:p>
        </w:tc>
        <w:tc>
          <w:tcPr>
            <w:tcW w:w="7200" w:type="dxa"/>
            <w:gridSpan w:val="6"/>
          </w:tcPr>
          <w:p w14:paraId="514C631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2697D09" w14:textId="77777777" w:rsidTr="001D5220">
        <w:trPr>
          <w:trHeight w:val="91"/>
        </w:trPr>
        <w:tc>
          <w:tcPr>
            <w:tcW w:w="2425" w:type="dxa"/>
            <w:vMerge w:val="restart"/>
          </w:tcPr>
          <w:p w14:paraId="54C25B9C"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F414B4F"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2018</w:t>
            </w:r>
          </w:p>
        </w:tc>
        <w:tc>
          <w:tcPr>
            <w:tcW w:w="1385" w:type="dxa"/>
          </w:tcPr>
          <w:p w14:paraId="46F2F528"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2019</w:t>
            </w:r>
          </w:p>
        </w:tc>
        <w:tc>
          <w:tcPr>
            <w:tcW w:w="1385" w:type="dxa"/>
            <w:gridSpan w:val="2"/>
          </w:tcPr>
          <w:p w14:paraId="71B3E91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2020</w:t>
            </w:r>
          </w:p>
        </w:tc>
        <w:tc>
          <w:tcPr>
            <w:tcW w:w="1385" w:type="dxa"/>
          </w:tcPr>
          <w:p w14:paraId="1E028807"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2021</w:t>
            </w:r>
          </w:p>
        </w:tc>
        <w:tc>
          <w:tcPr>
            <w:tcW w:w="1660" w:type="dxa"/>
          </w:tcPr>
          <w:p w14:paraId="62293880"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2022</w:t>
            </w:r>
          </w:p>
        </w:tc>
      </w:tr>
      <w:tr w:rsidR="00775F01" w:rsidRPr="007669E1" w14:paraId="5DB7DA76" w14:textId="77777777" w:rsidTr="001D5220">
        <w:trPr>
          <w:trHeight w:val="305"/>
        </w:trPr>
        <w:tc>
          <w:tcPr>
            <w:tcW w:w="2425" w:type="dxa"/>
            <w:vMerge/>
          </w:tcPr>
          <w:p w14:paraId="03EEA9C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5F2D84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006112F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27212D2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ECD0296"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59E9142D"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7144D215"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35232" w14:paraId="3E7ED406" w14:textId="77777777" w:rsidTr="001D5220">
        <w:tc>
          <w:tcPr>
            <w:tcW w:w="9625" w:type="dxa"/>
            <w:gridSpan w:val="7"/>
            <w:shd w:val="clear" w:color="auto" w:fill="D9D9D9" w:themeFill="background1" w:themeFillShade="D9"/>
          </w:tcPr>
          <w:p w14:paraId="783C5B1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43. Exemption for goods and services intended to secure natural gas supplies</w:t>
            </w:r>
          </w:p>
        </w:tc>
      </w:tr>
      <w:tr w:rsidR="00C943A7" w:rsidRPr="007669E1" w14:paraId="40A04FAD" w14:textId="77777777" w:rsidTr="001D5220">
        <w:tc>
          <w:tcPr>
            <w:tcW w:w="2425" w:type="dxa"/>
          </w:tcPr>
          <w:p w14:paraId="2298C838"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Description</w:t>
            </w:r>
          </w:p>
        </w:tc>
        <w:tc>
          <w:tcPr>
            <w:tcW w:w="7200" w:type="dxa"/>
            <w:gridSpan w:val="6"/>
          </w:tcPr>
          <w:p w14:paraId="5A45BE3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and services intended to secure natural gas supplies are exempt from import duties.</w:t>
            </w:r>
          </w:p>
        </w:tc>
      </w:tr>
      <w:tr w:rsidR="00C943A7" w:rsidRPr="007669E1" w14:paraId="6B81BC64" w14:textId="77777777" w:rsidTr="001D5220">
        <w:tc>
          <w:tcPr>
            <w:tcW w:w="2425" w:type="dxa"/>
          </w:tcPr>
          <w:p w14:paraId="611D830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Tax Affected</w:t>
            </w:r>
          </w:p>
        </w:tc>
        <w:tc>
          <w:tcPr>
            <w:tcW w:w="7200" w:type="dxa"/>
            <w:gridSpan w:val="6"/>
          </w:tcPr>
          <w:p w14:paraId="4439767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A946832" w14:textId="77777777" w:rsidTr="001D5220">
        <w:tc>
          <w:tcPr>
            <w:tcW w:w="2425" w:type="dxa"/>
          </w:tcPr>
          <w:p w14:paraId="6B254562"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Beneficiaries</w:t>
            </w:r>
          </w:p>
        </w:tc>
        <w:tc>
          <w:tcPr>
            <w:tcW w:w="7200" w:type="dxa"/>
            <w:gridSpan w:val="6"/>
          </w:tcPr>
          <w:p w14:paraId="0FE3A0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Importers of natural gas</w:t>
            </w:r>
          </w:p>
        </w:tc>
      </w:tr>
      <w:tr w:rsidR="00C943A7" w:rsidRPr="007669E1" w14:paraId="6DBA2869" w14:textId="77777777" w:rsidTr="001D5220">
        <w:tc>
          <w:tcPr>
            <w:tcW w:w="2425" w:type="dxa"/>
          </w:tcPr>
          <w:p w14:paraId="1A6E0781"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Measure</w:t>
            </w:r>
          </w:p>
        </w:tc>
        <w:tc>
          <w:tcPr>
            <w:tcW w:w="7200" w:type="dxa"/>
            <w:gridSpan w:val="6"/>
          </w:tcPr>
          <w:p w14:paraId="0A22A25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3BE1BB65" w14:textId="77777777" w:rsidTr="001D5220">
        <w:tc>
          <w:tcPr>
            <w:tcW w:w="2425" w:type="dxa"/>
          </w:tcPr>
          <w:p w14:paraId="19AD3151"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Reason why this Measure is not part of the Benchmark Tax System</w:t>
            </w:r>
          </w:p>
        </w:tc>
        <w:tc>
          <w:tcPr>
            <w:tcW w:w="7200" w:type="dxa"/>
            <w:gridSpan w:val="6"/>
          </w:tcPr>
          <w:p w14:paraId="2449BCE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F9E0C89" w14:textId="77777777" w:rsidTr="001D5220">
        <w:tc>
          <w:tcPr>
            <w:tcW w:w="2425" w:type="dxa"/>
          </w:tcPr>
          <w:p w14:paraId="5DDEEFB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Legal Reference</w:t>
            </w:r>
          </w:p>
        </w:tc>
        <w:tc>
          <w:tcPr>
            <w:tcW w:w="7200" w:type="dxa"/>
            <w:gridSpan w:val="6"/>
          </w:tcPr>
          <w:p w14:paraId="4C9F8A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Decision no. 850 of 07-12-2022</w:t>
            </w:r>
          </w:p>
        </w:tc>
      </w:tr>
      <w:tr w:rsidR="00C943A7" w:rsidRPr="007669E1" w14:paraId="2028912E" w14:textId="77777777" w:rsidTr="001D5220">
        <w:trPr>
          <w:trHeight w:val="182"/>
        </w:trPr>
        <w:tc>
          <w:tcPr>
            <w:tcW w:w="2425" w:type="dxa"/>
            <w:vMerge w:val="restart"/>
          </w:tcPr>
          <w:p w14:paraId="0D53A09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Implementation Objectives, and History</w:t>
            </w:r>
          </w:p>
        </w:tc>
        <w:tc>
          <w:tcPr>
            <w:tcW w:w="7200" w:type="dxa"/>
            <w:gridSpan w:val="6"/>
          </w:tcPr>
          <w:p w14:paraId="5C456D6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help securing supply of natural gas to Moldova.</w:t>
            </w:r>
          </w:p>
          <w:p w14:paraId="6E8284A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by Decision no. 850 of 07-12-2022, effective December 8, 2022.</w:t>
            </w:r>
          </w:p>
        </w:tc>
      </w:tr>
      <w:tr w:rsidR="00C943A7" w:rsidRPr="007669E1" w14:paraId="1DEBC62B" w14:textId="77777777" w:rsidTr="001D5220">
        <w:trPr>
          <w:trHeight w:val="182"/>
        </w:trPr>
        <w:tc>
          <w:tcPr>
            <w:tcW w:w="2425" w:type="dxa"/>
            <w:vMerge/>
          </w:tcPr>
          <w:p w14:paraId="4F564B55" w14:textId="77777777" w:rsidR="007E7377" w:rsidRPr="00135232" w:rsidRDefault="007E7377" w:rsidP="00E90BA7">
            <w:pPr>
              <w:spacing w:before="20" w:after="20" w:line="240" w:lineRule="auto"/>
              <w:jc w:val="both"/>
              <w:rPr>
                <w:rFonts w:ascii="Segoe UI" w:hAnsi="Segoe UI" w:cs="Segoe UI"/>
                <w:b/>
                <w:bCs/>
                <w:sz w:val="18"/>
                <w:szCs w:val="18"/>
              </w:rPr>
            </w:pPr>
          </w:p>
        </w:tc>
        <w:tc>
          <w:tcPr>
            <w:tcW w:w="3462" w:type="dxa"/>
            <w:gridSpan w:val="3"/>
          </w:tcPr>
          <w:p w14:paraId="3C94C98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2022</w:t>
            </w:r>
          </w:p>
        </w:tc>
        <w:tc>
          <w:tcPr>
            <w:tcW w:w="3738" w:type="dxa"/>
            <w:gridSpan w:val="3"/>
          </w:tcPr>
          <w:p w14:paraId="33033A9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220C569A" w14:textId="77777777" w:rsidTr="001D5220">
        <w:tc>
          <w:tcPr>
            <w:tcW w:w="2425" w:type="dxa"/>
          </w:tcPr>
          <w:p w14:paraId="791E1724"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Source of Data</w:t>
            </w:r>
          </w:p>
        </w:tc>
        <w:tc>
          <w:tcPr>
            <w:tcW w:w="7200" w:type="dxa"/>
            <w:gridSpan w:val="6"/>
          </w:tcPr>
          <w:p w14:paraId="126AB0C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DCA1C19" w14:textId="77777777" w:rsidTr="001D5220">
        <w:tc>
          <w:tcPr>
            <w:tcW w:w="2425" w:type="dxa"/>
          </w:tcPr>
          <w:p w14:paraId="4E630E0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Estimation Method</w:t>
            </w:r>
          </w:p>
        </w:tc>
        <w:tc>
          <w:tcPr>
            <w:tcW w:w="7200" w:type="dxa"/>
            <w:gridSpan w:val="6"/>
          </w:tcPr>
          <w:p w14:paraId="491E630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85B583B" w14:textId="77777777" w:rsidTr="001D5220">
        <w:tc>
          <w:tcPr>
            <w:tcW w:w="2425" w:type="dxa"/>
          </w:tcPr>
          <w:p w14:paraId="3DA4BE07"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Number of Beneficiaries</w:t>
            </w:r>
          </w:p>
        </w:tc>
        <w:tc>
          <w:tcPr>
            <w:tcW w:w="7200" w:type="dxa"/>
            <w:gridSpan w:val="6"/>
          </w:tcPr>
          <w:p w14:paraId="741AEF4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D71F1FD" w14:textId="77777777" w:rsidTr="001D5220">
        <w:tc>
          <w:tcPr>
            <w:tcW w:w="2425" w:type="dxa"/>
          </w:tcPr>
          <w:p w14:paraId="7354A1A1"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Revenue Cost Reporting</w:t>
            </w:r>
          </w:p>
        </w:tc>
        <w:tc>
          <w:tcPr>
            <w:tcW w:w="7200" w:type="dxa"/>
            <w:gridSpan w:val="6"/>
          </w:tcPr>
          <w:p w14:paraId="10C9814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9E5135D" w14:textId="77777777" w:rsidTr="001D5220">
        <w:trPr>
          <w:trHeight w:val="91"/>
        </w:trPr>
        <w:tc>
          <w:tcPr>
            <w:tcW w:w="2425" w:type="dxa"/>
            <w:vMerge w:val="restart"/>
          </w:tcPr>
          <w:p w14:paraId="375D454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037DB36"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2018</w:t>
            </w:r>
          </w:p>
        </w:tc>
        <w:tc>
          <w:tcPr>
            <w:tcW w:w="1385" w:type="dxa"/>
          </w:tcPr>
          <w:p w14:paraId="49E16A5A"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2019</w:t>
            </w:r>
          </w:p>
        </w:tc>
        <w:tc>
          <w:tcPr>
            <w:tcW w:w="1385" w:type="dxa"/>
            <w:gridSpan w:val="2"/>
          </w:tcPr>
          <w:p w14:paraId="67B9E05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2020</w:t>
            </w:r>
          </w:p>
        </w:tc>
        <w:tc>
          <w:tcPr>
            <w:tcW w:w="1385" w:type="dxa"/>
          </w:tcPr>
          <w:p w14:paraId="60DFC3F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2021</w:t>
            </w:r>
          </w:p>
        </w:tc>
        <w:tc>
          <w:tcPr>
            <w:tcW w:w="1660" w:type="dxa"/>
          </w:tcPr>
          <w:p w14:paraId="036EBA1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2022</w:t>
            </w:r>
          </w:p>
        </w:tc>
      </w:tr>
      <w:tr w:rsidR="00775F01" w:rsidRPr="007669E1" w14:paraId="2769D130" w14:textId="77777777" w:rsidTr="001D5220">
        <w:trPr>
          <w:trHeight w:val="305"/>
        </w:trPr>
        <w:tc>
          <w:tcPr>
            <w:tcW w:w="2425" w:type="dxa"/>
            <w:vMerge/>
          </w:tcPr>
          <w:p w14:paraId="7424B3E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F1736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78838D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69E5376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198AB97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79FAD92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bl>
    <w:p w14:paraId="218AE971"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35232" w14:paraId="1AC10145" w14:textId="77777777" w:rsidTr="001D5220">
        <w:tc>
          <w:tcPr>
            <w:tcW w:w="9625" w:type="dxa"/>
            <w:gridSpan w:val="7"/>
            <w:shd w:val="clear" w:color="auto" w:fill="D9D9D9" w:themeFill="background1" w:themeFillShade="D9"/>
          </w:tcPr>
          <w:p w14:paraId="692A6712"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44. Exemption from import duties for goods intended for the State Agency for Intellectual Property</w:t>
            </w:r>
          </w:p>
        </w:tc>
      </w:tr>
      <w:tr w:rsidR="00C943A7" w:rsidRPr="007669E1" w14:paraId="41823356" w14:textId="77777777" w:rsidTr="001D5220">
        <w:tc>
          <w:tcPr>
            <w:tcW w:w="2425" w:type="dxa"/>
          </w:tcPr>
          <w:p w14:paraId="795A84D6"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Description</w:t>
            </w:r>
          </w:p>
        </w:tc>
        <w:tc>
          <w:tcPr>
            <w:tcW w:w="7200" w:type="dxa"/>
            <w:gridSpan w:val="6"/>
          </w:tcPr>
          <w:p w14:paraId="20A6FE9B"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Books, publications and documents, as well as audiovisual materials of an educational, scientific or cultural nature of the United Nations or any of its specialized institutions, intended for the State Agency for Intellectual Property, are exempt from import duties.</w:t>
            </w:r>
          </w:p>
        </w:tc>
      </w:tr>
      <w:tr w:rsidR="00C943A7" w:rsidRPr="007669E1" w14:paraId="5D0E654F" w14:textId="77777777" w:rsidTr="001D5220">
        <w:tc>
          <w:tcPr>
            <w:tcW w:w="2425" w:type="dxa"/>
          </w:tcPr>
          <w:p w14:paraId="3AF83878"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Tax Affected</w:t>
            </w:r>
          </w:p>
        </w:tc>
        <w:tc>
          <w:tcPr>
            <w:tcW w:w="7200" w:type="dxa"/>
            <w:gridSpan w:val="6"/>
          </w:tcPr>
          <w:p w14:paraId="5F9B1F5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0C8DE5F4" w14:textId="77777777" w:rsidTr="001D5220">
        <w:tc>
          <w:tcPr>
            <w:tcW w:w="2425" w:type="dxa"/>
          </w:tcPr>
          <w:p w14:paraId="0C516896"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Beneficiaries</w:t>
            </w:r>
          </w:p>
        </w:tc>
        <w:tc>
          <w:tcPr>
            <w:tcW w:w="7200" w:type="dxa"/>
            <w:gridSpan w:val="6"/>
          </w:tcPr>
          <w:p w14:paraId="2A25F0A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Agency for Intellectual Property</w:t>
            </w:r>
          </w:p>
        </w:tc>
      </w:tr>
      <w:tr w:rsidR="00C943A7" w:rsidRPr="007669E1" w14:paraId="73AD2AF7" w14:textId="77777777" w:rsidTr="001D5220">
        <w:tc>
          <w:tcPr>
            <w:tcW w:w="2425" w:type="dxa"/>
          </w:tcPr>
          <w:p w14:paraId="3ABB665B"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Type of Measure</w:t>
            </w:r>
          </w:p>
        </w:tc>
        <w:tc>
          <w:tcPr>
            <w:tcW w:w="7200" w:type="dxa"/>
            <w:gridSpan w:val="6"/>
          </w:tcPr>
          <w:p w14:paraId="42528B0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689ECD14" w14:textId="77777777" w:rsidTr="001D5220">
        <w:tc>
          <w:tcPr>
            <w:tcW w:w="2425" w:type="dxa"/>
          </w:tcPr>
          <w:p w14:paraId="55563D3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Reason why this Measure is not part of the Benchmark Tax System</w:t>
            </w:r>
          </w:p>
        </w:tc>
        <w:tc>
          <w:tcPr>
            <w:tcW w:w="7200" w:type="dxa"/>
            <w:gridSpan w:val="6"/>
          </w:tcPr>
          <w:p w14:paraId="6878429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952BD7D" w14:textId="77777777" w:rsidTr="001D5220">
        <w:tc>
          <w:tcPr>
            <w:tcW w:w="2425" w:type="dxa"/>
          </w:tcPr>
          <w:p w14:paraId="2F2E63A4"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Legal Reference</w:t>
            </w:r>
          </w:p>
        </w:tc>
        <w:tc>
          <w:tcPr>
            <w:tcW w:w="7200" w:type="dxa"/>
            <w:gridSpan w:val="6"/>
          </w:tcPr>
          <w:p w14:paraId="21B1493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267</w:t>
            </w:r>
          </w:p>
        </w:tc>
      </w:tr>
      <w:tr w:rsidR="00C943A7" w:rsidRPr="007669E1" w14:paraId="170DA107" w14:textId="77777777" w:rsidTr="001D5220">
        <w:trPr>
          <w:trHeight w:val="182"/>
        </w:trPr>
        <w:tc>
          <w:tcPr>
            <w:tcW w:w="2425" w:type="dxa"/>
            <w:vMerge w:val="restart"/>
          </w:tcPr>
          <w:p w14:paraId="663C3D9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lastRenderedPageBreak/>
              <w:t>Implementation Objectives, and History</w:t>
            </w:r>
          </w:p>
        </w:tc>
        <w:tc>
          <w:tcPr>
            <w:tcW w:w="7200" w:type="dxa"/>
            <w:gridSpan w:val="6"/>
          </w:tcPr>
          <w:p w14:paraId="3013101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the work of the State Agency for Intellectual Property.</w:t>
            </w:r>
          </w:p>
          <w:p w14:paraId="665CF41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1089FFD1" w14:textId="77777777" w:rsidTr="001D5220">
        <w:trPr>
          <w:trHeight w:val="182"/>
        </w:trPr>
        <w:tc>
          <w:tcPr>
            <w:tcW w:w="2425" w:type="dxa"/>
            <w:vMerge/>
          </w:tcPr>
          <w:p w14:paraId="00E74EA2" w14:textId="77777777" w:rsidR="007E7377" w:rsidRPr="00135232" w:rsidRDefault="007E7377" w:rsidP="00E90BA7">
            <w:pPr>
              <w:spacing w:before="20" w:after="20" w:line="240" w:lineRule="auto"/>
              <w:jc w:val="both"/>
              <w:rPr>
                <w:rFonts w:ascii="Segoe UI" w:hAnsi="Segoe UI" w:cs="Segoe UI"/>
                <w:b/>
                <w:bCs/>
                <w:sz w:val="18"/>
                <w:szCs w:val="18"/>
              </w:rPr>
            </w:pPr>
          </w:p>
        </w:tc>
        <w:tc>
          <w:tcPr>
            <w:tcW w:w="3462" w:type="dxa"/>
            <w:gridSpan w:val="3"/>
          </w:tcPr>
          <w:p w14:paraId="44C03C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1DCE5B1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83D610E" w14:textId="77777777" w:rsidTr="001D5220">
        <w:tc>
          <w:tcPr>
            <w:tcW w:w="2425" w:type="dxa"/>
          </w:tcPr>
          <w:p w14:paraId="1927A2B6"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Source of Data</w:t>
            </w:r>
          </w:p>
        </w:tc>
        <w:tc>
          <w:tcPr>
            <w:tcW w:w="7200" w:type="dxa"/>
            <w:gridSpan w:val="6"/>
          </w:tcPr>
          <w:p w14:paraId="2099D2E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564A38B" w14:textId="77777777" w:rsidTr="001D5220">
        <w:tc>
          <w:tcPr>
            <w:tcW w:w="2425" w:type="dxa"/>
          </w:tcPr>
          <w:p w14:paraId="75C12E33"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Estimation Method</w:t>
            </w:r>
          </w:p>
        </w:tc>
        <w:tc>
          <w:tcPr>
            <w:tcW w:w="7200" w:type="dxa"/>
            <w:gridSpan w:val="6"/>
          </w:tcPr>
          <w:p w14:paraId="0F164BB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299ACC6" w14:textId="77777777" w:rsidTr="001D5220">
        <w:tc>
          <w:tcPr>
            <w:tcW w:w="2425" w:type="dxa"/>
          </w:tcPr>
          <w:p w14:paraId="60E2FE6F"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Number of Beneficiaries</w:t>
            </w:r>
          </w:p>
        </w:tc>
        <w:tc>
          <w:tcPr>
            <w:tcW w:w="7200" w:type="dxa"/>
            <w:gridSpan w:val="6"/>
          </w:tcPr>
          <w:p w14:paraId="7F47DA9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41B1249" w14:textId="77777777" w:rsidTr="001D5220">
        <w:tc>
          <w:tcPr>
            <w:tcW w:w="2425" w:type="dxa"/>
          </w:tcPr>
          <w:p w14:paraId="5C85DA35"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Revenue Cost Reporting</w:t>
            </w:r>
          </w:p>
        </w:tc>
        <w:tc>
          <w:tcPr>
            <w:tcW w:w="7200" w:type="dxa"/>
            <w:gridSpan w:val="6"/>
          </w:tcPr>
          <w:p w14:paraId="1610F88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F47CE3E" w14:textId="77777777" w:rsidTr="001D5220">
        <w:trPr>
          <w:trHeight w:val="91"/>
        </w:trPr>
        <w:tc>
          <w:tcPr>
            <w:tcW w:w="2425" w:type="dxa"/>
            <w:vMerge w:val="restart"/>
          </w:tcPr>
          <w:p w14:paraId="3D9939AF"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A46CD22"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2018</w:t>
            </w:r>
          </w:p>
        </w:tc>
        <w:tc>
          <w:tcPr>
            <w:tcW w:w="1385" w:type="dxa"/>
          </w:tcPr>
          <w:p w14:paraId="49387408"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2019</w:t>
            </w:r>
          </w:p>
        </w:tc>
        <w:tc>
          <w:tcPr>
            <w:tcW w:w="1385" w:type="dxa"/>
            <w:gridSpan w:val="2"/>
          </w:tcPr>
          <w:p w14:paraId="15C83937"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2020</w:t>
            </w:r>
          </w:p>
        </w:tc>
        <w:tc>
          <w:tcPr>
            <w:tcW w:w="1385" w:type="dxa"/>
          </w:tcPr>
          <w:p w14:paraId="3D47B272"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2021</w:t>
            </w:r>
          </w:p>
        </w:tc>
        <w:tc>
          <w:tcPr>
            <w:tcW w:w="1660" w:type="dxa"/>
          </w:tcPr>
          <w:p w14:paraId="0295937D"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2022</w:t>
            </w:r>
          </w:p>
        </w:tc>
      </w:tr>
      <w:tr w:rsidR="00775F01" w:rsidRPr="007669E1" w14:paraId="6CB91C25" w14:textId="77777777" w:rsidTr="001D5220">
        <w:trPr>
          <w:trHeight w:val="305"/>
        </w:trPr>
        <w:tc>
          <w:tcPr>
            <w:tcW w:w="2425" w:type="dxa"/>
            <w:vMerge/>
          </w:tcPr>
          <w:p w14:paraId="40C00455"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172F94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2D144A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41436ED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52FF31F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232C11F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479B03B"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135232" w14:paraId="5DDA9B3F" w14:textId="77777777" w:rsidTr="001D5220">
        <w:tc>
          <w:tcPr>
            <w:tcW w:w="9625" w:type="dxa"/>
            <w:gridSpan w:val="7"/>
            <w:shd w:val="clear" w:color="auto" w:fill="D9D9D9" w:themeFill="background1" w:themeFillShade="D9"/>
          </w:tcPr>
          <w:p w14:paraId="1B6A736B" w14:textId="77777777" w:rsidR="007E7377" w:rsidRPr="00135232" w:rsidRDefault="007E7377" w:rsidP="00E90BA7">
            <w:pPr>
              <w:spacing w:before="20" w:after="20" w:line="240" w:lineRule="auto"/>
              <w:jc w:val="both"/>
              <w:rPr>
                <w:rFonts w:ascii="Segoe UI" w:hAnsi="Segoe UI" w:cs="Segoe UI"/>
                <w:b/>
                <w:bCs/>
                <w:sz w:val="18"/>
                <w:szCs w:val="18"/>
              </w:rPr>
            </w:pPr>
            <w:r w:rsidRPr="00135232">
              <w:rPr>
                <w:rFonts w:ascii="Segoe UI" w:hAnsi="Segoe UI" w:cs="Segoe UI"/>
                <w:b/>
                <w:bCs/>
                <w:sz w:val="18"/>
                <w:szCs w:val="18"/>
              </w:rPr>
              <w:t>45. Exemption from import duties for tourist information materials</w:t>
            </w:r>
          </w:p>
        </w:tc>
      </w:tr>
      <w:tr w:rsidR="00C943A7" w:rsidRPr="007669E1" w14:paraId="6C824505" w14:textId="77777777" w:rsidTr="001D5220">
        <w:tc>
          <w:tcPr>
            <w:tcW w:w="2425" w:type="dxa"/>
          </w:tcPr>
          <w:p w14:paraId="2682B5C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Description</w:t>
            </w:r>
          </w:p>
        </w:tc>
        <w:tc>
          <w:tcPr>
            <w:tcW w:w="7200" w:type="dxa"/>
            <w:gridSpan w:val="6"/>
          </w:tcPr>
          <w:p w14:paraId="7F8355D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Materials (documentation, hotel directories, etc.) intended to be distributed free of charge with the main purpose of encouraging the public to visit foreign countries and participate in cultural, touristic meetings or events are exempt from import duties, provided that such materials do not contain more than 25% foreign private commercial advertising. Reference materials provided to accredited representatives or correspondents appointed by foreign travel agencies are also exempt from import duties.</w:t>
            </w:r>
          </w:p>
        </w:tc>
      </w:tr>
      <w:tr w:rsidR="00C943A7" w:rsidRPr="007669E1" w14:paraId="5743E6F8" w14:textId="77777777" w:rsidTr="001D5220">
        <w:tc>
          <w:tcPr>
            <w:tcW w:w="2425" w:type="dxa"/>
          </w:tcPr>
          <w:p w14:paraId="5C9EB82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Tax Affected</w:t>
            </w:r>
          </w:p>
        </w:tc>
        <w:tc>
          <w:tcPr>
            <w:tcW w:w="7200" w:type="dxa"/>
            <w:gridSpan w:val="6"/>
          </w:tcPr>
          <w:p w14:paraId="500B298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364B3511" w14:textId="77777777" w:rsidTr="001D5220">
        <w:tc>
          <w:tcPr>
            <w:tcW w:w="2425" w:type="dxa"/>
          </w:tcPr>
          <w:p w14:paraId="63009F45"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Beneficiaries</w:t>
            </w:r>
          </w:p>
        </w:tc>
        <w:tc>
          <w:tcPr>
            <w:tcW w:w="7200" w:type="dxa"/>
            <w:gridSpan w:val="6"/>
          </w:tcPr>
          <w:p w14:paraId="29EAF8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tourism promoters</w:t>
            </w:r>
          </w:p>
        </w:tc>
      </w:tr>
      <w:tr w:rsidR="00C943A7" w:rsidRPr="007669E1" w14:paraId="269B18B1" w14:textId="77777777" w:rsidTr="001D5220">
        <w:tc>
          <w:tcPr>
            <w:tcW w:w="2425" w:type="dxa"/>
          </w:tcPr>
          <w:p w14:paraId="7E3F915B"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Measure</w:t>
            </w:r>
          </w:p>
        </w:tc>
        <w:tc>
          <w:tcPr>
            <w:tcW w:w="7200" w:type="dxa"/>
            <w:gridSpan w:val="6"/>
          </w:tcPr>
          <w:p w14:paraId="67B85B8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4D834BF3" w14:textId="77777777" w:rsidTr="001D5220">
        <w:tc>
          <w:tcPr>
            <w:tcW w:w="2425" w:type="dxa"/>
          </w:tcPr>
          <w:p w14:paraId="270EF3F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Reason why this Measure is not part of the Benchmark Tax System</w:t>
            </w:r>
          </w:p>
        </w:tc>
        <w:tc>
          <w:tcPr>
            <w:tcW w:w="7200" w:type="dxa"/>
            <w:gridSpan w:val="6"/>
          </w:tcPr>
          <w:p w14:paraId="03B18D3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F978286" w14:textId="77777777" w:rsidTr="001D5220">
        <w:tc>
          <w:tcPr>
            <w:tcW w:w="2425" w:type="dxa"/>
          </w:tcPr>
          <w:p w14:paraId="4105825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Legal Reference</w:t>
            </w:r>
          </w:p>
        </w:tc>
        <w:tc>
          <w:tcPr>
            <w:tcW w:w="7200" w:type="dxa"/>
            <w:gridSpan w:val="6"/>
          </w:tcPr>
          <w:p w14:paraId="0B6728D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268</w:t>
            </w:r>
          </w:p>
        </w:tc>
      </w:tr>
      <w:tr w:rsidR="00C943A7" w:rsidRPr="007669E1" w14:paraId="37ABB4A2" w14:textId="77777777" w:rsidTr="001D5220">
        <w:trPr>
          <w:trHeight w:val="182"/>
        </w:trPr>
        <w:tc>
          <w:tcPr>
            <w:tcW w:w="2425" w:type="dxa"/>
            <w:vMerge w:val="restart"/>
          </w:tcPr>
          <w:p w14:paraId="42771929"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Implementation Objectives, and History</w:t>
            </w:r>
          </w:p>
        </w:tc>
        <w:tc>
          <w:tcPr>
            <w:tcW w:w="7200" w:type="dxa"/>
            <w:gridSpan w:val="6"/>
          </w:tcPr>
          <w:p w14:paraId="6E0D027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international tourism.</w:t>
            </w:r>
          </w:p>
          <w:p w14:paraId="0425C2B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072A1215" w14:textId="77777777" w:rsidTr="001D5220">
        <w:trPr>
          <w:trHeight w:val="182"/>
        </w:trPr>
        <w:tc>
          <w:tcPr>
            <w:tcW w:w="2425" w:type="dxa"/>
            <w:vMerge/>
          </w:tcPr>
          <w:p w14:paraId="513D6FA3" w14:textId="77777777" w:rsidR="007E7377" w:rsidRPr="00E21B1A" w:rsidRDefault="007E7377" w:rsidP="00E90BA7">
            <w:pPr>
              <w:spacing w:before="20" w:after="20" w:line="240" w:lineRule="auto"/>
              <w:jc w:val="both"/>
              <w:rPr>
                <w:rFonts w:ascii="Segoe UI" w:hAnsi="Segoe UI" w:cs="Segoe UI"/>
                <w:b/>
                <w:bCs/>
                <w:sz w:val="18"/>
                <w:szCs w:val="18"/>
              </w:rPr>
            </w:pPr>
          </w:p>
        </w:tc>
        <w:tc>
          <w:tcPr>
            <w:tcW w:w="3462" w:type="dxa"/>
            <w:gridSpan w:val="3"/>
          </w:tcPr>
          <w:p w14:paraId="3CF090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73DD2D9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7194C2B" w14:textId="77777777" w:rsidTr="001D5220">
        <w:tc>
          <w:tcPr>
            <w:tcW w:w="2425" w:type="dxa"/>
          </w:tcPr>
          <w:p w14:paraId="7404739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Source of Data</w:t>
            </w:r>
          </w:p>
        </w:tc>
        <w:tc>
          <w:tcPr>
            <w:tcW w:w="7200" w:type="dxa"/>
            <w:gridSpan w:val="6"/>
          </w:tcPr>
          <w:p w14:paraId="69D3380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407A8D2" w14:textId="77777777" w:rsidTr="001D5220">
        <w:tc>
          <w:tcPr>
            <w:tcW w:w="2425" w:type="dxa"/>
          </w:tcPr>
          <w:p w14:paraId="508BEF7A"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Estimation Method</w:t>
            </w:r>
          </w:p>
        </w:tc>
        <w:tc>
          <w:tcPr>
            <w:tcW w:w="7200" w:type="dxa"/>
            <w:gridSpan w:val="6"/>
          </w:tcPr>
          <w:p w14:paraId="236EFDB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7D0BC1C" w14:textId="77777777" w:rsidTr="001D5220">
        <w:tc>
          <w:tcPr>
            <w:tcW w:w="2425" w:type="dxa"/>
          </w:tcPr>
          <w:p w14:paraId="64E47699"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Number of Beneficiaries</w:t>
            </w:r>
          </w:p>
        </w:tc>
        <w:tc>
          <w:tcPr>
            <w:tcW w:w="7200" w:type="dxa"/>
            <w:gridSpan w:val="6"/>
          </w:tcPr>
          <w:p w14:paraId="2BA6C49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8CDC960" w14:textId="77777777" w:rsidTr="001D5220">
        <w:tc>
          <w:tcPr>
            <w:tcW w:w="2425" w:type="dxa"/>
          </w:tcPr>
          <w:p w14:paraId="5DCD3D2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Revenue Cost Reporting</w:t>
            </w:r>
          </w:p>
        </w:tc>
        <w:tc>
          <w:tcPr>
            <w:tcW w:w="7200" w:type="dxa"/>
            <w:gridSpan w:val="6"/>
          </w:tcPr>
          <w:p w14:paraId="25B12B1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37A52405" w14:textId="77777777" w:rsidTr="001D5220">
        <w:trPr>
          <w:trHeight w:val="91"/>
        </w:trPr>
        <w:tc>
          <w:tcPr>
            <w:tcW w:w="2425" w:type="dxa"/>
            <w:vMerge w:val="restart"/>
          </w:tcPr>
          <w:p w14:paraId="29B32312"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855300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2018</w:t>
            </w:r>
          </w:p>
        </w:tc>
        <w:tc>
          <w:tcPr>
            <w:tcW w:w="1385" w:type="dxa"/>
          </w:tcPr>
          <w:p w14:paraId="5721134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2019</w:t>
            </w:r>
          </w:p>
        </w:tc>
        <w:tc>
          <w:tcPr>
            <w:tcW w:w="1385" w:type="dxa"/>
            <w:gridSpan w:val="2"/>
          </w:tcPr>
          <w:p w14:paraId="2AED593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2020</w:t>
            </w:r>
          </w:p>
        </w:tc>
        <w:tc>
          <w:tcPr>
            <w:tcW w:w="1385" w:type="dxa"/>
          </w:tcPr>
          <w:p w14:paraId="6E85802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2021</w:t>
            </w:r>
          </w:p>
        </w:tc>
        <w:tc>
          <w:tcPr>
            <w:tcW w:w="1660" w:type="dxa"/>
          </w:tcPr>
          <w:p w14:paraId="12934AB1"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2022</w:t>
            </w:r>
          </w:p>
        </w:tc>
      </w:tr>
      <w:tr w:rsidR="00775F01" w:rsidRPr="007669E1" w14:paraId="614A2B45" w14:textId="77777777" w:rsidTr="001D5220">
        <w:trPr>
          <w:trHeight w:val="305"/>
        </w:trPr>
        <w:tc>
          <w:tcPr>
            <w:tcW w:w="2425" w:type="dxa"/>
            <w:vMerge/>
          </w:tcPr>
          <w:p w14:paraId="5563A4BD"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AB3C71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0DE9B4C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9C997C0"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25CF8FF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26D1FFA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756AE25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21B1A" w14:paraId="7FF1D321" w14:textId="77777777" w:rsidTr="001D5220">
        <w:tc>
          <w:tcPr>
            <w:tcW w:w="9625" w:type="dxa"/>
            <w:gridSpan w:val="7"/>
            <w:shd w:val="clear" w:color="auto" w:fill="D9D9D9" w:themeFill="background1" w:themeFillShade="D9"/>
          </w:tcPr>
          <w:p w14:paraId="2079E92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46. Exemption from import duties for packing and similar materials</w:t>
            </w:r>
          </w:p>
        </w:tc>
      </w:tr>
      <w:tr w:rsidR="00C943A7" w:rsidRPr="007669E1" w14:paraId="4BE6D996" w14:textId="77777777" w:rsidTr="001D5220">
        <w:tc>
          <w:tcPr>
            <w:tcW w:w="2425" w:type="dxa"/>
          </w:tcPr>
          <w:p w14:paraId="7B3D9D0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Description</w:t>
            </w:r>
          </w:p>
        </w:tc>
        <w:tc>
          <w:tcPr>
            <w:tcW w:w="7200" w:type="dxa"/>
            <w:gridSpan w:val="6"/>
          </w:tcPr>
          <w:p w14:paraId="05BD580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Materials used for packaging and protection of goods during their transport from a foreign country (e.g., ropes, plastic, cardboard), as well as straw bedding, fodder and feed of any kind, loaded on the means of transport used to transport animals from a foreign country, are exempt from import duties.</w:t>
            </w:r>
          </w:p>
        </w:tc>
      </w:tr>
      <w:tr w:rsidR="00C943A7" w:rsidRPr="007669E1" w14:paraId="3F1E169D" w14:textId="77777777" w:rsidTr="001D5220">
        <w:tc>
          <w:tcPr>
            <w:tcW w:w="2425" w:type="dxa"/>
          </w:tcPr>
          <w:p w14:paraId="72362F8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Tax Affected</w:t>
            </w:r>
          </w:p>
        </w:tc>
        <w:tc>
          <w:tcPr>
            <w:tcW w:w="7200" w:type="dxa"/>
            <w:gridSpan w:val="6"/>
          </w:tcPr>
          <w:p w14:paraId="23CB08D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0914A623" w14:textId="77777777" w:rsidTr="001D5220">
        <w:tc>
          <w:tcPr>
            <w:tcW w:w="2425" w:type="dxa"/>
          </w:tcPr>
          <w:p w14:paraId="005652F7"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Beneficiaries</w:t>
            </w:r>
          </w:p>
        </w:tc>
        <w:tc>
          <w:tcPr>
            <w:tcW w:w="7200" w:type="dxa"/>
            <w:gridSpan w:val="6"/>
          </w:tcPr>
          <w:p w14:paraId="0AB97D9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Importers</w:t>
            </w:r>
          </w:p>
        </w:tc>
      </w:tr>
      <w:tr w:rsidR="00C943A7" w:rsidRPr="007669E1" w14:paraId="26C15A1D" w14:textId="77777777" w:rsidTr="001D5220">
        <w:tc>
          <w:tcPr>
            <w:tcW w:w="2425" w:type="dxa"/>
          </w:tcPr>
          <w:p w14:paraId="7836541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Measure</w:t>
            </w:r>
          </w:p>
        </w:tc>
        <w:tc>
          <w:tcPr>
            <w:tcW w:w="7200" w:type="dxa"/>
            <w:gridSpan w:val="6"/>
          </w:tcPr>
          <w:p w14:paraId="5745AB1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5F1F558" w14:textId="77777777" w:rsidTr="001D5220">
        <w:tc>
          <w:tcPr>
            <w:tcW w:w="2425" w:type="dxa"/>
          </w:tcPr>
          <w:p w14:paraId="62AACC5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Reason why this Measure is not part of the Benchmark Tax System</w:t>
            </w:r>
          </w:p>
        </w:tc>
        <w:tc>
          <w:tcPr>
            <w:tcW w:w="7200" w:type="dxa"/>
            <w:gridSpan w:val="6"/>
          </w:tcPr>
          <w:p w14:paraId="4D6D520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0650DCC9" w14:textId="77777777" w:rsidTr="001D5220">
        <w:tc>
          <w:tcPr>
            <w:tcW w:w="2425" w:type="dxa"/>
          </w:tcPr>
          <w:p w14:paraId="5E5E2063"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Legal Reference</w:t>
            </w:r>
          </w:p>
        </w:tc>
        <w:tc>
          <w:tcPr>
            <w:tcW w:w="7200" w:type="dxa"/>
            <w:gridSpan w:val="6"/>
          </w:tcPr>
          <w:p w14:paraId="5C0D53B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270 and 271</w:t>
            </w:r>
          </w:p>
        </w:tc>
      </w:tr>
      <w:tr w:rsidR="00C943A7" w:rsidRPr="007669E1" w14:paraId="1D13B5DA" w14:textId="77777777" w:rsidTr="001D5220">
        <w:trPr>
          <w:trHeight w:val="182"/>
        </w:trPr>
        <w:tc>
          <w:tcPr>
            <w:tcW w:w="2425" w:type="dxa"/>
            <w:vMerge w:val="restart"/>
          </w:tcPr>
          <w:p w14:paraId="6732CDE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lastRenderedPageBreak/>
              <w:t>Implementation Objectives, and History</w:t>
            </w:r>
          </w:p>
        </w:tc>
        <w:tc>
          <w:tcPr>
            <w:tcW w:w="7200" w:type="dxa"/>
            <w:gridSpan w:val="6"/>
          </w:tcPr>
          <w:p w14:paraId="2313052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international trade.</w:t>
            </w:r>
          </w:p>
          <w:p w14:paraId="2BBA171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770024FB" w14:textId="77777777" w:rsidTr="001D5220">
        <w:trPr>
          <w:trHeight w:val="182"/>
        </w:trPr>
        <w:tc>
          <w:tcPr>
            <w:tcW w:w="2425" w:type="dxa"/>
            <w:vMerge/>
          </w:tcPr>
          <w:p w14:paraId="18343B66" w14:textId="77777777" w:rsidR="007E7377" w:rsidRPr="00E21B1A" w:rsidRDefault="007E7377" w:rsidP="00E90BA7">
            <w:pPr>
              <w:spacing w:before="20" w:after="20" w:line="240" w:lineRule="auto"/>
              <w:jc w:val="both"/>
              <w:rPr>
                <w:rFonts w:ascii="Segoe UI" w:hAnsi="Segoe UI" w:cs="Segoe UI"/>
                <w:b/>
                <w:bCs/>
                <w:sz w:val="18"/>
                <w:szCs w:val="18"/>
              </w:rPr>
            </w:pPr>
          </w:p>
        </w:tc>
        <w:tc>
          <w:tcPr>
            <w:tcW w:w="3462" w:type="dxa"/>
            <w:gridSpan w:val="3"/>
          </w:tcPr>
          <w:p w14:paraId="26D76B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313C727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B027910" w14:textId="77777777" w:rsidTr="001D5220">
        <w:tc>
          <w:tcPr>
            <w:tcW w:w="2425" w:type="dxa"/>
          </w:tcPr>
          <w:p w14:paraId="5B97A4A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Source of Data</w:t>
            </w:r>
          </w:p>
        </w:tc>
        <w:tc>
          <w:tcPr>
            <w:tcW w:w="7200" w:type="dxa"/>
            <w:gridSpan w:val="6"/>
          </w:tcPr>
          <w:p w14:paraId="63944AB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6124AEF" w14:textId="77777777" w:rsidTr="001D5220">
        <w:tc>
          <w:tcPr>
            <w:tcW w:w="2425" w:type="dxa"/>
          </w:tcPr>
          <w:p w14:paraId="38EB31F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Estimation Method</w:t>
            </w:r>
          </w:p>
        </w:tc>
        <w:tc>
          <w:tcPr>
            <w:tcW w:w="7200" w:type="dxa"/>
            <w:gridSpan w:val="6"/>
          </w:tcPr>
          <w:p w14:paraId="31E840F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BE6EF0E" w14:textId="77777777" w:rsidTr="001D5220">
        <w:tc>
          <w:tcPr>
            <w:tcW w:w="2425" w:type="dxa"/>
          </w:tcPr>
          <w:p w14:paraId="76D1738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Number of Beneficiaries</w:t>
            </w:r>
          </w:p>
        </w:tc>
        <w:tc>
          <w:tcPr>
            <w:tcW w:w="7200" w:type="dxa"/>
            <w:gridSpan w:val="6"/>
          </w:tcPr>
          <w:p w14:paraId="5C4B32C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BAEC902" w14:textId="77777777" w:rsidTr="001D5220">
        <w:tc>
          <w:tcPr>
            <w:tcW w:w="2425" w:type="dxa"/>
          </w:tcPr>
          <w:p w14:paraId="756DB6DD"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Revenue Cost Reporting</w:t>
            </w:r>
          </w:p>
        </w:tc>
        <w:tc>
          <w:tcPr>
            <w:tcW w:w="7200" w:type="dxa"/>
            <w:gridSpan w:val="6"/>
          </w:tcPr>
          <w:p w14:paraId="0D0D20C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DA7D2C4" w14:textId="77777777" w:rsidTr="001D5220">
        <w:trPr>
          <w:trHeight w:val="91"/>
        </w:trPr>
        <w:tc>
          <w:tcPr>
            <w:tcW w:w="2425" w:type="dxa"/>
            <w:vMerge w:val="restart"/>
          </w:tcPr>
          <w:p w14:paraId="0B62285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4FB290E8"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2018</w:t>
            </w:r>
          </w:p>
        </w:tc>
        <w:tc>
          <w:tcPr>
            <w:tcW w:w="1385" w:type="dxa"/>
          </w:tcPr>
          <w:p w14:paraId="106E056D"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2019</w:t>
            </w:r>
          </w:p>
        </w:tc>
        <w:tc>
          <w:tcPr>
            <w:tcW w:w="1385" w:type="dxa"/>
            <w:gridSpan w:val="2"/>
          </w:tcPr>
          <w:p w14:paraId="67D2E4B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2020</w:t>
            </w:r>
          </w:p>
        </w:tc>
        <w:tc>
          <w:tcPr>
            <w:tcW w:w="1385" w:type="dxa"/>
          </w:tcPr>
          <w:p w14:paraId="209D0A3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2021</w:t>
            </w:r>
          </w:p>
        </w:tc>
        <w:tc>
          <w:tcPr>
            <w:tcW w:w="1660" w:type="dxa"/>
          </w:tcPr>
          <w:p w14:paraId="439D894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2022</w:t>
            </w:r>
          </w:p>
        </w:tc>
      </w:tr>
      <w:tr w:rsidR="00775F01" w:rsidRPr="007669E1" w14:paraId="65E22480" w14:textId="77777777" w:rsidTr="001D5220">
        <w:trPr>
          <w:trHeight w:val="305"/>
        </w:trPr>
        <w:tc>
          <w:tcPr>
            <w:tcW w:w="2425" w:type="dxa"/>
            <w:vMerge/>
          </w:tcPr>
          <w:p w14:paraId="7A4D739B"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858E95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55FB5A0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26B9D90C"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42C869A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1D8A837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2F9F2C26"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21B1A" w14:paraId="6DA04F1C" w14:textId="77777777" w:rsidTr="001D5220">
        <w:tc>
          <w:tcPr>
            <w:tcW w:w="9625" w:type="dxa"/>
            <w:gridSpan w:val="7"/>
            <w:shd w:val="clear" w:color="auto" w:fill="D9D9D9" w:themeFill="background1" w:themeFillShade="D9"/>
          </w:tcPr>
          <w:p w14:paraId="086D8BF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47. Exemption from import duties for leasing companies and lease goods</w:t>
            </w:r>
          </w:p>
        </w:tc>
      </w:tr>
      <w:tr w:rsidR="00C943A7" w:rsidRPr="007669E1" w14:paraId="52E71AAD" w14:textId="77777777" w:rsidTr="001D5220">
        <w:tc>
          <w:tcPr>
            <w:tcW w:w="2425" w:type="dxa"/>
          </w:tcPr>
          <w:p w14:paraId="3A07DC15"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Description</w:t>
            </w:r>
          </w:p>
        </w:tc>
        <w:tc>
          <w:tcPr>
            <w:tcW w:w="7200" w:type="dxa"/>
            <w:gridSpan w:val="6"/>
          </w:tcPr>
          <w:p w14:paraId="5A92F5A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Movable goods whose value exceeds MDL 6,000 and whose duration of operation is longer than one year imported by leasing companies operating in Moldova are exempt from import duties. In addition, goods imported under an operational leasing contract can be placed under a suspensive customs regime for a period of up to 3 years, a period during which import duties will not be payable.</w:t>
            </w:r>
          </w:p>
        </w:tc>
      </w:tr>
      <w:tr w:rsidR="00C943A7" w:rsidRPr="007669E1" w14:paraId="1F763DDA" w14:textId="77777777" w:rsidTr="001D5220">
        <w:tc>
          <w:tcPr>
            <w:tcW w:w="2425" w:type="dxa"/>
          </w:tcPr>
          <w:p w14:paraId="06F7473A"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Tax Affected</w:t>
            </w:r>
          </w:p>
        </w:tc>
        <w:tc>
          <w:tcPr>
            <w:tcW w:w="7200" w:type="dxa"/>
            <w:gridSpan w:val="6"/>
          </w:tcPr>
          <w:p w14:paraId="5774308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72FB63CA" w14:textId="77777777" w:rsidTr="001D5220">
        <w:tc>
          <w:tcPr>
            <w:tcW w:w="2425" w:type="dxa"/>
          </w:tcPr>
          <w:p w14:paraId="162F9E61"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Beneficiaries</w:t>
            </w:r>
          </w:p>
        </w:tc>
        <w:tc>
          <w:tcPr>
            <w:tcW w:w="7200" w:type="dxa"/>
            <w:gridSpan w:val="6"/>
          </w:tcPr>
          <w:p w14:paraId="3BDB9BF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Leasing companies</w:t>
            </w:r>
          </w:p>
        </w:tc>
      </w:tr>
      <w:tr w:rsidR="00C943A7" w:rsidRPr="007669E1" w14:paraId="62F2EFC2" w14:textId="77777777" w:rsidTr="001D5220">
        <w:tc>
          <w:tcPr>
            <w:tcW w:w="2425" w:type="dxa"/>
          </w:tcPr>
          <w:p w14:paraId="31302F6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Measure</w:t>
            </w:r>
          </w:p>
        </w:tc>
        <w:tc>
          <w:tcPr>
            <w:tcW w:w="7200" w:type="dxa"/>
            <w:gridSpan w:val="6"/>
          </w:tcPr>
          <w:p w14:paraId="20972F0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57C90BB5" w14:textId="77777777" w:rsidTr="001D5220">
        <w:tc>
          <w:tcPr>
            <w:tcW w:w="2425" w:type="dxa"/>
          </w:tcPr>
          <w:p w14:paraId="1CE4E0B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Reason why this Measure is not part of the Benchmark Tax System</w:t>
            </w:r>
          </w:p>
        </w:tc>
        <w:tc>
          <w:tcPr>
            <w:tcW w:w="7200" w:type="dxa"/>
            <w:gridSpan w:val="6"/>
          </w:tcPr>
          <w:p w14:paraId="138E5E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368D21C1" w14:textId="77777777" w:rsidTr="001D5220">
        <w:tc>
          <w:tcPr>
            <w:tcW w:w="2425" w:type="dxa"/>
          </w:tcPr>
          <w:p w14:paraId="56D2FA9D"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Legal Reference</w:t>
            </w:r>
          </w:p>
        </w:tc>
        <w:tc>
          <w:tcPr>
            <w:tcW w:w="7200" w:type="dxa"/>
            <w:gridSpan w:val="6"/>
          </w:tcPr>
          <w:p w14:paraId="76E54D6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7)</w:t>
            </w:r>
          </w:p>
          <w:p w14:paraId="55D71F4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Code, article 67(3)</w:t>
            </w:r>
          </w:p>
          <w:p w14:paraId="38D74C0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 v)</w:t>
            </w:r>
          </w:p>
        </w:tc>
      </w:tr>
      <w:tr w:rsidR="00C943A7" w:rsidRPr="007669E1" w14:paraId="229CB6CD" w14:textId="77777777" w:rsidTr="001D5220">
        <w:trPr>
          <w:trHeight w:val="182"/>
        </w:trPr>
        <w:tc>
          <w:tcPr>
            <w:tcW w:w="2425" w:type="dxa"/>
            <w:vMerge w:val="restart"/>
          </w:tcPr>
          <w:p w14:paraId="5F54C83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Implementation Objectives, and History</w:t>
            </w:r>
          </w:p>
        </w:tc>
        <w:tc>
          <w:tcPr>
            <w:tcW w:w="7200" w:type="dxa"/>
            <w:gridSpan w:val="6"/>
          </w:tcPr>
          <w:p w14:paraId="52911342"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39F3BCC2" w14:textId="77777777" w:rsidTr="001D5220">
        <w:trPr>
          <w:trHeight w:val="182"/>
        </w:trPr>
        <w:tc>
          <w:tcPr>
            <w:tcW w:w="2425" w:type="dxa"/>
            <w:vMerge/>
          </w:tcPr>
          <w:p w14:paraId="711D988F" w14:textId="77777777" w:rsidR="007E7377" w:rsidRPr="00E21B1A" w:rsidRDefault="007E7377" w:rsidP="00E90BA7">
            <w:pPr>
              <w:spacing w:before="20" w:after="20" w:line="240" w:lineRule="auto"/>
              <w:jc w:val="both"/>
              <w:rPr>
                <w:rFonts w:ascii="Segoe UI" w:hAnsi="Segoe UI" w:cs="Segoe UI"/>
                <w:b/>
                <w:bCs/>
                <w:sz w:val="18"/>
                <w:szCs w:val="18"/>
              </w:rPr>
            </w:pPr>
          </w:p>
        </w:tc>
        <w:tc>
          <w:tcPr>
            <w:tcW w:w="3462" w:type="dxa"/>
            <w:gridSpan w:val="3"/>
          </w:tcPr>
          <w:p w14:paraId="177287B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1FCDEC6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E792677" w14:textId="77777777" w:rsidTr="001D5220">
        <w:tc>
          <w:tcPr>
            <w:tcW w:w="2425" w:type="dxa"/>
          </w:tcPr>
          <w:p w14:paraId="569D29E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Source of Data</w:t>
            </w:r>
          </w:p>
        </w:tc>
        <w:tc>
          <w:tcPr>
            <w:tcW w:w="7200" w:type="dxa"/>
            <w:gridSpan w:val="6"/>
          </w:tcPr>
          <w:p w14:paraId="665E65E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DA065F6" w14:textId="77777777" w:rsidTr="001D5220">
        <w:tc>
          <w:tcPr>
            <w:tcW w:w="2425" w:type="dxa"/>
          </w:tcPr>
          <w:p w14:paraId="18C57641"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Estimation Method</w:t>
            </w:r>
          </w:p>
        </w:tc>
        <w:tc>
          <w:tcPr>
            <w:tcW w:w="7200" w:type="dxa"/>
            <w:gridSpan w:val="6"/>
          </w:tcPr>
          <w:p w14:paraId="6A5658FA"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2BEC2E2F" w14:textId="77777777" w:rsidTr="001D5220">
        <w:tc>
          <w:tcPr>
            <w:tcW w:w="2425" w:type="dxa"/>
          </w:tcPr>
          <w:p w14:paraId="5D743A8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Number of Beneficiaries</w:t>
            </w:r>
          </w:p>
        </w:tc>
        <w:tc>
          <w:tcPr>
            <w:tcW w:w="7200" w:type="dxa"/>
            <w:gridSpan w:val="6"/>
          </w:tcPr>
          <w:p w14:paraId="4EF519D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2401ED25" w14:textId="77777777" w:rsidTr="001D5220">
        <w:tc>
          <w:tcPr>
            <w:tcW w:w="2425" w:type="dxa"/>
          </w:tcPr>
          <w:p w14:paraId="1EB490F3"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Revenue Cost Reporting</w:t>
            </w:r>
          </w:p>
        </w:tc>
        <w:tc>
          <w:tcPr>
            <w:tcW w:w="7200" w:type="dxa"/>
            <w:gridSpan w:val="6"/>
          </w:tcPr>
          <w:p w14:paraId="102985E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5EA3C50" w14:textId="77777777" w:rsidTr="001D5220">
        <w:trPr>
          <w:trHeight w:val="91"/>
        </w:trPr>
        <w:tc>
          <w:tcPr>
            <w:tcW w:w="2425" w:type="dxa"/>
            <w:vMerge w:val="restart"/>
          </w:tcPr>
          <w:p w14:paraId="78F3673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2CCB09A9"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2018</w:t>
            </w:r>
          </w:p>
        </w:tc>
        <w:tc>
          <w:tcPr>
            <w:tcW w:w="1385" w:type="dxa"/>
          </w:tcPr>
          <w:p w14:paraId="043E753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2019</w:t>
            </w:r>
          </w:p>
        </w:tc>
        <w:tc>
          <w:tcPr>
            <w:tcW w:w="1385" w:type="dxa"/>
            <w:gridSpan w:val="2"/>
          </w:tcPr>
          <w:p w14:paraId="6B24344B"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2020</w:t>
            </w:r>
          </w:p>
        </w:tc>
        <w:tc>
          <w:tcPr>
            <w:tcW w:w="1385" w:type="dxa"/>
          </w:tcPr>
          <w:p w14:paraId="66F7159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2021</w:t>
            </w:r>
          </w:p>
        </w:tc>
        <w:tc>
          <w:tcPr>
            <w:tcW w:w="1660" w:type="dxa"/>
          </w:tcPr>
          <w:p w14:paraId="3004DEF5"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2022</w:t>
            </w:r>
          </w:p>
        </w:tc>
      </w:tr>
      <w:tr w:rsidR="00775F01" w:rsidRPr="007669E1" w14:paraId="488BA483" w14:textId="77777777" w:rsidTr="001D5220">
        <w:trPr>
          <w:trHeight w:val="305"/>
        </w:trPr>
        <w:tc>
          <w:tcPr>
            <w:tcW w:w="2425" w:type="dxa"/>
            <w:vMerge/>
          </w:tcPr>
          <w:p w14:paraId="4618A4B3"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3A73467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37.6</w:t>
            </w:r>
          </w:p>
        </w:tc>
        <w:tc>
          <w:tcPr>
            <w:tcW w:w="1385" w:type="dxa"/>
            <w:shd w:val="clear" w:color="auto" w:fill="auto"/>
          </w:tcPr>
          <w:p w14:paraId="7363EC9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16,711.4</w:t>
            </w:r>
          </w:p>
        </w:tc>
        <w:tc>
          <w:tcPr>
            <w:tcW w:w="1385" w:type="dxa"/>
            <w:gridSpan w:val="2"/>
            <w:shd w:val="clear" w:color="auto" w:fill="auto"/>
          </w:tcPr>
          <w:p w14:paraId="5B7966F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5B706F2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0364AE9E"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30330983"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21B1A" w14:paraId="01A732E2" w14:textId="77777777" w:rsidTr="001D5220">
        <w:tc>
          <w:tcPr>
            <w:tcW w:w="9625" w:type="dxa"/>
            <w:gridSpan w:val="7"/>
            <w:shd w:val="clear" w:color="auto" w:fill="D9D9D9" w:themeFill="background1" w:themeFillShade="D9"/>
          </w:tcPr>
          <w:p w14:paraId="3100AADA"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48. Exemption from import duties for the transfer of foreign businesses to Moldova</w:t>
            </w:r>
          </w:p>
        </w:tc>
      </w:tr>
      <w:tr w:rsidR="00C943A7" w:rsidRPr="007669E1" w14:paraId="0F2B6BBB" w14:textId="77777777" w:rsidTr="001D5220">
        <w:tc>
          <w:tcPr>
            <w:tcW w:w="2425" w:type="dxa"/>
          </w:tcPr>
          <w:p w14:paraId="0657B8B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Description</w:t>
            </w:r>
          </w:p>
        </w:tc>
        <w:tc>
          <w:tcPr>
            <w:tcW w:w="7200" w:type="dxa"/>
            <w:gridSpan w:val="6"/>
          </w:tcPr>
          <w:p w14:paraId="6E56B35A"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Means of production and other equipment (including livestock) belonging to independent economic operators in the production or service sector (including professionals and not-for-profit legal persons) that permanently cease their activities in a foreign country and move to Moldova to carry out similar activities are exempt from import duties.</w:t>
            </w:r>
          </w:p>
        </w:tc>
      </w:tr>
      <w:tr w:rsidR="00C943A7" w:rsidRPr="007669E1" w14:paraId="60891BAB" w14:textId="77777777" w:rsidTr="001D5220">
        <w:tc>
          <w:tcPr>
            <w:tcW w:w="2425" w:type="dxa"/>
          </w:tcPr>
          <w:p w14:paraId="0FD0AC0B"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Tax Affected</w:t>
            </w:r>
          </w:p>
        </w:tc>
        <w:tc>
          <w:tcPr>
            <w:tcW w:w="7200" w:type="dxa"/>
            <w:gridSpan w:val="6"/>
          </w:tcPr>
          <w:p w14:paraId="5364E3E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0A6CA3B4" w14:textId="77777777" w:rsidTr="001D5220">
        <w:tc>
          <w:tcPr>
            <w:tcW w:w="2425" w:type="dxa"/>
          </w:tcPr>
          <w:p w14:paraId="06F752C8"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Beneficiaries</w:t>
            </w:r>
          </w:p>
        </w:tc>
        <w:tc>
          <w:tcPr>
            <w:tcW w:w="7200" w:type="dxa"/>
            <w:gridSpan w:val="6"/>
          </w:tcPr>
          <w:p w14:paraId="592F661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businesses moving to Moldova</w:t>
            </w:r>
          </w:p>
        </w:tc>
      </w:tr>
      <w:tr w:rsidR="00C943A7" w:rsidRPr="007669E1" w14:paraId="0367657F" w14:textId="77777777" w:rsidTr="001D5220">
        <w:tc>
          <w:tcPr>
            <w:tcW w:w="2425" w:type="dxa"/>
          </w:tcPr>
          <w:p w14:paraId="04D0E2F9"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Measure</w:t>
            </w:r>
          </w:p>
        </w:tc>
        <w:tc>
          <w:tcPr>
            <w:tcW w:w="7200" w:type="dxa"/>
            <w:gridSpan w:val="6"/>
          </w:tcPr>
          <w:p w14:paraId="5CA00ED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42ECEA7" w14:textId="77777777" w:rsidTr="001D5220">
        <w:tc>
          <w:tcPr>
            <w:tcW w:w="2425" w:type="dxa"/>
          </w:tcPr>
          <w:p w14:paraId="30AD5C81"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Reason why this Measure is not part of the Benchmark Tax System</w:t>
            </w:r>
          </w:p>
        </w:tc>
        <w:tc>
          <w:tcPr>
            <w:tcW w:w="7200" w:type="dxa"/>
            <w:gridSpan w:val="6"/>
          </w:tcPr>
          <w:p w14:paraId="05C2908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2B809D78" w14:textId="77777777" w:rsidTr="001D5220">
        <w:tc>
          <w:tcPr>
            <w:tcW w:w="2425" w:type="dxa"/>
          </w:tcPr>
          <w:p w14:paraId="62BAA71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lastRenderedPageBreak/>
              <w:t>Legal Reference</w:t>
            </w:r>
          </w:p>
        </w:tc>
        <w:tc>
          <w:tcPr>
            <w:tcW w:w="7200" w:type="dxa"/>
            <w:gridSpan w:val="6"/>
          </w:tcPr>
          <w:p w14:paraId="2DA8458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18</w:t>
            </w:r>
            <w:r w:rsidRPr="007669E1">
              <w:rPr>
                <w:rFonts w:ascii="Segoe UI" w:hAnsi="Segoe UI" w:cs="Segoe UI"/>
                <w:sz w:val="18"/>
                <w:szCs w:val="18"/>
              </w:rPr>
              <w:t xml:space="preserve"> to 277</w:t>
            </w:r>
            <w:r w:rsidRPr="007669E1">
              <w:rPr>
                <w:rFonts w:ascii="Segoe UI" w:hAnsi="Segoe UI" w:cs="Segoe UI"/>
                <w:sz w:val="18"/>
                <w:szCs w:val="18"/>
                <w:vertAlign w:val="superscript"/>
              </w:rPr>
              <w:t>24</w:t>
            </w:r>
          </w:p>
        </w:tc>
      </w:tr>
      <w:tr w:rsidR="00C943A7" w:rsidRPr="007669E1" w14:paraId="632FE982" w14:textId="77777777" w:rsidTr="001D5220">
        <w:trPr>
          <w:trHeight w:val="182"/>
        </w:trPr>
        <w:tc>
          <w:tcPr>
            <w:tcW w:w="2425" w:type="dxa"/>
            <w:vMerge w:val="restart"/>
          </w:tcPr>
          <w:p w14:paraId="0025D26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Implementation Objectives, and History</w:t>
            </w:r>
          </w:p>
        </w:tc>
        <w:tc>
          <w:tcPr>
            <w:tcW w:w="7200" w:type="dxa"/>
            <w:gridSpan w:val="6"/>
          </w:tcPr>
          <w:p w14:paraId="46044E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increase the attractiveness of Moldova as a place to conduct business.</w:t>
            </w:r>
          </w:p>
          <w:p w14:paraId="2E508CA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as part of the new Customs Code, effective July 1, 2023.</w:t>
            </w:r>
          </w:p>
        </w:tc>
      </w:tr>
      <w:tr w:rsidR="00C943A7" w:rsidRPr="007669E1" w14:paraId="4EF573BD" w14:textId="77777777" w:rsidTr="001D5220">
        <w:trPr>
          <w:trHeight w:val="182"/>
        </w:trPr>
        <w:tc>
          <w:tcPr>
            <w:tcW w:w="2425" w:type="dxa"/>
            <w:vMerge/>
          </w:tcPr>
          <w:p w14:paraId="401E0515" w14:textId="77777777" w:rsidR="007E7377" w:rsidRPr="00E21B1A" w:rsidRDefault="007E7377" w:rsidP="00E90BA7">
            <w:pPr>
              <w:spacing w:before="20" w:after="20" w:line="240" w:lineRule="auto"/>
              <w:jc w:val="both"/>
              <w:rPr>
                <w:rFonts w:ascii="Segoe UI" w:hAnsi="Segoe UI" w:cs="Segoe UI"/>
                <w:b/>
                <w:bCs/>
                <w:sz w:val="18"/>
                <w:szCs w:val="18"/>
              </w:rPr>
            </w:pPr>
          </w:p>
        </w:tc>
        <w:tc>
          <w:tcPr>
            <w:tcW w:w="3462" w:type="dxa"/>
            <w:gridSpan w:val="3"/>
          </w:tcPr>
          <w:p w14:paraId="5AB5BCD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091A3F2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6DAD9A9C" w14:textId="77777777" w:rsidTr="001D5220">
        <w:tc>
          <w:tcPr>
            <w:tcW w:w="2425" w:type="dxa"/>
          </w:tcPr>
          <w:p w14:paraId="3965F8D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Source of Data</w:t>
            </w:r>
          </w:p>
        </w:tc>
        <w:tc>
          <w:tcPr>
            <w:tcW w:w="7200" w:type="dxa"/>
            <w:gridSpan w:val="6"/>
          </w:tcPr>
          <w:p w14:paraId="18075DF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4EFD0BB" w14:textId="77777777" w:rsidTr="001D5220">
        <w:tc>
          <w:tcPr>
            <w:tcW w:w="2425" w:type="dxa"/>
          </w:tcPr>
          <w:p w14:paraId="38113B7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Estimation Method</w:t>
            </w:r>
          </w:p>
        </w:tc>
        <w:tc>
          <w:tcPr>
            <w:tcW w:w="7200" w:type="dxa"/>
            <w:gridSpan w:val="6"/>
          </w:tcPr>
          <w:p w14:paraId="082455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C845ACE" w14:textId="77777777" w:rsidTr="001D5220">
        <w:tc>
          <w:tcPr>
            <w:tcW w:w="2425" w:type="dxa"/>
          </w:tcPr>
          <w:p w14:paraId="2F27849B"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Number of Beneficiaries</w:t>
            </w:r>
          </w:p>
        </w:tc>
        <w:tc>
          <w:tcPr>
            <w:tcW w:w="7200" w:type="dxa"/>
            <w:gridSpan w:val="6"/>
          </w:tcPr>
          <w:p w14:paraId="1A16ECB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5F38369D" w14:textId="77777777" w:rsidTr="001D5220">
        <w:tc>
          <w:tcPr>
            <w:tcW w:w="2425" w:type="dxa"/>
          </w:tcPr>
          <w:p w14:paraId="7C9C9CB9"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Revenue Cost Reporting</w:t>
            </w:r>
          </w:p>
        </w:tc>
        <w:tc>
          <w:tcPr>
            <w:tcW w:w="7200" w:type="dxa"/>
            <w:gridSpan w:val="6"/>
          </w:tcPr>
          <w:p w14:paraId="1F356A3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540AD55" w14:textId="77777777" w:rsidTr="001D5220">
        <w:trPr>
          <w:trHeight w:val="91"/>
        </w:trPr>
        <w:tc>
          <w:tcPr>
            <w:tcW w:w="2425" w:type="dxa"/>
            <w:vMerge w:val="restart"/>
          </w:tcPr>
          <w:p w14:paraId="0A940A31"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6C57B58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2018</w:t>
            </w:r>
          </w:p>
        </w:tc>
        <w:tc>
          <w:tcPr>
            <w:tcW w:w="1385" w:type="dxa"/>
          </w:tcPr>
          <w:p w14:paraId="7BDB803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2019</w:t>
            </w:r>
          </w:p>
        </w:tc>
        <w:tc>
          <w:tcPr>
            <w:tcW w:w="1385" w:type="dxa"/>
            <w:gridSpan w:val="2"/>
          </w:tcPr>
          <w:p w14:paraId="2ED38498"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2020</w:t>
            </w:r>
          </w:p>
        </w:tc>
        <w:tc>
          <w:tcPr>
            <w:tcW w:w="1385" w:type="dxa"/>
          </w:tcPr>
          <w:p w14:paraId="03928C5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2021</w:t>
            </w:r>
          </w:p>
        </w:tc>
        <w:tc>
          <w:tcPr>
            <w:tcW w:w="1660" w:type="dxa"/>
          </w:tcPr>
          <w:p w14:paraId="281FC12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2022</w:t>
            </w:r>
          </w:p>
        </w:tc>
      </w:tr>
      <w:tr w:rsidR="00775F01" w:rsidRPr="007669E1" w14:paraId="461F3539" w14:textId="77777777" w:rsidTr="001D5220">
        <w:trPr>
          <w:trHeight w:val="305"/>
        </w:trPr>
        <w:tc>
          <w:tcPr>
            <w:tcW w:w="2425" w:type="dxa"/>
            <w:vMerge/>
          </w:tcPr>
          <w:p w14:paraId="7D46855E"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1577722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2262A6D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3DA694AA"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AA21773"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776A5A82"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36499942"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21B1A" w14:paraId="6F380DB9" w14:textId="77777777" w:rsidTr="001D5220">
        <w:tc>
          <w:tcPr>
            <w:tcW w:w="9625" w:type="dxa"/>
            <w:gridSpan w:val="7"/>
            <w:shd w:val="clear" w:color="auto" w:fill="D9D9D9" w:themeFill="background1" w:themeFillShade="D9"/>
          </w:tcPr>
          <w:p w14:paraId="408952B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49. Exemption from import duties for the manufacture of goods intended for exports</w:t>
            </w:r>
          </w:p>
        </w:tc>
      </w:tr>
      <w:tr w:rsidR="00C943A7" w:rsidRPr="007669E1" w14:paraId="64C22AF5" w14:textId="77777777" w:rsidTr="001D5220">
        <w:tc>
          <w:tcPr>
            <w:tcW w:w="2425" w:type="dxa"/>
          </w:tcPr>
          <w:p w14:paraId="5473761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Description</w:t>
            </w:r>
          </w:p>
        </w:tc>
        <w:tc>
          <w:tcPr>
            <w:tcW w:w="7200" w:type="dxa"/>
            <w:gridSpan w:val="6"/>
          </w:tcPr>
          <w:p w14:paraId="6C85D17A"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No import duties are charged on raw materials, materials, accessories and primary packaging that are to be used in the exclusive manufacture of goods intended for export, provided production takes place within 180 days of the import. This exemption does not cover excisable goods and other prescribed food items.</w:t>
            </w:r>
          </w:p>
        </w:tc>
      </w:tr>
      <w:tr w:rsidR="00C943A7" w:rsidRPr="007669E1" w14:paraId="78BF9E68" w14:textId="77777777" w:rsidTr="001D5220">
        <w:tc>
          <w:tcPr>
            <w:tcW w:w="2425" w:type="dxa"/>
          </w:tcPr>
          <w:p w14:paraId="07F6D9BD"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Tax Affected</w:t>
            </w:r>
          </w:p>
        </w:tc>
        <w:tc>
          <w:tcPr>
            <w:tcW w:w="7200" w:type="dxa"/>
            <w:gridSpan w:val="6"/>
          </w:tcPr>
          <w:p w14:paraId="240BEE3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2B43D25E" w14:textId="77777777" w:rsidTr="001D5220">
        <w:tc>
          <w:tcPr>
            <w:tcW w:w="2425" w:type="dxa"/>
          </w:tcPr>
          <w:p w14:paraId="6A2CEC79"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Beneficiaries</w:t>
            </w:r>
          </w:p>
        </w:tc>
        <w:tc>
          <w:tcPr>
            <w:tcW w:w="7200" w:type="dxa"/>
            <w:gridSpan w:val="6"/>
          </w:tcPr>
          <w:p w14:paraId="5878BEF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Exporters</w:t>
            </w:r>
          </w:p>
        </w:tc>
      </w:tr>
      <w:tr w:rsidR="00C943A7" w:rsidRPr="007669E1" w14:paraId="68A633AB" w14:textId="77777777" w:rsidTr="001D5220">
        <w:tc>
          <w:tcPr>
            <w:tcW w:w="2425" w:type="dxa"/>
          </w:tcPr>
          <w:p w14:paraId="63EA2D8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Measure</w:t>
            </w:r>
          </w:p>
        </w:tc>
        <w:tc>
          <w:tcPr>
            <w:tcW w:w="7200" w:type="dxa"/>
            <w:gridSpan w:val="6"/>
          </w:tcPr>
          <w:p w14:paraId="29E2460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4700DC3" w14:textId="77777777" w:rsidTr="001D5220">
        <w:tc>
          <w:tcPr>
            <w:tcW w:w="2425" w:type="dxa"/>
          </w:tcPr>
          <w:p w14:paraId="4B1903E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Reason why this Measure is not part of the Benchmark Tax System</w:t>
            </w:r>
          </w:p>
        </w:tc>
        <w:tc>
          <w:tcPr>
            <w:tcW w:w="7200" w:type="dxa"/>
            <w:gridSpan w:val="6"/>
          </w:tcPr>
          <w:p w14:paraId="19B6C9F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64FEB219" w14:textId="77777777" w:rsidTr="001D5220">
        <w:tc>
          <w:tcPr>
            <w:tcW w:w="2425" w:type="dxa"/>
          </w:tcPr>
          <w:p w14:paraId="29CCA85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Legal Reference</w:t>
            </w:r>
          </w:p>
        </w:tc>
        <w:tc>
          <w:tcPr>
            <w:tcW w:w="7200" w:type="dxa"/>
            <w:gridSpan w:val="6"/>
          </w:tcPr>
          <w:p w14:paraId="529FA355" w14:textId="0D226C4B"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articles 277</w:t>
            </w:r>
            <w:r w:rsidRPr="007669E1">
              <w:rPr>
                <w:rFonts w:ascii="Segoe UI" w:hAnsi="Segoe UI" w:cs="Segoe UI"/>
                <w:sz w:val="18"/>
                <w:szCs w:val="18"/>
                <w:vertAlign w:val="superscript"/>
              </w:rPr>
              <w:t>25</w:t>
            </w:r>
            <w:r w:rsidRPr="007669E1">
              <w:rPr>
                <w:rFonts w:ascii="Segoe UI" w:hAnsi="Segoe UI" w:cs="Segoe UI"/>
                <w:sz w:val="18"/>
                <w:szCs w:val="18"/>
              </w:rPr>
              <w:t xml:space="preserve"> to 277</w:t>
            </w:r>
            <w:r w:rsidRPr="007669E1">
              <w:rPr>
                <w:rFonts w:ascii="Segoe UI" w:hAnsi="Segoe UI" w:cs="Segoe UI"/>
                <w:sz w:val="18"/>
                <w:szCs w:val="18"/>
                <w:vertAlign w:val="superscript"/>
              </w:rPr>
              <w:t>26</w:t>
            </w:r>
          </w:p>
          <w:p w14:paraId="2B61E0ED" w14:textId="6A9381F3" w:rsidR="007E7377" w:rsidRPr="007669E1" w:rsidRDefault="408ADF9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 28</w:t>
            </w:r>
            <w:r w:rsidRPr="007669E1">
              <w:rPr>
                <w:rFonts w:ascii="Segoe UI" w:hAnsi="Segoe UI" w:cs="Segoe UI"/>
                <w:sz w:val="18"/>
                <w:szCs w:val="18"/>
                <w:vertAlign w:val="superscript"/>
              </w:rPr>
              <w:t>1</w:t>
            </w:r>
          </w:p>
        </w:tc>
      </w:tr>
      <w:tr w:rsidR="00C943A7" w:rsidRPr="007669E1" w14:paraId="31740356" w14:textId="77777777" w:rsidTr="001D5220">
        <w:trPr>
          <w:trHeight w:val="182"/>
        </w:trPr>
        <w:tc>
          <w:tcPr>
            <w:tcW w:w="2425" w:type="dxa"/>
            <w:vMerge w:val="restart"/>
          </w:tcPr>
          <w:p w14:paraId="1A03464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Implementation Objectives, and History</w:t>
            </w:r>
          </w:p>
        </w:tc>
        <w:tc>
          <w:tcPr>
            <w:tcW w:w="7200" w:type="dxa"/>
            <w:gridSpan w:val="6"/>
          </w:tcPr>
          <w:p w14:paraId="0AAC83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This measure is intended to support exporting activities out of Moldova.</w:t>
            </w:r>
          </w:p>
          <w:p w14:paraId="1740F141" w14:textId="4BEADEDE" w:rsidR="007E7377" w:rsidRPr="007669E1" w:rsidRDefault="7FCBCD1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w:t>
            </w:r>
            <w:r w:rsidR="007E7377" w:rsidRPr="007669E1">
              <w:rPr>
                <w:rFonts w:ascii="Segoe UI" w:hAnsi="Segoe UI" w:cs="Segoe UI"/>
                <w:sz w:val="18"/>
                <w:szCs w:val="18"/>
              </w:rPr>
              <w:t>ntroduced as part of the new Customs Code, effective July 1, 2023.</w:t>
            </w:r>
          </w:p>
        </w:tc>
      </w:tr>
      <w:tr w:rsidR="00C943A7" w:rsidRPr="007669E1" w14:paraId="719CE474" w14:textId="77777777" w:rsidTr="001D5220">
        <w:trPr>
          <w:trHeight w:val="182"/>
        </w:trPr>
        <w:tc>
          <w:tcPr>
            <w:tcW w:w="2425" w:type="dxa"/>
            <w:vMerge/>
          </w:tcPr>
          <w:p w14:paraId="4AB0C0F9" w14:textId="77777777" w:rsidR="007E7377" w:rsidRPr="00E21B1A" w:rsidRDefault="007E7377" w:rsidP="00E90BA7">
            <w:pPr>
              <w:spacing w:before="20" w:after="20" w:line="240" w:lineRule="auto"/>
              <w:jc w:val="both"/>
              <w:rPr>
                <w:rFonts w:ascii="Segoe UI" w:hAnsi="Segoe UI" w:cs="Segoe UI"/>
                <w:b/>
                <w:bCs/>
                <w:sz w:val="18"/>
                <w:szCs w:val="18"/>
              </w:rPr>
            </w:pPr>
          </w:p>
        </w:tc>
        <w:tc>
          <w:tcPr>
            <w:tcW w:w="3462" w:type="dxa"/>
            <w:gridSpan w:val="3"/>
          </w:tcPr>
          <w:p w14:paraId="79E7FC4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2023</w:t>
            </w:r>
          </w:p>
        </w:tc>
        <w:tc>
          <w:tcPr>
            <w:tcW w:w="3738" w:type="dxa"/>
            <w:gridSpan w:val="3"/>
          </w:tcPr>
          <w:p w14:paraId="53C6183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7B44C70E" w14:textId="77777777" w:rsidTr="001D5220">
        <w:tc>
          <w:tcPr>
            <w:tcW w:w="2425" w:type="dxa"/>
          </w:tcPr>
          <w:p w14:paraId="2AF51F7E"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Source of Data</w:t>
            </w:r>
          </w:p>
        </w:tc>
        <w:tc>
          <w:tcPr>
            <w:tcW w:w="7200" w:type="dxa"/>
            <w:gridSpan w:val="6"/>
          </w:tcPr>
          <w:p w14:paraId="18C5E73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986BC9E" w14:textId="77777777" w:rsidTr="001D5220">
        <w:tc>
          <w:tcPr>
            <w:tcW w:w="2425" w:type="dxa"/>
          </w:tcPr>
          <w:p w14:paraId="1895514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Estimation Method</w:t>
            </w:r>
          </w:p>
        </w:tc>
        <w:tc>
          <w:tcPr>
            <w:tcW w:w="7200" w:type="dxa"/>
            <w:gridSpan w:val="6"/>
          </w:tcPr>
          <w:p w14:paraId="335B1D7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7AC69AA4" w14:textId="77777777" w:rsidTr="001D5220">
        <w:tc>
          <w:tcPr>
            <w:tcW w:w="2425" w:type="dxa"/>
          </w:tcPr>
          <w:p w14:paraId="50FED76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Number of Beneficiaries</w:t>
            </w:r>
          </w:p>
        </w:tc>
        <w:tc>
          <w:tcPr>
            <w:tcW w:w="7200" w:type="dxa"/>
            <w:gridSpan w:val="6"/>
          </w:tcPr>
          <w:p w14:paraId="5B9B9597"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33AF33C" w14:textId="77777777" w:rsidTr="001D5220">
        <w:tc>
          <w:tcPr>
            <w:tcW w:w="2425" w:type="dxa"/>
          </w:tcPr>
          <w:p w14:paraId="30278F2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Revenue Cost Reporting</w:t>
            </w:r>
          </w:p>
        </w:tc>
        <w:tc>
          <w:tcPr>
            <w:tcW w:w="7200" w:type="dxa"/>
            <w:gridSpan w:val="6"/>
          </w:tcPr>
          <w:p w14:paraId="78AB6B29"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423A0F45" w14:textId="77777777" w:rsidTr="001D5220">
        <w:trPr>
          <w:trHeight w:val="91"/>
        </w:trPr>
        <w:tc>
          <w:tcPr>
            <w:tcW w:w="2425" w:type="dxa"/>
            <w:vMerge w:val="restart"/>
          </w:tcPr>
          <w:p w14:paraId="67924200"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0FAE7D8"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2018</w:t>
            </w:r>
          </w:p>
        </w:tc>
        <w:tc>
          <w:tcPr>
            <w:tcW w:w="1385" w:type="dxa"/>
          </w:tcPr>
          <w:p w14:paraId="649D2E3F"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2019</w:t>
            </w:r>
          </w:p>
        </w:tc>
        <w:tc>
          <w:tcPr>
            <w:tcW w:w="1385" w:type="dxa"/>
            <w:gridSpan w:val="2"/>
          </w:tcPr>
          <w:p w14:paraId="7D040C9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2020</w:t>
            </w:r>
          </w:p>
        </w:tc>
        <w:tc>
          <w:tcPr>
            <w:tcW w:w="1385" w:type="dxa"/>
          </w:tcPr>
          <w:p w14:paraId="1F62DCD0"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2021</w:t>
            </w:r>
          </w:p>
        </w:tc>
        <w:tc>
          <w:tcPr>
            <w:tcW w:w="1660" w:type="dxa"/>
          </w:tcPr>
          <w:p w14:paraId="2EBDCBA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2022</w:t>
            </w:r>
          </w:p>
        </w:tc>
      </w:tr>
      <w:tr w:rsidR="00775F01" w:rsidRPr="007669E1" w14:paraId="0965644D" w14:textId="77777777" w:rsidTr="001D5220">
        <w:trPr>
          <w:trHeight w:val="305"/>
        </w:trPr>
        <w:tc>
          <w:tcPr>
            <w:tcW w:w="2425" w:type="dxa"/>
            <w:vMerge/>
          </w:tcPr>
          <w:p w14:paraId="4868A8DA"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222846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shd w:val="clear" w:color="auto" w:fill="auto"/>
          </w:tcPr>
          <w:p w14:paraId="313ED2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385" w:type="dxa"/>
            <w:gridSpan w:val="2"/>
            <w:shd w:val="clear" w:color="auto" w:fill="auto"/>
          </w:tcPr>
          <w:p w14:paraId="522A5C97"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385" w:type="dxa"/>
            <w:shd w:val="clear" w:color="auto" w:fill="auto"/>
          </w:tcPr>
          <w:p w14:paraId="3E2EDD54"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c>
          <w:tcPr>
            <w:tcW w:w="1660" w:type="dxa"/>
            <w:shd w:val="clear" w:color="auto" w:fill="auto"/>
          </w:tcPr>
          <w:p w14:paraId="26EDBC81" w14:textId="77777777" w:rsidR="007E7377" w:rsidRPr="007669E1" w:rsidRDefault="007E7377"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w:t>
            </w:r>
          </w:p>
        </w:tc>
      </w:tr>
    </w:tbl>
    <w:p w14:paraId="11C5A3BC"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E21B1A" w14:paraId="053F947E" w14:textId="77777777" w:rsidTr="001D5220">
        <w:tc>
          <w:tcPr>
            <w:tcW w:w="9625" w:type="dxa"/>
            <w:gridSpan w:val="7"/>
            <w:shd w:val="clear" w:color="auto" w:fill="D9D9D9" w:themeFill="background1" w:themeFillShade="D9"/>
          </w:tcPr>
          <w:p w14:paraId="66271AE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50. Exemptions for the free economic zones, the Free International Port "Giurgiuleşti" and the Free International Airport "Mărculeşti"</w:t>
            </w:r>
          </w:p>
        </w:tc>
      </w:tr>
      <w:tr w:rsidR="00C943A7" w:rsidRPr="007669E1" w14:paraId="07DC5C71" w14:textId="77777777" w:rsidTr="001D5220">
        <w:tc>
          <w:tcPr>
            <w:tcW w:w="2425" w:type="dxa"/>
          </w:tcPr>
          <w:p w14:paraId="73305C52"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Description</w:t>
            </w:r>
          </w:p>
        </w:tc>
        <w:tc>
          <w:tcPr>
            <w:tcW w:w="7200" w:type="dxa"/>
            <w:gridSpan w:val="6"/>
          </w:tcPr>
          <w:p w14:paraId="2152989F"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Goods imported into a free economic zone from outside Moldova, from another free economic zone or from the rest of Moldova are exempt from import duties, while goods produced in a free economic zone and introduced on the rest of the customs territory of Moldova are also exempt from import duties. In the case of goods that have not been sufficiently processed in the free economic zone, only the part that consists in foreign goods accompanied by a proof of preferential origin and in domestic goods that have been used for the production of the goods is exempt from import duties, upon the introduction of such goods on the rest of the customs territory of Moldova.</w:t>
            </w:r>
          </w:p>
          <w:p w14:paraId="78B5D5B6"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lastRenderedPageBreak/>
              <w:t>Fuel destined for the supply in the Giurgiuleşti Free International Port of maritime vessels involved in the international transport of goods and passengers is exempt from import duties.</w:t>
            </w:r>
          </w:p>
          <w:p w14:paraId="72D4B208"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Furthermore, goods imported for the purpose of making capital investments in the Giurgiuleşti International Free Port, as well as petroleum products imported in that zone and intended for marketing, are exempt from import duties.</w:t>
            </w:r>
          </w:p>
          <w:p w14:paraId="64BED41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It is prohibited to produce ethyl alcohol and other alcoholic products and to import tobacco, tobacco products and produce tobacco products in a free economic zone.</w:t>
            </w:r>
          </w:p>
        </w:tc>
      </w:tr>
      <w:tr w:rsidR="00C943A7" w:rsidRPr="007669E1" w14:paraId="6484727B" w14:textId="77777777" w:rsidTr="001D5220">
        <w:tc>
          <w:tcPr>
            <w:tcW w:w="2425" w:type="dxa"/>
          </w:tcPr>
          <w:p w14:paraId="2BD310DA"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lastRenderedPageBreak/>
              <w:t>Type of Tax Affected</w:t>
            </w:r>
          </w:p>
        </w:tc>
        <w:tc>
          <w:tcPr>
            <w:tcW w:w="7200" w:type="dxa"/>
            <w:gridSpan w:val="6"/>
          </w:tcPr>
          <w:p w14:paraId="5B3A3EB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598FA615" w14:textId="77777777" w:rsidTr="001D5220">
        <w:tc>
          <w:tcPr>
            <w:tcW w:w="2425" w:type="dxa"/>
          </w:tcPr>
          <w:p w14:paraId="4828B28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Beneficiaries</w:t>
            </w:r>
          </w:p>
        </w:tc>
        <w:tc>
          <w:tcPr>
            <w:tcW w:w="7200" w:type="dxa"/>
            <w:gridSpan w:val="6"/>
          </w:tcPr>
          <w:p w14:paraId="5C55905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Businesses</w:t>
            </w:r>
          </w:p>
        </w:tc>
      </w:tr>
      <w:tr w:rsidR="00C943A7" w:rsidRPr="007669E1" w14:paraId="6B37A322" w14:textId="77777777" w:rsidTr="001D5220">
        <w:tc>
          <w:tcPr>
            <w:tcW w:w="2425" w:type="dxa"/>
          </w:tcPr>
          <w:p w14:paraId="76E36837"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Type of Measure</w:t>
            </w:r>
          </w:p>
        </w:tc>
        <w:tc>
          <w:tcPr>
            <w:tcW w:w="7200" w:type="dxa"/>
            <w:gridSpan w:val="6"/>
          </w:tcPr>
          <w:p w14:paraId="0D21F81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742C2AA4" w14:textId="77777777" w:rsidTr="001D5220">
        <w:tc>
          <w:tcPr>
            <w:tcW w:w="2425" w:type="dxa"/>
          </w:tcPr>
          <w:p w14:paraId="507A3734"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Reason why this Measure is not part of the Benchmark Tax System</w:t>
            </w:r>
          </w:p>
        </w:tc>
        <w:tc>
          <w:tcPr>
            <w:tcW w:w="7200" w:type="dxa"/>
            <w:gridSpan w:val="6"/>
          </w:tcPr>
          <w:p w14:paraId="7BA4966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73567D4B" w14:textId="77777777" w:rsidTr="001D5220">
        <w:tc>
          <w:tcPr>
            <w:tcW w:w="2425" w:type="dxa"/>
          </w:tcPr>
          <w:p w14:paraId="5D6CBB67"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Legal Reference</w:t>
            </w:r>
          </w:p>
        </w:tc>
        <w:tc>
          <w:tcPr>
            <w:tcW w:w="7200" w:type="dxa"/>
            <w:gridSpan w:val="6"/>
          </w:tcPr>
          <w:p w14:paraId="2F5E58E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New Customs Code, article 277</w:t>
            </w:r>
            <w:r w:rsidRPr="007669E1">
              <w:rPr>
                <w:rFonts w:ascii="Segoe UI" w:hAnsi="Segoe UI" w:cs="Segoe UI"/>
                <w:sz w:val="18"/>
                <w:szCs w:val="18"/>
                <w:vertAlign w:val="superscript"/>
              </w:rPr>
              <w:t>27</w:t>
            </w:r>
            <w:r w:rsidRPr="007669E1">
              <w:rPr>
                <w:rFonts w:ascii="Segoe UI" w:hAnsi="Segoe UI" w:cs="Segoe UI"/>
                <w:sz w:val="18"/>
                <w:szCs w:val="18"/>
              </w:rPr>
              <w:t xml:space="preserve"> 8)</w:t>
            </w:r>
          </w:p>
          <w:p w14:paraId="51865543"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Code, articles 85 to 92</w:t>
            </w:r>
          </w:p>
          <w:p w14:paraId="2981CB0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Tariff, articles 28 l), l</w:t>
            </w:r>
            <w:r w:rsidRPr="007669E1">
              <w:rPr>
                <w:rFonts w:ascii="Segoe UI" w:hAnsi="Segoe UI" w:cs="Segoe UI"/>
                <w:sz w:val="18"/>
                <w:szCs w:val="18"/>
                <w:vertAlign w:val="superscript"/>
              </w:rPr>
              <w:t>1</w:t>
            </w:r>
            <w:r w:rsidRPr="007669E1">
              <w:rPr>
                <w:rFonts w:ascii="Segoe UI" w:hAnsi="Segoe UI" w:cs="Segoe UI"/>
                <w:sz w:val="18"/>
                <w:szCs w:val="18"/>
              </w:rPr>
              <w:t>), l</w:t>
            </w:r>
            <w:r w:rsidRPr="007669E1">
              <w:rPr>
                <w:rFonts w:ascii="Segoe UI" w:hAnsi="Segoe UI" w:cs="Segoe UI"/>
                <w:sz w:val="18"/>
                <w:szCs w:val="18"/>
                <w:vertAlign w:val="superscript"/>
              </w:rPr>
              <w:t>2</w:t>
            </w:r>
            <w:r w:rsidRPr="007669E1">
              <w:rPr>
                <w:rFonts w:ascii="Segoe UI" w:hAnsi="Segoe UI" w:cs="Segoe UI"/>
                <w:sz w:val="18"/>
                <w:szCs w:val="18"/>
              </w:rPr>
              <w:t>), s) and t)</w:t>
            </w:r>
          </w:p>
        </w:tc>
      </w:tr>
      <w:tr w:rsidR="00C943A7" w:rsidRPr="007669E1" w14:paraId="4800152F" w14:textId="77777777" w:rsidTr="001D5220">
        <w:trPr>
          <w:trHeight w:val="182"/>
        </w:trPr>
        <w:tc>
          <w:tcPr>
            <w:tcW w:w="2425" w:type="dxa"/>
            <w:vMerge w:val="restart"/>
          </w:tcPr>
          <w:p w14:paraId="58119776"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Implementation Objectives, and History</w:t>
            </w:r>
          </w:p>
        </w:tc>
        <w:tc>
          <w:tcPr>
            <w:tcW w:w="7200" w:type="dxa"/>
            <w:gridSpan w:val="6"/>
          </w:tcPr>
          <w:p w14:paraId="35EC7564"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Free zones are established in order to accelerate socio-economic development by attracting investments, developing export-oriented production and creating new jobs.</w:t>
            </w:r>
          </w:p>
          <w:p w14:paraId="4B6049E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import duty exemption for capital goods and petroleum products imported to the Giurgiuleşti International Free Port is to be repealed as of July 2, 2023, with grandfathering of existing activities until July 1, 2033.</w:t>
            </w:r>
          </w:p>
        </w:tc>
      </w:tr>
      <w:tr w:rsidR="00C943A7" w:rsidRPr="007669E1" w14:paraId="0115F961" w14:textId="77777777" w:rsidTr="001D5220">
        <w:trPr>
          <w:trHeight w:val="182"/>
        </w:trPr>
        <w:tc>
          <w:tcPr>
            <w:tcW w:w="2425" w:type="dxa"/>
            <w:vMerge/>
          </w:tcPr>
          <w:p w14:paraId="463985FD" w14:textId="77777777" w:rsidR="007E7377" w:rsidRPr="00E21B1A" w:rsidRDefault="007E7377" w:rsidP="00E90BA7">
            <w:pPr>
              <w:spacing w:before="20" w:after="20" w:line="240" w:lineRule="auto"/>
              <w:jc w:val="both"/>
              <w:rPr>
                <w:rFonts w:ascii="Segoe UI" w:hAnsi="Segoe UI" w:cs="Segoe UI"/>
                <w:b/>
                <w:bCs/>
                <w:sz w:val="18"/>
                <w:szCs w:val="18"/>
              </w:rPr>
            </w:pPr>
          </w:p>
        </w:tc>
        <w:tc>
          <w:tcPr>
            <w:tcW w:w="3462" w:type="dxa"/>
            <w:gridSpan w:val="3"/>
          </w:tcPr>
          <w:p w14:paraId="27D6138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5AB8DD7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49E607B7" w14:textId="77777777" w:rsidTr="001D5220">
        <w:tc>
          <w:tcPr>
            <w:tcW w:w="2425" w:type="dxa"/>
          </w:tcPr>
          <w:p w14:paraId="430CA01B"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Source of Data</w:t>
            </w:r>
          </w:p>
        </w:tc>
        <w:tc>
          <w:tcPr>
            <w:tcW w:w="7200" w:type="dxa"/>
            <w:gridSpan w:val="6"/>
          </w:tcPr>
          <w:p w14:paraId="5667098B"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6BD6370" w14:textId="77777777" w:rsidTr="001D5220">
        <w:tc>
          <w:tcPr>
            <w:tcW w:w="2425" w:type="dxa"/>
          </w:tcPr>
          <w:p w14:paraId="18C2D8BD"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Estimation Method</w:t>
            </w:r>
          </w:p>
        </w:tc>
        <w:tc>
          <w:tcPr>
            <w:tcW w:w="7200" w:type="dxa"/>
            <w:gridSpan w:val="6"/>
          </w:tcPr>
          <w:p w14:paraId="06019BA9" w14:textId="24E206CD" w:rsidR="007E7377" w:rsidRPr="007669E1" w:rsidRDefault="54F1CB2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estimates presented below do not cover the tax expenditures arising in respect of the Giurgiuleşti Free International Port</w:t>
            </w:r>
            <w:r w:rsidR="5B687DDF" w:rsidRPr="007669E1">
              <w:rPr>
                <w:rFonts w:ascii="Segoe UI" w:hAnsi="Segoe UI" w:cs="Segoe UI"/>
                <w:sz w:val="18"/>
                <w:szCs w:val="18"/>
              </w:rPr>
              <w:t>.</w:t>
            </w:r>
          </w:p>
        </w:tc>
      </w:tr>
      <w:tr w:rsidR="00C943A7" w:rsidRPr="007669E1" w14:paraId="72B7D5A7" w14:textId="77777777" w:rsidTr="001D5220">
        <w:tc>
          <w:tcPr>
            <w:tcW w:w="2425" w:type="dxa"/>
          </w:tcPr>
          <w:p w14:paraId="2A9C6647"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Number of Beneficiaries</w:t>
            </w:r>
          </w:p>
        </w:tc>
        <w:tc>
          <w:tcPr>
            <w:tcW w:w="7200" w:type="dxa"/>
            <w:gridSpan w:val="6"/>
          </w:tcPr>
          <w:p w14:paraId="4D0C7A2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09C76FC" w14:textId="77777777" w:rsidTr="001D5220">
        <w:tc>
          <w:tcPr>
            <w:tcW w:w="2425" w:type="dxa"/>
          </w:tcPr>
          <w:p w14:paraId="118C688C" w14:textId="77777777" w:rsidR="007E7377" w:rsidRPr="00E21B1A" w:rsidRDefault="007E7377" w:rsidP="00E90BA7">
            <w:pPr>
              <w:spacing w:before="20" w:after="20" w:line="240" w:lineRule="auto"/>
              <w:jc w:val="both"/>
              <w:rPr>
                <w:rFonts w:ascii="Segoe UI" w:hAnsi="Segoe UI" w:cs="Segoe UI"/>
                <w:b/>
                <w:bCs/>
                <w:sz w:val="18"/>
                <w:szCs w:val="18"/>
              </w:rPr>
            </w:pPr>
            <w:r w:rsidRPr="00E21B1A">
              <w:rPr>
                <w:rFonts w:ascii="Segoe UI" w:hAnsi="Segoe UI" w:cs="Segoe UI"/>
                <w:b/>
                <w:bCs/>
                <w:sz w:val="18"/>
                <w:szCs w:val="18"/>
              </w:rPr>
              <w:t>Revenue Cost Reporting</w:t>
            </w:r>
          </w:p>
        </w:tc>
        <w:tc>
          <w:tcPr>
            <w:tcW w:w="7200" w:type="dxa"/>
            <w:gridSpan w:val="6"/>
          </w:tcPr>
          <w:p w14:paraId="5293868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6BDB8FF5" w14:textId="77777777" w:rsidTr="001D5220">
        <w:trPr>
          <w:trHeight w:val="91"/>
        </w:trPr>
        <w:tc>
          <w:tcPr>
            <w:tcW w:w="2425" w:type="dxa"/>
            <w:vMerge w:val="restart"/>
          </w:tcPr>
          <w:p w14:paraId="0D8D4CC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00C76715"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2018</w:t>
            </w:r>
          </w:p>
        </w:tc>
        <w:tc>
          <w:tcPr>
            <w:tcW w:w="1385" w:type="dxa"/>
          </w:tcPr>
          <w:p w14:paraId="7CCA481C"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2019</w:t>
            </w:r>
          </w:p>
        </w:tc>
        <w:tc>
          <w:tcPr>
            <w:tcW w:w="1385" w:type="dxa"/>
            <w:gridSpan w:val="2"/>
          </w:tcPr>
          <w:p w14:paraId="773D5A8F"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2020</w:t>
            </w:r>
          </w:p>
        </w:tc>
        <w:tc>
          <w:tcPr>
            <w:tcW w:w="1385" w:type="dxa"/>
          </w:tcPr>
          <w:p w14:paraId="07C821CE"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2021</w:t>
            </w:r>
          </w:p>
        </w:tc>
        <w:tc>
          <w:tcPr>
            <w:tcW w:w="1660" w:type="dxa"/>
          </w:tcPr>
          <w:p w14:paraId="23C58712"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2022</w:t>
            </w:r>
          </w:p>
        </w:tc>
      </w:tr>
      <w:tr w:rsidR="00775F01" w:rsidRPr="007669E1" w14:paraId="7180EAE1" w14:textId="77777777" w:rsidTr="001D5220">
        <w:trPr>
          <w:trHeight w:val="305"/>
        </w:trPr>
        <w:tc>
          <w:tcPr>
            <w:tcW w:w="2425" w:type="dxa"/>
            <w:vMerge/>
          </w:tcPr>
          <w:p w14:paraId="612EA2B6"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52511EF" w14:textId="2273D573" w:rsidR="007E7377" w:rsidRPr="007669E1" w:rsidRDefault="6DEF596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12,095.6</w:t>
            </w:r>
          </w:p>
        </w:tc>
        <w:tc>
          <w:tcPr>
            <w:tcW w:w="1385" w:type="dxa"/>
            <w:shd w:val="clear" w:color="auto" w:fill="auto"/>
          </w:tcPr>
          <w:p w14:paraId="0A2DD44C" w14:textId="147F20BA" w:rsidR="007E7377" w:rsidRPr="007669E1" w:rsidRDefault="54617EC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16,367.8</w:t>
            </w:r>
          </w:p>
        </w:tc>
        <w:tc>
          <w:tcPr>
            <w:tcW w:w="1385" w:type="dxa"/>
            <w:gridSpan w:val="2"/>
            <w:shd w:val="clear" w:color="auto" w:fill="auto"/>
          </w:tcPr>
          <w:p w14:paraId="1B360C40" w14:textId="4D7F51AB" w:rsidR="007E7377" w:rsidRPr="007669E1" w:rsidRDefault="603AEE1A"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30,014.5</w:t>
            </w:r>
          </w:p>
        </w:tc>
        <w:tc>
          <w:tcPr>
            <w:tcW w:w="1385" w:type="dxa"/>
            <w:shd w:val="clear" w:color="auto" w:fill="auto"/>
          </w:tcPr>
          <w:p w14:paraId="0380C646" w14:textId="5B1B14C7" w:rsidR="007E7377" w:rsidRPr="007669E1" w:rsidRDefault="03A33A12"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26,167.4</w:t>
            </w:r>
          </w:p>
        </w:tc>
        <w:tc>
          <w:tcPr>
            <w:tcW w:w="1660" w:type="dxa"/>
            <w:shd w:val="clear" w:color="auto" w:fill="auto"/>
          </w:tcPr>
          <w:p w14:paraId="7E4328CB" w14:textId="3129781F" w:rsidR="007E7377" w:rsidRPr="007669E1" w:rsidRDefault="08147D2F"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27,672.8</w:t>
            </w:r>
          </w:p>
        </w:tc>
      </w:tr>
    </w:tbl>
    <w:p w14:paraId="79BFB2BF" w14:textId="77777777" w:rsidR="007E7377" w:rsidRPr="007669E1" w:rsidRDefault="007E737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3C7165" w:rsidRPr="003A6D6A" w14:paraId="0F0EA28B" w14:textId="77777777" w:rsidTr="001D5220">
        <w:tc>
          <w:tcPr>
            <w:tcW w:w="9625" w:type="dxa"/>
            <w:gridSpan w:val="7"/>
            <w:shd w:val="clear" w:color="auto" w:fill="D9D9D9" w:themeFill="background1" w:themeFillShade="D9"/>
          </w:tcPr>
          <w:p w14:paraId="4A3930B6"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51. Exemption from import duties at certain border crossings with Ukraine</w:t>
            </w:r>
          </w:p>
        </w:tc>
      </w:tr>
      <w:tr w:rsidR="00C943A7" w:rsidRPr="007669E1" w14:paraId="56CA25AC" w14:textId="77777777" w:rsidTr="001D5220">
        <w:tc>
          <w:tcPr>
            <w:tcW w:w="2425" w:type="dxa"/>
          </w:tcPr>
          <w:p w14:paraId="3F7E5B9A"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Description</w:t>
            </w:r>
          </w:p>
        </w:tc>
        <w:tc>
          <w:tcPr>
            <w:tcW w:w="7200" w:type="dxa"/>
            <w:gridSpan w:val="6"/>
          </w:tcPr>
          <w:p w14:paraId="6D8D0A1E" w14:textId="77777777" w:rsidR="007E7377" w:rsidRPr="007669E1" w:rsidRDefault="007E7377"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Certain import duty exemptions apply on goods imported through some border crossings between Moldova and Ukraine.</w:t>
            </w:r>
          </w:p>
        </w:tc>
      </w:tr>
      <w:tr w:rsidR="00C943A7" w:rsidRPr="007669E1" w14:paraId="3B994D7A" w14:textId="77777777" w:rsidTr="001D5220">
        <w:tc>
          <w:tcPr>
            <w:tcW w:w="2425" w:type="dxa"/>
          </w:tcPr>
          <w:p w14:paraId="24140C3B"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Type of Tax Affected</w:t>
            </w:r>
          </w:p>
        </w:tc>
        <w:tc>
          <w:tcPr>
            <w:tcW w:w="7200" w:type="dxa"/>
            <w:gridSpan w:val="6"/>
          </w:tcPr>
          <w:p w14:paraId="3025F79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Import duties</w:t>
            </w:r>
          </w:p>
        </w:tc>
      </w:tr>
      <w:tr w:rsidR="00C943A7" w:rsidRPr="007669E1" w14:paraId="1EE92D36" w14:textId="77777777" w:rsidTr="001D5220">
        <w:tc>
          <w:tcPr>
            <w:tcW w:w="2425" w:type="dxa"/>
          </w:tcPr>
          <w:p w14:paraId="033E1C70"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Beneficiaries</w:t>
            </w:r>
          </w:p>
        </w:tc>
        <w:tc>
          <w:tcPr>
            <w:tcW w:w="7200" w:type="dxa"/>
            <w:gridSpan w:val="6"/>
          </w:tcPr>
          <w:p w14:paraId="00D5A35F"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5D487719" w14:textId="77777777" w:rsidTr="001D5220">
        <w:tc>
          <w:tcPr>
            <w:tcW w:w="2425" w:type="dxa"/>
          </w:tcPr>
          <w:p w14:paraId="727835D8"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Type of Measure</w:t>
            </w:r>
          </w:p>
        </w:tc>
        <w:tc>
          <w:tcPr>
            <w:tcW w:w="7200" w:type="dxa"/>
            <w:gridSpan w:val="6"/>
          </w:tcPr>
          <w:p w14:paraId="08B6863D"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w:t>
            </w:r>
          </w:p>
        </w:tc>
      </w:tr>
      <w:tr w:rsidR="00C943A7" w:rsidRPr="007669E1" w14:paraId="1A836873" w14:textId="77777777" w:rsidTr="001D5220">
        <w:tc>
          <w:tcPr>
            <w:tcW w:w="2425" w:type="dxa"/>
          </w:tcPr>
          <w:p w14:paraId="400DE8FA"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Reason why this Measure is not part of the Benchmark Tax System</w:t>
            </w:r>
          </w:p>
        </w:tc>
        <w:tc>
          <w:tcPr>
            <w:tcW w:w="7200" w:type="dxa"/>
            <w:gridSpan w:val="6"/>
          </w:tcPr>
          <w:p w14:paraId="70AF9210"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Exemptions from import duties are considered tax expenditures.</w:t>
            </w:r>
          </w:p>
        </w:tc>
      </w:tr>
      <w:tr w:rsidR="00C943A7" w:rsidRPr="007669E1" w14:paraId="1CFEBAFC" w14:textId="77777777" w:rsidTr="001D5220">
        <w:tc>
          <w:tcPr>
            <w:tcW w:w="2425" w:type="dxa"/>
          </w:tcPr>
          <w:p w14:paraId="3E4AC856"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Legal Reference</w:t>
            </w:r>
          </w:p>
        </w:tc>
        <w:tc>
          <w:tcPr>
            <w:tcW w:w="7200" w:type="dxa"/>
            <w:gridSpan w:val="6"/>
          </w:tcPr>
          <w:p w14:paraId="55F46CCC"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Law no. 109 of 09-06-2017 regarding some border crossing control measures, of customs control and regarding ensuring the fiscal regime within the joint control at some points of crossing the Moldovan-Ukrainian state border</w:t>
            </w:r>
          </w:p>
        </w:tc>
      </w:tr>
      <w:tr w:rsidR="00C943A7" w:rsidRPr="007669E1" w14:paraId="715CEEEC" w14:textId="77777777" w:rsidTr="001D5220">
        <w:trPr>
          <w:trHeight w:val="182"/>
        </w:trPr>
        <w:tc>
          <w:tcPr>
            <w:tcW w:w="2425" w:type="dxa"/>
            <w:vMerge w:val="restart"/>
          </w:tcPr>
          <w:p w14:paraId="73580619"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Implementation Objectives, and History</w:t>
            </w:r>
          </w:p>
        </w:tc>
        <w:tc>
          <w:tcPr>
            <w:tcW w:w="7200" w:type="dxa"/>
            <w:gridSpan w:val="6"/>
          </w:tcPr>
          <w:p w14:paraId="12EEE1E6"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11E32EF6" w14:textId="77777777" w:rsidTr="001D5220">
        <w:trPr>
          <w:trHeight w:val="182"/>
        </w:trPr>
        <w:tc>
          <w:tcPr>
            <w:tcW w:w="2425" w:type="dxa"/>
            <w:vMerge/>
          </w:tcPr>
          <w:p w14:paraId="1546C0AF" w14:textId="77777777" w:rsidR="007E7377" w:rsidRPr="003A6D6A" w:rsidRDefault="007E7377" w:rsidP="00E90BA7">
            <w:pPr>
              <w:spacing w:before="20" w:after="20" w:line="240" w:lineRule="auto"/>
              <w:jc w:val="both"/>
              <w:rPr>
                <w:rFonts w:ascii="Segoe UI" w:hAnsi="Segoe UI" w:cs="Segoe UI"/>
                <w:b/>
                <w:bCs/>
                <w:sz w:val="18"/>
                <w:szCs w:val="18"/>
              </w:rPr>
            </w:pPr>
          </w:p>
        </w:tc>
        <w:tc>
          <w:tcPr>
            <w:tcW w:w="3462" w:type="dxa"/>
            <w:gridSpan w:val="3"/>
          </w:tcPr>
          <w:p w14:paraId="565AB13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04E9626"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C943A7" w:rsidRPr="007669E1" w14:paraId="16DEC2B2" w14:textId="77777777" w:rsidTr="001D5220">
        <w:tc>
          <w:tcPr>
            <w:tcW w:w="2425" w:type="dxa"/>
          </w:tcPr>
          <w:p w14:paraId="538D5048"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Source of Data</w:t>
            </w:r>
          </w:p>
        </w:tc>
        <w:tc>
          <w:tcPr>
            <w:tcW w:w="7200" w:type="dxa"/>
            <w:gridSpan w:val="6"/>
          </w:tcPr>
          <w:p w14:paraId="6F4DCD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Customs Service</w:t>
            </w:r>
          </w:p>
        </w:tc>
      </w:tr>
      <w:tr w:rsidR="00C943A7" w:rsidRPr="007669E1" w14:paraId="0698833B" w14:textId="77777777" w:rsidTr="001D5220">
        <w:tc>
          <w:tcPr>
            <w:tcW w:w="2425" w:type="dxa"/>
          </w:tcPr>
          <w:p w14:paraId="7ADFD770"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Estimation Method</w:t>
            </w:r>
          </w:p>
        </w:tc>
        <w:tc>
          <w:tcPr>
            <w:tcW w:w="7200" w:type="dxa"/>
            <w:gridSpan w:val="6"/>
          </w:tcPr>
          <w:p w14:paraId="7858ED67" w14:textId="77777777" w:rsidR="007E7377" w:rsidRPr="007669E1" w:rsidRDefault="007E7377" w:rsidP="00E90BA7">
            <w:pPr>
              <w:spacing w:before="20" w:after="20" w:line="240" w:lineRule="auto"/>
              <w:jc w:val="both"/>
              <w:rPr>
                <w:rFonts w:ascii="Segoe UI" w:hAnsi="Segoe UI" w:cs="Segoe UI"/>
                <w:sz w:val="18"/>
                <w:szCs w:val="18"/>
              </w:rPr>
            </w:pPr>
          </w:p>
        </w:tc>
      </w:tr>
      <w:tr w:rsidR="00C943A7" w:rsidRPr="007669E1" w14:paraId="31C0FA00" w14:textId="77777777" w:rsidTr="001D5220">
        <w:tc>
          <w:tcPr>
            <w:tcW w:w="2425" w:type="dxa"/>
          </w:tcPr>
          <w:p w14:paraId="23EF16D2"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Number of Beneficiaries</w:t>
            </w:r>
          </w:p>
        </w:tc>
        <w:tc>
          <w:tcPr>
            <w:tcW w:w="7200" w:type="dxa"/>
            <w:gridSpan w:val="6"/>
          </w:tcPr>
          <w:p w14:paraId="264B4C75"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8E4C790" w14:textId="77777777" w:rsidTr="001D5220">
        <w:tc>
          <w:tcPr>
            <w:tcW w:w="2425" w:type="dxa"/>
          </w:tcPr>
          <w:p w14:paraId="53438F24"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lastRenderedPageBreak/>
              <w:t>Revenue Cost Reporting</w:t>
            </w:r>
          </w:p>
        </w:tc>
        <w:tc>
          <w:tcPr>
            <w:tcW w:w="7200" w:type="dxa"/>
            <w:gridSpan w:val="6"/>
          </w:tcPr>
          <w:p w14:paraId="61D73A4F"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C943A7" w:rsidRPr="007669E1" w14:paraId="04234AC8" w14:textId="77777777" w:rsidTr="001D5220">
        <w:trPr>
          <w:trHeight w:val="91"/>
        </w:trPr>
        <w:tc>
          <w:tcPr>
            <w:tcW w:w="2425" w:type="dxa"/>
            <w:vMerge w:val="restart"/>
          </w:tcPr>
          <w:p w14:paraId="1BC89124"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7874E3E6"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2018</w:t>
            </w:r>
          </w:p>
        </w:tc>
        <w:tc>
          <w:tcPr>
            <w:tcW w:w="1385" w:type="dxa"/>
          </w:tcPr>
          <w:p w14:paraId="3757D5E2"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2019</w:t>
            </w:r>
          </w:p>
        </w:tc>
        <w:tc>
          <w:tcPr>
            <w:tcW w:w="1385" w:type="dxa"/>
            <w:gridSpan w:val="2"/>
          </w:tcPr>
          <w:p w14:paraId="3FB50529"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2020</w:t>
            </w:r>
          </w:p>
        </w:tc>
        <w:tc>
          <w:tcPr>
            <w:tcW w:w="1385" w:type="dxa"/>
          </w:tcPr>
          <w:p w14:paraId="1E93C95E"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2021</w:t>
            </w:r>
          </w:p>
        </w:tc>
        <w:tc>
          <w:tcPr>
            <w:tcW w:w="1660" w:type="dxa"/>
          </w:tcPr>
          <w:p w14:paraId="26A0DBF7" w14:textId="77777777" w:rsidR="007E7377" w:rsidRPr="003A6D6A" w:rsidRDefault="007E7377" w:rsidP="00E90BA7">
            <w:pPr>
              <w:spacing w:before="20" w:after="20" w:line="240" w:lineRule="auto"/>
              <w:jc w:val="both"/>
              <w:rPr>
                <w:rFonts w:ascii="Segoe UI" w:hAnsi="Segoe UI" w:cs="Segoe UI"/>
                <w:b/>
                <w:bCs/>
                <w:sz w:val="18"/>
                <w:szCs w:val="18"/>
              </w:rPr>
            </w:pPr>
            <w:r w:rsidRPr="003A6D6A">
              <w:rPr>
                <w:rFonts w:ascii="Segoe UI" w:hAnsi="Segoe UI" w:cs="Segoe UI"/>
                <w:b/>
                <w:bCs/>
                <w:sz w:val="18"/>
                <w:szCs w:val="18"/>
              </w:rPr>
              <w:t>2022</w:t>
            </w:r>
          </w:p>
        </w:tc>
      </w:tr>
      <w:tr w:rsidR="00775F01" w:rsidRPr="007669E1" w14:paraId="0DBB7F11" w14:textId="77777777" w:rsidTr="001D5220">
        <w:trPr>
          <w:trHeight w:val="305"/>
        </w:trPr>
        <w:tc>
          <w:tcPr>
            <w:tcW w:w="2425" w:type="dxa"/>
            <w:vMerge/>
          </w:tcPr>
          <w:p w14:paraId="58F88909" w14:textId="77777777" w:rsidR="007E7377" w:rsidRPr="007669E1" w:rsidRDefault="007E7377" w:rsidP="00E90BA7">
            <w:pPr>
              <w:spacing w:before="20" w:after="20" w:line="240" w:lineRule="auto"/>
              <w:jc w:val="both"/>
              <w:rPr>
                <w:rFonts w:ascii="Segoe UI" w:hAnsi="Segoe UI" w:cs="Segoe UI"/>
                <w:sz w:val="18"/>
                <w:szCs w:val="18"/>
              </w:rPr>
            </w:pPr>
          </w:p>
        </w:tc>
        <w:tc>
          <w:tcPr>
            <w:tcW w:w="1385" w:type="dxa"/>
          </w:tcPr>
          <w:p w14:paraId="51AE08D1"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809.5</w:t>
            </w:r>
          </w:p>
        </w:tc>
        <w:tc>
          <w:tcPr>
            <w:tcW w:w="1385" w:type="dxa"/>
            <w:shd w:val="clear" w:color="auto" w:fill="auto"/>
          </w:tcPr>
          <w:p w14:paraId="1C951F02"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2,294.5</w:t>
            </w:r>
          </w:p>
        </w:tc>
        <w:tc>
          <w:tcPr>
            <w:tcW w:w="1385" w:type="dxa"/>
            <w:gridSpan w:val="2"/>
            <w:shd w:val="clear" w:color="auto" w:fill="auto"/>
          </w:tcPr>
          <w:p w14:paraId="1FD3447A"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1,947.7</w:t>
            </w:r>
          </w:p>
        </w:tc>
        <w:tc>
          <w:tcPr>
            <w:tcW w:w="1385" w:type="dxa"/>
            <w:shd w:val="clear" w:color="auto" w:fill="auto"/>
          </w:tcPr>
          <w:p w14:paraId="06F6D15E"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660" w:type="dxa"/>
            <w:shd w:val="clear" w:color="auto" w:fill="auto"/>
          </w:tcPr>
          <w:p w14:paraId="45CABCD8" w14:textId="77777777" w:rsidR="007E7377" w:rsidRPr="007669E1" w:rsidRDefault="007E737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bl>
    <w:p w14:paraId="565C2F72" w14:textId="77777777" w:rsidR="007E7377" w:rsidRPr="007669E1" w:rsidRDefault="007E7377" w:rsidP="00E90BA7">
      <w:pPr>
        <w:spacing w:before="20" w:after="20" w:line="240" w:lineRule="auto"/>
        <w:jc w:val="both"/>
        <w:rPr>
          <w:rFonts w:ascii="Segoe UI" w:hAnsi="Segoe UI" w:cs="Segoe UI"/>
          <w:sz w:val="18"/>
          <w:szCs w:val="18"/>
        </w:rPr>
      </w:pPr>
    </w:p>
    <w:p w14:paraId="2CD29954" w14:textId="6748C1C3" w:rsidR="00A52DCD" w:rsidRPr="007669E1" w:rsidRDefault="00A52DCD" w:rsidP="00E90BA7">
      <w:pPr>
        <w:spacing w:before="20" w:after="20" w:line="240" w:lineRule="auto"/>
        <w:jc w:val="both"/>
        <w:rPr>
          <w:rFonts w:ascii="Segoe UI" w:eastAsia="Century Gothic" w:hAnsi="Segoe UI" w:cs="Segoe UI"/>
          <w:b/>
          <w:caps/>
          <w:color w:val="009CDE"/>
          <w:sz w:val="18"/>
          <w:szCs w:val="18"/>
        </w:rPr>
      </w:pPr>
      <w:r w:rsidRPr="007669E1">
        <w:rPr>
          <w:rFonts w:ascii="Segoe UI" w:hAnsi="Segoe UI" w:cs="Segoe UI"/>
          <w:sz w:val="18"/>
          <w:szCs w:val="18"/>
        </w:rPr>
        <w:br w:type="page"/>
      </w:r>
    </w:p>
    <w:p w14:paraId="16CB46DF" w14:textId="1B4B292B" w:rsidR="009E71AA" w:rsidRPr="007669E1" w:rsidRDefault="009E71AA" w:rsidP="00E90BA7">
      <w:pPr>
        <w:pStyle w:val="Heading2"/>
        <w:spacing w:before="20" w:after="20" w:line="240" w:lineRule="auto"/>
        <w:jc w:val="both"/>
        <w:rPr>
          <w:rFonts w:ascii="Segoe UI" w:hAnsi="Segoe UI" w:cs="Segoe UI"/>
          <w:sz w:val="18"/>
          <w:szCs w:val="18"/>
        </w:rPr>
      </w:pPr>
      <w:bookmarkStart w:id="57" w:name="_Toc126555847"/>
      <w:r w:rsidRPr="007669E1">
        <w:rPr>
          <w:rFonts w:ascii="Segoe UI" w:hAnsi="Segoe UI" w:cs="Segoe UI"/>
          <w:sz w:val="18"/>
          <w:szCs w:val="18"/>
        </w:rPr>
        <w:lastRenderedPageBreak/>
        <w:t xml:space="preserve">Appendix </w:t>
      </w:r>
      <w:r w:rsidR="002B7C84" w:rsidRPr="007669E1">
        <w:rPr>
          <w:rFonts w:ascii="Segoe UI" w:hAnsi="Segoe UI" w:cs="Segoe UI"/>
          <w:sz w:val="18"/>
          <w:szCs w:val="18"/>
        </w:rPr>
        <w:t>7</w:t>
      </w:r>
      <w:r w:rsidRPr="007669E1">
        <w:rPr>
          <w:rFonts w:ascii="Segoe UI" w:hAnsi="Segoe UI" w:cs="Segoe UI"/>
          <w:sz w:val="18"/>
          <w:szCs w:val="18"/>
        </w:rPr>
        <w:t>:</w:t>
      </w:r>
      <w:r w:rsidR="00D1797C" w:rsidRPr="007669E1">
        <w:rPr>
          <w:rFonts w:ascii="Segoe UI" w:hAnsi="Segoe UI" w:cs="Segoe UI"/>
          <w:sz w:val="18"/>
          <w:szCs w:val="18"/>
        </w:rPr>
        <w:tab/>
      </w:r>
      <w:r w:rsidR="00D01F73" w:rsidRPr="007669E1">
        <w:rPr>
          <w:rFonts w:ascii="Segoe UI" w:hAnsi="Segoe UI" w:cs="Segoe UI"/>
          <w:sz w:val="18"/>
          <w:szCs w:val="18"/>
        </w:rPr>
        <w:t xml:space="preserve">RET </w:t>
      </w:r>
      <w:r w:rsidRPr="007669E1">
        <w:rPr>
          <w:rFonts w:ascii="Segoe UI" w:hAnsi="Segoe UI" w:cs="Segoe UI"/>
          <w:sz w:val="18"/>
          <w:szCs w:val="18"/>
        </w:rPr>
        <w:t>Tax Expenditures Summary Sheets</w:t>
      </w:r>
      <w:bookmarkEnd w:id="57"/>
    </w:p>
    <w:p w14:paraId="07FA85ED" w14:textId="77777777" w:rsidR="003D0FD8" w:rsidRPr="007669E1" w:rsidRDefault="003D0FD8"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83"/>
        <w:gridCol w:w="1350"/>
        <w:gridCol w:w="1449"/>
        <w:gridCol w:w="692"/>
        <w:gridCol w:w="692"/>
        <w:gridCol w:w="1449"/>
        <w:gridCol w:w="1610"/>
      </w:tblGrid>
      <w:tr w:rsidR="00A2051E" w:rsidRPr="005B0BDA" w14:paraId="4FC9734F" w14:textId="77777777" w:rsidTr="005A7B4B">
        <w:tc>
          <w:tcPr>
            <w:tcW w:w="9625" w:type="dxa"/>
            <w:gridSpan w:val="7"/>
            <w:shd w:val="clear" w:color="auto" w:fill="D9D9D9" w:themeFill="background1" w:themeFillShade="D9"/>
          </w:tcPr>
          <w:p w14:paraId="0685A2F6" w14:textId="351CCDF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1. Exemption of all immovable property owned and administered by public authorities or agencies of state</w:t>
            </w:r>
          </w:p>
        </w:tc>
      </w:tr>
      <w:tr w:rsidR="00A2051E" w:rsidRPr="007669E1" w14:paraId="654C78E1" w14:textId="77777777" w:rsidTr="00680700">
        <w:tc>
          <w:tcPr>
            <w:tcW w:w="2383" w:type="dxa"/>
          </w:tcPr>
          <w:p w14:paraId="7E598386"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Description</w:t>
            </w:r>
          </w:p>
        </w:tc>
        <w:tc>
          <w:tcPr>
            <w:tcW w:w="7242" w:type="dxa"/>
            <w:gridSpan w:val="6"/>
          </w:tcPr>
          <w:p w14:paraId="4B17A61D"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All real estate owned by state departments, and ministries funded from the central budget at all tiers of government are exempt from real estate tax.</w:t>
            </w:r>
          </w:p>
        </w:tc>
      </w:tr>
      <w:tr w:rsidR="00A2051E" w:rsidRPr="007669E1" w14:paraId="1A476933" w14:textId="77777777" w:rsidTr="00680700">
        <w:tc>
          <w:tcPr>
            <w:tcW w:w="2383" w:type="dxa"/>
          </w:tcPr>
          <w:p w14:paraId="41C6417B"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Type of Tax Affected</w:t>
            </w:r>
          </w:p>
        </w:tc>
        <w:tc>
          <w:tcPr>
            <w:tcW w:w="7242" w:type="dxa"/>
            <w:gridSpan w:val="6"/>
          </w:tcPr>
          <w:p w14:paraId="6DCADB2E" w14:textId="244F2639"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A2051E" w:rsidRPr="007669E1" w14:paraId="565E822C" w14:textId="77777777" w:rsidTr="00680700">
        <w:tc>
          <w:tcPr>
            <w:tcW w:w="2383" w:type="dxa"/>
          </w:tcPr>
          <w:p w14:paraId="409B9C2C"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Beneficiaries</w:t>
            </w:r>
          </w:p>
        </w:tc>
        <w:tc>
          <w:tcPr>
            <w:tcW w:w="7242" w:type="dxa"/>
            <w:gridSpan w:val="6"/>
          </w:tcPr>
          <w:p w14:paraId="2CC32B3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Immovable property owned by Government and all organs of state or institutions funded from the central budget</w:t>
            </w:r>
          </w:p>
        </w:tc>
      </w:tr>
      <w:tr w:rsidR="00A2051E" w:rsidRPr="007669E1" w14:paraId="3AF62403" w14:textId="77777777" w:rsidTr="00680700">
        <w:tc>
          <w:tcPr>
            <w:tcW w:w="2383" w:type="dxa"/>
          </w:tcPr>
          <w:p w14:paraId="02B4C8F9"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Type of Measure</w:t>
            </w:r>
          </w:p>
        </w:tc>
        <w:tc>
          <w:tcPr>
            <w:tcW w:w="7242" w:type="dxa"/>
            <w:gridSpan w:val="6"/>
          </w:tcPr>
          <w:p w14:paraId="6C8EBD04" w14:textId="64D56A80"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 from RET</w:t>
            </w:r>
          </w:p>
        </w:tc>
      </w:tr>
      <w:tr w:rsidR="00A2051E" w:rsidRPr="007669E1" w14:paraId="19530C47" w14:textId="77777777" w:rsidTr="00680700">
        <w:tc>
          <w:tcPr>
            <w:tcW w:w="2383" w:type="dxa"/>
          </w:tcPr>
          <w:p w14:paraId="0FD064AE"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Reason why this Measure is not part of the Benchmark Tax System</w:t>
            </w:r>
          </w:p>
        </w:tc>
        <w:tc>
          <w:tcPr>
            <w:tcW w:w="7242" w:type="dxa"/>
            <w:gridSpan w:val="6"/>
          </w:tcPr>
          <w:p w14:paraId="48B315AB" w14:textId="47AEE10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Commonly, all real estate owned and operated by the state is served by one of many local authorities in a country. By not contributing to the budget of a local authority through the payment of RET, the local government (being almost always restricted to run a balanced budget) must either reduce its level of service or is compelled to put a much higher RET burden on local private property owners (natural and legal persons). Hence, a number of jurisdictions in the world impose</w:t>
            </w:r>
            <w:r w:rsidR="006B289E" w:rsidRPr="007669E1">
              <w:rPr>
                <w:rFonts w:ascii="Segoe UI" w:hAnsi="Segoe UI" w:cs="Segoe UI"/>
                <w:sz w:val="18"/>
                <w:szCs w:val="18"/>
              </w:rPr>
              <w:t xml:space="preserve"> the property tax obligation</w:t>
            </w:r>
            <w:r w:rsidRPr="007669E1">
              <w:rPr>
                <w:rFonts w:ascii="Segoe UI" w:hAnsi="Segoe UI" w:cs="Segoe UI"/>
                <w:sz w:val="18"/>
                <w:szCs w:val="18"/>
              </w:rPr>
              <w:t xml:space="preserve"> on budget-funded organs of state. Alternatively, central government agrees to a direct, commensurate budget contribution in lieu of RET. </w:t>
            </w:r>
            <w:r w:rsidR="00E1383A" w:rsidRPr="007669E1">
              <w:rPr>
                <w:rFonts w:ascii="Segoe UI" w:hAnsi="Segoe UI" w:cs="Segoe UI"/>
                <w:sz w:val="18"/>
                <w:szCs w:val="18"/>
              </w:rPr>
              <w:t>As such</w:t>
            </w:r>
            <w:r w:rsidRPr="007669E1">
              <w:rPr>
                <w:rFonts w:ascii="Segoe UI" w:hAnsi="Segoe UI" w:cs="Segoe UI"/>
                <w:sz w:val="18"/>
                <w:szCs w:val="18"/>
              </w:rPr>
              <w:t>, all RET exemptions provided for organs of state are tax expenditures in the case of Moldova.</w:t>
            </w:r>
          </w:p>
        </w:tc>
      </w:tr>
      <w:tr w:rsidR="00A2051E" w:rsidRPr="007669E1" w14:paraId="7C318AA9" w14:textId="77777777" w:rsidTr="00680700">
        <w:tc>
          <w:tcPr>
            <w:tcW w:w="2383" w:type="dxa"/>
          </w:tcPr>
          <w:p w14:paraId="220ABA64"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Legal Reference</w:t>
            </w:r>
          </w:p>
        </w:tc>
        <w:tc>
          <w:tcPr>
            <w:tcW w:w="7242" w:type="dxa"/>
            <w:gridSpan w:val="6"/>
          </w:tcPr>
          <w:p w14:paraId="109D437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283(1)(a) of the Tax Code (TC)</w:t>
            </w:r>
          </w:p>
        </w:tc>
      </w:tr>
      <w:tr w:rsidR="00A2051E" w:rsidRPr="007669E1" w14:paraId="78C64BDD" w14:textId="77777777" w:rsidTr="00680700">
        <w:trPr>
          <w:trHeight w:val="182"/>
        </w:trPr>
        <w:tc>
          <w:tcPr>
            <w:tcW w:w="2383" w:type="dxa"/>
            <w:vMerge w:val="restart"/>
          </w:tcPr>
          <w:p w14:paraId="13A16737"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Implementation Objectives, and History</w:t>
            </w:r>
          </w:p>
        </w:tc>
        <w:tc>
          <w:tcPr>
            <w:tcW w:w="7242" w:type="dxa"/>
            <w:gridSpan w:val="6"/>
          </w:tcPr>
          <w:p w14:paraId="32015929" w14:textId="77777777" w:rsidR="00476D10" w:rsidRPr="007669E1" w:rsidRDefault="00476D10" w:rsidP="00E90BA7">
            <w:pPr>
              <w:spacing w:before="20" w:after="20" w:line="240" w:lineRule="auto"/>
              <w:jc w:val="both"/>
              <w:rPr>
                <w:rFonts w:ascii="Segoe UI" w:hAnsi="Segoe UI" w:cs="Segoe UI"/>
                <w:sz w:val="18"/>
                <w:szCs w:val="18"/>
              </w:rPr>
            </w:pPr>
          </w:p>
        </w:tc>
      </w:tr>
      <w:tr w:rsidR="00C943A7" w:rsidRPr="007669E1" w14:paraId="31BD6354" w14:textId="77777777" w:rsidTr="00680700">
        <w:trPr>
          <w:trHeight w:val="182"/>
        </w:trPr>
        <w:tc>
          <w:tcPr>
            <w:tcW w:w="2383" w:type="dxa"/>
            <w:vMerge/>
          </w:tcPr>
          <w:p w14:paraId="6A59528C" w14:textId="77777777" w:rsidR="00476D10" w:rsidRPr="005B0BDA" w:rsidRDefault="00476D10" w:rsidP="00E90BA7">
            <w:pPr>
              <w:spacing w:before="20" w:after="20" w:line="240" w:lineRule="auto"/>
              <w:jc w:val="both"/>
              <w:rPr>
                <w:rFonts w:ascii="Segoe UI" w:hAnsi="Segoe UI" w:cs="Segoe UI"/>
                <w:b/>
                <w:bCs/>
                <w:sz w:val="18"/>
                <w:szCs w:val="18"/>
              </w:rPr>
            </w:pPr>
          </w:p>
        </w:tc>
        <w:tc>
          <w:tcPr>
            <w:tcW w:w="3491" w:type="dxa"/>
            <w:gridSpan w:val="3"/>
          </w:tcPr>
          <w:p w14:paraId="7FC0A909" w14:textId="1F5FD13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51" w:type="dxa"/>
            <w:gridSpan w:val="3"/>
          </w:tcPr>
          <w:p w14:paraId="1D21B8DB" w14:textId="31F3A499"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A2051E" w:rsidRPr="007669E1" w14:paraId="6F0465CE" w14:textId="77777777" w:rsidTr="00680700">
        <w:tc>
          <w:tcPr>
            <w:tcW w:w="2383" w:type="dxa"/>
          </w:tcPr>
          <w:p w14:paraId="49986914"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Source of Data</w:t>
            </w:r>
          </w:p>
        </w:tc>
        <w:tc>
          <w:tcPr>
            <w:tcW w:w="7242" w:type="dxa"/>
            <w:gridSpan w:val="6"/>
          </w:tcPr>
          <w:p w14:paraId="7703FCC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A2051E" w:rsidRPr="007669E1" w14:paraId="47675AF8" w14:textId="77777777" w:rsidTr="00680700">
        <w:tc>
          <w:tcPr>
            <w:tcW w:w="2383" w:type="dxa"/>
          </w:tcPr>
          <w:p w14:paraId="16C28D0B"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Estimation Method</w:t>
            </w:r>
          </w:p>
        </w:tc>
        <w:tc>
          <w:tcPr>
            <w:tcW w:w="7242" w:type="dxa"/>
            <w:gridSpan w:val="6"/>
          </w:tcPr>
          <w:p w14:paraId="40A9A68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A2051E" w:rsidRPr="007669E1" w14:paraId="54357606" w14:textId="77777777" w:rsidTr="00680700">
        <w:tc>
          <w:tcPr>
            <w:tcW w:w="2383" w:type="dxa"/>
          </w:tcPr>
          <w:p w14:paraId="6319BD93"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Number of Beneficiaries</w:t>
            </w:r>
          </w:p>
        </w:tc>
        <w:tc>
          <w:tcPr>
            <w:tcW w:w="7242" w:type="dxa"/>
            <w:gridSpan w:val="6"/>
          </w:tcPr>
          <w:p w14:paraId="78B5095F" w14:textId="3AE55DD1"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A2051E" w:rsidRPr="007669E1" w14:paraId="322A466F" w14:textId="77777777" w:rsidTr="00680700">
        <w:tc>
          <w:tcPr>
            <w:tcW w:w="2383" w:type="dxa"/>
          </w:tcPr>
          <w:p w14:paraId="21FDAF67"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Revenue Cost Reporting</w:t>
            </w:r>
          </w:p>
        </w:tc>
        <w:tc>
          <w:tcPr>
            <w:tcW w:w="7242" w:type="dxa"/>
            <w:gridSpan w:val="6"/>
          </w:tcPr>
          <w:p w14:paraId="1C3ED97D" w14:textId="748EDCC2" w:rsidR="00476D10" w:rsidRPr="007669E1" w:rsidRDefault="005B2A1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75F01" w:rsidRPr="007669E1" w14:paraId="46EFC36A" w14:textId="77777777" w:rsidTr="00680700">
        <w:trPr>
          <w:trHeight w:val="91"/>
        </w:trPr>
        <w:tc>
          <w:tcPr>
            <w:tcW w:w="2383" w:type="dxa"/>
            <w:vMerge w:val="restart"/>
          </w:tcPr>
          <w:p w14:paraId="1ADCE8BE" w14:textId="77777777" w:rsidR="00476D10" w:rsidRPr="007669E1" w:rsidRDefault="00476D10" w:rsidP="00E90BA7">
            <w:pPr>
              <w:spacing w:before="20" w:after="20" w:line="240" w:lineRule="auto"/>
              <w:jc w:val="both"/>
              <w:rPr>
                <w:rFonts w:ascii="Segoe UI" w:hAnsi="Segoe UI" w:cs="Segoe UI"/>
                <w:sz w:val="18"/>
                <w:szCs w:val="18"/>
              </w:rPr>
            </w:pPr>
          </w:p>
        </w:tc>
        <w:tc>
          <w:tcPr>
            <w:tcW w:w="1350" w:type="dxa"/>
          </w:tcPr>
          <w:p w14:paraId="27D98163"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2018</w:t>
            </w:r>
          </w:p>
        </w:tc>
        <w:tc>
          <w:tcPr>
            <w:tcW w:w="1449" w:type="dxa"/>
          </w:tcPr>
          <w:p w14:paraId="5E458DE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2019</w:t>
            </w:r>
          </w:p>
        </w:tc>
        <w:tc>
          <w:tcPr>
            <w:tcW w:w="1384" w:type="dxa"/>
            <w:gridSpan w:val="2"/>
          </w:tcPr>
          <w:p w14:paraId="2D62AA92"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2020</w:t>
            </w:r>
          </w:p>
        </w:tc>
        <w:tc>
          <w:tcPr>
            <w:tcW w:w="1449" w:type="dxa"/>
          </w:tcPr>
          <w:p w14:paraId="3D3664FA"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2021</w:t>
            </w:r>
          </w:p>
        </w:tc>
        <w:tc>
          <w:tcPr>
            <w:tcW w:w="1610" w:type="dxa"/>
          </w:tcPr>
          <w:p w14:paraId="6ACC9EAA" w14:textId="76C07613" w:rsidR="00476D10" w:rsidRPr="005B0BDA" w:rsidRDefault="000C00AF"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2022</w:t>
            </w:r>
          </w:p>
        </w:tc>
      </w:tr>
      <w:tr w:rsidR="00136C8F" w:rsidRPr="007669E1" w14:paraId="5FD149EE" w14:textId="77777777" w:rsidTr="00CA1A76">
        <w:trPr>
          <w:trHeight w:val="305"/>
        </w:trPr>
        <w:tc>
          <w:tcPr>
            <w:tcW w:w="2383" w:type="dxa"/>
            <w:vMerge/>
          </w:tcPr>
          <w:p w14:paraId="77288376" w14:textId="77777777" w:rsidR="00476D10" w:rsidRPr="007669E1" w:rsidRDefault="00476D10" w:rsidP="00E90BA7">
            <w:pPr>
              <w:spacing w:before="20" w:after="20" w:line="240" w:lineRule="auto"/>
              <w:jc w:val="both"/>
              <w:rPr>
                <w:rFonts w:ascii="Segoe UI" w:hAnsi="Segoe UI" w:cs="Segoe UI"/>
                <w:sz w:val="18"/>
                <w:szCs w:val="18"/>
              </w:rPr>
            </w:pPr>
          </w:p>
        </w:tc>
        <w:tc>
          <w:tcPr>
            <w:tcW w:w="1350" w:type="dxa"/>
            <w:vAlign w:val="bottom"/>
          </w:tcPr>
          <w:p w14:paraId="68482A6B" w14:textId="5AC145FF" w:rsidR="00476D10" w:rsidRPr="007669E1" w:rsidRDefault="00F446F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208,433.4</w:t>
            </w:r>
          </w:p>
        </w:tc>
        <w:tc>
          <w:tcPr>
            <w:tcW w:w="1449" w:type="dxa"/>
            <w:shd w:val="clear" w:color="auto" w:fill="auto"/>
            <w:vAlign w:val="bottom"/>
          </w:tcPr>
          <w:p w14:paraId="33904215" w14:textId="5BF59F2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187</w:t>
            </w:r>
            <w:r w:rsidR="00680700" w:rsidRPr="007669E1">
              <w:rPr>
                <w:rFonts w:ascii="Segoe UI" w:hAnsi="Segoe UI" w:cs="Segoe UI"/>
                <w:sz w:val="18"/>
                <w:szCs w:val="18"/>
              </w:rPr>
              <w:t>,482.3</w:t>
            </w:r>
          </w:p>
        </w:tc>
        <w:tc>
          <w:tcPr>
            <w:tcW w:w="1384" w:type="dxa"/>
            <w:gridSpan w:val="2"/>
            <w:shd w:val="clear" w:color="auto" w:fill="auto"/>
            <w:vAlign w:val="bottom"/>
          </w:tcPr>
          <w:p w14:paraId="4043F918" w14:textId="78E7B00C"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158</w:t>
            </w:r>
            <w:r w:rsidR="00680700" w:rsidRPr="007669E1">
              <w:rPr>
                <w:rFonts w:ascii="Segoe UI" w:hAnsi="Segoe UI" w:cs="Segoe UI"/>
                <w:sz w:val="18"/>
                <w:szCs w:val="18"/>
              </w:rPr>
              <w:t>,237.0</w:t>
            </w:r>
          </w:p>
        </w:tc>
        <w:tc>
          <w:tcPr>
            <w:tcW w:w="1449" w:type="dxa"/>
            <w:shd w:val="clear" w:color="auto" w:fill="auto"/>
            <w:vAlign w:val="bottom"/>
          </w:tcPr>
          <w:p w14:paraId="0AB7E2EA" w14:textId="6B59B97D"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188</w:t>
            </w:r>
            <w:r w:rsidR="00680700" w:rsidRPr="007669E1">
              <w:rPr>
                <w:rFonts w:ascii="Segoe UI" w:hAnsi="Segoe UI" w:cs="Segoe UI"/>
                <w:sz w:val="18"/>
                <w:szCs w:val="18"/>
              </w:rPr>
              <w:t>,255.3</w:t>
            </w:r>
          </w:p>
        </w:tc>
        <w:tc>
          <w:tcPr>
            <w:tcW w:w="1610" w:type="dxa"/>
            <w:shd w:val="clear" w:color="auto" w:fill="auto"/>
            <w:vAlign w:val="bottom"/>
          </w:tcPr>
          <w:p w14:paraId="4B88F2A4" w14:textId="17351F35" w:rsidR="00476D10" w:rsidRPr="007669E1" w:rsidRDefault="0026616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B224F4" w:rsidRPr="007669E1">
              <w:rPr>
                <w:rFonts w:ascii="Segoe UI" w:hAnsi="Segoe UI" w:cs="Segoe UI"/>
                <w:sz w:val="18"/>
                <w:szCs w:val="18"/>
              </w:rPr>
              <w:t>.</w:t>
            </w:r>
          </w:p>
        </w:tc>
      </w:tr>
    </w:tbl>
    <w:p w14:paraId="29550CDE" w14:textId="77777777" w:rsidR="00D94F47" w:rsidRPr="007669E1" w:rsidRDefault="00D94F47"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B0BDA" w14:paraId="4597C199" w14:textId="77777777" w:rsidTr="005A7B4B">
        <w:tc>
          <w:tcPr>
            <w:tcW w:w="9625" w:type="dxa"/>
            <w:gridSpan w:val="7"/>
            <w:shd w:val="clear" w:color="auto" w:fill="D9D9D9" w:themeFill="background1" w:themeFillShade="D9"/>
          </w:tcPr>
          <w:p w14:paraId="6A75D5CB" w14:textId="06580C73" w:rsidR="00476D10" w:rsidRPr="005B0BDA" w:rsidRDefault="00476D10" w:rsidP="00E90BA7">
            <w:pPr>
              <w:keepNext/>
              <w:spacing w:before="20" w:after="20" w:line="240" w:lineRule="auto"/>
              <w:jc w:val="both"/>
              <w:rPr>
                <w:rFonts w:ascii="Segoe UI" w:hAnsi="Segoe UI" w:cs="Segoe UI"/>
                <w:b/>
                <w:bCs/>
                <w:sz w:val="18"/>
                <w:szCs w:val="18"/>
              </w:rPr>
            </w:pPr>
            <w:r w:rsidRPr="005B0BDA">
              <w:rPr>
                <w:rFonts w:ascii="Segoe UI" w:hAnsi="Segoe UI" w:cs="Segoe UI"/>
                <w:b/>
                <w:bCs/>
                <w:sz w:val="18"/>
                <w:szCs w:val="18"/>
              </w:rPr>
              <w:t xml:space="preserve">2. </w:t>
            </w:r>
            <w:r w:rsidR="00A56FA2" w:rsidRPr="005B0BDA">
              <w:rPr>
                <w:rFonts w:ascii="Segoe UI" w:hAnsi="Segoe UI" w:cs="Segoe UI"/>
                <w:b/>
                <w:bCs/>
                <w:sz w:val="18"/>
                <w:szCs w:val="18"/>
              </w:rPr>
              <w:t>E</w:t>
            </w:r>
            <w:r w:rsidRPr="005B0BDA">
              <w:rPr>
                <w:rFonts w:ascii="Segoe UI" w:hAnsi="Segoe UI" w:cs="Segoe UI"/>
                <w:b/>
                <w:bCs/>
                <w:sz w:val="18"/>
                <w:szCs w:val="18"/>
              </w:rPr>
              <w:t>xemption for public benefit organization caring for the blind, deaf and disabled</w:t>
            </w:r>
          </w:p>
        </w:tc>
      </w:tr>
      <w:tr w:rsidR="007669E1" w:rsidRPr="007669E1" w14:paraId="2FBE68AF" w14:textId="77777777" w:rsidTr="005A7B4B">
        <w:tc>
          <w:tcPr>
            <w:tcW w:w="2425" w:type="dxa"/>
          </w:tcPr>
          <w:p w14:paraId="69EADB81" w14:textId="77777777" w:rsidR="00476D10" w:rsidRPr="005B0BDA" w:rsidRDefault="00476D10" w:rsidP="00E90BA7">
            <w:pPr>
              <w:keepNext/>
              <w:spacing w:before="20" w:after="20" w:line="240" w:lineRule="auto"/>
              <w:jc w:val="both"/>
              <w:rPr>
                <w:rFonts w:ascii="Segoe UI" w:hAnsi="Segoe UI" w:cs="Segoe UI"/>
                <w:b/>
                <w:bCs/>
                <w:sz w:val="18"/>
                <w:szCs w:val="18"/>
              </w:rPr>
            </w:pPr>
            <w:r w:rsidRPr="005B0BDA">
              <w:rPr>
                <w:rFonts w:ascii="Segoe UI" w:hAnsi="Segoe UI" w:cs="Segoe UI"/>
                <w:b/>
                <w:bCs/>
                <w:sz w:val="18"/>
                <w:szCs w:val="18"/>
              </w:rPr>
              <w:t>Description</w:t>
            </w:r>
          </w:p>
        </w:tc>
        <w:tc>
          <w:tcPr>
            <w:tcW w:w="7200" w:type="dxa"/>
            <w:gridSpan w:val="6"/>
          </w:tcPr>
          <w:p w14:paraId="71F3C44B"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Properties owned by societies for the blind, deaf, disabled and enterprises working in the interest of these public benefit societies are exempt from RET.</w:t>
            </w:r>
          </w:p>
        </w:tc>
      </w:tr>
      <w:tr w:rsidR="007669E1" w:rsidRPr="007669E1" w14:paraId="4DFC76E7" w14:textId="77777777" w:rsidTr="005A7B4B">
        <w:tc>
          <w:tcPr>
            <w:tcW w:w="2425" w:type="dxa"/>
          </w:tcPr>
          <w:p w14:paraId="36C2C9BB"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Type of Tax Affected</w:t>
            </w:r>
          </w:p>
        </w:tc>
        <w:tc>
          <w:tcPr>
            <w:tcW w:w="7200" w:type="dxa"/>
            <w:gridSpan w:val="6"/>
          </w:tcPr>
          <w:p w14:paraId="69C1E1B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69E1" w:rsidRPr="007669E1" w14:paraId="76A94037" w14:textId="77777777" w:rsidTr="005A7B4B">
        <w:tc>
          <w:tcPr>
            <w:tcW w:w="2425" w:type="dxa"/>
          </w:tcPr>
          <w:p w14:paraId="696A64D1"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Beneficiaries</w:t>
            </w:r>
          </w:p>
        </w:tc>
        <w:tc>
          <w:tcPr>
            <w:tcW w:w="7200" w:type="dxa"/>
            <w:gridSpan w:val="6"/>
          </w:tcPr>
          <w:p w14:paraId="31AA8B2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blind, deaf, and disabled and the organizations caring for these subgroups</w:t>
            </w:r>
          </w:p>
        </w:tc>
      </w:tr>
      <w:tr w:rsidR="007669E1" w:rsidRPr="007669E1" w14:paraId="6FF139AB" w14:textId="77777777" w:rsidTr="005A7B4B">
        <w:tc>
          <w:tcPr>
            <w:tcW w:w="2425" w:type="dxa"/>
          </w:tcPr>
          <w:p w14:paraId="56117125"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Type of Measure</w:t>
            </w:r>
          </w:p>
        </w:tc>
        <w:tc>
          <w:tcPr>
            <w:tcW w:w="7200" w:type="dxa"/>
            <w:gridSpan w:val="6"/>
          </w:tcPr>
          <w:p w14:paraId="762E795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 or reduced rate</w:t>
            </w:r>
          </w:p>
        </w:tc>
      </w:tr>
      <w:tr w:rsidR="007669E1" w:rsidRPr="007669E1" w14:paraId="684C8808" w14:textId="77777777" w:rsidTr="005A7B4B">
        <w:tc>
          <w:tcPr>
            <w:tcW w:w="2425" w:type="dxa"/>
          </w:tcPr>
          <w:p w14:paraId="143E5121"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Reason why this Measure is not part of the Benchmark Tax System</w:t>
            </w:r>
          </w:p>
        </w:tc>
        <w:tc>
          <w:tcPr>
            <w:tcW w:w="7200" w:type="dxa"/>
            <w:gridSpan w:val="6"/>
          </w:tcPr>
          <w:p w14:paraId="35BB2A2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provides a narrow tax benefit to this subgroup of society and the relief measure is narrowly targeted, being a distinct deviation from the standard or benchmark regime.</w:t>
            </w:r>
          </w:p>
        </w:tc>
      </w:tr>
      <w:tr w:rsidR="007669E1" w:rsidRPr="007669E1" w14:paraId="23661B74" w14:textId="77777777" w:rsidTr="005A7B4B">
        <w:tc>
          <w:tcPr>
            <w:tcW w:w="2425" w:type="dxa"/>
          </w:tcPr>
          <w:p w14:paraId="5B0B9CC1"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Legal Reference</w:t>
            </w:r>
          </w:p>
        </w:tc>
        <w:tc>
          <w:tcPr>
            <w:tcW w:w="7200" w:type="dxa"/>
            <w:gridSpan w:val="6"/>
          </w:tcPr>
          <w:p w14:paraId="67898FF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283(1)(b) of the TC</w:t>
            </w:r>
          </w:p>
        </w:tc>
      </w:tr>
      <w:tr w:rsidR="00136C8F" w:rsidRPr="007669E1" w14:paraId="6ED4DDDE" w14:textId="77777777" w:rsidTr="005A7B4B">
        <w:trPr>
          <w:trHeight w:val="182"/>
        </w:trPr>
        <w:tc>
          <w:tcPr>
            <w:tcW w:w="2425" w:type="dxa"/>
            <w:vMerge w:val="restart"/>
          </w:tcPr>
          <w:p w14:paraId="1F38079C"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Implementation Objectives, and History</w:t>
            </w:r>
          </w:p>
        </w:tc>
        <w:tc>
          <w:tcPr>
            <w:tcW w:w="7200" w:type="dxa"/>
            <w:gridSpan w:val="6"/>
          </w:tcPr>
          <w:p w14:paraId="4388B6AD" w14:textId="77777777" w:rsidR="00476D10" w:rsidRPr="007669E1" w:rsidRDefault="00476D10" w:rsidP="00E90BA7">
            <w:pPr>
              <w:spacing w:before="20" w:after="20" w:line="240" w:lineRule="auto"/>
              <w:jc w:val="both"/>
              <w:rPr>
                <w:rFonts w:ascii="Segoe UI" w:hAnsi="Segoe UI" w:cs="Segoe UI"/>
                <w:sz w:val="18"/>
                <w:szCs w:val="18"/>
              </w:rPr>
            </w:pPr>
          </w:p>
        </w:tc>
      </w:tr>
      <w:tr w:rsidR="00136C8F" w:rsidRPr="007669E1" w14:paraId="45428D91" w14:textId="77777777" w:rsidTr="005A7B4B">
        <w:trPr>
          <w:trHeight w:val="182"/>
        </w:trPr>
        <w:tc>
          <w:tcPr>
            <w:tcW w:w="2425" w:type="dxa"/>
            <w:vMerge/>
          </w:tcPr>
          <w:p w14:paraId="77507160" w14:textId="77777777" w:rsidR="00476D10" w:rsidRPr="005B0BDA" w:rsidRDefault="00476D10" w:rsidP="00E90BA7">
            <w:pPr>
              <w:spacing w:before="20" w:after="20" w:line="240" w:lineRule="auto"/>
              <w:jc w:val="both"/>
              <w:rPr>
                <w:rFonts w:ascii="Segoe UI" w:hAnsi="Segoe UI" w:cs="Segoe UI"/>
                <w:b/>
                <w:bCs/>
                <w:sz w:val="18"/>
                <w:szCs w:val="18"/>
              </w:rPr>
            </w:pPr>
          </w:p>
        </w:tc>
        <w:tc>
          <w:tcPr>
            <w:tcW w:w="3462" w:type="dxa"/>
            <w:gridSpan w:val="3"/>
          </w:tcPr>
          <w:p w14:paraId="641A6716" w14:textId="3CC50235"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63F19088" w14:textId="6AFE4EE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4C6DE21E" w14:textId="77777777" w:rsidTr="005A7B4B">
        <w:tc>
          <w:tcPr>
            <w:tcW w:w="2425" w:type="dxa"/>
          </w:tcPr>
          <w:p w14:paraId="253DDD8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Source of Data</w:t>
            </w:r>
          </w:p>
        </w:tc>
        <w:tc>
          <w:tcPr>
            <w:tcW w:w="7200" w:type="dxa"/>
            <w:gridSpan w:val="6"/>
          </w:tcPr>
          <w:p w14:paraId="516936F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73B4162F" w14:textId="77777777" w:rsidTr="005A7B4B">
        <w:tc>
          <w:tcPr>
            <w:tcW w:w="2425" w:type="dxa"/>
          </w:tcPr>
          <w:p w14:paraId="2E886A92"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Estimation Method</w:t>
            </w:r>
          </w:p>
        </w:tc>
        <w:tc>
          <w:tcPr>
            <w:tcW w:w="7200" w:type="dxa"/>
            <w:gridSpan w:val="6"/>
          </w:tcPr>
          <w:p w14:paraId="426D3C6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530165C2" w14:textId="77777777" w:rsidTr="005A7B4B">
        <w:tc>
          <w:tcPr>
            <w:tcW w:w="2425" w:type="dxa"/>
          </w:tcPr>
          <w:p w14:paraId="5EC3FB30"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Number of Beneficiaries</w:t>
            </w:r>
          </w:p>
        </w:tc>
        <w:tc>
          <w:tcPr>
            <w:tcW w:w="7200" w:type="dxa"/>
            <w:gridSpan w:val="6"/>
          </w:tcPr>
          <w:p w14:paraId="4BDF5D0C" w14:textId="36686667"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7F8DC61E" w14:textId="77777777" w:rsidTr="005A7B4B">
        <w:tc>
          <w:tcPr>
            <w:tcW w:w="2425" w:type="dxa"/>
          </w:tcPr>
          <w:p w14:paraId="77A9997E"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Revenue Cost Reporting</w:t>
            </w:r>
          </w:p>
        </w:tc>
        <w:tc>
          <w:tcPr>
            <w:tcW w:w="7200" w:type="dxa"/>
            <w:gridSpan w:val="6"/>
          </w:tcPr>
          <w:p w14:paraId="407264B2" w14:textId="2EC35D13" w:rsidR="00476D10" w:rsidRPr="007669E1" w:rsidRDefault="005B2A1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 MDL</w:t>
            </w:r>
          </w:p>
        </w:tc>
      </w:tr>
      <w:tr w:rsidR="00136C8F" w:rsidRPr="007669E1" w14:paraId="57468B16" w14:textId="77777777" w:rsidTr="005A7B4B">
        <w:trPr>
          <w:trHeight w:val="91"/>
        </w:trPr>
        <w:tc>
          <w:tcPr>
            <w:tcW w:w="2425" w:type="dxa"/>
            <w:vMerge w:val="restart"/>
          </w:tcPr>
          <w:p w14:paraId="7CF67BB5"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16F4D70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2018</w:t>
            </w:r>
          </w:p>
        </w:tc>
        <w:tc>
          <w:tcPr>
            <w:tcW w:w="1385" w:type="dxa"/>
          </w:tcPr>
          <w:p w14:paraId="49EAD0C8"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2019</w:t>
            </w:r>
          </w:p>
        </w:tc>
        <w:tc>
          <w:tcPr>
            <w:tcW w:w="1385" w:type="dxa"/>
            <w:gridSpan w:val="2"/>
          </w:tcPr>
          <w:p w14:paraId="5058784C"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2020</w:t>
            </w:r>
          </w:p>
        </w:tc>
        <w:tc>
          <w:tcPr>
            <w:tcW w:w="1385" w:type="dxa"/>
          </w:tcPr>
          <w:p w14:paraId="6D0BEE2C"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2021</w:t>
            </w:r>
          </w:p>
        </w:tc>
        <w:tc>
          <w:tcPr>
            <w:tcW w:w="1660" w:type="dxa"/>
          </w:tcPr>
          <w:p w14:paraId="7DBD03C5" w14:textId="28E45151" w:rsidR="00476D10" w:rsidRPr="005B0BDA" w:rsidRDefault="000C00AF"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2022</w:t>
            </w:r>
          </w:p>
        </w:tc>
      </w:tr>
      <w:tr w:rsidR="00E72E03" w:rsidRPr="007669E1" w14:paraId="053D2ADF" w14:textId="77777777" w:rsidTr="005A43ED">
        <w:trPr>
          <w:trHeight w:val="305"/>
        </w:trPr>
        <w:tc>
          <w:tcPr>
            <w:tcW w:w="2425" w:type="dxa"/>
            <w:vMerge/>
          </w:tcPr>
          <w:p w14:paraId="4852A1D5"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bottom"/>
          </w:tcPr>
          <w:p w14:paraId="2517563A" w14:textId="6B23C484" w:rsidR="00476D10" w:rsidRPr="007669E1" w:rsidRDefault="00AC013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76.7</w:t>
            </w:r>
          </w:p>
        </w:tc>
        <w:tc>
          <w:tcPr>
            <w:tcW w:w="1385" w:type="dxa"/>
            <w:vAlign w:val="bottom"/>
          </w:tcPr>
          <w:p w14:paraId="0B53AD7D" w14:textId="1B0713F3" w:rsidR="00476D10" w:rsidRPr="007669E1" w:rsidRDefault="00B24B4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200.6</w:t>
            </w:r>
          </w:p>
        </w:tc>
        <w:tc>
          <w:tcPr>
            <w:tcW w:w="1385" w:type="dxa"/>
            <w:gridSpan w:val="2"/>
            <w:shd w:val="clear" w:color="auto" w:fill="auto"/>
            <w:vAlign w:val="bottom"/>
          </w:tcPr>
          <w:p w14:paraId="243353A7" w14:textId="3ECAB312" w:rsidR="00476D10" w:rsidRPr="007669E1" w:rsidRDefault="00B24B4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227.6</w:t>
            </w:r>
          </w:p>
        </w:tc>
        <w:tc>
          <w:tcPr>
            <w:tcW w:w="1385" w:type="dxa"/>
            <w:shd w:val="clear" w:color="auto" w:fill="auto"/>
            <w:vAlign w:val="bottom"/>
          </w:tcPr>
          <w:p w14:paraId="601CECD5" w14:textId="01448D9D" w:rsidR="00476D10" w:rsidRPr="007669E1" w:rsidRDefault="00B24B4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236.9</w:t>
            </w:r>
          </w:p>
        </w:tc>
        <w:tc>
          <w:tcPr>
            <w:tcW w:w="1660" w:type="dxa"/>
            <w:shd w:val="clear" w:color="auto" w:fill="auto"/>
            <w:vAlign w:val="bottom"/>
          </w:tcPr>
          <w:p w14:paraId="50B685F0" w14:textId="24AC0775" w:rsidR="00476D10" w:rsidRPr="007669E1" w:rsidRDefault="00B24B4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224F4" w:rsidRPr="007669E1">
              <w:rPr>
                <w:rFonts w:ascii="Segoe UI" w:hAnsi="Segoe UI" w:cs="Segoe UI"/>
                <w:color w:val="000000"/>
                <w:sz w:val="18"/>
                <w:szCs w:val="18"/>
              </w:rPr>
              <w:t>.</w:t>
            </w:r>
          </w:p>
        </w:tc>
      </w:tr>
    </w:tbl>
    <w:p w14:paraId="16A268F5"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C943A7" w:rsidRPr="005B0BDA" w14:paraId="17E655AB" w14:textId="77777777" w:rsidTr="005A7B4B">
        <w:tc>
          <w:tcPr>
            <w:tcW w:w="9625" w:type="dxa"/>
            <w:gridSpan w:val="7"/>
            <w:shd w:val="clear" w:color="auto" w:fill="D9D9D9" w:themeFill="background1" w:themeFillShade="D9"/>
          </w:tcPr>
          <w:p w14:paraId="6FA13E77" w14:textId="1E6255C9"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 xml:space="preserve">3. </w:t>
            </w:r>
            <w:r w:rsidR="008B5C12" w:rsidRPr="005B0BDA">
              <w:rPr>
                <w:rFonts w:ascii="Segoe UI" w:hAnsi="Segoe UI" w:cs="Segoe UI"/>
                <w:b/>
                <w:bCs/>
                <w:sz w:val="18"/>
                <w:szCs w:val="18"/>
              </w:rPr>
              <w:t>E</w:t>
            </w:r>
            <w:r w:rsidRPr="005B0BDA">
              <w:rPr>
                <w:rFonts w:ascii="Segoe UI" w:hAnsi="Segoe UI" w:cs="Segoe UI"/>
                <w:b/>
                <w:bCs/>
                <w:sz w:val="18"/>
                <w:szCs w:val="18"/>
              </w:rPr>
              <w:t>xemption for all real estate used by operators of prisons and detention centers</w:t>
            </w:r>
          </w:p>
        </w:tc>
      </w:tr>
      <w:tr w:rsidR="00E72E03" w:rsidRPr="007669E1" w14:paraId="34317116" w14:textId="77777777" w:rsidTr="005A7B4B">
        <w:tc>
          <w:tcPr>
            <w:tcW w:w="2425" w:type="dxa"/>
          </w:tcPr>
          <w:p w14:paraId="7A712D1A"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Description</w:t>
            </w:r>
          </w:p>
        </w:tc>
        <w:tc>
          <w:tcPr>
            <w:tcW w:w="7200" w:type="dxa"/>
            <w:gridSpan w:val="6"/>
          </w:tcPr>
          <w:p w14:paraId="62DC302F"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Operators of penitentiary institutions and their respective buildings and immovable properties are RET exempt.</w:t>
            </w:r>
          </w:p>
        </w:tc>
      </w:tr>
      <w:tr w:rsidR="00E72E03" w:rsidRPr="007669E1" w14:paraId="326E8069" w14:textId="77777777" w:rsidTr="005A7B4B">
        <w:tc>
          <w:tcPr>
            <w:tcW w:w="2425" w:type="dxa"/>
          </w:tcPr>
          <w:p w14:paraId="67CC360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Type of Tax Affected</w:t>
            </w:r>
          </w:p>
        </w:tc>
        <w:tc>
          <w:tcPr>
            <w:tcW w:w="7200" w:type="dxa"/>
            <w:gridSpan w:val="6"/>
          </w:tcPr>
          <w:p w14:paraId="2042817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35AEAD2D" w14:textId="77777777" w:rsidTr="005A7B4B">
        <w:tc>
          <w:tcPr>
            <w:tcW w:w="2425" w:type="dxa"/>
          </w:tcPr>
          <w:p w14:paraId="54411A7A"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Beneficiaries</w:t>
            </w:r>
          </w:p>
        </w:tc>
        <w:tc>
          <w:tcPr>
            <w:tcW w:w="7200" w:type="dxa"/>
            <w:gridSpan w:val="6"/>
          </w:tcPr>
          <w:p w14:paraId="60A1AE7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Operators of penitentiary institutions</w:t>
            </w:r>
          </w:p>
        </w:tc>
      </w:tr>
      <w:tr w:rsidR="00E72E03" w:rsidRPr="007669E1" w14:paraId="0F020DB1" w14:textId="77777777" w:rsidTr="005A7B4B">
        <w:tc>
          <w:tcPr>
            <w:tcW w:w="2425" w:type="dxa"/>
          </w:tcPr>
          <w:p w14:paraId="093655B1"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Type of Measure</w:t>
            </w:r>
          </w:p>
        </w:tc>
        <w:tc>
          <w:tcPr>
            <w:tcW w:w="7200" w:type="dxa"/>
            <w:gridSpan w:val="6"/>
          </w:tcPr>
          <w:p w14:paraId="04821F9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Legislated exemption </w:t>
            </w:r>
          </w:p>
        </w:tc>
      </w:tr>
      <w:tr w:rsidR="00E72E03" w:rsidRPr="007669E1" w14:paraId="33E813C8" w14:textId="77777777" w:rsidTr="005A7B4B">
        <w:tc>
          <w:tcPr>
            <w:tcW w:w="2425" w:type="dxa"/>
          </w:tcPr>
          <w:p w14:paraId="5CD3F71F"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Reason why this Measure is not part of the Benchmark Tax System</w:t>
            </w:r>
          </w:p>
        </w:tc>
        <w:tc>
          <w:tcPr>
            <w:tcW w:w="7200" w:type="dxa"/>
            <w:gridSpan w:val="6"/>
          </w:tcPr>
          <w:p w14:paraId="4ABC467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benefits from a RET exemption, but which still utilizes public infrastructure provided by local governments. It is clearly a tax expenditure.</w:t>
            </w:r>
          </w:p>
        </w:tc>
      </w:tr>
      <w:tr w:rsidR="00E72E03" w:rsidRPr="007669E1" w14:paraId="654B03CF" w14:textId="77777777" w:rsidTr="005A7B4B">
        <w:tc>
          <w:tcPr>
            <w:tcW w:w="2425" w:type="dxa"/>
          </w:tcPr>
          <w:p w14:paraId="694B9D3F"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Legal Reference</w:t>
            </w:r>
          </w:p>
        </w:tc>
        <w:tc>
          <w:tcPr>
            <w:tcW w:w="7200" w:type="dxa"/>
            <w:gridSpan w:val="6"/>
          </w:tcPr>
          <w:p w14:paraId="14DC5F9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283(1)(c) of TC</w:t>
            </w:r>
          </w:p>
        </w:tc>
      </w:tr>
      <w:tr w:rsidR="00E72E03" w:rsidRPr="007669E1" w14:paraId="29696BDA" w14:textId="77777777" w:rsidTr="005A7B4B">
        <w:trPr>
          <w:trHeight w:val="182"/>
        </w:trPr>
        <w:tc>
          <w:tcPr>
            <w:tcW w:w="2425" w:type="dxa"/>
            <w:vMerge w:val="restart"/>
          </w:tcPr>
          <w:p w14:paraId="09DDF6A4"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Implementation Objectives, and History</w:t>
            </w:r>
          </w:p>
        </w:tc>
        <w:tc>
          <w:tcPr>
            <w:tcW w:w="7200" w:type="dxa"/>
            <w:gridSpan w:val="6"/>
          </w:tcPr>
          <w:p w14:paraId="234BAE46" w14:textId="77777777" w:rsidR="00476D10" w:rsidRPr="007669E1" w:rsidRDefault="00476D10" w:rsidP="00E90BA7">
            <w:pPr>
              <w:spacing w:before="20" w:after="20" w:line="240" w:lineRule="auto"/>
              <w:jc w:val="both"/>
              <w:rPr>
                <w:rFonts w:ascii="Segoe UI" w:hAnsi="Segoe UI" w:cs="Segoe UI"/>
                <w:sz w:val="18"/>
                <w:szCs w:val="18"/>
              </w:rPr>
            </w:pPr>
          </w:p>
        </w:tc>
      </w:tr>
      <w:tr w:rsidR="00E72E03" w:rsidRPr="007669E1" w14:paraId="1E403076" w14:textId="77777777" w:rsidTr="005A7B4B">
        <w:trPr>
          <w:trHeight w:val="182"/>
        </w:trPr>
        <w:tc>
          <w:tcPr>
            <w:tcW w:w="2425" w:type="dxa"/>
            <w:vMerge/>
          </w:tcPr>
          <w:p w14:paraId="4C5B5B6B" w14:textId="77777777" w:rsidR="00476D10" w:rsidRPr="005B0BDA" w:rsidRDefault="00476D10" w:rsidP="00E90BA7">
            <w:pPr>
              <w:spacing w:before="20" w:after="20" w:line="240" w:lineRule="auto"/>
              <w:jc w:val="both"/>
              <w:rPr>
                <w:rFonts w:ascii="Segoe UI" w:hAnsi="Segoe UI" w:cs="Segoe UI"/>
                <w:b/>
                <w:bCs/>
                <w:sz w:val="18"/>
                <w:szCs w:val="18"/>
              </w:rPr>
            </w:pPr>
          </w:p>
        </w:tc>
        <w:tc>
          <w:tcPr>
            <w:tcW w:w="3462" w:type="dxa"/>
            <w:gridSpan w:val="3"/>
          </w:tcPr>
          <w:p w14:paraId="67CEEDD0" w14:textId="7E91CD4C"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08862B85" w14:textId="3926058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3C61CB5D" w14:textId="77777777" w:rsidTr="005A7B4B">
        <w:tc>
          <w:tcPr>
            <w:tcW w:w="2425" w:type="dxa"/>
          </w:tcPr>
          <w:p w14:paraId="1F8FD99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Source of Data</w:t>
            </w:r>
          </w:p>
        </w:tc>
        <w:tc>
          <w:tcPr>
            <w:tcW w:w="7200" w:type="dxa"/>
            <w:gridSpan w:val="6"/>
          </w:tcPr>
          <w:p w14:paraId="6C9C1F1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4F167E2E" w14:textId="77777777" w:rsidTr="005A7B4B">
        <w:tc>
          <w:tcPr>
            <w:tcW w:w="2425" w:type="dxa"/>
          </w:tcPr>
          <w:p w14:paraId="0EC37B24"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Estimation Method</w:t>
            </w:r>
          </w:p>
        </w:tc>
        <w:tc>
          <w:tcPr>
            <w:tcW w:w="7200" w:type="dxa"/>
            <w:gridSpan w:val="6"/>
          </w:tcPr>
          <w:p w14:paraId="7C57CB1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6FC29445" w14:textId="77777777" w:rsidTr="005A7B4B">
        <w:tc>
          <w:tcPr>
            <w:tcW w:w="2425" w:type="dxa"/>
          </w:tcPr>
          <w:p w14:paraId="2CF3824E"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Number of Beneficiaries</w:t>
            </w:r>
          </w:p>
        </w:tc>
        <w:tc>
          <w:tcPr>
            <w:tcW w:w="7200" w:type="dxa"/>
            <w:gridSpan w:val="6"/>
          </w:tcPr>
          <w:p w14:paraId="23D64FDD" w14:textId="0975EA59"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3822E541" w14:textId="77777777" w:rsidTr="005A7B4B">
        <w:tc>
          <w:tcPr>
            <w:tcW w:w="2425" w:type="dxa"/>
          </w:tcPr>
          <w:p w14:paraId="16BF03BE"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Revenue Cost Reporting</w:t>
            </w:r>
          </w:p>
        </w:tc>
        <w:tc>
          <w:tcPr>
            <w:tcW w:w="7200" w:type="dxa"/>
            <w:gridSpan w:val="6"/>
          </w:tcPr>
          <w:p w14:paraId="38FF606C" w14:textId="593944F4" w:rsidR="00476D10" w:rsidRPr="007669E1" w:rsidRDefault="00B24B4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E72E03" w:rsidRPr="007669E1" w14:paraId="5E670616" w14:textId="77777777" w:rsidTr="005A7B4B">
        <w:trPr>
          <w:trHeight w:val="91"/>
        </w:trPr>
        <w:tc>
          <w:tcPr>
            <w:tcW w:w="2425" w:type="dxa"/>
            <w:vMerge w:val="restart"/>
          </w:tcPr>
          <w:p w14:paraId="2DC1B62C"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7B767B5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2018</w:t>
            </w:r>
          </w:p>
        </w:tc>
        <w:tc>
          <w:tcPr>
            <w:tcW w:w="1385" w:type="dxa"/>
          </w:tcPr>
          <w:p w14:paraId="0B67A6A2"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2019</w:t>
            </w:r>
          </w:p>
        </w:tc>
        <w:tc>
          <w:tcPr>
            <w:tcW w:w="1385" w:type="dxa"/>
            <w:gridSpan w:val="2"/>
          </w:tcPr>
          <w:p w14:paraId="22705478"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2020</w:t>
            </w:r>
          </w:p>
        </w:tc>
        <w:tc>
          <w:tcPr>
            <w:tcW w:w="1385" w:type="dxa"/>
          </w:tcPr>
          <w:p w14:paraId="4A653B3D" w14:textId="77777777"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2021</w:t>
            </w:r>
          </w:p>
        </w:tc>
        <w:tc>
          <w:tcPr>
            <w:tcW w:w="1660" w:type="dxa"/>
          </w:tcPr>
          <w:p w14:paraId="289E5D1E" w14:textId="3DECDC60" w:rsidR="00476D10" w:rsidRPr="005B0BDA" w:rsidRDefault="000C00AF"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2022</w:t>
            </w:r>
          </w:p>
        </w:tc>
      </w:tr>
      <w:tr w:rsidR="00E72E03" w:rsidRPr="007669E1" w14:paraId="1C2800B9" w14:textId="77777777" w:rsidTr="005A43ED">
        <w:trPr>
          <w:trHeight w:val="305"/>
        </w:trPr>
        <w:tc>
          <w:tcPr>
            <w:tcW w:w="2425" w:type="dxa"/>
            <w:vMerge/>
          </w:tcPr>
          <w:p w14:paraId="3161710E"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bottom"/>
          </w:tcPr>
          <w:p w14:paraId="023AF19E" w14:textId="752A830B" w:rsidR="00476D10" w:rsidRPr="007669E1" w:rsidRDefault="007D35E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77.8</w:t>
            </w:r>
          </w:p>
        </w:tc>
        <w:tc>
          <w:tcPr>
            <w:tcW w:w="1385" w:type="dxa"/>
            <w:shd w:val="clear" w:color="auto" w:fill="auto"/>
            <w:vAlign w:val="bottom"/>
          </w:tcPr>
          <w:p w14:paraId="2A53F179" w14:textId="7893ACB0" w:rsidR="00476D10" w:rsidRPr="007669E1" w:rsidRDefault="00B24B43" w:rsidP="00E90BA7">
            <w:pPr>
              <w:spacing w:before="20" w:after="20" w:line="240" w:lineRule="auto"/>
              <w:jc w:val="both"/>
              <w:rPr>
                <w:rFonts w:ascii="Segoe UI" w:hAnsi="Segoe UI" w:cs="Segoe UI"/>
                <w:sz w:val="18"/>
                <w:szCs w:val="18"/>
                <w:highlight w:val="yellow"/>
              </w:rPr>
            </w:pPr>
            <w:r w:rsidRPr="007669E1">
              <w:rPr>
                <w:rFonts w:ascii="Segoe UI" w:hAnsi="Segoe UI" w:cs="Segoe UI"/>
                <w:color w:val="000000"/>
                <w:sz w:val="18"/>
                <w:szCs w:val="18"/>
              </w:rPr>
              <w:t>30.0</w:t>
            </w:r>
          </w:p>
        </w:tc>
        <w:tc>
          <w:tcPr>
            <w:tcW w:w="1385" w:type="dxa"/>
            <w:gridSpan w:val="2"/>
            <w:shd w:val="clear" w:color="auto" w:fill="auto"/>
            <w:vAlign w:val="bottom"/>
          </w:tcPr>
          <w:p w14:paraId="716375D7" w14:textId="5454CB5B" w:rsidR="00476D10" w:rsidRPr="007669E1" w:rsidRDefault="00B24B43" w:rsidP="00E90BA7">
            <w:pPr>
              <w:spacing w:before="20" w:after="20" w:line="240" w:lineRule="auto"/>
              <w:jc w:val="both"/>
              <w:rPr>
                <w:rFonts w:ascii="Segoe UI" w:hAnsi="Segoe UI" w:cs="Segoe UI"/>
                <w:i/>
                <w:sz w:val="18"/>
                <w:szCs w:val="18"/>
                <w:highlight w:val="yellow"/>
              </w:rPr>
            </w:pPr>
            <w:r w:rsidRPr="007669E1">
              <w:rPr>
                <w:rFonts w:ascii="Segoe UI" w:hAnsi="Segoe UI" w:cs="Segoe UI"/>
                <w:color w:val="000000"/>
                <w:sz w:val="18"/>
                <w:szCs w:val="18"/>
              </w:rPr>
              <w:t>30.0</w:t>
            </w:r>
          </w:p>
        </w:tc>
        <w:tc>
          <w:tcPr>
            <w:tcW w:w="1385" w:type="dxa"/>
            <w:shd w:val="clear" w:color="auto" w:fill="auto"/>
            <w:vAlign w:val="bottom"/>
          </w:tcPr>
          <w:p w14:paraId="0FACA382" w14:textId="540A3FCB" w:rsidR="00476D10" w:rsidRPr="007669E1" w:rsidRDefault="00B24B43" w:rsidP="00E90BA7">
            <w:pPr>
              <w:spacing w:before="20" w:after="20" w:line="240" w:lineRule="auto"/>
              <w:jc w:val="both"/>
              <w:rPr>
                <w:rFonts w:ascii="Segoe UI" w:hAnsi="Segoe UI" w:cs="Segoe UI"/>
                <w:i/>
                <w:sz w:val="18"/>
                <w:szCs w:val="18"/>
                <w:highlight w:val="yellow"/>
              </w:rPr>
            </w:pPr>
            <w:r w:rsidRPr="007669E1">
              <w:rPr>
                <w:rFonts w:ascii="Segoe UI" w:hAnsi="Segoe UI" w:cs="Segoe UI"/>
                <w:color w:val="000000"/>
                <w:sz w:val="18"/>
                <w:szCs w:val="18"/>
              </w:rPr>
              <w:t>9.7</w:t>
            </w:r>
          </w:p>
        </w:tc>
        <w:tc>
          <w:tcPr>
            <w:tcW w:w="1660" w:type="dxa"/>
            <w:shd w:val="clear" w:color="auto" w:fill="auto"/>
            <w:vAlign w:val="bottom"/>
          </w:tcPr>
          <w:p w14:paraId="6D096301" w14:textId="6CCFA451" w:rsidR="00476D10" w:rsidRPr="007669E1" w:rsidRDefault="001108C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224F4" w:rsidRPr="007669E1">
              <w:rPr>
                <w:rFonts w:ascii="Segoe UI" w:hAnsi="Segoe UI" w:cs="Segoe UI"/>
                <w:color w:val="000000"/>
                <w:sz w:val="18"/>
                <w:szCs w:val="18"/>
              </w:rPr>
              <w:t>.</w:t>
            </w:r>
          </w:p>
        </w:tc>
      </w:tr>
    </w:tbl>
    <w:p w14:paraId="45B0674A"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B0BDA" w14:paraId="624E846B" w14:textId="77777777" w:rsidTr="005A7B4B">
        <w:tc>
          <w:tcPr>
            <w:tcW w:w="9625" w:type="dxa"/>
            <w:gridSpan w:val="7"/>
            <w:shd w:val="clear" w:color="auto" w:fill="D9D9D9" w:themeFill="background1" w:themeFillShade="D9"/>
          </w:tcPr>
          <w:p w14:paraId="4B5A4D26" w14:textId="3D81D344" w:rsidR="00476D10" w:rsidRPr="005B0BDA" w:rsidRDefault="00476D10" w:rsidP="00E90BA7">
            <w:pPr>
              <w:spacing w:before="20" w:after="20" w:line="240" w:lineRule="auto"/>
              <w:jc w:val="both"/>
              <w:rPr>
                <w:rFonts w:ascii="Segoe UI" w:hAnsi="Segoe UI" w:cs="Segoe UI"/>
                <w:b/>
                <w:bCs/>
                <w:sz w:val="18"/>
                <w:szCs w:val="18"/>
              </w:rPr>
            </w:pPr>
            <w:r w:rsidRPr="005B0BDA">
              <w:rPr>
                <w:rFonts w:ascii="Segoe UI" w:hAnsi="Segoe UI" w:cs="Segoe UI"/>
                <w:b/>
                <w:bCs/>
                <w:sz w:val="18"/>
                <w:szCs w:val="18"/>
              </w:rPr>
              <w:t xml:space="preserve">4. </w:t>
            </w:r>
            <w:r w:rsidR="008B5C12" w:rsidRPr="005B0BDA">
              <w:rPr>
                <w:rFonts w:ascii="Segoe UI" w:hAnsi="Segoe UI" w:cs="Segoe UI"/>
                <w:b/>
                <w:bCs/>
                <w:sz w:val="18"/>
                <w:szCs w:val="18"/>
              </w:rPr>
              <w:t>E</w:t>
            </w:r>
            <w:r w:rsidRPr="005B0BDA">
              <w:rPr>
                <w:rFonts w:ascii="Segoe UI" w:hAnsi="Segoe UI" w:cs="Segoe UI"/>
                <w:b/>
                <w:bCs/>
                <w:sz w:val="18"/>
                <w:szCs w:val="18"/>
              </w:rPr>
              <w:t>xemption for all medical facilities, and rehab centers providing prostheses and orthopedic services</w:t>
            </w:r>
          </w:p>
        </w:tc>
      </w:tr>
      <w:tr w:rsidR="00E72E03" w:rsidRPr="007669E1" w14:paraId="1F70CA5E" w14:textId="77777777" w:rsidTr="005A7B4B">
        <w:tc>
          <w:tcPr>
            <w:tcW w:w="2425" w:type="dxa"/>
          </w:tcPr>
          <w:p w14:paraId="793AE000"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Description</w:t>
            </w:r>
          </w:p>
        </w:tc>
        <w:tc>
          <w:tcPr>
            <w:tcW w:w="7200" w:type="dxa"/>
            <w:gridSpan w:val="6"/>
          </w:tcPr>
          <w:p w14:paraId="62B045C0"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Operators of medical facilities and rehab centers within the Ministry of Health, Labor and Social Protection and their respective buildings and immovable properties are RET exempt.</w:t>
            </w:r>
          </w:p>
        </w:tc>
      </w:tr>
      <w:tr w:rsidR="00E72E03" w:rsidRPr="007669E1" w14:paraId="0C576C4E" w14:textId="77777777" w:rsidTr="005A7B4B">
        <w:tc>
          <w:tcPr>
            <w:tcW w:w="2425" w:type="dxa"/>
          </w:tcPr>
          <w:p w14:paraId="4510360A"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Type of Tax Affected</w:t>
            </w:r>
          </w:p>
        </w:tc>
        <w:tc>
          <w:tcPr>
            <w:tcW w:w="7200" w:type="dxa"/>
            <w:gridSpan w:val="6"/>
          </w:tcPr>
          <w:p w14:paraId="19F5F8D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43A42C20" w14:textId="77777777" w:rsidTr="005A7B4B">
        <w:tc>
          <w:tcPr>
            <w:tcW w:w="2425" w:type="dxa"/>
          </w:tcPr>
          <w:p w14:paraId="10E2A1EA"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Beneficiaries</w:t>
            </w:r>
          </w:p>
        </w:tc>
        <w:tc>
          <w:tcPr>
            <w:tcW w:w="7200" w:type="dxa"/>
            <w:gridSpan w:val="6"/>
          </w:tcPr>
          <w:p w14:paraId="616A3C9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medical facilities and their patients potentially shoulder a lower cost structure</w:t>
            </w:r>
          </w:p>
        </w:tc>
      </w:tr>
      <w:tr w:rsidR="00E72E03" w:rsidRPr="007669E1" w14:paraId="4715F9F3" w14:textId="77777777" w:rsidTr="005A7B4B">
        <w:tc>
          <w:tcPr>
            <w:tcW w:w="2425" w:type="dxa"/>
          </w:tcPr>
          <w:p w14:paraId="0C3DA058"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Type of Measure</w:t>
            </w:r>
          </w:p>
        </w:tc>
        <w:tc>
          <w:tcPr>
            <w:tcW w:w="7200" w:type="dxa"/>
            <w:gridSpan w:val="6"/>
          </w:tcPr>
          <w:p w14:paraId="333D05D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Legislated exemption </w:t>
            </w:r>
          </w:p>
        </w:tc>
      </w:tr>
      <w:tr w:rsidR="00E72E03" w:rsidRPr="007669E1" w14:paraId="2CE1E894" w14:textId="77777777" w:rsidTr="005A7B4B">
        <w:tc>
          <w:tcPr>
            <w:tcW w:w="2425" w:type="dxa"/>
          </w:tcPr>
          <w:p w14:paraId="3122A7E2"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Reason why this Measure is not part of the Benchmark Tax System</w:t>
            </w:r>
          </w:p>
        </w:tc>
        <w:tc>
          <w:tcPr>
            <w:tcW w:w="7200" w:type="dxa"/>
            <w:gridSpan w:val="6"/>
          </w:tcPr>
          <w:p w14:paraId="198F635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benefits from a RET exemption, but which still utilizes public infrastructure provided by local governments. It is a tax expenditure.</w:t>
            </w:r>
          </w:p>
        </w:tc>
      </w:tr>
      <w:tr w:rsidR="00E72E03" w:rsidRPr="007669E1" w14:paraId="3EF7415F" w14:textId="77777777" w:rsidTr="005A7B4B">
        <w:tc>
          <w:tcPr>
            <w:tcW w:w="2425" w:type="dxa"/>
          </w:tcPr>
          <w:p w14:paraId="71A43A8C"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Legal Reference</w:t>
            </w:r>
          </w:p>
        </w:tc>
        <w:tc>
          <w:tcPr>
            <w:tcW w:w="7200" w:type="dxa"/>
            <w:gridSpan w:val="6"/>
          </w:tcPr>
          <w:p w14:paraId="4467035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283(1)(d) of the TC</w:t>
            </w:r>
          </w:p>
        </w:tc>
      </w:tr>
      <w:tr w:rsidR="007619A8" w:rsidRPr="007669E1" w14:paraId="3E565AFE" w14:textId="77777777" w:rsidTr="005A7B4B">
        <w:trPr>
          <w:trHeight w:val="182"/>
        </w:trPr>
        <w:tc>
          <w:tcPr>
            <w:tcW w:w="2425" w:type="dxa"/>
            <w:vMerge w:val="restart"/>
          </w:tcPr>
          <w:p w14:paraId="2E93B886"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Implementation Objectives, and History</w:t>
            </w:r>
          </w:p>
        </w:tc>
        <w:tc>
          <w:tcPr>
            <w:tcW w:w="7200" w:type="dxa"/>
            <w:gridSpan w:val="6"/>
          </w:tcPr>
          <w:p w14:paraId="741AAC71" w14:textId="77777777" w:rsidR="00476D10" w:rsidRPr="007669E1" w:rsidRDefault="00476D10" w:rsidP="00E90BA7">
            <w:pPr>
              <w:spacing w:before="20" w:after="20" w:line="240" w:lineRule="auto"/>
              <w:jc w:val="both"/>
              <w:rPr>
                <w:rFonts w:ascii="Segoe UI" w:hAnsi="Segoe UI" w:cs="Segoe UI"/>
                <w:sz w:val="18"/>
                <w:szCs w:val="18"/>
              </w:rPr>
            </w:pPr>
          </w:p>
        </w:tc>
      </w:tr>
      <w:tr w:rsidR="007619A8" w:rsidRPr="007669E1" w14:paraId="52EB1719" w14:textId="77777777" w:rsidTr="005A7B4B">
        <w:trPr>
          <w:trHeight w:val="182"/>
        </w:trPr>
        <w:tc>
          <w:tcPr>
            <w:tcW w:w="2425" w:type="dxa"/>
            <w:vMerge/>
          </w:tcPr>
          <w:p w14:paraId="11EDAA80" w14:textId="77777777" w:rsidR="00476D10" w:rsidRPr="0018721F" w:rsidRDefault="00476D10" w:rsidP="00E90BA7">
            <w:pPr>
              <w:spacing w:before="20" w:after="20" w:line="240" w:lineRule="auto"/>
              <w:jc w:val="both"/>
              <w:rPr>
                <w:rFonts w:ascii="Segoe UI" w:hAnsi="Segoe UI" w:cs="Segoe UI"/>
                <w:b/>
                <w:bCs/>
                <w:sz w:val="18"/>
                <w:szCs w:val="18"/>
              </w:rPr>
            </w:pPr>
          </w:p>
        </w:tc>
        <w:tc>
          <w:tcPr>
            <w:tcW w:w="3462" w:type="dxa"/>
            <w:gridSpan w:val="3"/>
          </w:tcPr>
          <w:p w14:paraId="65B2BD60" w14:textId="4E853E05"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1517F3A7" w14:textId="02ADFD0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017FF4BD" w14:textId="77777777" w:rsidTr="005A7B4B">
        <w:tc>
          <w:tcPr>
            <w:tcW w:w="2425" w:type="dxa"/>
          </w:tcPr>
          <w:p w14:paraId="1FE1F439"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Source of Data</w:t>
            </w:r>
          </w:p>
        </w:tc>
        <w:tc>
          <w:tcPr>
            <w:tcW w:w="7200" w:type="dxa"/>
            <w:gridSpan w:val="6"/>
          </w:tcPr>
          <w:p w14:paraId="3A62F5E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28AD2D9E" w14:textId="77777777" w:rsidTr="005A7B4B">
        <w:tc>
          <w:tcPr>
            <w:tcW w:w="2425" w:type="dxa"/>
          </w:tcPr>
          <w:p w14:paraId="24DCA006"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Estimation Method</w:t>
            </w:r>
          </w:p>
        </w:tc>
        <w:tc>
          <w:tcPr>
            <w:tcW w:w="7200" w:type="dxa"/>
            <w:gridSpan w:val="6"/>
          </w:tcPr>
          <w:p w14:paraId="3EF3C3D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19A8" w:rsidRPr="007669E1" w14:paraId="27A4BBDA" w14:textId="77777777" w:rsidTr="008A3758">
        <w:tc>
          <w:tcPr>
            <w:tcW w:w="2425" w:type="dxa"/>
          </w:tcPr>
          <w:p w14:paraId="16BBD706"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Number of Beneficiaries</w:t>
            </w:r>
          </w:p>
        </w:tc>
        <w:tc>
          <w:tcPr>
            <w:tcW w:w="7200" w:type="dxa"/>
            <w:gridSpan w:val="6"/>
            <w:shd w:val="clear" w:color="auto" w:fill="auto"/>
          </w:tcPr>
          <w:p w14:paraId="6692C537" w14:textId="4BB76278"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03162B49" w14:textId="77777777" w:rsidTr="005A7B4B">
        <w:tc>
          <w:tcPr>
            <w:tcW w:w="2425" w:type="dxa"/>
          </w:tcPr>
          <w:p w14:paraId="75C7711C"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Revenue Cost Reporting</w:t>
            </w:r>
          </w:p>
        </w:tc>
        <w:tc>
          <w:tcPr>
            <w:tcW w:w="7200" w:type="dxa"/>
            <w:gridSpan w:val="6"/>
          </w:tcPr>
          <w:p w14:paraId="7F4B33FB" w14:textId="05172A19" w:rsidR="00476D10" w:rsidRPr="007669E1" w:rsidRDefault="00B224F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DE1C6E" w:rsidRPr="007669E1">
              <w:rPr>
                <w:rFonts w:ascii="Segoe UI" w:hAnsi="Segoe UI" w:cs="Segoe UI"/>
                <w:sz w:val="18"/>
                <w:szCs w:val="18"/>
              </w:rPr>
              <w:t xml:space="preserve"> </w:t>
            </w:r>
            <w:r w:rsidR="00476D10" w:rsidRPr="007669E1">
              <w:rPr>
                <w:rFonts w:ascii="Segoe UI" w:hAnsi="Segoe UI" w:cs="Segoe UI"/>
                <w:sz w:val="18"/>
                <w:szCs w:val="18"/>
              </w:rPr>
              <w:t>MDL</w:t>
            </w:r>
          </w:p>
        </w:tc>
      </w:tr>
      <w:tr w:rsidR="00C943A7" w:rsidRPr="007669E1" w14:paraId="004D72A8" w14:textId="77777777" w:rsidTr="0018721F">
        <w:trPr>
          <w:trHeight w:val="91"/>
        </w:trPr>
        <w:tc>
          <w:tcPr>
            <w:tcW w:w="2425" w:type="dxa"/>
            <w:tcBorders>
              <w:bottom w:val="nil"/>
            </w:tcBorders>
          </w:tcPr>
          <w:p w14:paraId="04872FD1"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5142236B"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2018</w:t>
            </w:r>
          </w:p>
        </w:tc>
        <w:tc>
          <w:tcPr>
            <w:tcW w:w="1385" w:type="dxa"/>
          </w:tcPr>
          <w:p w14:paraId="71559D12"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2019</w:t>
            </w:r>
          </w:p>
        </w:tc>
        <w:tc>
          <w:tcPr>
            <w:tcW w:w="1385" w:type="dxa"/>
            <w:gridSpan w:val="2"/>
          </w:tcPr>
          <w:p w14:paraId="7C77AAF4"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2020</w:t>
            </w:r>
          </w:p>
        </w:tc>
        <w:tc>
          <w:tcPr>
            <w:tcW w:w="1385" w:type="dxa"/>
          </w:tcPr>
          <w:p w14:paraId="15E656BE" w14:textId="77777777" w:rsidR="00476D10" w:rsidRPr="0018721F" w:rsidRDefault="00476D10"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2021</w:t>
            </w:r>
          </w:p>
        </w:tc>
        <w:tc>
          <w:tcPr>
            <w:tcW w:w="1660" w:type="dxa"/>
          </w:tcPr>
          <w:p w14:paraId="409A737E" w14:textId="1D7CC722" w:rsidR="00476D10" w:rsidRPr="0018721F" w:rsidRDefault="000C00AF" w:rsidP="00E90BA7">
            <w:pPr>
              <w:spacing w:before="20" w:after="20" w:line="240" w:lineRule="auto"/>
              <w:jc w:val="both"/>
              <w:rPr>
                <w:rFonts w:ascii="Segoe UI" w:hAnsi="Segoe UI" w:cs="Segoe UI"/>
                <w:b/>
                <w:bCs/>
                <w:sz w:val="18"/>
                <w:szCs w:val="18"/>
              </w:rPr>
            </w:pPr>
            <w:r w:rsidRPr="0018721F">
              <w:rPr>
                <w:rFonts w:ascii="Segoe UI" w:hAnsi="Segoe UI" w:cs="Segoe UI"/>
                <w:b/>
                <w:bCs/>
                <w:sz w:val="18"/>
                <w:szCs w:val="18"/>
              </w:rPr>
              <w:t>2022</w:t>
            </w:r>
          </w:p>
        </w:tc>
      </w:tr>
      <w:tr w:rsidR="003C7165" w:rsidRPr="007669E1" w14:paraId="43B0FD83" w14:textId="77777777" w:rsidTr="0018721F">
        <w:trPr>
          <w:trHeight w:val="305"/>
        </w:trPr>
        <w:tc>
          <w:tcPr>
            <w:tcW w:w="2425" w:type="dxa"/>
            <w:tcBorders>
              <w:top w:val="nil"/>
            </w:tcBorders>
          </w:tcPr>
          <w:p w14:paraId="36344E41"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bottom"/>
          </w:tcPr>
          <w:p w14:paraId="0FAAE870" w14:textId="3A483285" w:rsidR="00476D10" w:rsidRPr="007669E1" w:rsidRDefault="00423B3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204.4</w:t>
            </w:r>
          </w:p>
        </w:tc>
        <w:tc>
          <w:tcPr>
            <w:tcW w:w="1385" w:type="dxa"/>
            <w:shd w:val="clear" w:color="auto" w:fill="auto"/>
            <w:vAlign w:val="bottom"/>
          </w:tcPr>
          <w:p w14:paraId="2AA3C3DD" w14:textId="7FEBE811" w:rsidR="00476D10" w:rsidRPr="007669E1" w:rsidRDefault="00B224F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238.6</w:t>
            </w:r>
          </w:p>
        </w:tc>
        <w:tc>
          <w:tcPr>
            <w:tcW w:w="1385" w:type="dxa"/>
            <w:gridSpan w:val="2"/>
            <w:shd w:val="clear" w:color="auto" w:fill="auto"/>
            <w:vAlign w:val="bottom"/>
          </w:tcPr>
          <w:p w14:paraId="679DD172" w14:textId="6F723159" w:rsidR="00476D10" w:rsidRPr="007669E1" w:rsidRDefault="00B224F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419.3</w:t>
            </w:r>
          </w:p>
        </w:tc>
        <w:tc>
          <w:tcPr>
            <w:tcW w:w="1385" w:type="dxa"/>
            <w:shd w:val="clear" w:color="auto" w:fill="auto"/>
            <w:vAlign w:val="bottom"/>
          </w:tcPr>
          <w:p w14:paraId="2C78EC4A" w14:textId="36FC1698" w:rsidR="00476D10" w:rsidRPr="007669E1" w:rsidRDefault="00B224F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243.0</w:t>
            </w:r>
          </w:p>
        </w:tc>
        <w:tc>
          <w:tcPr>
            <w:tcW w:w="1660" w:type="dxa"/>
            <w:shd w:val="clear" w:color="auto" w:fill="auto"/>
            <w:vAlign w:val="bottom"/>
          </w:tcPr>
          <w:p w14:paraId="360D9F9C" w14:textId="7FFB92B1" w:rsidR="00476D10" w:rsidRPr="007669E1" w:rsidRDefault="003C1BD7"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592F00" w:rsidRPr="007669E1">
              <w:rPr>
                <w:rFonts w:ascii="Segoe UI" w:hAnsi="Segoe UI" w:cs="Segoe UI"/>
                <w:color w:val="000000"/>
                <w:sz w:val="18"/>
                <w:szCs w:val="18"/>
              </w:rPr>
              <w:t>.</w:t>
            </w:r>
          </w:p>
        </w:tc>
      </w:tr>
    </w:tbl>
    <w:p w14:paraId="77FA5C42"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E00CB6" w14:paraId="05A9873D" w14:textId="77777777" w:rsidTr="005A7B4B">
        <w:tc>
          <w:tcPr>
            <w:tcW w:w="9625" w:type="dxa"/>
            <w:gridSpan w:val="7"/>
            <w:shd w:val="clear" w:color="auto" w:fill="D9D9D9" w:themeFill="background1" w:themeFillShade="D9"/>
          </w:tcPr>
          <w:p w14:paraId="5AB24FBA" w14:textId="15FEC866"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 xml:space="preserve">5. </w:t>
            </w:r>
            <w:r w:rsidR="00940DF1" w:rsidRPr="00E00CB6">
              <w:rPr>
                <w:rFonts w:ascii="Segoe UI" w:hAnsi="Segoe UI" w:cs="Segoe UI"/>
                <w:b/>
                <w:bCs/>
                <w:sz w:val="18"/>
                <w:szCs w:val="18"/>
              </w:rPr>
              <w:t>Exemption for c</w:t>
            </w:r>
            <w:r w:rsidRPr="00E00CB6">
              <w:rPr>
                <w:rFonts w:ascii="Segoe UI" w:hAnsi="Segoe UI" w:cs="Segoe UI"/>
                <w:b/>
                <w:bCs/>
                <w:sz w:val="18"/>
                <w:szCs w:val="18"/>
              </w:rPr>
              <w:t>ivil protection organizations and their immovable property</w:t>
            </w:r>
          </w:p>
        </w:tc>
      </w:tr>
      <w:tr w:rsidR="00E72E03" w:rsidRPr="007669E1" w14:paraId="32718A3E" w14:textId="77777777" w:rsidTr="005A7B4B">
        <w:tc>
          <w:tcPr>
            <w:tcW w:w="2425" w:type="dxa"/>
          </w:tcPr>
          <w:p w14:paraId="53B5DB84"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Description</w:t>
            </w:r>
          </w:p>
        </w:tc>
        <w:tc>
          <w:tcPr>
            <w:tcW w:w="7200" w:type="dxa"/>
            <w:gridSpan w:val="6"/>
          </w:tcPr>
          <w:p w14:paraId="02B3452D"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Operators of immovable property owned and managed by civil protection organizations are RET exempt.</w:t>
            </w:r>
          </w:p>
        </w:tc>
      </w:tr>
      <w:tr w:rsidR="00E72E03" w:rsidRPr="007669E1" w14:paraId="02781E19" w14:textId="77777777" w:rsidTr="005A7B4B">
        <w:tc>
          <w:tcPr>
            <w:tcW w:w="2425" w:type="dxa"/>
          </w:tcPr>
          <w:p w14:paraId="48D13D86"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Type of Tax Affected</w:t>
            </w:r>
          </w:p>
        </w:tc>
        <w:tc>
          <w:tcPr>
            <w:tcW w:w="7200" w:type="dxa"/>
            <w:gridSpan w:val="6"/>
          </w:tcPr>
          <w:p w14:paraId="1E3215B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7ABBEB6C" w14:textId="77777777" w:rsidTr="005A7B4B">
        <w:tc>
          <w:tcPr>
            <w:tcW w:w="2425" w:type="dxa"/>
          </w:tcPr>
          <w:p w14:paraId="552747EC"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Beneficiaries</w:t>
            </w:r>
          </w:p>
        </w:tc>
        <w:tc>
          <w:tcPr>
            <w:tcW w:w="7200" w:type="dxa"/>
            <w:gridSpan w:val="6"/>
          </w:tcPr>
          <w:p w14:paraId="5EFF145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Civil protection organizations and society served at large.</w:t>
            </w:r>
          </w:p>
        </w:tc>
      </w:tr>
      <w:tr w:rsidR="00E72E03" w:rsidRPr="007669E1" w14:paraId="43DCFE48" w14:textId="77777777" w:rsidTr="005A7B4B">
        <w:tc>
          <w:tcPr>
            <w:tcW w:w="2425" w:type="dxa"/>
          </w:tcPr>
          <w:p w14:paraId="164399AE"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Type of Measure</w:t>
            </w:r>
          </w:p>
        </w:tc>
        <w:tc>
          <w:tcPr>
            <w:tcW w:w="7200" w:type="dxa"/>
            <w:gridSpan w:val="6"/>
          </w:tcPr>
          <w:p w14:paraId="3A6B5D0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492D1E07" w14:textId="77777777" w:rsidTr="005A7B4B">
        <w:tc>
          <w:tcPr>
            <w:tcW w:w="2425" w:type="dxa"/>
          </w:tcPr>
          <w:p w14:paraId="1013EC19"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lastRenderedPageBreak/>
              <w:t>Reason why this Measure is not part of the Benchmark Tax System</w:t>
            </w:r>
          </w:p>
        </w:tc>
        <w:tc>
          <w:tcPr>
            <w:tcW w:w="7200" w:type="dxa"/>
            <w:gridSpan w:val="6"/>
          </w:tcPr>
          <w:p w14:paraId="675529A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benefits from a RET exemption, but which still utilizes public infrastructure provided by local governments. It is clearly a tax expenditure.</w:t>
            </w:r>
          </w:p>
        </w:tc>
      </w:tr>
      <w:tr w:rsidR="00E72E03" w:rsidRPr="007669E1" w14:paraId="15242B76" w14:textId="77777777" w:rsidTr="005A7B4B">
        <w:tc>
          <w:tcPr>
            <w:tcW w:w="2425" w:type="dxa"/>
          </w:tcPr>
          <w:p w14:paraId="62E5CB42"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Legal Reference</w:t>
            </w:r>
          </w:p>
        </w:tc>
        <w:tc>
          <w:tcPr>
            <w:tcW w:w="7200" w:type="dxa"/>
            <w:gridSpan w:val="6"/>
          </w:tcPr>
          <w:p w14:paraId="24B37F3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283(1)(e) of TC</w:t>
            </w:r>
          </w:p>
        </w:tc>
      </w:tr>
      <w:tr w:rsidR="007619A8" w:rsidRPr="007669E1" w14:paraId="3CD03823" w14:textId="77777777" w:rsidTr="005A7B4B">
        <w:trPr>
          <w:trHeight w:val="182"/>
        </w:trPr>
        <w:tc>
          <w:tcPr>
            <w:tcW w:w="2425" w:type="dxa"/>
            <w:vMerge w:val="restart"/>
          </w:tcPr>
          <w:p w14:paraId="27A41679"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Implementation Objectives, and History</w:t>
            </w:r>
          </w:p>
        </w:tc>
        <w:tc>
          <w:tcPr>
            <w:tcW w:w="7200" w:type="dxa"/>
            <w:gridSpan w:val="6"/>
          </w:tcPr>
          <w:p w14:paraId="5CFEFA2B" w14:textId="77777777" w:rsidR="00476D10" w:rsidRPr="007669E1" w:rsidRDefault="00476D10" w:rsidP="00E90BA7">
            <w:pPr>
              <w:spacing w:before="20" w:after="20" w:line="240" w:lineRule="auto"/>
              <w:jc w:val="both"/>
              <w:rPr>
                <w:rFonts w:ascii="Segoe UI" w:hAnsi="Segoe UI" w:cs="Segoe UI"/>
                <w:sz w:val="18"/>
                <w:szCs w:val="18"/>
              </w:rPr>
            </w:pPr>
          </w:p>
        </w:tc>
      </w:tr>
      <w:tr w:rsidR="007619A8" w:rsidRPr="007669E1" w14:paraId="33825566" w14:textId="77777777" w:rsidTr="005A7B4B">
        <w:trPr>
          <w:trHeight w:val="182"/>
        </w:trPr>
        <w:tc>
          <w:tcPr>
            <w:tcW w:w="2425" w:type="dxa"/>
            <w:vMerge/>
          </w:tcPr>
          <w:p w14:paraId="1B065B80" w14:textId="77777777" w:rsidR="00476D10" w:rsidRPr="00E00CB6" w:rsidRDefault="00476D10" w:rsidP="00E90BA7">
            <w:pPr>
              <w:spacing w:before="20" w:after="20" w:line="240" w:lineRule="auto"/>
              <w:jc w:val="both"/>
              <w:rPr>
                <w:rFonts w:ascii="Segoe UI" w:hAnsi="Segoe UI" w:cs="Segoe UI"/>
                <w:b/>
                <w:bCs/>
                <w:sz w:val="18"/>
                <w:szCs w:val="18"/>
              </w:rPr>
            </w:pPr>
          </w:p>
        </w:tc>
        <w:tc>
          <w:tcPr>
            <w:tcW w:w="3462" w:type="dxa"/>
            <w:gridSpan w:val="3"/>
          </w:tcPr>
          <w:p w14:paraId="5DF10D99" w14:textId="1EE4903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03A38718" w14:textId="67CFF2B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12E67AB7" w14:textId="77777777" w:rsidTr="005A7B4B">
        <w:tc>
          <w:tcPr>
            <w:tcW w:w="2425" w:type="dxa"/>
          </w:tcPr>
          <w:p w14:paraId="2A12EDF1"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Source of Data</w:t>
            </w:r>
          </w:p>
        </w:tc>
        <w:tc>
          <w:tcPr>
            <w:tcW w:w="7200" w:type="dxa"/>
            <w:gridSpan w:val="6"/>
          </w:tcPr>
          <w:p w14:paraId="333EFFC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356E286C" w14:textId="77777777" w:rsidTr="005A7B4B">
        <w:tc>
          <w:tcPr>
            <w:tcW w:w="2425" w:type="dxa"/>
          </w:tcPr>
          <w:p w14:paraId="2EFE6BAA"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Estimation Method</w:t>
            </w:r>
          </w:p>
        </w:tc>
        <w:tc>
          <w:tcPr>
            <w:tcW w:w="7200" w:type="dxa"/>
            <w:gridSpan w:val="6"/>
          </w:tcPr>
          <w:p w14:paraId="7175208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10097C67" w14:textId="77777777" w:rsidTr="005A7B4B">
        <w:tc>
          <w:tcPr>
            <w:tcW w:w="2425" w:type="dxa"/>
          </w:tcPr>
          <w:p w14:paraId="5E118C6D"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Number of Beneficiaries</w:t>
            </w:r>
          </w:p>
        </w:tc>
        <w:tc>
          <w:tcPr>
            <w:tcW w:w="7200" w:type="dxa"/>
            <w:gridSpan w:val="6"/>
          </w:tcPr>
          <w:p w14:paraId="10D9D693" w14:textId="2DBA1450" w:rsidR="00476D10" w:rsidRPr="007669E1" w:rsidRDefault="005144E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55421986" w14:textId="77777777" w:rsidTr="005A7B4B">
        <w:tc>
          <w:tcPr>
            <w:tcW w:w="2425" w:type="dxa"/>
          </w:tcPr>
          <w:p w14:paraId="56F63B55"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Revenue Cost Reporting</w:t>
            </w:r>
          </w:p>
        </w:tc>
        <w:tc>
          <w:tcPr>
            <w:tcW w:w="7200" w:type="dxa"/>
            <w:gridSpan w:val="6"/>
          </w:tcPr>
          <w:p w14:paraId="3F4F0365" w14:textId="56AA035F" w:rsidR="00476D10" w:rsidRPr="007669E1" w:rsidRDefault="00592F0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C943A7" w:rsidRPr="007669E1" w14:paraId="3D48C969" w14:textId="77777777" w:rsidTr="0018721F">
        <w:trPr>
          <w:trHeight w:val="91"/>
        </w:trPr>
        <w:tc>
          <w:tcPr>
            <w:tcW w:w="2425" w:type="dxa"/>
            <w:tcBorders>
              <w:bottom w:val="nil"/>
            </w:tcBorders>
          </w:tcPr>
          <w:p w14:paraId="63DA0FBB"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3F9A61E9"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2018</w:t>
            </w:r>
          </w:p>
        </w:tc>
        <w:tc>
          <w:tcPr>
            <w:tcW w:w="1385" w:type="dxa"/>
          </w:tcPr>
          <w:p w14:paraId="20AAED7B"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2019</w:t>
            </w:r>
          </w:p>
        </w:tc>
        <w:tc>
          <w:tcPr>
            <w:tcW w:w="1385" w:type="dxa"/>
            <w:gridSpan w:val="2"/>
          </w:tcPr>
          <w:p w14:paraId="5865463F"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2020</w:t>
            </w:r>
          </w:p>
        </w:tc>
        <w:tc>
          <w:tcPr>
            <w:tcW w:w="1385" w:type="dxa"/>
          </w:tcPr>
          <w:p w14:paraId="4044D26D"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2021</w:t>
            </w:r>
          </w:p>
        </w:tc>
        <w:tc>
          <w:tcPr>
            <w:tcW w:w="1660" w:type="dxa"/>
          </w:tcPr>
          <w:p w14:paraId="2B497CE3" w14:textId="55D91B78" w:rsidR="00476D10" w:rsidRPr="00E00CB6" w:rsidRDefault="000C00AF"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2022</w:t>
            </w:r>
          </w:p>
        </w:tc>
      </w:tr>
      <w:tr w:rsidR="00A2051E" w:rsidRPr="007669E1" w14:paraId="4E57EE90" w14:textId="77777777" w:rsidTr="0018721F">
        <w:trPr>
          <w:trHeight w:val="305"/>
        </w:trPr>
        <w:tc>
          <w:tcPr>
            <w:tcW w:w="2425" w:type="dxa"/>
            <w:tcBorders>
              <w:top w:val="nil"/>
            </w:tcBorders>
          </w:tcPr>
          <w:p w14:paraId="2C639CC9"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bottom"/>
          </w:tcPr>
          <w:p w14:paraId="0482841E" w14:textId="7500BE7F" w:rsidR="00476D10" w:rsidRPr="007669E1" w:rsidRDefault="002F349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32.5</w:t>
            </w:r>
          </w:p>
        </w:tc>
        <w:tc>
          <w:tcPr>
            <w:tcW w:w="1385" w:type="dxa"/>
            <w:vAlign w:val="bottom"/>
          </w:tcPr>
          <w:p w14:paraId="1E13361D" w14:textId="54FBB44B" w:rsidR="00476D10" w:rsidRPr="007669E1" w:rsidRDefault="00592F0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801.5</w:t>
            </w:r>
          </w:p>
        </w:tc>
        <w:tc>
          <w:tcPr>
            <w:tcW w:w="1385" w:type="dxa"/>
            <w:gridSpan w:val="2"/>
            <w:shd w:val="clear" w:color="auto" w:fill="auto"/>
            <w:vAlign w:val="bottom"/>
          </w:tcPr>
          <w:p w14:paraId="620FA763" w14:textId="5F62D0CD" w:rsidR="00476D10" w:rsidRPr="007669E1" w:rsidRDefault="00592F0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275.9</w:t>
            </w:r>
          </w:p>
        </w:tc>
        <w:tc>
          <w:tcPr>
            <w:tcW w:w="1385" w:type="dxa"/>
            <w:shd w:val="clear" w:color="auto" w:fill="auto"/>
            <w:vAlign w:val="bottom"/>
          </w:tcPr>
          <w:p w14:paraId="0D956B4B" w14:textId="6CF132A5" w:rsidR="00476D10" w:rsidRPr="007669E1" w:rsidRDefault="00592F0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983.5</w:t>
            </w:r>
          </w:p>
        </w:tc>
        <w:tc>
          <w:tcPr>
            <w:tcW w:w="1660" w:type="dxa"/>
            <w:shd w:val="clear" w:color="auto" w:fill="auto"/>
            <w:vAlign w:val="bottom"/>
          </w:tcPr>
          <w:p w14:paraId="3841C60F" w14:textId="2B7211A0" w:rsidR="00476D10" w:rsidRPr="007669E1" w:rsidRDefault="00DE1C6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683F02" w:rsidRPr="007669E1">
              <w:rPr>
                <w:rFonts w:ascii="Segoe UI" w:hAnsi="Segoe UI" w:cs="Segoe UI"/>
                <w:color w:val="000000"/>
                <w:sz w:val="18"/>
                <w:szCs w:val="18"/>
              </w:rPr>
              <w:t>.</w:t>
            </w:r>
          </w:p>
        </w:tc>
      </w:tr>
    </w:tbl>
    <w:p w14:paraId="1E67DE3C"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440"/>
        <w:gridCol w:w="1440"/>
        <w:gridCol w:w="535"/>
        <w:gridCol w:w="815"/>
        <w:gridCol w:w="1682"/>
        <w:gridCol w:w="1373"/>
      </w:tblGrid>
      <w:tr w:rsidR="00C943A7" w:rsidRPr="00E00CB6" w14:paraId="74AECD62" w14:textId="77777777" w:rsidTr="00CA1A76">
        <w:tc>
          <w:tcPr>
            <w:tcW w:w="9625" w:type="dxa"/>
            <w:gridSpan w:val="7"/>
            <w:shd w:val="clear" w:color="auto" w:fill="D9D9D9" w:themeFill="background1" w:themeFillShade="D9"/>
          </w:tcPr>
          <w:p w14:paraId="740B6857" w14:textId="04457C93"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 xml:space="preserve">6. </w:t>
            </w:r>
            <w:r w:rsidR="00107DD2" w:rsidRPr="00E00CB6">
              <w:rPr>
                <w:rFonts w:ascii="Segoe UI" w:hAnsi="Segoe UI" w:cs="Segoe UI"/>
                <w:b/>
                <w:bCs/>
                <w:sz w:val="18"/>
                <w:szCs w:val="18"/>
              </w:rPr>
              <w:t xml:space="preserve">Exemption </w:t>
            </w:r>
            <w:r w:rsidR="0074502F" w:rsidRPr="00E00CB6">
              <w:rPr>
                <w:rFonts w:ascii="Segoe UI" w:hAnsi="Segoe UI" w:cs="Segoe UI"/>
                <w:b/>
                <w:bCs/>
                <w:sz w:val="18"/>
                <w:szCs w:val="18"/>
              </w:rPr>
              <w:t>for</w:t>
            </w:r>
            <w:r w:rsidR="00107DD2" w:rsidRPr="00E00CB6">
              <w:rPr>
                <w:rFonts w:ascii="Segoe UI" w:hAnsi="Segoe UI" w:cs="Segoe UI"/>
                <w:b/>
                <w:bCs/>
                <w:sz w:val="18"/>
                <w:szCs w:val="18"/>
              </w:rPr>
              <w:t xml:space="preserve"> </w:t>
            </w:r>
            <w:r w:rsidR="0074502F" w:rsidRPr="00E00CB6">
              <w:rPr>
                <w:rFonts w:ascii="Segoe UI" w:hAnsi="Segoe UI" w:cs="Segoe UI"/>
                <w:b/>
                <w:bCs/>
                <w:sz w:val="18"/>
                <w:szCs w:val="18"/>
              </w:rPr>
              <w:t>r</w:t>
            </w:r>
            <w:r w:rsidRPr="00E00CB6">
              <w:rPr>
                <w:rFonts w:ascii="Segoe UI" w:hAnsi="Segoe UI" w:cs="Segoe UI"/>
                <w:b/>
                <w:bCs/>
                <w:sz w:val="18"/>
                <w:szCs w:val="18"/>
              </w:rPr>
              <w:t>eligious organization with real estate</w:t>
            </w:r>
          </w:p>
        </w:tc>
      </w:tr>
      <w:tr w:rsidR="007619A8" w:rsidRPr="007669E1" w14:paraId="108A70A1" w14:textId="77777777" w:rsidTr="00CA1A76">
        <w:tc>
          <w:tcPr>
            <w:tcW w:w="2340" w:type="dxa"/>
          </w:tcPr>
          <w:p w14:paraId="710A2B80"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Description</w:t>
            </w:r>
          </w:p>
        </w:tc>
        <w:tc>
          <w:tcPr>
            <w:tcW w:w="7285" w:type="dxa"/>
            <w:gridSpan w:val="6"/>
          </w:tcPr>
          <w:p w14:paraId="2E33B3EE"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Religious organization with real estate but limited to only the place of worship are RET exempt.</w:t>
            </w:r>
          </w:p>
        </w:tc>
      </w:tr>
      <w:tr w:rsidR="007619A8" w:rsidRPr="007669E1" w14:paraId="3C0D93EB" w14:textId="77777777" w:rsidTr="00CA1A76">
        <w:tc>
          <w:tcPr>
            <w:tcW w:w="2340" w:type="dxa"/>
          </w:tcPr>
          <w:p w14:paraId="2A0F88B0"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Type of Tax Affected</w:t>
            </w:r>
          </w:p>
        </w:tc>
        <w:tc>
          <w:tcPr>
            <w:tcW w:w="7285" w:type="dxa"/>
            <w:gridSpan w:val="6"/>
          </w:tcPr>
          <w:p w14:paraId="30FB844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19A8" w:rsidRPr="007669E1" w14:paraId="6CAEFBED" w14:textId="77777777" w:rsidTr="00CA1A76">
        <w:tc>
          <w:tcPr>
            <w:tcW w:w="2340" w:type="dxa"/>
          </w:tcPr>
          <w:p w14:paraId="6FF08432"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Beneficiaries</w:t>
            </w:r>
          </w:p>
        </w:tc>
        <w:tc>
          <w:tcPr>
            <w:tcW w:w="7285" w:type="dxa"/>
            <w:gridSpan w:val="6"/>
          </w:tcPr>
          <w:p w14:paraId="790C6C9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Religious organizations and their respective worshippers</w:t>
            </w:r>
          </w:p>
        </w:tc>
      </w:tr>
      <w:tr w:rsidR="007619A8" w:rsidRPr="007669E1" w14:paraId="36C2A232" w14:textId="77777777" w:rsidTr="00CA1A76">
        <w:tc>
          <w:tcPr>
            <w:tcW w:w="2340" w:type="dxa"/>
          </w:tcPr>
          <w:p w14:paraId="1003A4EB"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Type of Measure</w:t>
            </w:r>
          </w:p>
        </w:tc>
        <w:tc>
          <w:tcPr>
            <w:tcW w:w="7285" w:type="dxa"/>
            <w:gridSpan w:val="6"/>
          </w:tcPr>
          <w:p w14:paraId="76DA7B8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Legislated exemption </w:t>
            </w:r>
          </w:p>
        </w:tc>
      </w:tr>
      <w:tr w:rsidR="007619A8" w:rsidRPr="007669E1" w14:paraId="6A46FC67" w14:textId="77777777" w:rsidTr="00CA1A76">
        <w:tc>
          <w:tcPr>
            <w:tcW w:w="2340" w:type="dxa"/>
          </w:tcPr>
          <w:p w14:paraId="63D52736"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Reason why this Measure is not part of the Benchmark Tax System</w:t>
            </w:r>
          </w:p>
        </w:tc>
        <w:tc>
          <w:tcPr>
            <w:tcW w:w="7285" w:type="dxa"/>
            <w:gridSpan w:val="6"/>
          </w:tcPr>
          <w:p w14:paraId="034E34A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benefits from a RET exemption, albeit restricted to only places of worship, but which still utilizes public infrastructure provided by local governments. It is, of course, a tax expenditure.</w:t>
            </w:r>
          </w:p>
        </w:tc>
      </w:tr>
      <w:tr w:rsidR="007619A8" w:rsidRPr="007669E1" w14:paraId="620ED1B3" w14:textId="77777777" w:rsidTr="00CA1A76">
        <w:tc>
          <w:tcPr>
            <w:tcW w:w="2340" w:type="dxa"/>
          </w:tcPr>
          <w:p w14:paraId="404DE06D"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Legal Reference</w:t>
            </w:r>
          </w:p>
        </w:tc>
        <w:tc>
          <w:tcPr>
            <w:tcW w:w="7285" w:type="dxa"/>
            <w:gridSpan w:val="6"/>
          </w:tcPr>
          <w:p w14:paraId="06A77A6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283(1)(f) of TC</w:t>
            </w:r>
          </w:p>
        </w:tc>
      </w:tr>
      <w:tr w:rsidR="00A2051E" w:rsidRPr="007669E1" w14:paraId="594A1285" w14:textId="77777777" w:rsidTr="00CA1A76">
        <w:trPr>
          <w:trHeight w:val="182"/>
        </w:trPr>
        <w:tc>
          <w:tcPr>
            <w:tcW w:w="2340" w:type="dxa"/>
            <w:vMerge w:val="restart"/>
          </w:tcPr>
          <w:p w14:paraId="6D8FA088"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Implementation Objectives, and History</w:t>
            </w:r>
          </w:p>
        </w:tc>
        <w:tc>
          <w:tcPr>
            <w:tcW w:w="7285" w:type="dxa"/>
            <w:gridSpan w:val="6"/>
          </w:tcPr>
          <w:p w14:paraId="3A0E7FD0" w14:textId="77777777" w:rsidR="00476D10" w:rsidRPr="007669E1" w:rsidRDefault="00476D10" w:rsidP="00E90BA7">
            <w:pPr>
              <w:spacing w:before="20" w:after="20" w:line="240" w:lineRule="auto"/>
              <w:jc w:val="both"/>
              <w:rPr>
                <w:rFonts w:ascii="Segoe UI" w:hAnsi="Segoe UI" w:cs="Segoe UI"/>
                <w:sz w:val="18"/>
                <w:szCs w:val="18"/>
              </w:rPr>
            </w:pPr>
          </w:p>
        </w:tc>
      </w:tr>
      <w:tr w:rsidR="00A2051E" w:rsidRPr="007669E1" w14:paraId="350B140B" w14:textId="77777777" w:rsidTr="00CA1A76">
        <w:trPr>
          <w:trHeight w:val="182"/>
        </w:trPr>
        <w:tc>
          <w:tcPr>
            <w:tcW w:w="2340" w:type="dxa"/>
            <w:vMerge/>
          </w:tcPr>
          <w:p w14:paraId="09B56EDB" w14:textId="77777777" w:rsidR="00476D10" w:rsidRPr="00E00CB6" w:rsidRDefault="00476D10" w:rsidP="00E90BA7">
            <w:pPr>
              <w:spacing w:before="20" w:after="20" w:line="240" w:lineRule="auto"/>
              <w:jc w:val="both"/>
              <w:rPr>
                <w:rFonts w:ascii="Segoe UI" w:hAnsi="Segoe UI" w:cs="Segoe UI"/>
                <w:b/>
                <w:bCs/>
                <w:sz w:val="18"/>
                <w:szCs w:val="18"/>
              </w:rPr>
            </w:pPr>
          </w:p>
        </w:tc>
        <w:tc>
          <w:tcPr>
            <w:tcW w:w="3415" w:type="dxa"/>
            <w:gridSpan w:val="3"/>
          </w:tcPr>
          <w:p w14:paraId="106A88AD" w14:textId="411FC20C"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870" w:type="dxa"/>
            <w:gridSpan w:val="3"/>
          </w:tcPr>
          <w:p w14:paraId="620A026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p>
        </w:tc>
      </w:tr>
      <w:tr w:rsidR="007619A8" w:rsidRPr="007669E1" w14:paraId="241C0950" w14:textId="77777777" w:rsidTr="00CA1A76">
        <w:tc>
          <w:tcPr>
            <w:tcW w:w="2340" w:type="dxa"/>
          </w:tcPr>
          <w:p w14:paraId="050CAFAF"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Source of Data</w:t>
            </w:r>
          </w:p>
        </w:tc>
        <w:tc>
          <w:tcPr>
            <w:tcW w:w="7285" w:type="dxa"/>
            <w:gridSpan w:val="6"/>
          </w:tcPr>
          <w:p w14:paraId="52BC7D3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19A8" w:rsidRPr="007669E1" w14:paraId="47FE1C4A" w14:textId="77777777" w:rsidTr="00CA1A76">
        <w:tc>
          <w:tcPr>
            <w:tcW w:w="2340" w:type="dxa"/>
          </w:tcPr>
          <w:p w14:paraId="629DF83C"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Estimation Method</w:t>
            </w:r>
          </w:p>
        </w:tc>
        <w:tc>
          <w:tcPr>
            <w:tcW w:w="7285" w:type="dxa"/>
            <w:gridSpan w:val="6"/>
          </w:tcPr>
          <w:p w14:paraId="6148FC2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19A8" w:rsidRPr="007669E1" w14:paraId="7C600826" w14:textId="77777777" w:rsidTr="00CA1A76">
        <w:tc>
          <w:tcPr>
            <w:tcW w:w="2340" w:type="dxa"/>
          </w:tcPr>
          <w:p w14:paraId="7A901E97"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Number of Beneficiaries</w:t>
            </w:r>
          </w:p>
        </w:tc>
        <w:tc>
          <w:tcPr>
            <w:tcW w:w="7285" w:type="dxa"/>
            <w:gridSpan w:val="6"/>
          </w:tcPr>
          <w:p w14:paraId="46170678" w14:textId="6F9B6608"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19A8" w:rsidRPr="007669E1" w14:paraId="1F03A16A" w14:textId="77777777" w:rsidTr="00CA1A76">
        <w:tc>
          <w:tcPr>
            <w:tcW w:w="2340" w:type="dxa"/>
          </w:tcPr>
          <w:p w14:paraId="0B25A2DA" w14:textId="614EDA71"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 xml:space="preserve">Revenue Cost </w:t>
            </w:r>
            <w:r w:rsidR="00CA1A76" w:rsidRPr="00E00CB6">
              <w:rPr>
                <w:rFonts w:ascii="Segoe UI" w:hAnsi="Segoe UI" w:cs="Segoe UI"/>
                <w:b/>
                <w:bCs/>
                <w:sz w:val="18"/>
                <w:szCs w:val="18"/>
              </w:rPr>
              <w:t>R</w:t>
            </w:r>
            <w:r w:rsidRPr="00E00CB6">
              <w:rPr>
                <w:rFonts w:ascii="Segoe UI" w:hAnsi="Segoe UI" w:cs="Segoe UI"/>
                <w:b/>
                <w:bCs/>
                <w:sz w:val="18"/>
                <w:szCs w:val="18"/>
              </w:rPr>
              <w:t>eporting</w:t>
            </w:r>
          </w:p>
        </w:tc>
        <w:tc>
          <w:tcPr>
            <w:tcW w:w="7285" w:type="dxa"/>
            <w:gridSpan w:val="6"/>
          </w:tcPr>
          <w:p w14:paraId="3DE54137" w14:textId="291F0C6D" w:rsidR="00476D10" w:rsidRPr="007669E1" w:rsidRDefault="0038759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C943A7" w:rsidRPr="007669E1" w14:paraId="2431BD6C" w14:textId="77777777" w:rsidTr="00E00CB6">
        <w:trPr>
          <w:trHeight w:val="91"/>
        </w:trPr>
        <w:tc>
          <w:tcPr>
            <w:tcW w:w="2340" w:type="dxa"/>
            <w:tcBorders>
              <w:bottom w:val="nil"/>
            </w:tcBorders>
          </w:tcPr>
          <w:p w14:paraId="69542F74" w14:textId="77777777" w:rsidR="00476D10" w:rsidRPr="007669E1" w:rsidRDefault="00476D10" w:rsidP="00E90BA7">
            <w:pPr>
              <w:spacing w:before="20" w:after="20" w:line="240" w:lineRule="auto"/>
              <w:jc w:val="both"/>
              <w:rPr>
                <w:rFonts w:ascii="Segoe UI" w:hAnsi="Segoe UI" w:cs="Segoe UI"/>
                <w:sz w:val="18"/>
                <w:szCs w:val="18"/>
              </w:rPr>
            </w:pPr>
          </w:p>
        </w:tc>
        <w:tc>
          <w:tcPr>
            <w:tcW w:w="1440" w:type="dxa"/>
          </w:tcPr>
          <w:p w14:paraId="5DAD6E13"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2018</w:t>
            </w:r>
          </w:p>
        </w:tc>
        <w:tc>
          <w:tcPr>
            <w:tcW w:w="1440" w:type="dxa"/>
          </w:tcPr>
          <w:p w14:paraId="6164AF2F"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2019</w:t>
            </w:r>
          </w:p>
        </w:tc>
        <w:tc>
          <w:tcPr>
            <w:tcW w:w="1350" w:type="dxa"/>
            <w:gridSpan w:val="2"/>
          </w:tcPr>
          <w:p w14:paraId="6EA18792"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2020</w:t>
            </w:r>
          </w:p>
        </w:tc>
        <w:tc>
          <w:tcPr>
            <w:tcW w:w="1682" w:type="dxa"/>
          </w:tcPr>
          <w:p w14:paraId="45DAE2A7" w14:textId="77777777" w:rsidR="00476D10" w:rsidRPr="00E00CB6" w:rsidRDefault="00476D10"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2021</w:t>
            </w:r>
          </w:p>
        </w:tc>
        <w:tc>
          <w:tcPr>
            <w:tcW w:w="1373" w:type="dxa"/>
          </w:tcPr>
          <w:p w14:paraId="7935E8D2" w14:textId="5E906547" w:rsidR="00476D10" w:rsidRPr="00E00CB6" w:rsidRDefault="000C00AF" w:rsidP="00E90BA7">
            <w:pPr>
              <w:spacing w:before="20" w:after="20" w:line="240" w:lineRule="auto"/>
              <w:jc w:val="both"/>
              <w:rPr>
                <w:rFonts w:ascii="Segoe UI" w:hAnsi="Segoe UI" w:cs="Segoe UI"/>
                <w:b/>
                <w:bCs/>
                <w:sz w:val="18"/>
                <w:szCs w:val="18"/>
              </w:rPr>
            </w:pPr>
            <w:r w:rsidRPr="00E00CB6">
              <w:rPr>
                <w:rFonts w:ascii="Segoe UI" w:hAnsi="Segoe UI" w:cs="Segoe UI"/>
                <w:b/>
                <w:bCs/>
                <w:sz w:val="18"/>
                <w:szCs w:val="18"/>
              </w:rPr>
              <w:t>2022</w:t>
            </w:r>
          </w:p>
        </w:tc>
      </w:tr>
      <w:tr w:rsidR="00533B21" w:rsidRPr="007669E1" w14:paraId="0A12A835" w14:textId="77777777" w:rsidTr="00E00CB6">
        <w:trPr>
          <w:trHeight w:val="305"/>
        </w:trPr>
        <w:tc>
          <w:tcPr>
            <w:tcW w:w="2340" w:type="dxa"/>
            <w:tcBorders>
              <w:top w:val="nil"/>
            </w:tcBorders>
            <w:vAlign w:val="center"/>
          </w:tcPr>
          <w:p w14:paraId="233C98E6" w14:textId="77777777" w:rsidR="00476D10" w:rsidRPr="007669E1" w:rsidRDefault="00476D10" w:rsidP="00E90BA7">
            <w:pPr>
              <w:spacing w:before="20" w:after="20" w:line="240" w:lineRule="auto"/>
              <w:jc w:val="both"/>
              <w:rPr>
                <w:rFonts w:ascii="Segoe UI" w:hAnsi="Segoe UI" w:cs="Segoe UI"/>
                <w:sz w:val="18"/>
                <w:szCs w:val="18"/>
              </w:rPr>
            </w:pPr>
          </w:p>
        </w:tc>
        <w:tc>
          <w:tcPr>
            <w:tcW w:w="1440" w:type="dxa"/>
            <w:vAlign w:val="center"/>
          </w:tcPr>
          <w:p w14:paraId="66C28007" w14:textId="08A28113" w:rsidR="00476D10" w:rsidRPr="007669E1" w:rsidRDefault="00C336B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663.7</w:t>
            </w:r>
          </w:p>
        </w:tc>
        <w:tc>
          <w:tcPr>
            <w:tcW w:w="1440" w:type="dxa"/>
            <w:shd w:val="clear" w:color="auto" w:fill="auto"/>
            <w:vAlign w:val="center"/>
          </w:tcPr>
          <w:p w14:paraId="4EB66987" w14:textId="599DAE20"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w:t>
            </w:r>
            <w:r w:rsidR="00592F00" w:rsidRPr="007669E1">
              <w:rPr>
                <w:rFonts w:ascii="Segoe UI" w:hAnsi="Segoe UI" w:cs="Segoe UI"/>
                <w:color w:val="000000"/>
                <w:sz w:val="18"/>
                <w:szCs w:val="18"/>
              </w:rPr>
              <w:t>,111.5</w:t>
            </w:r>
          </w:p>
        </w:tc>
        <w:tc>
          <w:tcPr>
            <w:tcW w:w="1350" w:type="dxa"/>
            <w:gridSpan w:val="2"/>
            <w:shd w:val="clear" w:color="auto" w:fill="auto"/>
            <w:vAlign w:val="center"/>
          </w:tcPr>
          <w:p w14:paraId="46FB49D7" w14:textId="454EC0A7" w:rsidR="00476D10" w:rsidRPr="007669E1" w:rsidRDefault="00387591"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645.8</w:t>
            </w:r>
          </w:p>
        </w:tc>
        <w:tc>
          <w:tcPr>
            <w:tcW w:w="1682" w:type="dxa"/>
            <w:shd w:val="clear" w:color="auto" w:fill="auto"/>
            <w:vAlign w:val="center"/>
          </w:tcPr>
          <w:p w14:paraId="314CA93A" w14:textId="47CCFA1F" w:rsidR="00476D10" w:rsidRPr="007669E1" w:rsidRDefault="00476D10"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10</w:t>
            </w:r>
            <w:r w:rsidR="00387591" w:rsidRPr="007669E1">
              <w:rPr>
                <w:rFonts w:ascii="Segoe UI" w:hAnsi="Segoe UI" w:cs="Segoe UI"/>
                <w:color w:val="000000"/>
                <w:sz w:val="18"/>
                <w:szCs w:val="18"/>
              </w:rPr>
              <w:t>,800.9</w:t>
            </w:r>
          </w:p>
        </w:tc>
        <w:tc>
          <w:tcPr>
            <w:tcW w:w="1373" w:type="dxa"/>
            <w:shd w:val="clear" w:color="auto" w:fill="auto"/>
            <w:vAlign w:val="center"/>
          </w:tcPr>
          <w:p w14:paraId="6504F407" w14:textId="6FDE578F" w:rsidR="00476D10" w:rsidRPr="007669E1" w:rsidRDefault="00A8667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5272DF" w:rsidRPr="007669E1">
              <w:rPr>
                <w:rFonts w:ascii="Segoe UI" w:hAnsi="Segoe UI" w:cs="Segoe UI"/>
                <w:sz w:val="18"/>
                <w:szCs w:val="18"/>
              </w:rPr>
              <w:t>.</w:t>
            </w:r>
          </w:p>
        </w:tc>
      </w:tr>
    </w:tbl>
    <w:p w14:paraId="08CBAFCE"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9316B3" w14:paraId="4C113037" w14:textId="77777777" w:rsidTr="005A7B4B">
        <w:tc>
          <w:tcPr>
            <w:tcW w:w="9625" w:type="dxa"/>
            <w:gridSpan w:val="7"/>
            <w:shd w:val="clear" w:color="auto" w:fill="D9D9D9" w:themeFill="background1" w:themeFillShade="D9"/>
          </w:tcPr>
          <w:p w14:paraId="09242E4F" w14:textId="70045725"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 xml:space="preserve">7. </w:t>
            </w:r>
            <w:r w:rsidR="00525C2B" w:rsidRPr="009316B3">
              <w:rPr>
                <w:rFonts w:ascii="Segoe UI" w:hAnsi="Segoe UI" w:cs="Segoe UI"/>
                <w:b/>
                <w:bCs/>
                <w:sz w:val="18"/>
                <w:szCs w:val="18"/>
              </w:rPr>
              <w:t xml:space="preserve">Exemption for </w:t>
            </w:r>
            <w:r w:rsidR="3F446DB9" w:rsidRPr="009316B3">
              <w:rPr>
                <w:rFonts w:ascii="Segoe UI" w:hAnsi="Segoe UI" w:cs="Segoe UI"/>
                <w:b/>
                <w:bCs/>
                <w:sz w:val="18"/>
                <w:szCs w:val="18"/>
              </w:rPr>
              <w:t>p</w:t>
            </w:r>
            <w:r w:rsidRPr="009316B3">
              <w:rPr>
                <w:rFonts w:ascii="Segoe UI" w:hAnsi="Segoe UI" w:cs="Segoe UI"/>
                <w:b/>
                <w:bCs/>
                <w:sz w:val="18"/>
                <w:szCs w:val="18"/>
              </w:rPr>
              <w:t>roperty owned by diplomatic mission, consular offices and international organizations</w:t>
            </w:r>
          </w:p>
        </w:tc>
      </w:tr>
      <w:tr w:rsidR="007619A8" w:rsidRPr="007669E1" w14:paraId="0F3EE94B" w14:textId="77777777" w:rsidTr="005A7B4B">
        <w:tc>
          <w:tcPr>
            <w:tcW w:w="2425" w:type="dxa"/>
          </w:tcPr>
          <w:p w14:paraId="4A738B91"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Description</w:t>
            </w:r>
          </w:p>
        </w:tc>
        <w:tc>
          <w:tcPr>
            <w:tcW w:w="7200" w:type="dxa"/>
            <w:gridSpan w:val="6"/>
          </w:tcPr>
          <w:p w14:paraId="4DBE0E7E"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Based on the principle of reciprocity, property owned by diplomatic mission, consular offices, and international organizations, accredited in Moldova are RET-exempt</w:t>
            </w:r>
          </w:p>
        </w:tc>
      </w:tr>
      <w:tr w:rsidR="007619A8" w:rsidRPr="007669E1" w14:paraId="68C3FBD0" w14:textId="77777777" w:rsidTr="005A7B4B">
        <w:tc>
          <w:tcPr>
            <w:tcW w:w="2425" w:type="dxa"/>
          </w:tcPr>
          <w:p w14:paraId="7B889CD6"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Type of Tax Affected</w:t>
            </w:r>
          </w:p>
        </w:tc>
        <w:tc>
          <w:tcPr>
            <w:tcW w:w="7200" w:type="dxa"/>
            <w:gridSpan w:val="6"/>
          </w:tcPr>
          <w:p w14:paraId="42F5BF9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19A8" w:rsidRPr="007669E1" w14:paraId="26BF9197" w14:textId="77777777" w:rsidTr="005A7B4B">
        <w:tc>
          <w:tcPr>
            <w:tcW w:w="2425" w:type="dxa"/>
          </w:tcPr>
          <w:p w14:paraId="41A05359"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Beneficiaries</w:t>
            </w:r>
          </w:p>
        </w:tc>
        <w:tc>
          <w:tcPr>
            <w:tcW w:w="7200" w:type="dxa"/>
            <w:gridSpan w:val="6"/>
          </w:tcPr>
          <w:p w14:paraId="3EAA4FA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Foreign governments and multilateral organizations</w:t>
            </w:r>
          </w:p>
        </w:tc>
      </w:tr>
      <w:tr w:rsidR="007619A8" w:rsidRPr="007669E1" w14:paraId="57240CB8" w14:textId="77777777" w:rsidTr="005A7B4B">
        <w:tc>
          <w:tcPr>
            <w:tcW w:w="2425" w:type="dxa"/>
          </w:tcPr>
          <w:p w14:paraId="1E411D5B"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Type of Measure</w:t>
            </w:r>
          </w:p>
        </w:tc>
        <w:tc>
          <w:tcPr>
            <w:tcW w:w="7200" w:type="dxa"/>
            <w:gridSpan w:val="6"/>
          </w:tcPr>
          <w:p w14:paraId="430FFB2F" w14:textId="250D95D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19A8" w:rsidRPr="007669E1" w14:paraId="5EB05BB4" w14:textId="77777777" w:rsidTr="005A7B4B">
        <w:tc>
          <w:tcPr>
            <w:tcW w:w="2425" w:type="dxa"/>
          </w:tcPr>
          <w:p w14:paraId="1D08D619"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Reason why this Measure is not part of the Benchmark Tax System</w:t>
            </w:r>
          </w:p>
        </w:tc>
        <w:tc>
          <w:tcPr>
            <w:tcW w:w="7200" w:type="dxa"/>
            <w:gridSpan w:val="6"/>
          </w:tcPr>
          <w:p w14:paraId="770A3C1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Diplomatic and consular properties consume public services provided by local authorities and in which territory foreign missions are located. According to the benefit principle, they should pay compensation for public service benefits received. The tax exemption is a tax expenditure.</w:t>
            </w:r>
          </w:p>
        </w:tc>
      </w:tr>
      <w:tr w:rsidR="007619A8" w:rsidRPr="007669E1" w14:paraId="27510B45" w14:textId="77777777" w:rsidTr="005A7B4B">
        <w:tc>
          <w:tcPr>
            <w:tcW w:w="2425" w:type="dxa"/>
          </w:tcPr>
          <w:p w14:paraId="2EBAF351"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Legal Reference</w:t>
            </w:r>
          </w:p>
        </w:tc>
        <w:tc>
          <w:tcPr>
            <w:tcW w:w="7200" w:type="dxa"/>
            <w:gridSpan w:val="6"/>
          </w:tcPr>
          <w:p w14:paraId="5515259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283(1)(g) of TC</w:t>
            </w:r>
          </w:p>
        </w:tc>
      </w:tr>
      <w:tr w:rsidR="007619A8" w:rsidRPr="007669E1" w14:paraId="18B0505F" w14:textId="77777777" w:rsidTr="005A7B4B">
        <w:trPr>
          <w:trHeight w:val="182"/>
        </w:trPr>
        <w:tc>
          <w:tcPr>
            <w:tcW w:w="2425" w:type="dxa"/>
            <w:vMerge w:val="restart"/>
          </w:tcPr>
          <w:p w14:paraId="6B2A2CFB"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Implementation Objectives, and History</w:t>
            </w:r>
          </w:p>
        </w:tc>
        <w:tc>
          <w:tcPr>
            <w:tcW w:w="7200" w:type="dxa"/>
            <w:gridSpan w:val="6"/>
          </w:tcPr>
          <w:p w14:paraId="4C0C8DFF" w14:textId="77777777" w:rsidR="00476D10" w:rsidRPr="007669E1" w:rsidRDefault="00476D10" w:rsidP="00E90BA7">
            <w:pPr>
              <w:spacing w:before="20" w:after="20" w:line="240" w:lineRule="auto"/>
              <w:jc w:val="both"/>
              <w:rPr>
                <w:rFonts w:ascii="Segoe UI" w:hAnsi="Segoe UI" w:cs="Segoe UI"/>
                <w:sz w:val="18"/>
                <w:szCs w:val="18"/>
              </w:rPr>
            </w:pPr>
          </w:p>
        </w:tc>
      </w:tr>
      <w:tr w:rsidR="00A2051E" w:rsidRPr="007669E1" w14:paraId="73DDC73F" w14:textId="77777777" w:rsidTr="005A7B4B">
        <w:trPr>
          <w:trHeight w:val="182"/>
        </w:trPr>
        <w:tc>
          <w:tcPr>
            <w:tcW w:w="2425" w:type="dxa"/>
            <w:vMerge/>
          </w:tcPr>
          <w:p w14:paraId="3F081318" w14:textId="77777777" w:rsidR="00476D10" w:rsidRPr="009316B3" w:rsidRDefault="00476D10" w:rsidP="00E90BA7">
            <w:pPr>
              <w:spacing w:before="20" w:after="20" w:line="240" w:lineRule="auto"/>
              <w:jc w:val="both"/>
              <w:rPr>
                <w:rFonts w:ascii="Segoe UI" w:hAnsi="Segoe UI" w:cs="Segoe UI"/>
                <w:b/>
                <w:bCs/>
                <w:sz w:val="18"/>
                <w:szCs w:val="18"/>
              </w:rPr>
            </w:pPr>
          </w:p>
        </w:tc>
        <w:tc>
          <w:tcPr>
            <w:tcW w:w="3462" w:type="dxa"/>
            <w:gridSpan w:val="3"/>
          </w:tcPr>
          <w:p w14:paraId="33D15D9B" w14:textId="7D98BDE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0200CDA4" w14:textId="2F9F5124"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19A8" w:rsidRPr="007669E1" w14:paraId="0B2A5783" w14:textId="77777777" w:rsidTr="005A7B4B">
        <w:tc>
          <w:tcPr>
            <w:tcW w:w="2425" w:type="dxa"/>
          </w:tcPr>
          <w:p w14:paraId="1E319E59"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Source of Data</w:t>
            </w:r>
          </w:p>
        </w:tc>
        <w:tc>
          <w:tcPr>
            <w:tcW w:w="7200" w:type="dxa"/>
            <w:gridSpan w:val="6"/>
          </w:tcPr>
          <w:p w14:paraId="70947A7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19A8" w:rsidRPr="007669E1" w14:paraId="3917563E" w14:textId="77777777" w:rsidTr="005A7B4B">
        <w:tc>
          <w:tcPr>
            <w:tcW w:w="2425" w:type="dxa"/>
          </w:tcPr>
          <w:p w14:paraId="726BE5DF"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lastRenderedPageBreak/>
              <w:t>Estimation Method</w:t>
            </w:r>
          </w:p>
        </w:tc>
        <w:tc>
          <w:tcPr>
            <w:tcW w:w="7200" w:type="dxa"/>
            <w:gridSpan w:val="6"/>
          </w:tcPr>
          <w:p w14:paraId="305E9F7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19A8" w:rsidRPr="007669E1" w14:paraId="7A7BE3A2" w14:textId="77777777" w:rsidTr="005A7B4B">
        <w:tc>
          <w:tcPr>
            <w:tcW w:w="2425" w:type="dxa"/>
          </w:tcPr>
          <w:p w14:paraId="4F545819"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Number of Beneficiaries</w:t>
            </w:r>
          </w:p>
        </w:tc>
        <w:tc>
          <w:tcPr>
            <w:tcW w:w="7200" w:type="dxa"/>
            <w:gridSpan w:val="6"/>
          </w:tcPr>
          <w:p w14:paraId="1C68C5E0" w14:textId="54DE9DC4"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19A8" w:rsidRPr="007669E1" w14:paraId="53381DFB" w14:textId="77777777" w:rsidTr="005A7B4B">
        <w:tc>
          <w:tcPr>
            <w:tcW w:w="2425" w:type="dxa"/>
          </w:tcPr>
          <w:p w14:paraId="7DD8C611"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Revenue Cost Reporting</w:t>
            </w:r>
          </w:p>
        </w:tc>
        <w:tc>
          <w:tcPr>
            <w:tcW w:w="7200" w:type="dxa"/>
            <w:gridSpan w:val="6"/>
          </w:tcPr>
          <w:p w14:paraId="00338313" w14:textId="2DA9F506" w:rsidR="00476D10" w:rsidRPr="007669E1" w:rsidRDefault="004142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75F01" w:rsidRPr="007669E1" w14:paraId="6A3F8F02" w14:textId="77777777" w:rsidTr="005A7B4B">
        <w:trPr>
          <w:trHeight w:val="91"/>
        </w:trPr>
        <w:tc>
          <w:tcPr>
            <w:tcW w:w="2425" w:type="dxa"/>
            <w:vMerge w:val="restart"/>
          </w:tcPr>
          <w:p w14:paraId="2AE31B3A"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6598374A"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2018</w:t>
            </w:r>
          </w:p>
        </w:tc>
        <w:tc>
          <w:tcPr>
            <w:tcW w:w="1385" w:type="dxa"/>
          </w:tcPr>
          <w:p w14:paraId="1B8E0D11"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2019</w:t>
            </w:r>
          </w:p>
        </w:tc>
        <w:tc>
          <w:tcPr>
            <w:tcW w:w="1385" w:type="dxa"/>
            <w:gridSpan w:val="2"/>
          </w:tcPr>
          <w:p w14:paraId="33981054"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2020</w:t>
            </w:r>
          </w:p>
        </w:tc>
        <w:tc>
          <w:tcPr>
            <w:tcW w:w="1385" w:type="dxa"/>
          </w:tcPr>
          <w:p w14:paraId="6BB74778"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2021</w:t>
            </w:r>
          </w:p>
        </w:tc>
        <w:tc>
          <w:tcPr>
            <w:tcW w:w="1660" w:type="dxa"/>
          </w:tcPr>
          <w:p w14:paraId="713DC871" w14:textId="2861BE07" w:rsidR="00476D10" w:rsidRPr="009316B3" w:rsidRDefault="000C00AF"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2022</w:t>
            </w:r>
          </w:p>
        </w:tc>
      </w:tr>
      <w:tr w:rsidR="00C943A7" w:rsidRPr="007669E1" w14:paraId="77F9678D" w14:textId="77777777" w:rsidTr="00787DC7">
        <w:trPr>
          <w:trHeight w:val="305"/>
        </w:trPr>
        <w:tc>
          <w:tcPr>
            <w:tcW w:w="2425" w:type="dxa"/>
            <w:vMerge/>
          </w:tcPr>
          <w:p w14:paraId="235E3897"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70ADABCE" w14:textId="42553481" w:rsidR="00476D10" w:rsidRPr="007669E1" w:rsidRDefault="00AC4C5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13,841.8</w:t>
            </w:r>
          </w:p>
        </w:tc>
        <w:tc>
          <w:tcPr>
            <w:tcW w:w="1385" w:type="dxa"/>
          </w:tcPr>
          <w:p w14:paraId="51A4EB75" w14:textId="10DB5586" w:rsidR="00476D10" w:rsidRPr="007669E1" w:rsidRDefault="00DB266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5272DF" w:rsidRPr="007669E1">
              <w:rPr>
                <w:rFonts w:ascii="Segoe UI" w:hAnsi="Segoe UI" w:cs="Segoe UI"/>
                <w:sz w:val="18"/>
                <w:szCs w:val="18"/>
              </w:rPr>
              <w:t>.</w:t>
            </w:r>
          </w:p>
        </w:tc>
        <w:tc>
          <w:tcPr>
            <w:tcW w:w="1385" w:type="dxa"/>
            <w:gridSpan w:val="2"/>
            <w:shd w:val="clear" w:color="auto" w:fill="auto"/>
          </w:tcPr>
          <w:p w14:paraId="3EE9B774" w14:textId="5C21C31D" w:rsidR="00476D10" w:rsidRPr="007669E1" w:rsidRDefault="004142D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140461" w:rsidRPr="007669E1">
              <w:rPr>
                <w:rFonts w:ascii="Segoe UI" w:hAnsi="Segoe UI" w:cs="Segoe UI"/>
                <w:sz w:val="18"/>
                <w:szCs w:val="18"/>
              </w:rPr>
              <w:t>.</w:t>
            </w:r>
          </w:p>
        </w:tc>
        <w:tc>
          <w:tcPr>
            <w:tcW w:w="1385" w:type="dxa"/>
            <w:shd w:val="clear" w:color="auto" w:fill="auto"/>
          </w:tcPr>
          <w:p w14:paraId="272FAFB7" w14:textId="6C67740A" w:rsidR="00476D10" w:rsidRPr="007669E1" w:rsidRDefault="00787DC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5272DF" w:rsidRPr="007669E1">
              <w:rPr>
                <w:rFonts w:ascii="Segoe UI" w:hAnsi="Segoe UI" w:cs="Segoe UI"/>
                <w:sz w:val="18"/>
                <w:szCs w:val="18"/>
              </w:rPr>
              <w:t>.</w:t>
            </w:r>
          </w:p>
        </w:tc>
        <w:tc>
          <w:tcPr>
            <w:tcW w:w="1660" w:type="dxa"/>
            <w:shd w:val="clear" w:color="auto" w:fill="auto"/>
          </w:tcPr>
          <w:p w14:paraId="6B74B966" w14:textId="18949C9B" w:rsidR="00476D10" w:rsidRPr="007669E1" w:rsidRDefault="00787DC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5272DF" w:rsidRPr="007669E1">
              <w:rPr>
                <w:rFonts w:ascii="Segoe UI" w:hAnsi="Segoe UI" w:cs="Segoe UI"/>
                <w:sz w:val="18"/>
                <w:szCs w:val="18"/>
              </w:rPr>
              <w:t>.</w:t>
            </w:r>
          </w:p>
        </w:tc>
      </w:tr>
    </w:tbl>
    <w:p w14:paraId="360682D6"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0"/>
        <w:gridCol w:w="1380"/>
        <w:gridCol w:w="1385"/>
        <w:gridCol w:w="692"/>
        <w:gridCol w:w="693"/>
        <w:gridCol w:w="1399"/>
        <w:gridCol w:w="1656"/>
      </w:tblGrid>
      <w:tr w:rsidR="00A2051E" w:rsidRPr="009316B3" w14:paraId="23F871AB" w14:textId="77777777" w:rsidTr="005A7B4B">
        <w:tc>
          <w:tcPr>
            <w:tcW w:w="9625" w:type="dxa"/>
            <w:gridSpan w:val="7"/>
            <w:shd w:val="clear" w:color="auto" w:fill="D9D9D9" w:themeFill="background1" w:themeFillShade="D9"/>
          </w:tcPr>
          <w:p w14:paraId="59C63552" w14:textId="5939DE46"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 xml:space="preserve">8. </w:t>
            </w:r>
            <w:r w:rsidR="00525C2B" w:rsidRPr="009316B3">
              <w:rPr>
                <w:rFonts w:ascii="Segoe UI" w:hAnsi="Segoe UI" w:cs="Segoe UI"/>
                <w:b/>
                <w:bCs/>
                <w:sz w:val="18"/>
                <w:szCs w:val="18"/>
              </w:rPr>
              <w:t>Exemption for r</w:t>
            </w:r>
            <w:r w:rsidRPr="009316B3">
              <w:rPr>
                <w:rFonts w:ascii="Segoe UI" w:hAnsi="Segoe UI" w:cs="Segoe UI"/>
                <w:b/>
                <w:bCs/>
                <w:sz w:val="18"/>
                <w:szCs w:val="18"/>
              </w:rPr>
              <w:t>eal estate owned by retired persons, people with disabilities, participants in the Chernobyl clean-up, and war veterans</w:t>
            </w:r>
          </w:p>
        </w:tc>
      </w:tr>
      <w:tr w:rsidR="00775F01" w:rsidRPr="007669E1" w14:paraId="53367E06" w14:textId="77777777" w:rsidTr="007709EB">
        <w:tc>
          <w:tcPr>
            <w:tcW w:w="2420" w:type="dxa"/>
          </w:tcPr>
          <w:p w14:paraId="0D2D6FA9"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Description</w:t>
            </w:r>
          </w:p>
        </w:tc>
        <w:tc>
          <w:tcPr>
            <w:tcW w:w="7205" w:type="dxa"/>
            <w:gridSpan w:val="6"/>
          </w:tcPr>
          <w:p w14:paraId="23216543"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Persons of retirement age, persons with severe and accentuated disabilities, persons with disabilities from childhood, persons with moderate disabilities (participants in combat operations for defending the territorial integrity and the independence of the Republic of Moldova, participants in combat operations in Afghanistan, participants in the clean-up of the Chernobyl NPS accident, as well as persons subjected to repressions and subsequently rehabilitated are</w:t>
            </w:r>
            <w:r w:rsidRPr="007669E1">
              <w:rPr>
                <w:rFonts w:ascii="Segoe UI" w:hAnsi="Segoe UI" w:cs="Segoe UI"/>
                <w:sz w:val="18"/>
                <w:szCs w:val="18"/>
              </w:rPr>
              <w:t xml:space="preserve"> exempt from RET </w:t>
            </w:r>
          </w:p>
        </w:tc>
      </w:tr>
      <w:tr w:rsidR="00775F01" w:rsidRPr="007669E1" w14:paraId="3C9746D8" w14:textId="77777777" w:rsidTr="007709EB">
        <w:tc>
          <w:tcPr>
            <w:tcW w:w="2420" w:type="dxa"/>
          </w:tcPr>
          <w:p w14:paraId="6C8D9F58"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Type of Tax Affected</w:t>
            </w:r>
          </w:p>
        </w:tc>
        <w:tc>
          <w:tcPr>
            <w:tcW w:w="7205" w:type="dxa"/>
            <w:gridSpan w:val="6"/>
          </w:tcPr>
          <w:p w14:paraId="1026D3C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75F01" w:rsidRPr="007669E1" w14:paraId="3E370A03" w14:textId="77777777" w:rsidTr="007709EB">
        <w:tc>
          <w:tcPr>
            <w:tcW w:w="2420" w:type="dxa"/>
          </w:tcPr>
          <w:p w14:paraId="1285A63C"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Beneficiaries</w:t>
            </w:r>
          </w:p>
        </w:tc>
        <w:tc>
          <w:tcPr>
            <w:tcW w:w="7205" w:type="dxa"/>
            <w:gridSpan w:val="6"/>
          </w:tcPr>
          <w:p w14:paraId="2C47168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All retirees irrespective of income or wealth position, war veterans, people with disabilities and participants of the Chernobyl nuclear clean-up.</w:t>
            </w:r>
          </w:p>
        </w:tc>
      </w:tr>
      <w:tr w:rsidR="00775F01" w:rsidRPr="007669E1" w14:paraId="7984AD3B" w14:textId="77777777" w:rsidTr="007709EB">
        <w:tc>
          <w:tcPr>
            <w:tcW w:w="2420" w:type="dxa"/>
          </w:tcPr>
          <w:p w14:paraId="6087E2F0"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Type of Measure</w:t>
            </w:r>
          </w:p>
        </w:tc>
        <w:tc>
          <w:tcPr>
            <w:tcW w:w="7205" w:type="dxa"/>
            <w:gridSpan w:val="6"/>
          </w:tcPr>
          <w:p w14:paraId="581A06D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75F01" w:rsidRPr="007669E1" w14:paraId="22851E63" w14:textId="77777777" w:rsidTr="007709EB">
        <w:tc>
          <w:tcPr>
            <w:tcW w:w="2420" w:type="dxa"/>
          </w:tcPr>
          <w:p w14:paraId="71F6B5CE"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Reason why this Measure is not part of the Benchmark Tax System</w:t>
            </w:r>
          </w:p>
        </w:tc>
        <w:tc>
          <w:tcPr>
            <w:tcW w:w="7205" w:type="dxa"/>
            <w:gridSpan w:val="6"/>
          </w:tcPr>
          <w:p w14:paraId="20A985F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These are tax relief measures with significant revenue loss potential – narrowly defined subgroups benefiting from relief; it is a deviation from the standard tax liability.</w:t>
            </w:r>
          </w:p>
        </w:tc>
      </w:tr>
      <w:tr w:rsidR="00775F01" w:rsidRPr="007669E1" w14:paraId="011B88A9" w14:textId="77777777" w:rsidTr="007709EB">
        <w:tc>
          <w:tcPr>
            <w:tcW w:w="2420" w:type="dxa"/>
          </w:tcPr>
          <w:p w14:paraId="67EB84A5"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Legal Reference</w:t>
            </w:r>
          </w:p>
        </w:tc>
        <w:tc>
          <w:tcPr>
            <w:tcW w:w="7205" w:type="dxa"/>
            <w:gridSpan w:val="6"/>
          </w:tcPr>
          <w:p w14:paraId="514C8F1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283(1)(h) of TC</w:t>
            </w:r>
          </w:p>
        </w:tc>
      </w:tr>
      <w:tr w:rsidR="00775F01" w:rsidRPr="007669E1" w14:paraId="71031EA4" w14:textId="77777777" w:rsidTr="007709EB">
        <w:trPr>
          <w:trHeight w:val="182"/>
        </w:trPr>
        <w:tc>
          <w:tcPr>
            <w:tcW w:w="2420" w:type="dxa"/>
            <w:vMerge w:val="restart"/>
          </w:tcPr>
          <w:p w14:paraId="18565A31"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Implementation Objectives, and History</w:t>
            </w:r>
          </w:p>
        </w:tc>
        <w:tc>
          <w:tcPr>
            <w:tcW w:w="7205" w:type="dxa"/>
            <w:gridSpan w:val="6"/>
          </w:tcPr>
          <w:p w14:paraId="43CED661" w14:textId="77777777" w:rsidR="00476D10" w:rsidRPr="007669E1" w:rsidRDefault="00476D10" w:rsidP="00E90BA7">
            <w:pPr>
              <w:spacing w:before="20" w:after="20" w:line="240" w:lineRule="auto"/>
              <w:jc w:val="both"/>
              <w:rPr>
                <w:rFonts w:ascii="Segoe UI" w:hAnsi="Segoe UI" w:cs="Segoe UI"/>
                <w:sz w:val="18"/>
                <w:szCs w:val="18"/>
              </w:rPr>
            </w:pPr>
          </w:p>
        </w:tc>
      </w:tr>
      <w:tr w:rsidR="00D40A8C" w:rsidRPr="007669E1" w14:paraId="1CEC2CCA" w14:textId="77777777" w:rsidTr="007709EB">
        <w:trPr>
          <w:trHeight w:val="182"/>
        </w:trPr>
        <w:tc>
          <w:tcPr>
            <w:tcW w:w="2420" w:type="dxa"/>
            <w:vMerge/>
          </w:tcPr>
          <w:p w14:paraId="1FBB622E" w14:textId="77777777" w:rsidR="00476D10" w:rsidRPr="009316B3" w:rsidRDefault="00476D10" w:rsidP="00E90BA7">
            <w:pPr>
              <w:spacing w:before="20" w:after="20" w:line="240" w:lineRule="auto"/>
              <w:jc w:val="both"/>
              <w:rPr>
                <w:rFonts w:ascii="Segoe UI" w:hAnsi="Segoe UI" w:cs="Segoe UI"/>
                <w:b/>
                <w:bCs/>
                <w:sz w:val="18"/>
                <w:szCs w:val="18"/>
              </w:rPr>
            </w:pPr>
          </w:p>
        </w:tc>
        <w:tc>
          <w:tcPr>
            <w:tcW w:w="3457" w:type="dxa"/>
            <w:gridSpan w:val="3"/>
          </w:tcPr>
          <w:p w14:paraId="72B24810" w14:textId="1D4D28B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48" w:type="dxa"/>
            <w:gridSpan w:val="3"/>
          </w:tcPr>
          <w:p w14:paraId="3C838759" w14:textId="0DF8A9D3"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75F01" w:rsidRPr="007669E1" w14:paraId="510C9C87" w14:textId="77777777" w:rsidTr="007709EB">
        <w:tc>
          <w:tcPr>
            <w:tcW w:w="2420" w:type="dxa"/>
          </w:tcPr>
          <w:p w14:paraId="2B7EF17D"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Source of Data</w:t>
            </w:r>
          </w:p>
        </w:tc>
        <w:tc>
          <w:tcPr>
            <w:tcW w:w="7205" w:type="dxa"/>
            <w:gridSpan w:val="6"/>
          </w:tcPr>
          <w:p w14:paraId="4003136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75F01" w:rsidRPr="007669E1" w14:paraId="6D447209" w14:textId="77777777" w:rsidTr="007709EB">
        <w:tc>
          <w:tcPr>
            <w:tcW w:w="2420" w:type="dxa"/>
          </w:tcPr>
          <w:p w14:paraId="6BDDCAC5"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Estimation Method</w:t>
            </w:r>
          </w:p>
        </w:tc>
        <w:tc>
          <w:tcPr>
            <w:tcW w:w="7205" w:type="dxa"/>
            <w:gridSpan w:val="6"/>
          </w:tcPr>
          <w:p w14:paraId="36B8DEB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75F01" w:rsidRPr="007669E1" w14:paraId="0F20F52C" w14:textId="77777777" w:rsidTr="007709EB">
        <w:tc>
          <w:tcPr>
            <w:tcW w:w="2420" w:type="dxa"/>
          </w:tcPr>
          <w:p w14:paraId="75D7AA85"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Number of Beneficiaries</w:t>
            </w:r>
          </w:p>
        </w:tc>
        <w:tc>
          <w:tcPr>
            <w:tcW w:w="7205" w:type="dxa"/>
            <w:gridSpan w:val="6"/>
          </w:tcPr>
          <w:p w14:paraId="6A425E1A" w14:textId="1FA88B2B"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75F01" w:rsidRPr="007669E1" w14:paraId="77502916" w14:textId="77777777" w:rsidTr="007709EB">
        <w:tc>
          <w:tcPr>
            <w:tcW w:w="2420" w:type="dxa"/>
          </w:tcPr>
          <w:p w14:paraId="7E6A57C5"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Revenue Cost Reporting</w:t>
            </w:r>
          </w:p>
        </w:tc>
        <w:tc>
          <w:tcPr>
            <w:tcW w:w="7205" w:type="dxa"/>
            <w:gridSpan w:val="6"/>
          </w:tcPr>
          <w:p w14:paraId="50B62903" w14:textId="5C50B038" w:rsidR="00476D10" w:rsidRPr="007669E1" w:rsidRDefault="00817A3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619A8" w:rsidRPr="007669E1" w14:paraId="5EB30300" w14:textId="77777777" w:rsidTr="007709EB">
        <w:trPr>
          <w:trHeight w:val="91"/>
        </w:trPr>
        <w:tc>
          <w:tcPr>
            <w:tcW w:w="2420" w:type="dxa"/>
            <w:vMerge w:val="restart"/>
          </w:tcPr>
          <w:p w14:paraId="59451864" w14:textId="77777777" w:rsidR="00476D10" w:rsidRPr="007669E1" w:rsidRDefault="00476D10" w:rsidP="00E90BA7">
            <w:pPr>
              <w:spacing w:before="20" w:after="20" w:line="240" w:lineRule="auto"/>
              <w:jc w:val="both"/>
              <w:rPr>
                <w:rFonts w:ascii="Segoe UI" w:hAnsi="Segoe UI" w:cs="Segoe UI"/>
                <w:sz w:val="18"/>
                <w:szCs w:val="18"/>
              </w:rPr>
            </w:pPr>
          </w:p>
        </w:tc>
        <w:tc>
          <w:tcPr>
            <w:tcW w:w="1380" w:type="dxa"/>
          </w:tcPr>
          <w:p w14:paraId="4AC5A7A4"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2018</w:t>
            </w:r>
          </w:p>
        </w:tc>
        <w:tc>
          <w:tcPr>
            <w:tcW w:w="1385" w:type="dxa"/>
          </w:tcPr>
          <w:p w14:paraId="1BBD2D53"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2019</w:t>
            </w:r>
          </w:p>
        </w:tc>
        <w:tc>
          <w:tcPr>
            <w:tcW w:w="1385" w:type="dxa"/>
            <w:gridSpan w:val="2"/>
          </w:tcPr>
          <w:p w14:paraId="43808E76"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2020</w:t>
            </w:r>
          </w:p>
        </w:tc>
        <w:tc>
          <w:tcPr>
            <w:tcW w:w="1399" w:type="dxa"/>
          </w:tcPr>
          <w:p w14:paraId="35E61F62" w14:textId="77777777" w:rsidR="00476D10" w:rsidRPr="009316B3" w:rsidRDefault="00476D10"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2021</w:t>
            </w:r>
          </w:p>
        </w:tc>
        <w:tc>
          <w:tcPr>
            <w:tcW w:w="1656" w:type="dxa"/>
          </w:tcPr>
          <w:p w14:paraId="584EB643" w14:textId="1D9E30CE" w:rsidR="00476D10" w:rsidRPr="009316B3" w:rsidRDefault="000C00AF"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2022</w:t>
            </w:r>
          </w:p>
        </w:tc>
      </w:tr>
      <w:tr w:rsidR="00A2051E" w:rsidRPr="007669E1" w14:paraId="0AFADB35" w14:textId="77777777" w:rsidTr="007678BF">
        <w:trPr>
          <w:trHeight w:val="305"/>
        </w:trPr>
        <w:tc>
          <w:tcPr>
            <w:tcW w:w="2420" w:type="dxa"/>
            <w:vMerge/>
          </w:tcPr>
          <w:p w14:paraId="14870EF7" w14:textId="77777777" w:rsidR="00476D10" w:rsidRPr="007669E1" w:rsidRDefault="00476D10" w:rsidP="00E90BA7">
            <w:pPr>
              <w:spacing w:before="20" w:after="20" w:line="240" w:lineRule="auto"/>
              <w:jc w:val="both"/>
              <w:rPr>
                <w:rFonts w:ascii="Segoe UI" w:hAnsi="Segoe UI" w:cs="Segoe UI"/>
                <w:sz w:val="18"/>
                <w:szCs w:val="18"/>
              </w:rPr>
            </w:pPr>
          </w:p>
        </w:tc>
        <w:tc>
          <w:tcPr>
            <w:tcW w:w="1380" w:type="dxa"/>
            <w:shd w:val="clear" w:color="auto" w:fill="auto"/>
          </w:tcPr>
          <w:p w14:paraId="1C55C5CA" w14:textId="1E852B7D" w:rsidR="00476D10" w:rsidRPr="007669E1" w:rsidRDefault="007678B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c>
          <w:tcPr>
            <w:tcW w:w="1385" w:type="dxa"/>
            <w:shd w:val="clear" w:color="auto" w:fill="auto"/>
          </w:tcPr>
          <w:p w14:paraId="2191A8BB" w14:textId="13990AAD"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43</w:t>
            </w:r>
            <w:r w:rsidR="0071221F" w:rsidRPr="007669E1">
              <w:rPr>
                <w:rFonts w:ascii="Segoe UI" w:hAnsi="Segoe UI" w:cs="Segoe UI"/>
                <w:w w:val="105"/>
                <w:sz w:val="18"/>
                <w:szCs w:val="18"/>
                <w:lang w:val="en"/>
              </w:rPr>
              <w:t>,</w:t>
            </w:r>
            <w:r w:rsidRPr="007669E1">
              <w:rPr>
                <w:rFonts w:ascii="Segoe UI" w:hAnsi="Segoe UI" w:cs="Segoe UI"/>
                <w:w w:val="105"/>
                <w:sz w:val="18"/>
                <w:szCs w:val="18"/>
                <w:lang w:val="en"/>
              </w:rPr>
              <w:t>440</w:t>
            </w:r>
            <w:r w:rsidR="00015B4F" w:rsidRPr="007669E1">
              <w:rPr>
                <w:rFonts w:ascii="Segoe UI" w:hAnsi="Segoe UI" w:cs="Segoe UI"/>
                <w:w w:val="105"/>
                <w:sz w:val="18"/>
                <w:szCs w:val="18"/>
                <w:lang w:val="en"/>
              </w:rPr>
              <w:t>.3</w:t>
            </w:r>
          </w:p>
        </w:tc>
        <w:tc>
          <w:tcPr>
            <w:tcW w:w="1385" w:type="dxa"/>
            <w:gridSpan w:val="2"/>
            <w:shd w:val="clear" w:color="auto" w:fill="auto"/>
          </w:tcPr>
          <w:p w14:paraId="6C02D94F" w14:textId="1E4E66FA" w:rsidR="00476D10" w:rsidRPr="007669E1" w:rsidRDefault="00476D10" w:rsidP="00E90BA7">
            <w:pPr>
              <w:spacing w:before="20" w:after="20" w:line="240" w:lineRule="auto"/>
              <w:jc w:val="both"/>
              <w:rPr>
                <w:rFonts w:ascii="Segoe UI" w:hAnsi="Segoe UI" w:cs="Segoe UI"/>
                <w:i/>
                <w:sz w:val="18"/>
                <w:szCs w:val="18"/>
              </w:rPr>
            </w:pPr>
            <w:r w:rsidRPr="007669E1">
              <w:rPr>
                <w:rFonts w:ascii="Segoe UI" w:hAnsi="Segoe UI" w:cs="Segoe UI"/>
                <w:w w:val="105"/>
                <w:sz w:val="18"/>
                <w:szCs w:val="18"/>
                <w:lang w:val="en"/>
              </w:rPr>
              <w:t>30</w:t>
            </w:r>
            <w:r w:rsidR="00B33E93" w:rsidRPr="007669E1">
              <w:rPr>
                <w:rFonts w:ascii="Segoe UI" w:hAnsi="Segoe UI" w:cs="Segoe UI"/>
                <w:w w:val="105"/>
                <w:sz w:val="18"/>
                <w:szCs w:val="18"/>
                <w:lang w:val="en"/>
              </w:rPr>
              <w:t>,</w:t>
            </w:r>
            <w:r w:rsidRPr="007669E1">
              <w:rPr>
                <w:rFonts w:ascii="Segoe UI" w:hAnsi="Segoe UI" w:cs="Segoe UI"/>
                <w:w w:val="105"/>
                <w:sz w:val="18"/>
                <w:szCs w:val="18"/>
                <w:lang w:val="en"/>
              </w:rPr>
              <w:t>428</w:t>
            </w:r>
            <w:r w:rsidR="00B33E93" w:rsidRPr="007669E1">
              <w:rPr>
                <w:rFonts w:ascii="Segoe UI" w:hAnsi="Segoe UI" w:cs="Segoe UI"/>
                <w:w w:val="105"/>
                <w:sz w:val="18"/>
                <w:szCs w:val="18"/>
                <w:lang w:val="en"/>
              </w:rPr>
              <w:t>.1</w:t>
            </w:r>
          </w:p>
        </w:tc>
        <w:tc>
          <w:tcPr>
            <w:tcW w:w="1399" w:type="dxa"/>
            <w:shd w:val="clear" w:color="auto" w:fill="auto"/>
          </w:tcPr>
          <w:p w14:paraId="4457A190" w14:textId="23B0BB67" w:rsidR="00476D10" w:rsidRPr="007669E1" w:rsidRDefault="00476D10" w:rsidP="00E90BA7">
            <w:pPr>
              <w:spacing w:before="20" w:after="20" w:line="240" w:lineRule="auto"/>
              <w:jc w:val="both"/>
              <w:rPr>
                <w:rFonts w:ascii="Segoe UI" w:hAnsi="Segoe UI" w:cs="Segoe UI"/>
                <w:i/>
                <w:sz w:val="18"/>
                <w:szCs w:val="18"/>
              </w:rPr>
            </w:pPr>
            <w:r w:rsidRPr="007669E1">
              <w:rPr>
                <w:rFonts w:ascii="Segoe UI" w:hAnsi="Segoe UI" w:cs="Segoe UI"/>
                <w:w w:val="105"/>
                <w:sz w:val="18"/>
                <w:szCs w:val="18"/>
                <w:lang w:val="en"/>
              </w:rPr>
              <w:t>67</w:t>
            </w:r>
            <w:r w:rsidR="00975823" w:rsidRPr="007669E1">
              <w:rPr>
                <w:rFonts w:ascii="Segoe UI" w:hAnsi="Segoe UI" w:cs="Segoe UI"/>
                <w:w w:val="105"/>
                <w:sz w:val="18"/>
                <w:szCs w:val="18"/>
                <w:lang w:val="en"/>
              </w:rPr>
              <w:t>,</w:t>
            </w:r>
            <w:r w:rsidR="00445C1B" w:rsidRPr="007669E1">
              <w:rPr>
                <w:rFonts w:ascii="Segoe UI" w:hAnsi="Segoe UI" w:cs="Segoe UI"/>
                <w:w w:val="105"/>
                <w:sz w:val="18"/>
                <w:szCs w:val="18"/>
                <w:lang w:val="en"/>
              </w:rPr>
              <w:t>429.7</w:t>
            </w:r>
          </w:p>
        </w:tc>
        <w:tc>
          <w:tcPr>
            <w:tcW w:w="1656" w:type="dxa"/>
            <w:shd w:val="clear" w:color="auto" w:fill="auto"/>
          </w:tcPr>
          <w:p w14:paraId="70DDE082" w14:textId="3DE56C24" w:rsidR="00476D10" w:rsidRPr="007669E1" w:rsidRDefault="007678B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54B83D05" w14:textId="77777777" w:rsidR="00476D10" w:rsidRPr="007669E1" w:rsidRDefault="00476D10" w:rsidP="00E90BA7">
      <w:pPr>
        <w:spacing w:before="20" w:after="20" w:line="240" w:lineRule="auto"/>
        <w:jc w:val="both"/>
        <w:rPr>
          <w:rFonts w:ascii="Segoe UI" w:hAnsi="Segoe UI" w:cs="Segoe UI"/>
          <w:sz w:val="18"/>
          <w:szCs w:val="18"/>
        </w:rPr>
      </w:pPr>
    </w:p>
    <w:tbl>
      <w:tblPr>
        <w:tblW w:w="9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3"/>
        <w:gridCol w:w="1356"/>
        <w:gridCol w:w="1738"/>
        <w:gridCol w:w="972"/>
        <w:gridCol w:w="766"/>
        <w:gridCol w:w="1844"/>
        <w:gridCol w:w="631"/>
      </w:tblGrid>
      <w:tr w:rsidR="00A2051E" w:rsidRPr="00E147D6" w14:paraId="02468425" w14:textId="77777777" w:rsidTr="00F10AE7">
        <w:tc>
          <w:tcPr>
            <w:tcW w:w="9720" w:type="dxa"/>
            <w:gridSpan w:val="7"/>
            <w:shd w:val="clear" w:color="auto" w:fill="D9D9D9" w:themeFill="background1" w:themeFillShade="D9"/>
          </w:tcPr>
          <w:p w14:paraId="3B09CE92" w14:textId="78D39EBD"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 xml:space="preserve">9. </w:t>
            </w:r>
            <w:r w:rsidR="00142CE1" w:rsidRPr="00E147D6">
              <w:rPr>
                <w:rFonts w:ascii="Segoe UI" w:hAnsi="Segoe UI" w:cs="Segoe UI"/>
                <w:b/>
                <w:bCs/>
                <w:sz w:val="18"/>
                <w:szCs w:val="18"/>
              </w:rPr>
              <w:t>Exemption for i</w:t>
            </w:r>
            <w:r w:rsidRPr="00E147D6">
              <w:rPr>
                <w:rFonts w:ascii="Segoe UI" w:hAnsi="Segoe UI" w:cs="Segoe UI"/>
                <w:b/>
                <w:bCs/>
                <w:sz w:val="18"/>
                <w:szCs w:val="18"/>
              </w:rPr>
              <w:t>mmovable property owned by war veterans, including their family members, who fought for the Moldovan territorial integrity and independence</w:t>
            </w:r>
          </w:p>
        </w:tc>
      </w:tr>
      <w:tr w:rsidR="00775F01" w:rsidRPr="007669E1" w14:paraId="4783AC87" w14:textId="77777777" w:rsidTr="00F10AE7">
        <w:tc>
          <w:tcPr>
            <w:tcW w:w="2430" w:type="dxa"/>
          </w:tcPr>
          <w:p w14:paraId="66482F65"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Description</w:t>
            </w:r>
          </w:p>
        </w:tc>
        <w:tc>
          <w:tcPr>
            <w:tcW w:w="7290" w:type="dxa"/>
            <w:gridSpan w:val="6"/>
          </w:tcPr>
          <w:p w14:paraId="7A4F191F"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Immovable property owned by war veterans and their family members who fought for Moldovan independence is exempt from RET.</w:t>
            </w:r>
          </w:p>
        </w:tc>
      </w:tr>
      <w:tr w:rsidR="00775F01" w:rsidRPr="007669E1" w14:paraId="7255FC19" w14:textId="77777777" w:rsidTr="00F10AE7">
        <w:tc>
          <w:tcPr>
            <w:tcW w:w="2430" w:type="dxa"/>
          </w:tcPr>
          <w:p w14:paraId="217E9109"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Type of Tax Affected</w:t>
            </w:r>
          </w:p>
        </w:tc>
        <w:tc>
          <w:tcPr>
            <w:tcW w:w="7290" w:type="dxa"/>
            <w:gridSpan w:val="6"/>
          </w:tcPr>
          <w:p w14:paraId="0F8EBF8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75F01" w:rsidRPr="007669E1" w14:paraId="3E5C53C9" w14:textId="77777777" w:rsidTr="00F10AE7">
        <w:tc>
          <w:tcPr>
            <w:tcW w:w="2430" w:type="dxa"/>
          </w:tcPr>
          <w:p w14:paraId="67B5406B"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Beneficiaries</w:t>
            </w:r>
          </w:p>
        </w:tc>
        <w:tc>
          <w:tcPr>
            <w:tcW w:w="7290" w:type="dxa"/>
            <w:gridSpan w:val="6"/>
          </w:tcPr>
          <w:p w14:paraId="2F75341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War veterans, including their family members, who fought for Moldovan independence.</w:t>
            </w:r>
          </w:p>
        </w:tc>
      </w:tr>
      <w:tr w:rsidR="00775F01" w:rsidRPr="007669E1" w14:paraId="43700CE4" w14:textId="77777777" w:rsidTr="00F10AE7">
        <w:tc>
          <w:tcPr>
            <w:tcW w:w="2430" w:type="dxa"/>
          </w:tcPr>
          <w:p w14:paraId="77072267"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Type of Measure</w:t>
            </w:r>
          </w:p>
        </w:tc>
        <w:tc>
          <w:tcPr>
            <w:tcW w:w="7290" w:type="dxa"/>
            <w:gridSpan w:val="6"/>
          </w:tcPr>
          <w:p w14:paraId="67BFC83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75F01" w:rsidRPr="007669E1" w14:paraId="6B76E67E" w14:textId="77777777" w:rsidTr="00F10AE7">
        <w:tc>
          <w:tcPr>
            <w:tcW w:w="2430" w:type="dxa"/>
          </w:tcPr>
          <w:p w14:paraId="3CAB61CB"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Reason why this Measure is not part of the Benchmark Tax System</w:t>
            </w:r>
          </w:p>
        </w:tc>
        <w:tc>
          <w:tcPr>
            <w:tcW w:w="7290" w:type="dxa"/>
            <w:gridSpan w:val="6"/>
          </w:tcPr>
          <w:p w14:paraId="15D36FD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75F01" w:rsidRPr="007669E1" w14:paraId="403CD2C8" w14:textId="77777777" w:rsidTr="00F10AE7">
        <w:tc>
          <w:tcPr>
            <w:tcW w:w="2430" w:type="dxa"/>
          </w:tcPr>
          <w:p w14:paraId="4B7569FB"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Legal Reference</w:t>
            </w:r>
          </w:p>
        </w:tc>
        <w:tc>
          <w:tcPr>
            <w:tcW w:w="7290" w:type="dxa"/>
            <w:gridSpan w:val="6"/>
          </w:tcPr>
          <w:p w14:paraId="726FA5E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283(1)(i) of TC</w:t>
            </w:r>
          </w:p>
        </w:tc>
      </w:tr>
      <w:tr w:rsidR="003C7165" w:rsidRPr="007669E1" w14:paraId="5074FA3C" w14:textId="77777777" w:rsidTr="00F10AE7">
        <w:trPr>
          <w:trHeight w:val="182"/>
        </w:trPr>
        <w:tc>
          <w:tcPr>
            <w:tcW w:w="2430" w:type="dxa"/>
            <w:vMerge w:val="restart"/>
          </w:tcPr>
          <w:p w14:paraId="786F154D"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Implementation Objectives, and History</w:t>
            </w:r>
          </w:p>
        </w:tc>
        <w:tc>
          <w:tcPr>
            <w:tcW w:w="7290" w:type="dxa"/>
            <w:gridSpan w:val="6"/>
          </w:tcPr>
          <w:p w14:paraId="58911239" w14:textId="77777777" w:rsidR="00476D10" w:rsidRPr="007669E1" w:rsidRDefault="00476D10" w:rsidP="00E90BA7">
            <w:pPr>
              <w:spacing w:before="20" w:after="20" w:line="240" w:lineRule="auto"/>
              <w:jc w:val="both"/>
              <w:rPr>
                <w:rFonts w:ascii="Segoe UI" w:hAnsi="Segoe UI" w:cs="Segoe UI"/>
                <w:sz w:val="18"/>
                <w:szCs w:val="18"/>
              </w:rPr>
            </w:pPr>
          </w:p>
        </w:tc>
      </w:tr>
      <w:tr w:rsidR="0084536F" w:rsidRPr="007669E1" w14:paraId="1D48A08F" w14:textId="77777777" w:rsidTr="00F10AE7">
        <w:trPr>
          <w:trHeight w:val="182"/>
        </w:trPr>
        <w:tc>
          <w:tcPr>
            <w:tcW w:w="2430" w:type="dxa"/>
            <w:vMerge/>
          </w:tcPr>
          <w:p w14:paraId="32B0AE5C" w14:textId="77777777" w:rsidR="00476D10" w:rsidRPr="00E147D6" w:rsidRDefault="00476D10" w:rsidP="00E90BA7">
            <w:pPr>
              <w:spacing w:before="20" w:after="20" w:line="240" w:lineRule="auto"/>
              <w:jc w:val="both"/>
              <w:rPr>
                <w:rFonts w:ascii="Segoe UI" w:hAnsi="Segoe UI" w:cs="Segoe UI"/>
                <w:b/>
                <w:bCs/>
                <w:sz w:val="18"/>
                <w:szCs w:val="18"/>
              </w:rPr>
            </w:pPr>
          </w:p>
        </w:tc>
        <w:tc>
          <w:tcPr>
            <w:tcW w:w="4109" w:type="dxa"/>
            <w:gridSpan w:val="3"/>
          </w:tcPr>
          <w:p w14:paraId="3F1DBBBD" w14:textId="68A91D2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181" w:type="dxa"/>
            <w:gridSpan w:val="3"/>
          </w:tcPr>
          <w:p w14:paraId="72B823F7" w14:textId="1797ABAB"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75F01" w:rsidRPr="007669E1" w14:paraId="66F8BCC8" w14:textId="77777777" w:rsidTr="00F10AE7">
        <w:tc>
          <w:tcPr>
            <w:tcW w:w="2430" w:type="dxa"/>
          </w:tcPr>
          <w:p w14:paraId="06446219"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Source of Data</w:t>
            </w:r>
          </w:p>
        </w:tc>
        <w:tc>
          <w:tcPr>
            <w:tcW w:w="7290" w:type="dxa"/>
            <w:gridSpan w:val="6"/>
          </w:tcPr>
          <w:p w14:paraId="08740BE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75F01" w:rsidRPr="007669E1" w14:paraId="3DD88633" w14:textId="77777777" w:rsidTr="00F10AE7">
        <w:tc>
          <w:tcPr>
            <w:tcW w:w="2430" w:type="dxa"/>
          </w:tcPr>
          <w:p w14:paraId="6F6F4322"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Estimation Method</w:t>
            </w:r>
          </w:p>
        </w:tc>
        <w:tc>
          <w:tcPr>
            <w:tcW w:w="7290" w:type="dxa"/>
            <w:gridSpan w:val="6"/>
          </w:tcPr>
          <w:p w14:paraId="1A6F609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75F01" w:rsidRPr="007669E1" w14:paraId="03B3158D" w14:textId="77777777" w:rsidTr="00F10AE7">
        <w:tc>
          <w:tcPr>
            <w:tcW w:w="2430" w:type="dxa"/>
          </w:tcPr>
          <w:p w14:paraId="36A11F1B"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lastRenderedPageBreak/>
              <w:t>Number of Beneficiaries</w:t>
            </w:r>
          </w:p>
        </w:tc>
        <w:tc>
          <w:tcPr>
            <w:tcW w:w="7290" w:type="dxa"/>
            <w:gridSpan w:val="6"/>
          </w:tcPr>
          <w:p w14:paraId="69949207" w14:textId="0E41C964"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3C7165" w:rsidRPr="007669E1" w14:paraId="5119E216" w14:textId="77777777" w:rsidTr="00F10AE7">
        <w:tc>
          <w:tcPr>
            <w:tcW w:w="2430" w:type="dxa"/>
          </w:tcPr>
          <w:p w14:paraId="084E7122"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Revenue Cost Reporting</w:t>
            </w:r>
          </w:p>
        </w:tc>
        <w:tc>
          <w:tcPr>
            <w:tcW w:w="7290" w:type="dxa"/>
            <w:gridSpan w:val="6"/>
            <w:shd w:val="clear" w:color="auto" w:fill="auto"/>
          </w:tcPr>
          <w:p w14:paraId="4456CD97" w14:textId="2828CAF0" w:rsidR="00476D10" w:rsidRPr="007669E1" w:rsidRDefault="008817C7"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669E1" w:rsidRPr="007669E1" w14:paraId="76E15C13" w14:textId="77777777" w:rsidTr="00F10AE7">
        <w:trPr>
          <w:trHeight w:val="91"/>
        </w:trPr>
        <w:tc>
          <w:tcPr>
            <w:tcW w:w="2430" w:type="dxa"/>
            <w:vMerge w:val="restart"/>
          </w:tcPr>
          <w:p w14:paraId="690343BA" w14:textId="77777777" w:rsidR="00476D10" w:rsidRPr="007669E1" w:rsidRDefault="00476D10" w:rsidP="00E90BA7">
            <w:pPr>
              <w:spacing w:before="20" w:after="20" w:line="240" w:lineRule="auto"/>
              <w:jc w:val="both"/>
              <w:rPr>
                <w:rFonts w:ascii="Segoe UI" w:hAnsi="Segoe UI" w:cs="Segoe UI"/>
                <w:sz w:val="18"/>
                <w:szCs w:val="18"/>
              </w:rPr>
            </w:pPr>
          </w:p>
        </w:tc>
        <w:tc>
          <w:tcPr>
            <w:tcW w:w="1371" w:type="dxa"/>
          </w:tcPr>
          <w:p w14:paraId="3D4A1954"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2018</w:t>
            </w:r>
          </w:p>
        </w:tc>
        <w:tc>
          <w:tcPr>
            <w:tcW w:w="1757" w:type="dxa"/>
          </w:tcPr>
          <w:p w14:paraId="5EBA6E6D"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2019</w:t>
            </w:r>
          </w:p>
        </w:tc>
        <w:tc>
          <w:tcPr>
            <w:tcW w:w="1757" w:type="dxa"/>
            <w:gridSpan w:val="2"/>
          </w:tcPr>
          <w:p w14:paraId="312B2D4E"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2020</w:t>
            </w:r>
          </w:p>
        </w:tc>
        <w:tc>
          <w:tcPr>
            <w:tcW w:w="1865" w:type="dxa"/>
          </w:tcPr>
          <w:p w14:paraId="6075DDC7" w14:textId="77777777" w:rsidR="00476D10" w:rsidRPr="00E147D6" w:rsidRDefault="00476D10"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2021</w:t>
            </w:r>
          </w:p>
        </w:tc>
        <w:tc>
          <w:tcPr>
            <w:tcW w:w="540" w:type="dxa"/>
          </w:tcPr>
          <w:p w14:paraId="24CA1055" w14:textId="4D701AE5" w:rsidR="00476D10" w:rsidRPr="00E147D6" w:rsidRDefault="000C00AF" w:rsidP="00E90BA7">
            <w:pPr>
              <w:spacing w:before="20" w:after="20" w:line="240" w:lineRule="auto"/>
              <w:jc w:val="both"/>
              <w:rPr>
                <w:rFonts w:ascii="Segoe UI" w:hAnsi="Segoe UI" w:cs="Segoe UI"/>
                <w:b/>
                <w:bCs/>
                <w:sz w:val="18"/>
                <w:szCs w:val="18"/>
              </w:rPr>
            </w:pPr>
            <w:r w:rsidRPr="00E147D6">
              <w:rPr>
                <w:rFonts w:ascii="Segoe UI" w:hAnsi="Segoe UI" w:cs="Segoe UI"/>
                <w:b/>
                <w:bCs/>
                <w:sz w:val="18"/>
                <w:szCs w:val="18"/>
              </w:rPr>
              <w:t>2022</w:t>
            </w:r>
          </w:p>
        </w:tc>
      </w:tr>
      <w:tr w:rsidR="00A2051E" w:rsidRPr="007669E1" w14:paraId="5A6E776B" w14:textId="77777777" w:rsidTr="00F10AE7">
        <w:trPr>
          <w:trHeight w:val="305"/>
        </w:trPr>
        <w:tc>
          <w:tcPr>
            <w:tcW w:w="2430" w:type="dxa"/>
            <w:vMerge/>
          </w:tcPr>
          <w:p w14:paraId="3E9644E1" w14:textId="77777777" w:rsidR="00476D10" w:rsidRPr="007669E1" w:rsidRDefault="00476D10" w:rsidP="00E90BA7">
            <w:pPr>
              <w:spacing w:before="20" w:after="20" w:line="240" w:lineRule="auto"/>
              <w:jc w:val="both"/>
              <w:rPr>
                <w:rFonts w:ascii="Segoe UI" w:hAnsi="Segoe UI" w:cs="Segoe UI"/>
                <w:sz w:val="18"/>
                <w:szCs w:val="18"/>
              </w:rPr>
            </w:pPr>
          </w:p>
        </w:tc>
        <w:tc>
          <w:tcPr>
            <w:tcW w:w="1371" w:type="dxa"/>
            <w:shd w:val="clear" w:color="auto" w:fill="auto"/>
            <w:vAlign w:val="center"/>
          </w:tcPr>
          <w:p w14:paraId="25DD4EDF" w14:textId="3BB60F5D" w:rsidR="00476D10" w:rsidRPr="007669E1" w:rsidRDefault="002775D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c>
          <w:tcPr>
            <w:tcW w:w="1757" w:type="dxa"/>
            <w:shd w:val="clear" w:color="auto" w:fill="auto"/>
            <w:vAlign w:val="center"/>
          </w:tcPr>
          <w:p w14:paraId="36278067" w14:textId="70439076"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w:t>
            </w:r>
            <w:r w:rsidR="00B742E4" w:rsidRPr="007669E1">
              <w:rPr>
                <w:rFonts w:ascii="Segoe UI" w:hAnsi="Segoe UI" w:cs="Segoe UI"/>
                <w:color w:val="000000"/>
                <w:sz w:val="18"/>
                <w:szCs w:val="18"/>
              </w:rPr>
              <w:t>,499.7</w:t>
            </w:r>
          </w:p>
        </w:tc>
        <w:tc>
          <w:tcPr>
            <w:tcW w:w="1757" w:type="dxa"/>
            <w:gridSpan w:val="2"/>
            <w:shd w:val="clear" w:color="auto" w:fill="auto"/>
            <w:vAlign w:val="center"/>
          </w:tcPr>
          <w:p w14:paraId="2475BC85" w14:textId="695E43CC" w:rsidR="00476D10" w:rsidRPr="007669E1" w:rsidRDefault="00476D1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w:t>
            </w:r>
            <w:r w:rsidR="00B742E4" w:rsidRPr="007669E1">
              <w:rPr>
                <w:rFonts w:ascii="Segoe UI" w:hAnsi="Segoe UI" w:cs="Segoe UI"/>
                <w:color w:val="000000"/>
                <w:sz w:val="18"/>
                <w:szCs w:val="18"/>
              </w:rPr>
              <w:t>259.7</w:t>
            </w:r>
          </w:p>
        </w:tc>
        <w:tc>
          <w:tcPr>
            <w:tcW w:w="1865" w:type="dxa"/>
            <w:shd w:val="clear" w:color="auto" w:fill="auto"/>
            <w:vAlign w:val="center"/>
          </w:tcPr>
          <w:p w14:paraId="53CE10A2" w14:textId="039F499A" w:rsidR="00476D10" w:rsidRPr="007669E1" w:rsidRDefault="00476D1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3,</w:t>
            </w:r>
            <w:r w:rsidR="00B742E4" w:rsidRPr="007669E1">
              <w:rPr>
                <w:rFonts w:ascii="Segoe UI" w:hAnsi="Segoe UI" w:cs="Segoe UI"/>
                <w:color w:val="000000"/>
                <w:sz w:val="18"/>
                <w:szCs w:val="18"/>
              </w:rPr>
              <w:t>029.7</w:t>
            </w:r>
          </w:p>
        </w:tc>
        <w:tc>
          <w:tcPr>
            <w:tcW w:w="540" w:type="dxa"/>
            <w:shd w:val="clear" w:color="auto" w:fill="auto"/>
            <w:vAlign w:val="center"/>
          </w:tcPr>
          <w:p w14:paraId="2360FA49" w14:textId="1C8D0FB1" w:rsidR="00476D10" w:rsidRPr="007669E1" w:rsidRDefault="002775D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r>
    </w:tbl>
    <w:p w14:paraId="54D4090F"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9316B3" w14:paraId="4EA7B6B0" w14:textId="77777777" w:rsidTr="005A7B4B">
        <w:tc>
          <w:tcPr>
            <w:tcW w:w="9625" w:type="dxa"/>
            <w:gridSpan w:val="7"/>
            <w:shd w:val="clear" w:color="auto" w:fill="D9D9D9" w:themeFill="background1" w:themeFillShade="D9"/>
          </w:tcPr>
          <w:p w14:paraId="4E7737E2" w14:textId="0097D2B2"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 xml:space="preserve">10. </w:t>
            </w:r>
            <w:r w:rsidR="001F1D76" w:rsidRPr="009316B3">
              <w:rPr>
                <w:rFonts w:ascii="Segoe UI" w:hAnsi="Segoe UI" w:cs="Segoe UI"/>
                <w:b/>
                <w:bCs/>
                <w:sz w:val="18"/>
                <w:szCs w:val="18"/>
              </w:rPr>
              <w:t>Exemption for i</w:t>
            </w:r>
            <w:r w:rsidRPr="009316B3">
              <w:rPr>
                <w:rFonts w:ascii="Segoe UI" w:hAnsi="Segoe UI" w:cs="Segoe UI"/>
                <w:b/>
                <w:bCs/>
                <w:sz w:val="18"/>
                <w:szCs w:val="18"/>
              </w:rPr>
              <w:t>mmovable property owned by family members of war veterans who fought in Afghanistan combat operations</w:t>
            </w:r>
          </w:p>
        </w:tc>
      </w:tr>
      <w:tr w:rsidR="00E72E03" w:rsidRPr="007669E1" w14:paraId="50CAAC72" w14:textId="77777777" w:rsidTr="005A7B4B">
        <w:tc>
          <w:tcPr>
            <w:tcW w:w="2425" w:type="dxa"/>
          </w:tcPr>
          <w:p w14:paraId="131852C2"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Description</w:t>
            </w:r>
          </w:p>
        </w:tc>
        <w:tc>
          <w:tcPr>
            <w:tcW w:w="7200" w:type="dxa"/>
            <w:gridSpan w:val="6"/>
          </w:tcPr>
          <w:p w14:paraId="272BA7A2" w14:textId="77777777" w:rsidR="006B195D" w:rsidRPr="007669E1" w:rsidRDefault="006B195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Immovable property owned by family members of war veterans who fought in Afghanistan combat operations is RET exempt.</w:t>
            </w:r>
          </w:p>
        </w:tc>
      </w:tr>
      <w:tr w:rsidR="00E72E03" w:rsidRPr="007669E1" w14:paraId="28D9D981" w14:textId="77777777" w:rsidTr="005A7B4B">
        <w:tc>
          <w:tcPr>
            <w:tcW w:w="2425" w:type="dxa"/>
          </w:tcPr>
          <w:p w14:paraId="0A466CE8"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Type of Tax Affected</w:t>
            </w:r>
          </w:p>
        </w:tc>
        <w:tc>
          <w:tcPr>
            <w:tcW w:w="7200" w:type="dxa"/>
            <w:gridSpan w:val="6"/>
          </w:tcPr>
          <w:p w14:paraId="4ACCAB71"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3748BC1F" w14:textId="77777777" w:rsidTr="005A7B4B">
        <w:tc>
          <w:tcPr>
            <w:tcW w:w="2425" w:type="dxa"/>
          </w:tcPr>
          <w:p w14:paraId="487A0055"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Beneficiaries</w:t>
            </w:r>
          </w:p>
        </w:tc>
        <w:tc>
          <w:tcPr>
            <w:tcW w:w="7200" w:type="dxa"/>
            <w:gridSpan w:val="6"/>
          </w:tcPr>
          <w:p w14:paraId="0B6B87E3"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Family members of war veterans who fought in Afghanistan combat operations.</w:t>
            </w:r>
          </w:p>
        </w:tc>
      </w:tr>
      <w:tr w:rsidR="00E72E03" w:rsidRPr="007669E1" w14:paraId="0F67D002" w14:textId="77777777" w:rsidTr="005A7B4B">
        <w:tc>
          <w:tcPr>
            <w:tcW w:w="2425" w:type="dxa"/>
          </w:tcPr>
          <w:p w14:paraId="7C65D4FD"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Type of Measure</w:t>
            </w:r>
          </w:p>
        </w:tc>
        <w:tc>
          <w:tcPr>
            <w:tcW w:w="7200" w:type="dxa"/>
            <w:gridSpan w:val="6"/>
          </w:tcPr>
          <w:p w14:paraId="69A8E50B"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49BF3421" w14:textId="77777777" w:rsidTr="005A7B4B">
        <w:tc>
          <w:tcPr>
            <w:tcW w:w="2425" w:type="dxa"/>
          </w:tcPr>
          <w:p w14:paraId="1CA39D9E"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Reason why this Measure is not part of the Benchmark Tax System</w:t>
            </w:r>
          </w:p>
        </w:tc>
        <w:tc>
          <w:tcPr>
            <w:tcW w:w="7200" w:type="dxa"/>
            <w:gridSpan w:val="6"/>
          </w:tcPr>
          <w:p w14:paraId="4BE2756A"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E72E03" w:rsidRPr="007669E1" w14:paraId="55876D66" w14:textId="77777777" w:rsidTr="005A7B4B">
        <w:tc>
          <w:tcPr>
            <w:tcW w:w="2425" w:type="dxa"/>
          </w:tcPr>
          <w:p w14:paraId="473FC0E9"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Legal Reference</w:t>
            </w:r>
          </w:p>
        </w:tc>
        <w:tc>
          <w:tcPr>
            <w:tcW w:w="7200" w:type="dxa"/>
            <w:gridSpan w:val="6"/>
          </w:tcPr>
          <w:p w14:paraId="73D88C33"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283(1)(j) of TC</w:t>
            </w:r>
          </w:p>
        </w:tc>
      </w:tr>
      <w:tr w:rsidR="007619A8" w:rsidRPr="007669E1" w14:paraId="57E36CD4" w14:textId="77777777" w:rsidTr="005A7B4B">
        <w:trPr>
          <w:trHeight w:val="182"/>
        </w:trPr>
        <w:tc>
          <w:tcPr>
            <w:tcW w:w="2425" w:type="dxa"/>
            <w:vMerge w:val="restart"/>
          </w:tcPr>
          <w:p w14:paraId="477CB90C"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Implementation Objectives, and History</w:t>
            </w:r>
          </w:p>
        </w:tc>
        <w:tc>
          <w:tcPr>
            <w:tcW w:w="7200" w:type="dxa"/>
            <w:gridSpan w:val="6"/>
          </w:tcPr>
          <w:p w14:paraId="16D3D6C8" w14:textId="77777777" w:rsidR="006B195D" w:rsidRPr="007669E1" w:rsidRDefault="006B195D" w:rsidP="00E90BA7">
            <w:pPr>
              <w:spacing w:before="20" w:after="20" w:line="240" w:lineRule="auto"/>
              <w:jc w:val="both"/>
              <w:rPr>
                <w:rFonts w:ascii="Segoe UI" w:hAnsi="Segoe UI" w:cs="Segoe UI"/>
                <w:sz w:val="18"/>
                <w:szCs w:val="18"/>
              </w:rPr>
            </w:pPr>
          </w:p>
        </w:tc>
      </w:tr>
      <w:tr w:rsidR="00A2051E" w:rsidRPr="007669E1" w14:paraId="548FEBBD" w14:textId="77777777" w:rsidTr="005A7B4B">
        <w:trPr>
          <w:trHeight w:val="182"/>
        </w:trPr>
        <w:tc>
          <w:tcPr>
            <w:tcW w:w="2425" w:type="dxa"/>
            <w:vMerge/>
          </w:tcPr>
          <w:p w14:paraId="4AD2E75E" w14:textId="77777777" w:rsidR="006B195D" w:rsidRPr="009316B3" w:rsidRDefault="006B195D" w:rsidP="00E90BA7">
            <w:pPr>
              <w:spacing w:before="20" w:after="20" w:line="240" w:lineRule="auto"/>
              <w:jc w:val="both"/>
              <w:rPr>
                <w:rFonts w:ascii="Segoe UI" w:hAnsi="Segoe UI" w:cs="Segoe UI"/>
                <w:b/>
                <w:bCs/>
                <w:sz w:val="18"/>
                <w:szCs w:val="18"/>
              </w:rPr>
            </w:pPr>
          </w:p>
        </w:tc>
        <w:tc>
          <w:tcPr>
            <w:tcW w:w="3462" w:type="dxa"/>
            <w:gridSpan w:val="3"/>
          </w:tcPr>
          <w:p w14:paraId="1802DFA3" w14:textId="4931D0D6"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414A2590" w14:textId="30A17273"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4E8CB16D" w14:textId="77777777" w:rsidTr="005A7B4B">
        <w:tc>
          <w:tcPr>
            <w:tcW w:w="2425" w:type="dxa"/>
          </w:tcPr>
          <w:p w14:paraId="3053971D"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Source of Data</w:t>
            </w:r>
          </w:p>
        </w:tc>
        <w:tc>
          <w:tcPr>
            <w:tcW w:w="7200" w:type="dxa"/>
            <w:gridSpan w:val="6"/>
          </w:tcPr>
          <w:p w14:paraId="11D90B21"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1C109D01" w14:textId="77777777" w:rsidTr="005A7B4B">
        <w:tc>
          <w:tcPr>
            <w:tcW w:w="2425" w:type="dxa"/>
          </w:tcPr>
          <w:p w14:paraId="067F8488"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Estimation Method</w:t>
            </w:r>
          </w:p>
        </w:tc>
        <w:tc>
          <w:tcPr>
            <w:tcW w:w="7200" w:type="dxa"/>
            <w:gridSpan w:val="6"/>
          </w:tcPr>
          <w:p w14:paraId="650C1864"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36523FDE" w14:textId="77777777" w:rsidTr="005A7B4B">
        <w:tc>
          <w:tcPr>
            <w:tcW w:w="2425" w:type="dxa"/>
          </w:tcPr>
          <w:p w14:paraId="4463FFB0"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Number of Beneficiaries</w:t>
            </w:r>
          </w:p>
        </w:tc>
        <w:tc>
          <w:tcPr>
            <w:tcW w:w="7200" w:type="dxa"/>
            <w:gridSpan w:val="6"/>
          </w:tcPr>
          <w:p w14:paraId="1008A297" w14:textId="16923751" w:rsidR="006B195D"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49CADAB5" w14:textId="77777777" w:rsidTr="005A7B4B">
        <w:tc>
          <w:tcPr>
            <w:tcW w:w="2425" w:type="dxa"/>
          </w:tcPr>
          <w:p w14:paraId="0C68E64B" w14:textId="77777777" w:rsidR="006B195D" w:rsidRPr="009316B3" w:rsidRDefault="006B195D" w:rsidP="00E90BA7">
            <w:pPr>
              <w:spacing w:before="20" w:after="20" w:line="240" w:lineRule="auto"/>
              <w:jc w:val="both"/>
              <w:rPr>
                <w:rFonts w:ascii="Segoe UI" w:hAnsi="Segoe UI" w:cs="Segoe UI"/>
                <w:b/>
                <w:bCs/>
                <w:sz w:val="18"/>
                <w:szCs w:val="18"/>
              </w:rPr>
            </w:pPr>
            <w:r w:rsidRPr="009316B3">
              <w:rPr>
                <w:rFonts w:ascii="Segoe UI" w:hAnsi="Segoe UI" w:cs="Segoe UI"/>
                <w:b/>
                <w:bCs/>
                <w:sz w:val="18"/>
                <w:szCs w:val="18"/>
              </w:rPr>
              <w:t>Revenue Cost Reporting</w:t>
            </w:r>
          </w:p>
        </w:tc>
        <w:tc>
          <w:tcPr>
            <w:tcW w:w="7200" w:type="dxa"/>
            <w:gridSpan w:val="6"/>
          </w:tcPr>
          <w:p w14:paraId="2F577907" w14:textId="4FC2C161" w:rsidR="006B195D" w:rsidRPr="007669E1" w:rsidRDefault="008C0CD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6B195D" w:rsidRPr="007669E1">
              <w:rPr>
                <w:rFonts w:ascii="Segoe UI" w:hAnsi="Segoe UI" w:cs="Segoe UI"/>
                <w:sz w:val="18"/>
                <w:szCs w:val="18"/>
              </w:rPr>
              <w:t xml:space="preserve"> MDL</w:t>
            </w:r>
          </w:p>
        </w:tc>
      </w:tr>
      <w:tr w:rsidR="00C943A7" w:rsidRPr="007669E1" w14:paraId="40BA5623" w14:textId="77777777" w:rsidTr="005A7B4B">
        <w:trPr>
          <w:trHeight w:val="91"/>
        </w:trPr>
        <w:tc>
          <w:tcPr>
            <w:tcW w:w="2425" w:type="dxa"/>
            <w:vMerge w:val="restart"/>
          </w:tcPr>
          <w:p w14:paraId="06353171" w14:textId="77777777" w:rsidR="006B195D" w:rsidRPr="007669E1" w:rsidRDefault="006B195D" w:rsidP="00E90BA7">
            <w:pPr>
              <w:spacing w:before="20" w:after="20" w:line="240" w:lineRule="auto"/>
              <w:jc w:val="both"/>
              <w:rPr>
                <w:rFonts w:ascii="Segoe UI" w:hAnsi="Segoe UI" w:cs="Segoe UI"/>
                <w:sz w:val="18"/>
                <w:szCs w:val="18"/>
              </w:rPr>
            </w:pPr>
          </w:p>
        </w:tc>
        <w:tc>
          <w:tcPr>
            <w:tcW w:w="1385" w:type="dxa"/>
          </w:tcPr>
          <w:p w14:paraId="41B66DCE"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2018</w:t>
            </w:r>
          </w:p>
        </w:tc>
        <w:tc>
          <w:tcPr>
            <w:tcW w:w="1385" w:type="dxa"/>
          </w:tcPr>
          <w:p w14:paraId="0E9F42B1"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2019</w:t>
            </w:r>
          </w:p>
        </w:tc>
        <w:tc>
          <w:tcPr>
            <w:tcW w:w="1385" w:type="dxa"/>
            <w:gridSpan w:val="2"/>
          </w:tcPr>
          <w:p w14:paraId="0ECE4563"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2020</w:t>
            </w:r>
          </w:p>
        </w:tc>
        <w:tc>
          <w:tcPr>
            <w:tcW w:w="1385" w:type="dxa"/>
          </w:tcPr>
          <w:p w14:paraId="1A48AC93"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2021</w:t>
            </w:r>
          </w:p>
        </w:tc>
        <w:tc>
          <w:tcPr>
            <w:tcW w:w="1660" w:type="dxa"/>
          </w:tcPr>
          <w:p w14:paraId="7111536C" w14:textId="74A04CDB" w:rsidR="006B195D" w:rsidRPr="00325118" w:rsidRDefault="000C00AF"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2022</w:t>
            </w:r>
          </w:p>
        </w:tc>
      </w:tr>
      <w:tr w:rsidR="00A2051E" w:rsidRPr="007669E1" w14:paraId="20BBE10F" w14:textId="77777777" w:rsidTr="003F31FB">
        <w:trPr>
          <w:trHeight w:val="305"/>
        </w:trPr>
        <w:tc>
          <w:tcPr>
            <w:tcW w:w="2425" w:type="dxa"/>
            <w:vMerge/>
          </w:tcPr>
          <w:p w14:paraId="478758F4" w14:textId="77777777" w:rsidR="006B195D" w:rsidRPr="007669E1" w:rsidRDefault="006B195D" w:rsidP="00E90BA7">
            <w:pPr>
              <w:spacing w:before="20" w:after="20" w:line="240" w:lineRule="auto"/>
              <w:jc w:val="both"/>
              <w:rPr>
                <w:rFonts w:ascii="Segoe UI" w:hAnsi="Segoe UI" w:cs="Segoe UI"/>
                <w:sz w:val="18"/>
                <w:szCs w:val="18"/>
              </w:rPr>
            </w:pPr>
          </w:p>
        </w:tc>
        <w:tc>
          <w:tcPr>
            <w:tcW w:w="1385" w:type="dxa"/>
            <w:vAlign w:val="center"/>
          </w:tcPr>
          <w:p w14:paraId="2E6C531F" w14:textId="45038B72" w:rsidR="006B195D" w:rsidRPr="007669E1" w:rsidRDefault="00315E5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52,588.8</w:t>
            </w:r>
          </w:p>
        </w:tc>
        <w:tc>
          <w:tcPr>
            <w:tcW w:w="1385" w:type="dxa"/>
            <w:vAlign w:val="center"/>
          </w:tcPr>
          <w:p w14:paraId="0CBD94DF" w14:textId="1E774314" w:rsidR="006B195D" w:rsidRPr="007669E1" w:rsidRDefault="007E17D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263.9</w:t>
            </w:r>
          </w:p>
        </w:tc>
        <w:tc>
          <w:tcPr>
            <w:tcW w:w="1385" w:type="dxa"/>
            <w:gridSpan w:val="2"/>
            <w:shd w:val="clear" w:color="auto" w:fill="auto"/>
            <w:vAlign w:val="center"/>
          </w:tcPr>
          <w:p w14:paraId="6004E2DC" w14:textId="6A87F9F9" w:rsidR="006B195D" w:rsidRPr="007669E1" w:rsidRDefault="007E17D6"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183.4</w:t>
            </w:r>
          </w:p>
        </w:tc>
        <w:tc>
          <w:tcPr>
            <w:tcW w:w="1385" w:type="dxa"/>
            <w:shd w:val="clear" w:color="auto" w:fill="auto"/>
            <w:vAlign w:val="center"/>
          </w:tcPr>
          <w:p w14:paraId="36800670" w14:textId="11AC7B14" w:rsidR="006B195D" w:rsidRPr="007669E1" w:rsidRDefault="007E17D6"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270.1</w:t>
            </w:r>
          </w:p>
        </w:tc>
        <w:tc>
          <w:tcPr>
            <w:tcW w:w="1660" w:type="dxa"/>
            <w:shd w:val="clear" w:color="auto" w:fill="auto"/>
            <w:vAlign w:val="center"/>
          </w:tcPr>
          <w:p w14:paraId="6883BB78" w14:textId="56D8AFC6" w:rsidR="006B195D" w:rsidRPr="007669E1" w:rsidRDefault="00081D61"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r>
    </w:tbl>
    <w:p w14:paraId="62B5B697" w14:textId="77777777" w:rsidR="006B195D" w:rsidRPr="007669E1" w:rsidRDefault="006B195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325118" w14:paraId="32AB773A" w14:textId="77777777" w:rsidTr="005A7B4B">
        <w:tc>
          <w:tcPr>
            <w:tcW w:w="9625" w:type="dxa"/>
            <w:gridSpan w:val="7"/>
            <w:shd w:val="clear" w:color="auto" w:fill="D9D9D9" w:themeFill="background1" w:themeFillShade="D9"/>
          </w:tcPr>
          <w:p w14:paraId="702ABD42" w14:textId="671ED0E8"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 xml:space="preserve">11. </w:t>
            </w:r>
            <w:r w:rsidR="001F1D76" w:rsidRPr="00325118">
              <w:rPr>
                <w:rFonts w:ascii="Segoe UI" w:hAnsi="Segoe UI" w:cs="Segoe UI"/>
                <w:b/>
                <w:bCs/>
                <w:sz w:val="18"/>
                <w:szCs w:val="18"/>
              </w:rPr>
              <w:t>Exemption for f</w:t>
            </w:r>
            <w:r w:rsidR="00957188" w:rsidRPr="00325118">
              <w:rPr>
                <w:rFonts w:ascii="Segoe UI" w:hAnsi="Segoe UI" w:cs="Segoe UI"/>
                <w:b/>
                <w:bCs/>
                <w:sz w:val="18"/>
                <w:szCs w:val="18"/>
              </w:rPr>
              <w:t>amilies</w:t>
            </w:r>
            <w:r w:rsidRPr="00325118">
              <w:rPr>
                <w:rFonts w:ascii="Segoe UI" w:hAnsi="Segoe UI" w:cs="Segoe UI"/>
                <w:b/>
                <w:bCs/>
                <w:w w:val="105"/>
                <w:sz w:val="18"/>
                <w:szCs w:val="18"/>
                <w:lang w:val="en"/>
              </w:rPr>
              <w:t xml:space="preserve"> with children with disabilities younger than 18 years and members of families who are permanently caring and provide for persons with disabilities shall be exempted from RET</w:t>
            </w:r>
          </w:p>
        </w:tc>
      </w:tr>
      <w:tr w:rsidR="00E72E03" w:rsidRPr="007669E1" w14:paraId="74F1F604" w14:textId="77777777" w:rsidTr="005A7B4B">
        <w:tc>
          <w:tcPr>
            <w:tcW w:w="2425" w:type="dxa"/>
          </w:tcPr>
          <w:p w14:paraId="7709B56C"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Description</w:t>
            </w:r>
          </w:p>
        </w:tc>
        <w:tc>
          <w:tcPr>
            <w:tcW w:w="7200" w:type="dxa"/>
            <w:gridSpan w:val="6"/>
          </w:tcPr>
          <w:p w14:paraId="4A81E9C5" w14:textId="77777777" w:rsidR="006B195D" w:rsidRPr="007669E1" w:rsidRDefault="006B195D"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w:t>
            </w:r>
            <w:r w:rsidRPr="007669E1">
              <w:rPr>
                <w:rFonts w:ascii="Segoe UI" w:hAnsi="Segoe UI" w:cs="Segoe UI"/>
                <w:w w:val="105"/>
                <w:sz w:val="18"/>
                <w:szCs w:val="18"/>
                <w:lang w:val="en"/>
              </w:rPr>
              <w:t>families with children with disabilities younger than 18 years and members of families who are permanently caring and provide for persons with disabilities shall be exempted from RET.</w:t>
            </w:r>
          </w:p>
        </w:tc>
      </w:tr>
      <w:tr w:rsidR="00E72E03" w:rsidRPr="007669E1" w14:paraId="3ADA2A72" w14:textId="77777777" w:rsidTr="005A7B4B">
        <w:tc>
          <w:tcPr>
            <w:tcW w:w="2425" w:type="dxa"/>
          </w:tcPr>
          <w:p w14:paraId="0177F44A"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Type of Tax Affected</w:t>
            </w:r>
          </w:p>
        </w:tc>
        <w:tc>
          <w:tcPr>
            <w:tcW w:w="7200" w:type="dxa"/>
            <w:gridSpan w:val="6"/>
          </w:tcPr>
          <w:p w14:paraId="71E35FAB"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791F3AA5" w14:textId="77777777" w:rsidTr="005A7B4B">
        <w:tc>
          <w:tcPr>
            <w:tcW w:w="2425" w:type="dxa"/>
          </w:tcPr>
          <w:p w14:paraId="5E9B1813"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Beneficiaries</w:t>
            </w:r>
          </w:p>
        </w:tc>
        <w:tc>
          <w:tcPr>
            <w:tcW w:w="7200" w:type="dxa"/>
            <w:gridSpan w:val="6"/>
          </w:tcPr>
          <w:p w14:paraId="7EF787BC" w14:textId="77777777" w:rsidR="006B195D" w:rsidRPr="007669E1" w:rsidRDefault="006B195D" w:rsidP="00E90BA7">
            <w:pPr>
              <w:spacing w:before="20" w:after="20" w:line="240" w:lineRule="auto"/>
              <w:jc w:val="both"/>
              <w:rPr>
                <w:rFonts w:ascii="Segoe UI" w:hAnsi="Segoe UI" w:cs="Segoe UI"/>
                <w:sz w:val="18"/>
                <w:szCs w:val="18"/>
              </w:rPr>
            </w:pPr>
          </w:p>
        </w:tc>
      </w:tr>
      <w:tr w:rsidR="00E72E03" w:rsidRPr="007669E1" w14:paraId="4E73C361" w14:textId="77777777" w:rsidTr="005A7B4B">
        <w:tc>
          <w:tcPr>
            <w:tcW w:w="2425" w:type="dxa"/>
          </w:tcPr>
          <w:p w14:paraId="3E19B5D1"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Type of Measure</w:t>
            </w:r>
          </w:p>
        </w:tc>
        <w:tc>
          <w:tcPr>
            <w:tcW w:w="7200" w:type="dxa"/>
            <w:gridSpan w:val="6"/>
          </w:tcPr>
          <w:p w14:paraId="7B60DFB9" w14:textId="59E8CB4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32E61482" w14:textId="77777777" w:rsidTr="005A7B4B">
        <w:tc>
          <w:tcPr>
            <w:tcW w:w="2425" w:type="dxa"/>
          </w:tcPr>
          <w:p w14:paraId="4A1B2DCA"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Reason why this Measure is not part of the Benchmark Tax System</w:t>
            </w:r>
          </w:p>
        </w:tc>
        <w:tc>
          <w:tcPr>
            <w:tcW w:w="7200" w:type="dxa"/>
            <w:gridSpan w:val="6"/>
          </w:tcPr>
          <w:p w14:paraId="0FB87826"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E72E03" w:rsidRPr="007669E1" w14:paraId="234C8CDE" w14:textId="77777777" w:rsidTr="005A7B4B">
        <w:tc>
          <w:tcPr>
            <w:tcW w:w="2425" w:type="dxa"/>
          </w:tcPr>
          <w:p w14:paraId="3FAD9CBD"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Legal Reference</w:t>
            </w:r>
          </w:p>
        </w:tc>
        <w:tc>
          <w:tcPr>
            <w:tcW w:w="7200" w:type="dxa"/>
            <w:gridSpan w:val="6"/>
          </w:tcPr>
          <w:p w14:paraId="0262CC84"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283(1)(k) of TC</w:t>
            </w:r>
          </w:p>
        </w:tc>
      </w:tr>
      <w:tr w:rsidR="007619A8" w:rsidRPr="007669E1" w14:paraId="070E6C76" w14:textId="77777777" w:rsidTr="005A7B4B">
        <w:trPr>
          <w:trHeight w:val="182"/>
        </w:trPr>
        <w:tc>
          <w:tcPr>
            <w:tcW w:w="2425" w:type="dxa"/>
            <w:vMerge w:val="restart"/>
          </w:tcPr>
          <w:p w14:paraId="4AC4DADF"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Implementation Objectives, and History</w:t>
            </w:r>
          </w:p>
        </w:tc>
        <w:tc>
          <w:tcPr>
            <w:tcW w:w="7200" w:type="dxa"/>
            <w:gridSpan w:val="6"/>
          </w:tcPr>
          <w:p w14:paraId="7D0D6CA8" w14:textId="77777777" w:rsidR="006B195D" w:rsidRPr="007669E1" w:rsidRDefault="006B195D" w:rsidP="00E90BA7">
            <w:pPr>
              <w:spacing w:before="20" w:after="20" w:line="240" w:lineRule="auto"/>
              <w:jc w:val="both"/>
              <w:rPr>
                <w:rFonts w:ascii="Segoe UI" w:hAnsi="Segoe UI" w:cs="Segoe UI"/>
                <w:sz w:val="18"/>
                <w:szCs w:val="18"/>
              </w:rPr>
            </w:pPr>
          </w:p>
        </w:tc>
      </w:tr>
      <w:tr w:rsidR="00A2051E" w:rsidRPr="007669E1" w14:paraId="388C29F5" w14:textId="77777777" w:rsidTr="005A7B4B">
        <w:trPr>
          <w:trHeight w:val="182"/>
        </w:trPr>
        <w:tc>
          <w:tcPr>
            <w:tcW w:w="2425" w:type="dxa"/>
            <w:vMerge/>
          </w:tcPr>
          <w:p w14:paraId="4F638F0F" w14:textId="77777777" w:rsidR="006B195D" w:rsidRPr="00325118" w:rsidRDefault="006B195D" w:rsidP="00E90BA7">
            <w:pPr>
              <w:spacing w:before="20" w:after="20" w:line="240" w:lineRule="auto"/>
              <w:jc w:val="both"/>
              <w:rPr>
                <w:rFonts w:ascii="Segoe UI" w:hAnsi="Segoe UI" w:cs="Segoe UI"/>
                <w:b/>
                <w:bCs/>
                <w:sz w:val="18"/>
                <w:szCs w:val="18"/>
              </w:rPr>
            </w:pPr>
          </w:p>
        </w:tc>
        <w:tc>
          <w:tcPr>
            <w:tcW w:w="3462" w:type="dxa"/>
            <w:gridSpan w:val="3"/>
          </w:tcPr>
          <w:p w14:paraId="39740206" w14:textId="5A3B7BBD"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327E7646" w14:textId="3CB06983"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2C63DF7B" w14:textId="77777777" w:rsidTr="005A7B4B">
        <w:tc>
          <w:tcPr>
            <w:tcW w:w="2425" w:type="dxa"/>
          </w:tcPr>
          <w:p w14:paraId="74325D43"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Source of Data</w:t>
            </w:r>
          </w:p>
        </w:tc>
        <w:tc>
          <w:tcPr>
            <w:tcW w:w="7200" w:type="dxa"/>
            <w:gridSpan w:val="6"/>
          </w:tcPr>
          <w:p w14:paraId="4B30DB8F"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33009511" w14:textId="77777777" w:rsidTr="005A7B4B">
        <w:tc>
          <w:tcPr>
            <w:tcW w:w="2425" w:type="dxa"/>
          </w:tcPr>
          <w:p w14:paraId="0E81460E"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Estimation Method</w:t>
            </w:r>
          </w:p>
        </w:tc>
        <w:tc>
          <w:tcPr>
            <w:tcW w:w="7200" w:type="dxa"/>
            <w:gridSpan w:val="6"/>
          </w:tcPr>
          <w:p w14:paraId="10694ECC" w14:textId="77777777" w:rsidR="006B195D" w:rsidRPr="007669E1" w:rsidRDefault="006B195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0F837D0F" w14:textId="77777777" w:rsidTr="005A7B4B">
        <w:tc>
          <w:tcPr>
            <w:tcW w:w="2425" w:type="dxa"/>
          </w:tcPr>
          <w:p w14:paraId="3863866B"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Number of Beneficiaries</w:t>
            </w:r>
          </w:p>
        </w:tc>
        <w:tc>
          <w:tcPr>
            <w:tcW w:w="7200" w:type="dxa"/>
            <w:gridSpan w:val="6"/>
          </w:tcPr>
          <w:p w14:paraId="747033E3" w14:textId="212A779F" w:rsidR="006B195D"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07AC7667" w14:textId="77777777" w:rsidTr="005A7B4B">
        <w:tc>
          <w:tcPr>
            <w:tcW w:w="2425" w:type="dxa"/>
          </w:tcPr>
          <w:p w14:paraId="42616A03"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Revenue Cost Reporting</w:t>
            </w:r>
          </w:p>
        </w:tc>
        <w:tc>
          <w:tcPr>
            <w:tcW w:w="7200" w:type="dxa"/>
            <w:gridSpan w:val="6"/>
          </w:tcPr>
          <w:p w14:paraId="2E2CCC75" w14:textId="1A228533" w:rsidR="006B195D" w:rsidRPr="007669E1" w:rsidRDefault="008C0CD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6B195D" w:rsidRPr="007669E1">
              <w:rPr>
                <w:rFonts w:ascii="Segoe UI" w:hAnsi="Segoe UI" w:cs="Segoe UI"/>
                <w:sz w:val="18"/>
                <w:szCs w:val="18"/>
              </w:rPr>
              <w:t xml:space="preserve"> MDL</w:t>
            </w:r>
          </w:p>
        </w:tc>
      </w:tr>
      <w:tr w:rsidR="00A2051E" w:rsidRPr="007669E1" w14:paraId="6C36F024" w14:textId="77777777" w:rsidTr="005A7B4B">
        <w:trPr>
          <w:trHeight w:val="91"/>
        </w:trPr>
        <w:tc>
          <w:tcPr>
            <w:tcW w:w="2425" w:type="dxa"/>
            <w:vMerge w:val="restart"/>
          </w:tcPr>
          <w:p w14:paraId="7E471558" w14:textId="77777777" w:rsidR="006B195D" w:rsidRPr="007669E1" w:rsidRDefault="006B195D" w:rsidP="00E90BA7">
            <w:pPr>
              <w:spacing w:before="20" w:after="20" w:line="240" w:lineRule="auto"/>
              <w:jc w:val="both"/>
              <w:rPr>
                <w:rFonts w:ascii="Segoe UI" w:hAnsi="Segoe UI" w:cs="Segoe UI"/>
                <w:sz w:val="18"/>
                <w:szCs w:val="18"/>
              </w:rPr>
            </w:pPr>
          </w:p>
        </w:tc>
        <w:tc>
          <w:tcPr>
            <w:tcW w:w="1385" w:type="dxa"/>
          </w:tcPr>
          <w:p w14:paraId="080ADF90"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2018</w:t>
            </w:r>
          </w:p>
        </w:tc>
        <w:tc>
          <w:tcPr>
            <w:tcW w:w="1385" w:type="dxa"/>
          </w:tcPr>
          <w:p w14:paraId="242F3DE7"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2019</w:t>
            </w:r>
          </w:p>
        </w:tc>
        <w:tc>
          <w:tcPr>
            <w:tcW w:w="1385" w:type="dxa"/>
            <w:gridSpan w:val="2"/>
          </w:tcPr>
          <w:p w14:paraId="43668F4C"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2020</w:t>
            </w:r>
          </w:p>
        </w:tc>
        <w:tc>
          <w:tcPr>
            <w:tcW w:w="1385" w:type="dxa"/>
          </w:tcPr>
          <w:p w14:paraId="50944248" w14:textId="77777777" w:rsidR="006B195D" w:rsidRPr="00325118" w:rsidRDefault="006B195D"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2021</w:t>
            </w:r>
          </w:p>
        </w:tc>
        <w:tc>
          <w:tcPr>
            <w:tcW w:w="1660" w:type="dxa"/>
          </w:tcPr>
          <w:p w14:paraId="62BF9EAB" w14:textId="64B5D034" w:rsidR="006B195D" w:rsidRPr="00325118" w:rsidRDefault="000C00AF"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2022</w:t>
            </w:r>
          </w:p>
        </w:tc>
      </w:tr>
      <w:tr w:rsidR="00A2051E" w:rsidRPr="007669E1" w14:paraId="7093E3C9" w14:textId="77777777" w:rsidTr="003F31FB">
        <w:trPr>
          <w:trHeight w:val="305"/>
        </w:trPr>
        <w:tc>
          <w:tcPr>
            <w:tcW w:w="2425" w:type="dxa"/>
            <w:vMerge/>
          </w:tcPr>
          <w:p w14:paraId="12A7961C" w14:textId="77777777" w:rsidR="006B195D" w:rsidRPr="007669E1" w:rsidRDefault="006B195D" w:rsidP="00E90BA7">
            <w:pPr>
              <w:spacing w:before="20" w:after="20" w:line="240" w:lineRule="auto"/>
              <w:jc w:val="both"/>
              <w:rPr>
                <w:rFonts w:ascii="Segoe UI" w:hAnsi="Segoe UI" w:cs="Segoe UI"/>
                <w:sz w:val="18"/>
                <w:szCs w:val="18"/>
              </w:rPr>
            </w:pPr>
          </w:p>
        </w:tc>
        <w:tc>
          <w:tcPr>
            <w:tcW w:w="1385" w:type="dxa"/>
            <w:shd w:val="clear" w:color="auto" w:fill="auto"/>
            <w:vAlign w:val="center"/>
          </w:tcPr>
          <w:p w14:paraId="42365B8E" w14:textId="378A7596" w:rsidR="006B195D" w:rsidRPr="007669E1" w:rsidRDefault="001F1D7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c>
          <w:tcPr>
            <w:tcW w:w="1385" w:type="dxa"/>
            <w:shd w:val="clear" w:color="auto" w:fill="auto"/>
            <w:vAlign w:val="center"/>
          </w:tcPr>
          <w:p w14:paraId="3A6336F2" w14:textId="246AEA6B" w:rsidR="006B195D" w:rsidRPr="007669E1" w:rsidRDefault="002800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144.1</w:t>
            </w:r>
          </w:p>
        </w:tc>
        <w:tc>
          <w:tcPr>
            <w:tcW w:w="1385" w:type="dxa"/>
            <w:gridSpan w:val="2"/>
            <w:shd w:val="clear" w:color="auto" w:fill="auto"/>
            <w:vAlign w:val="center"/>
          </w:tcPr>
          <w:p w14:paraId="0B3FAC06" w14:textId="7F022BC7" w:rsidR="006B195D" w:rsidRPr="007669E1" w:rsidRDefault="002800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181.0</w:t>
            </w:r>
          </w:p>
        </w:tc>
        <w:tc>
          <w:tcPr>
            <w:tcW w:w="1385" w:type="dxa"/>
            <w:shd w:val="clear" w:color="auto" w:fill="auto"/>
            <w:vAlign w:val="center"/>
          </w:tcPr>
          <w:p w14:paraId="24B707F2" w14:textId="48F13531" w:rsidR="006B195D" w:rsidRPr="007669E1" w:rsidRDefault="002800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211.1</w:t>
            </w:r>
          </w:p>
        </w:tc>
        <w:tc>
          <w:tcPr>
            <w:tcW w:w="1660" w:type="dxa"/>
            <w:shd w:val="clear" w:color="auto" w:fill="auto"/>
            <w:vAlign w:val="center"/>
          </w:tcPr>
          <w:p w14:paraId="1CB8975F" w14:textId="695AA2AF" w:rsidR="006B195D" w:rsidRPr="007669E1" w:rsidRDefault="006A6C5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r>
    </w:tbl>
    <w:p w14:paraId="749692C6" w14:textId="77777777" w:rsidR="006B195D" w:rsidRPr="007669E1" w:rsidRDefault="006B195D"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567B9" w14:paraId="0AE5947D" w14:textId="77777777" w:rsidTr="005A7B4B">
        <w:tc>
          <w:tcPr>
            <w:tcW w:w="9625" w:type="dxa"/>
            <w:gridSpan w:val="7"/>
            <w:shd w:val="clear" w:color="auto" w:fill="D9D9D9" w:themeFill="background1" w:themeFillShade="D9"/>
          </w:tcPr>
          <w:p w14:paraId="656C682E" w14:textId="40268EF8" w:rsidR="00476D10" w:rsidRPr="005567B9" w:rsidRDefault="00476D10" w:rsidP="00E90BA7">
            <w:pPr>
              <w:pStyle w:val="TableParagraph"/>
              <w:spacing w:before="20" w:after="20"/>
              <w:ind w:left="23"/>
              <w:jc w:val="both"/>
              <w:rPr>
                <w:rFonts w:ascii="Segoe UI" w:hAnsi="Segoe UI" w:cs="Segoe UI"/>
                <w:b/>
                <w:bCs/>
                <w:sz w:val="18"/>
                <w:szCs w:val="18"/>
              </w:rPr>
            </w:pPr>
            <w:r w:rsidRPr="005567B9">
              <w:rPr>
                <w:rFonts w:ascii="Segoe UI" w:hAnsi="Segoe UI" w:cs="Segoe UI"/>
                <w:b/>
                <w:bCs/>
                <w:sz w:val="18"/>
                <w:szCs w:val="18"/>
              </w:rPr>
              <w:lastRenderedPageBreak/>
              <w:t xml:space="preserve">12. </w:t>
            </w:r>
            <w:r w:rsidR="0026102C" w:rsidRPr="005567B9">
              <w:rPr>
                <w:rFonts w:ascii="Segoe UI" w:hAnsi="Segoe UI" w:cs="Segoe UI"/>
                <w:b/>
                <w:bCs/>
                <w:sz w:val="18"/>
                <w:szCs w:val="18"/>
              </w:rPr>
              <w:t xml:space="preserve">Exemption for </w:t>
            </w:r>
            <w:r w:rsidRPr="005567B9">
              <w:rPr>
                <w:rFonts w:ascii="Segoe UI" w:hAnsi="Segoe UI" w:cs="Segoe UI"/>
                <w:b/>
                <w:bCs/>
                <w:w w:val="105"/>
                <w:sz w:val="18"/>
                <w:szCs w:val="18"/>
                <w:lang w:val="en"/>
              </w:rPr>
              <w:t xml:space="preserve">families of persons who died from diseases acquired as a result of working on the clean-up of the consequences of the Chernobyl NPS accident </w:t>
            </w:r>
            <w:r w:rsidRPr="005567B9">
              <w:rPr>
                <w:rFonts w:ascii="Segoe UI" w:hAnsi="Segoe UI" w:cs="Segoe UI"/>
                <w:b/>
                <w:bCs/>
                <w:spacing w:val="-1"/>
                <w:w w:val="105"/>
                <w:sz w:val="18"/>
                <w:szCs w:val="18"/>
                <w:lang w:val="en"/>
              </w:rPr>
              <w:t>and their dependents</w:t>
            </w:r>
          </w:p>
        </w:tc>
      </w:tr>
      <w:tr w:rsidR="007669E1" w:rsidRPr="007669E1" w14:paraId="45704A12" w14:textId="77777777" w:rsidTr="005A7B4B">
        <w:tc>
          <w:tcPr>
            <w:tcW w:w="2425" w:type="dxa"/>
          </w:tcPr>
          <w:p w14:paraId="247E48D8"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Description</w:t>
            </w:r>
          </w:p>
        </w:tc>
        <w:tc>
          <w:tcPr>
            <w:tcW w:w="7200" w:type="dxa"/>
            <w:gridSpan w:val="6"/>
          </w:tcPr>
          <w:p w14:paraId="1BBD3A3F"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 xml:space="preserve">The families of persons who died from diseases acquired as a result of working on the clean-up of the consequences of the Chernobyl NPS accident </w:t>
            </w:r>
            <w:r w:rsidRPr="007669E1">
              <w:rPr>
                <w:rFonts w:ascii="Segoe UI" w:hAnsi="Segoe UI" w:cs="Segoe UI"/>
                <w:spacing w:val="-1"/>
                <w:w w:val="105"/>
                <w:sz w:val="18"/>
                <w:szCs w:val="18"/>
                <w:lang w:val="en"/>
              </w:rPr>
              <w:t>and their dependents shall be exempted.</w:t>
            </w:r>
          </w:p>
        </w:tc>
      </w:tr>
      <w:tr w:rsidR="007669E1" w:rsidRPr="007669E1" w14:paraId="69E458BE" w14:textId="77777777" w:rsidTr="005A7B4B">
        <w:tc>
          <w:tcPr>
            <w:tcW w:w="2425" w:type="dxa"/>
          </w:tcPr>
          <w:p w14:paraId="7FD65D71"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Type of Tax Affected</w:t>
            </w:r>
          </w:p>
        </w:tc>
        <w:tc>
          <w:tcPr>
            <w:tcW w:w="7200" w:type="dxa"/>
            <w:gridSpan w:val="6"/>
          </w:tcPr>
          <w:p w14:paraId="5DCBAE2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69E1" w:rsidRPr="007669E1" w14:paraId="6C965006" w14:textId="77777777" w:rsidTr="005A7B4B">
        <w:tc>
          <w:tcPr>
            <w:tcW w:w="2425" w:type="dxa"/>
          </w:tcPr>
          <w:p w14:paraId="782D5DAB"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Beneficiaries</w:t>
            </w:r>
          </w:p>
        </w:tc>
        <w:tc>
          <w:tcPr>
            <w:tcW w:w="7200" w:type="dxa"/>
            <w:gridSpan w:val="6"/>
          </w:tcPr>
          <w:p w14:paraId="7F6F517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Dependent family members of persons involved with the clean-up of the Chernobyl NPS accident</w:t>
            </w:r>
          </w:p>
        </w:tc>
      </w:tr>
      <w:tr w:rsidR="007669E1" w:rsidRPr="007669E1" w14:paraId="4F53C315" w14:textId="77777777" w:rsidTr="005A7B4B">
        <w:tc>
          <w:tcPr>
            <w:tcW w:w="2425" w:type="dxa"/>
          </w:tcPr>
          <w:p w14:paraId="5D88DCC1"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Type of Measure</w:t>
            </w:r>
          </w:p>
        </w:tc>
        <w:tc>
          <w:tcPr>
            <w:tcW w:w="7200" w:type="dxa"/>
            <w:gridSpan w:val="6"/>
          </w:tcPr>
          <w:p w14:paraId="6689CB9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69E1" w:rsidRPr="007669E1" w14:paraId="30B77B19" w14:textId="77777777" w:rsidTr="005A7B4B">
        <w:tc>
          <w:tcPr>
            <w:tcW w:w="2425" w:type="dxa"/>
          </w:tcPr>
          <w:p w14:paraId="5B6FE00F"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Reason why this Measure is not part of the Benchmark Tax System</w:t>
            </w:r>
          </w:p>
        </w:tc>
        <w:tc>
          <w:tcPr>
            <w:tcW w:w="7200" w:type="dxa"/>
            <w:gridSpan w:val="6"/>
          </w:tcPr>
          <w:p w14:paraId="6DF37AB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669E1" w:rsidRPr="007669E1" w14:paraId="045D8004" w14:textId="77777777" w:rsidTr="005A7B4B">
        <w:tc>
          <w:tcPr>
            <w:tcW w:w="2425" w:type="dxa"/>
          </w:tcPr>
          <w:p w14:paraId="09FA45FA"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Legal Reference</w:t>
            </w:r>
          </w:p>
        </w:tc>
        <w:tc>
          <w:tcPr>
            <w:tcW w:w="7200" w:type="dxa"/>
            <w:gridSpan w:val="6"/>
          </w:tcPr>
          <w:p w14:paraId="615B3DC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283(1)(l) of TC</w:t>
            </w:r>
          </w:p>
        </w:tc>
      </w:tr>
      <w:tr w:rsidR="00136C8F" w:rsidRPr="007669E1" w14:paraId="5AE70EEC" w14:textId="77777777" w:rsidTr="005A7B4B">
        <w:trPr>
          <w:trHeight w:val="182"/>
        </w:trPr>
        <w:tc>
          <w:tcPr>
            <w:tcW w:w="2425" w:type="dxa"/>
            <w:vMerge w:val="restart"/>
          </w:tcPr>
          <w:p w14:paraId="1204DDF1"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Implementation Objectives, and History</w:t>
            </w:r>
          </w:p>
        </w:tc>
        <w:tc>
          <w:tcPr>
            <w:tcW w:w="7200" w:type="dxa"/>
            <w:gridSpan w:val="6"/>
          </w:tcPr>
          <w:p w14:paraId="5FC31AC6" w14:textId="77777777" w:rsidR="00476D10" w:rsidRPr="007669E1" w:rsidRDefault="00476D10" w:rsidP="00E90BA7">
            <w:pPr>
              <w:spacing w:before="20" w:after="20" w:line="240" w:lineRule="auto"/>
              <w:jc w:val="both"/>
              <w:rPr>
                <w:rFonts w:ascii="Segoe UI" w:hAnsi="Segoe UI" w:cs="Segoe UI"/>
                <w:sz w:val="18"/>
                <w:szCs w:val="18"/>
              </w:rPr>
            </w:pPr>
          </w:p>
        </w:tc>
      </w:tr>
      <w:tr w:rsidR="00136C8F" w:rsidRPr="007669E1" w14:paraId="17DE8E4B" w14:textId="77777777" w:rsidTr="005A7B4B">
        <w:trPr>
          <w:trHeight w:val="182"/>
        </w:trPr>
        <w:tc>
          <w:tcPr>
            <w:tcW w:w="2425" w:type="dxa"/>
            <w:vMerge/>
          </w:tcPr>
          <w:p w14:paraId="6D344A46" w14:textId="77777777" w:rsidR="00476D10" w:rsidRPr="00325118" w:rsidRDefault="00476D10" w:rsidP="00E90BA7">
            <w:pPr>
              <w:spacing w:before="20" w:after="20" w:line="240" w:lineRule="auto"/>
              <w:jc w:val="both"/>
              <w:rPr>
                <w:rFonts w:ascii="Segoe UI" w:hAnsi="Segoe UI" w:cs="Segoe UI"/>
                <w:b/>
                <w:bCs/>
                <w:sz w:val="18"/>
                <w:szCs w:val="18"/>
              </w:rPr>
            </w:pPr>
          </w:p>
        </w:tc>
        <w:tc>
          <w:tcPr>
            <w:tcW w:w="3462" w:type="dxa"/>
            <w:gridSpan w:val="3"/>
          </w:tcPr>
          <w:p w14:paraId="0A1257C5" w14:textId="29D9CC6D"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7CBDC940" w14:textId="56CCA83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r w:rsidRPr="007669E1">
              <w:rPr>
                <w:rFonts w:ascii="Segoe UI" w:hAnsi="Segoe UI" w:cs="Segoe UI"/>
                <w:sz w:val="18"/>
                <w:szCs w:val="18"/>
              </w:rPr>
              <w:t>:</w:t>
            </w:r>
          </w:p>
        </w:tc>
      </w:tr>
      <w:tr w:rsidR="007669E1" w:rsidRPr="007669E1" w14:paraId="08928754" w14:textId="77777777" w:rsidTr="005A7B4B">
        <w:tc>
          <w:tcPr>
            <w:tcW w:w="2425" w:type="dxa"/>
          </w:tcPr>
          <w:p w14:paraId="50059867"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Source of Data</w:t>
            </w:r>
          </w:p>
        </w:tc>
        <w:tc>
          <w:tcPr>
            <w:tcW w:w="7200" w:type="dxa"/>
            <w:gridSpan w:val="6"/>
          </w:tcPr>
          <w:p w14:paraId="01B49A5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4DDF54A1" w14:textId="77777777" w:rsidTr="005A7B4B">
        <w:tc>
          <w:tcPr>
            <w:tcW w:w="2425" w:type="dxa"/>
          </w:tcPr>
          <w:p w14:paraId="785E5511"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Estimation Method</w:t>
            </w:r>
          </w:p>
        </w:tc>
        <w:tc>
          <w:tcPr>
            <w:tcW w:w="7200" w:type="dxa"/>
            <w:gridSpan w:val="6"/>
          </w:tcPr>
          <w:p w14:paraId="55F25CC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317D4718" w14:textId="77777777" w:rsidTr="005A7B4B">
        <w:tc>
          <w:tcPr>
            <w:tcW w:w="2425" w:type="dxa"/>
          </w:tcPr>
          <w:p w14:paraId="0BBE7FC1"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Number of Beneficiaries</w:t>
            </w:r>
          </w:p>
        </w:tc>
        <w:tc>
          <w:tcPr>
            <w:tcW w:w="7200" w:type="dxa"/>
            <w:gridSpan w:val="6"/>
          </w:tcPr>
          <w:p w14:paraId="458F9CC0" w14:textId="218624F2"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C3FE162" w14:textId="77777777" w:rsidTr="005A7B4B">
        <w:tc>
          <w:tcPr>
            <w:tcW w:w="2425" w:type="dxa"/>
          </w:tcPr>
          <w:p w14:paraId="2E1D394A"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Revenue Cost Reporting</w:t>
            </w:r>
          </w:p>
        </w:tc>
        <w:tc>
          <w:tcPr>
            <w:tcW w:w="7200" w:type="dxa"/>
            <w:gridSpan w:val="6"/>
          </w:tcPr>
          <w:p w14:paraId="322B8FFE" w14:textId="3CB042BB" w:rsidR="00476D10" w:rsidRPr="007669E1" w:rsidRDefault="0098486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476D10" w:rsidRPr="007669E1">
              <w:rPr>
                <w:rFonts w:ascii="Segoe UI" w:hAnsi="Segoe UI" w:cs="Segoe UI"/>
                <w:sz w:val="18"/>
                <w:szCs w:val="18"/>
              </w:rPr>
              <w:t>MDL</w:t>
            </w:r>
          </w:p>
        </w:tc>
      </w:tr>
      <w:tr w:rsidR="00136C8F" w:rsidRPr="007669E1" w14:paraId="3DB3149B" w14:textId="77777777" w:rsidTr="005A7B4B">
        <w:trPr>
          <w:trHeight w:val="91"/>
        </w:trPr>
        <w:tc>
          <w:tcPr>
            <w:tcW w:w="2425" w:type="dxa"/>
            <w:vMerge w:val="restart"/>
          </w:tcPr>
          <w:p w14:paraId="49B64BD6"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71882569"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2018</w:t>
            </w:r>
          </w:p>
        </w:tc>
        <w:tc>
          <w:tcPr>
            <w:tcW w:w="1385" w:type="dxa"/>
          </w:tcPr>
          <w:p w14:paraId="0F1010BA"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2019</w:t>
            </w:r>
          </w:p>
        </w:tc>
        <w:tc>
          <w:tcPr>
            <w:tcW w:w="1385" w:type="dxa"/>
            <w:gridSpan w:val="2"/>
          </w:tcPr>
          <w:p w14:paraId="765E727A"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2020</w:t>
            </w:r>
          </w:p>
        </w:tc>
        <w:tc>
          <w:tcPr>
            <w:tcW w:w="1385" w:type="dxa"/>
          </w:tcPr>
          <w:p w14:paraId="205ABA64" w14:textId="77777777" w:rsidR="00476D10" w:rsidRPr="00325118" w:rsidRDefault="00476D10"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2021</w:t>
            </w:r>
          </w:p>
        </w:tc>
        <w:tc>
          <w:tcPr>
            <w:tcW w:w="1660" w:type="dxa"/>
          </w:tcPr>
          <w:p w14:paraId="53AD62C5" w14:textId="03C02887" w:rsidR="00476D10" w:rsidRPr="00325118" w:rsidRDefault="000C00AF" w:rsidP="00E90BA7">
            <w:pPr>
              <w:spacing w:before="20" w:after="20" w:line="240" w:lineRule="auto"/>
              <w:jc w:val="both"/>
              <w:rPr>
                <w:rFonts w:ascii="Segoe UI" w:hAnsi="Segoe UI" w:cs="Segoe UI"/>
                <w:b/>
                <w:bCs/>
                <w:sz w:val="18"/>
                <w:szCs w:val="18"/>
              </w:rPr>
            </w:pPr>
            <w:r w:rsidRPr="00325118">
              <w:rPr>
                <w:rFonts w:ascii="Segoe UI" w:hAnsi="Segoe UI" w:cs="Segoe UI"/>
                <w:b/>
                <w:bCs/>
                <w:sz w:val="18"/>
                <w:szCs w:val="18"/>
              </w:rPr>
              <w:t>2022</w:t>
            </w:r>
          </w:p>
        </w:tc>
      </w:tr>
      <w:tr w:rsidR="00136C8F" w:rsidRPr="007669E1" w14:paraId="4C5CC1CE" w14:textId="77777777" w:rsidTr="003F31FB">
        <w:trPr>
          <w:trHeight w:val="305"/>
        </w:trPr>
        <w:tc>
          <w:tcPr>
            <w:tcW w:w="2425" w:type="dxa"/>
            <w:vMerge/>
          </w:tcPr>
          <w:p w14:paraId="1A2A4D83"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center"/>
          </w:tcPr>
          <w:p w14:paraId="63EC4DD7" w14:textId="0C563BC1" w:rsidR="00476D10" w:rsidRPr="007669E1" w:rsidRDefault="006765F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c>
          <w:tcPr>
            <w:tcW w:w="1385" w:type="dxa"/>
            <w:vAlign w:val="center"/>
          </w:tcPr>
          <w:p w14:paraId="7B73143B" w14:textId="1B3748F7" w:rsidR="00476D10" w:rsidRPr="007669E1" w:rsidRDefault="00EA750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60.6</w:t>
            </w:r>
          </w:p>
        </w:tc>
        <w:tc>
          <w:tcPr>
            <w:tcW w:w="1385" w:type="dxa"/>
            <w:gridSpan w:val="2"/>
            <w:shd w:val="clear" w:color="auto" w:fill="auto"/>
            <w:vAlign w:val="center"/>
          </w:tcPr>
          <w:p w14:paraId="08DC278E" w14:textId="75A10243" w:rsidR="00476D10" w:rsidRPr="007669E1" w:rsidRDefault="00EA750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34.1</w:t>
            </w:r>
          </w:p>
        </w:tc>
        <w:tc>
          <w:tcPr>
            <w:tcW w:w="1385" w:type="dxa"/>
            <w:shd w:val="clear" w:color="auto" w:fill="auto"/>
            <w:vAlign w:val="center"/>
          </w:tcPr>
          <w:p w14:paraId="00E6197A" w14:textId="7F556B8C" w:rsidR="00476D10" w:rsidRPr="007669E1" w:rsidRDefault="00EA750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52.8</w:t>
            </w:r>
          </w:p>
        </w:tc>
        <w:tc>
          <w:tcPr>
            <w:tcW w:w="1660" w:type="dxa"/>
            <w:shd w:val="clear" w:color="auto" w:fill="auto"/>
            <w:vAlign w:val="center"/>
          </w:tcPr>
          <w:p w14:paraId="166C1B37" w14:textId="1B395C1E" w:rsidR="00476D10" w:rsidRPr="007669E1" w:rsidRDefault="006765F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3F31FB" w:rsidRPr="007669E1">
              <w:rPr>
                <w:rFonts w:ascii="Segoe UI" w:hAnsi="Segoe UI" w:cs="Segoe UI"/>
                <w:color w:val="000000"/>
                <w:sz w:val="18"/>
                <w:szCs w:val="18"/>
              </w:rPr>
              <w:t>.</w:t>
            </w:r>
          </w:p>
        </w:tc>
      </w:tr>
    </w:tbl>
    <w:p w14:paraId="1D83E35A"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567B9" w14:paraId="415C17D1" w14:textId="77777777" w:rsidTr="005A7B4B">
        <w:tc>
          <w:tcPr>
            <w:tcW w:w="9625" w:type="dxa"/>
            <w:gridSpan w:val="7"/>
            <w:shd w:val="clear" w:color="auto" w:fill="D9D9D9" w:themeFill="background1" w:themeFillShade="D9"/>
          </w:tcPr>
          <w:p w14:paraId="67B5B7E1" w14:textId="0B345810"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13. </w:t>
            </w:r>
            <w:r w:rsidR="00E9688B" w:rsidRPr="005567B9">
              <w:rPr>
                <w:rFonts w:ascii="Segoe UI" w:hAnsi="Segoe UI" w:cs="Segoe UI"/>
                <w:b/>
                <w:bCs/>
                <w:sz w:val="18"/>
                <w:szCs w:val="18"/>
              </w:rPr>
              <w:t>Exemption for p</w:t>
            </w:r>
            <w:r w:rsidRPr="005567B9">
              <w:rPr>
                <w:rFonts w:ascii="Segoe UI" w:hAnsi="Segoe UI" w:cs="Segoe UI"/>
                <w:b/>
                <w:bCs/>
                <w:sz w:val="18"/>
                <w:szCs w:val="18"/>
              </w:rPr>
              <w:t xml:space="preserve">roperty owned by </w:t>
            </w:r>
            <w:r w:rsidR="44BFC66E" w:rsidRPr="005567B9">
              <w:rPr>
                <w:rFonts w:ascii="Segoe UI" w:hAnsi="Segoe UI" w:cs="Segoe UI"/>
                <w:b/>
                <w:bCs/>
                <w:sz w:val="18"/>
                <w:szCs w:val="18"/>
              </w:rPr>
              <w:t>p</w:t>
            </w:r>
            <w:r w:rsidRPr="005567B9">
              <w:rPr>
                <w:rFonts w:ascii="Segoe UI" w:hAnsi="Segoe UI" w:cs="Segoe UI"/>
                <w:b/>
                <w:bCs/>
                <w:spacing w:val="-1"/>
                <w:w w:val="105"/>
                <w:sz w:val="18"/>
                <w:szCs w:val="18"/>
                <w:lang w:val="en"/>
              </w:rPr>
              <w:t>Public medical and sanitary institutions financed from the mandatory health insurance funds</w:t>
            </w:r>
          </w:p>
        </w:tc>
      </w:tr>
      <w:tr w:rsidR="0084536F" w:rsidRPr="007669E1" w14:paraId="438018E8" w14:textId="77777777" w:rsidTr="005A7B4B">
        <w:tc>
          <w:tcPr>
            <w:tcW w:w="2425" w:type="dxa"/>
          </w:tcPr>
          <w:p w14:paraId="050A880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200" w:type="dxa"/>
            <w:gridSpan w:val="6"/>
          </w:tcPr>
          <w:p w14:paraId="0011BCAE"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Property owned by </w:t>
            </w:r>
            <w:r w:rsidRPr="007669E1">
              <w:rPr>
                <w:rFonts w:ascii="Segoe UI" w:hAnsi="Segoe UI" w:cs="Segoe UI"/>
                <w:spacing w:val="-1"/>
                <w:w w:val="105"/>
                <w:sz w:val="18"/>
                <w:szCs w:val="18"/>
                <w:lang w:val="en"/>
              </w:rPr>
              <w:t xml:space="preserve">public medical - sanitary institutions, </w:t>
            </w:r>
            <w:r w:rsidRPr="007669E1">
              <w:rPr>
                <w:rFonts w:ascii="Segoe UI" w:hAnsi="Segoe UI" w:cs="Segoe UI"/>
                <w:sz w:val="18"/>
                <w:szCs w:val="18"/>
              </w:rPr>
              <w:t>family doctors’ individual practices and centers</w:t>
            </w:r>
            <w:r w:rsidRPr="007669E1">
              <w:rPr>
                <w:rFonts w:ascii="Segoe UI" w:hAnsi="Segoe UI" w:cs="Segoe UI"/>
                <w:spacing w:val="-1"/>
                <w:w w:val="105"/>
                <w:sz w:val="18"/>
                <w:szCs w:val="18"/>
                <w:lang w:val="en"/>
              </w:rPr>
              <w:t xml:space="preserve"> financed from the mandatory health insurance fund shall be tax exempt.</w:t>
            </w:r>
          </w:p>
        </w:tc>
      </w:tr>
      <w:tr w:rsidR="0084536F" w:rsidRPr="007669E1" w14:paraId="71204254" w14:textId="77777777" w:rsidTr="005A7B4B">
        <w:tc>
          <w:tcPr>
            <w:tcW w:w="2425" w:type="dxa"/>
          </w:tcPr>
          <w:p w14:paraId="244850E1"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200" w:type="dxa"/>
            <w:gridSpan w:val="6"/>
          </w:tcPr>
          <w:p w14:paraId="05538BA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84536F" w:rsidRPr="007669E1" w14:paraId="6607457C" w14:textId="77777777" w:rsidTr="005A7B4B">
        <w:tc>
          <w:tcPr>
            <w:tcW w:w="2425" w:type="dxa"/>
          </w:tcPr>
          <w:p w14:paraId="7D9D7C1C"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200" w:type="dxa"/>
            <w:gridSpan w:val="6"/>
          </w:tcPr>
          <w:p w14:paraId="1DAF381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Public medical and sanitary institutions and their treated patients (indirectly, if tax relief is carried through in their cost structure of provided health services).</w:t>
            </w:r>
          </w:p>
        </w:tc>
      </w:tr>
      <w:tr w:rsidR="0084536F" w:rsidRPr="007669E1" w14:paraId="31048048" w14:textId="77777777" w:rsidTr="005A7B4B">
        <w:tc>
          <w:tcPr>
            <w:tcW w:w="2425" w:type="dxa"/>
          </w:tcPr>
          <w:p w14:paraId="4001874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200" w:type="dxa"/>
            <w:gridSpan w:val="6"/>
          </w:tcPr>
          <w:p w14:paraId="15B08C56" w14:textId="4835017B"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84536F" w:rsidRPr="007669E1" w14:paraId="477FEDE5" w14:textId="77777777" w:rsidTr="005A7B4B">
        <w:tc>
          <w:tcPr>
            <w:tcW w:w="2425" w:type="dxa"/>
          </w:tcPr>
          <w:p w14:paraId="14BA171C"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200" w:type="dxa"/>
            <w:gridSpan w:val="6"/>
          </w:tcPr>
          <w:p w14:paraId="4215558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84536F" w:rsidRPr="007669E1" w14:paraId="51BB982C" w14:textId="77777777" w:rsidTr="005A7B4B">
        <w:tc>
          <w:tcPr>
            <w:tcW w:w="2425" w:type="dxa"/>
          </w:tcPr>
          <w:p w14:paraId="11D644B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200" w:type="dxa"/>
            <w:gridSpan w:val="6"/>
          </w:tcPr>
          <w:p w14:paraId="6416976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Art 283(1)(m) of TC </w:t>
            </w:r>
          </w:p>
        </w:tc>
      </w:tr>
      <w:tr w:rsidR="0084536F" w:rsidRPr="007669E1" w14:paraId="0BB72A93" w14:textId="77777777" w:rsidTr="005A7B4B">
        <w:trPr>
          <w:trHeight w:val="182"/>
        </w:trPr>
        <w:tc>
          <w:tcPr>
            <w:tcW w:w="2425" w:type="dxa"/>
            <w:vMerge w:val="restart"/>
          </w:tcPr>
          <w:p w14:paraId="24C9A19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200" w:type="dxa"/>
            <w:gridSpan w:val="6"/>
          </w:tcPr>
          <w:p w14:paraId="6648A38C" w14:textId="77777777" w:rsidR="00476D10" w:rsidRPr="007669E1" w:rsidRDefault="00476D10" w:rsidP="00E90BA7">
            <w:pPr>
              <w:spacing w:before="20" w:after="20" w:line="240" w:lineRule="auto"/>
              <w:jc w:val="both"/>
              <w:rPr>
                <w:rFonts w:ascii="Segoe UI" w:hAnsi="Segoe UI" w:cs="Segoe UI"/>
                <w:sz w:val="18"/>
                <w:szCs w:val="18"/>
              </w:rPr>
            </w:pPr>
          </w:p>
        </w:tc>
      </w:tr>
      <w:tr w:rsidR="007669E1" w:rsidRPr="007669E1" w14:paraId="19347CDD" w14:textId="77777777" w:rsidTr="005A7B4B">
        <w:trPr>
          <w:trHeight w:val="182"/>
        </w:trPr>
        <w:tc>
          <w:tcPr>
            <w:tcW w:w="2425" w:type="dxa"/>
            <w:vMerge/>
          </w:tcPr>
          <w:p w14:paraId="0CE8EE6C" w14:textId="77777777" w:rsidR="00476D10" w:rsidRPr="005567B9" w:rsidRDefault="00476D10" w:rsidP="00E90BA7">
            <w:pPr>
              <w:spacing w:before="20" w:after="20" w:line="240" w:lineRule="auto"/>
              <w:jc w:val="both"/>
              <w:rPr>
                <w:rFonts w:ascii="Segoe UI" w:hAnsi="Segoe UI" w:cs="Segoe UI"/>
                <w:b/>
                <w:bCs/>
                <w:sz w:val="18"/>
                <w:szCs w:val="18"/>
              </w:rPr>
            </w:pPr>
          </w:p>
        </w:tc>
        <w:tc>
          <w:tcPr>
            <w:tcW w:w="3462" w:type="dxa"/>
            <w:gridSpan w:val="3"/>
          </w:tcPr>
          <w:p w14:paraId="5F0F4E5E" w14:textId="45F471C9"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693E61A2" w14:textId="045E6030"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84536F" w:rsidRPr="007669E1" w14:paraId="1E4AAC69" w14:textId="77777777" w:rsidTr="005A7B4B">
        <w:tc>
          <w:tcPr>
            <w:tcW w:w="2425" w:type="dxa"/>
          </w:tcPr>
          <w:p w14:paraId="0DA6EB2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200" w:type="dxa"/>
            <w:gridSpan w:val="6"/>
          </w:tcPr>
          <w:p w14:paraId="5798DC5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84536F" w:rsidRPr="007669E1" w14:paraId="68BD3EC8" w14:textId="77777777" w:rsidTr="005A7B4B">
        <w:tc>
          <w:tcPr>
            <w:tcW w:w="2425" w:type="dxa"/>
          </w:tcPr>
          <w:p w14:paraId="31C4FCB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200" w:type="dxa"/>
            <w:gridSpan w:val="6"/>
          </w:tcPr>
          <w:p w14:paraId="6D1F66F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84536F" w:rsidRPr="007669E1" w14:paraId="46E1AE31" w14:textId="77777777" w:rsidTr="005A7B4B">
        <w:tc>
          <w:tcPr>
            <w:tcW w:w="2425" w:type="dxa"/>
          </w:tcPr>
          <w:p w14:paraId="3F1E7C0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200" w:type="dxa"/>
            <w:gridSpan w:val="6"/>
          </w:tcPr>
          <w:p w14:paraId="7C1EDBC2" w14:textId="0BEE31E0"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84536F" w:rsidRPr="007669E1" w14:paraId="6CA479A4" w14:textId="77777777" w:rsidTr="005A7B4B">
        <w:tc>
          <w:tcPr>
            <w:tcW w:w="2425" w:type="dxa"/>
          </w:tcPr>
          <w:p w14:paraId="5AE46C6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200" w:type="dxa"/>
            <w:gridSpan w:val="6"/>
          </w:tcPr>
          <w:p w14:paraId="0820C7FA" w14:textId="31101967" w:rsidR="00476D10" w:rsidRPr="007669E1" w:rsidRDefault="00914C4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619A8" w:rsidRPr="007669E1" w14:paraId="3A5DF934" w14:textId="77777777" w:rsidTr="005A7B4B">
        <w:trPr>
          <w:trHeight w:val="91"/>
        </w:trPr>
        <w:tc>
          <w:tcPr>
            <w:tcW w:w="2425" w:type="dxa"/>
            <w:vMerge w:val="restart"/>
          </w:tcPr>
          <w:p w14:paraId="7CDB6EC7"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0935BF3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385" w:type="dxa"/>
          </w:tcPr>
          <w:p w14:paraId="6DF511E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385" w:type="dxa"/>
            <w:gridSpan w:val="2"/>
          </w:tcPr>
          <w:p w14:paraId="6DBD510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85" w:type="dxa"/>
          </w:tcPr>
          <w:p w14:paraId="12D9EEF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660" w:type="dxa"/>
          </w:tcPr>
          <w:p w14:paraId="4DB1D5A5" w14:textId="7E461B57"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136C8F" w:rsidRPr="007669E1" w14:paraId="5E18247A" w14:textId="77777777" w:rsidTr="005C4EB6">
        <w:trPr>
          <w:trHeight w:val="305"/>
        </w:trPr>
        <w:tc>
          <w:tcPr>
            <w:tcW w:w="2425" w:type="dxa"/>
            <w:vMerge/>
          </w:tcPr>
          <w:p w14:paraId="422E06B3"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7AC3CD73" w14:textId="1EBFC46F" w:rsidR="00476D10" w:rsidRPr="007669E1" w:rsidRDefault="002C543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3,413.9</w:t>
            </w:r>
          </w:p>
        </w:tc>
        <w:tc>
          <w:tcPr>
            <w:tcW w:w="1385" w:type="dxa"/>
            <w:shd w:val="clear" w:color="auto" w:fill="auto"/>
          </w:tcPr>
          <w:p w14:paraId="44ADBF78" w14:textId="7E39E89B"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7</w:t>
            </w:r>
            <w:r w:rsidR="00691785" w:rsidRPr="007669E1">
              <w:rPr>
                <w:rFonts w:ascii="Segoe UI" w:hAnsi="Segoe UI" w:cs="Segoe UI"/>
                <w:w w:val="105"/>
                <w:sz w:val="18"/>
                <w:szCs w:val="18"/>
                <w:lang w:val="en"/>
              </w:rPr>
              <w:t>,</w:t>
            </w:r>
            <w:r w:rsidR="00832838" w:rsidRPr="007669E1">
              <w:rPr>
                <w:rFonts w:ascii="Segoe UI" w:hAnsi="Segoe UI" w:cs="Segoe UI"/>
                <w:w w:val="105"/>
                <w:sz w:val="18"/>
                <w:szCs w:val="18"/>
                <w:lang w:val="en"/>
              </w:rPr>
              <w:t>7</w:t>
            </w:r>
            <w:r w:rsidR="001070B0" w:rsidRPr="007669E1">
              <w:rPr>
                <w:rFonts w:ascii="Segoe UI" w:hAnsi="Segoe UI" w:cs="Segoe UI"/>
                <w:w w:val="105"/>
                <w:sz w:val="18"/>
                <w:szCs w:val="18"/>
                <w:lang w:val="en"/>
              </w:rPr>
              <w:t>46.</w:t>
            </w:r>
            <w:r w:rsidR="00691785" w:rsidRPr="007669E1" w:rsidDel="0021209A">
              <w:rPr>
                <w:rFonts w:ascii="Segoe UI" w:hAnsi="Segoe UI" w:cs="Segoe UI"/>
                <w:w w:val="105"/>
                <w:sz w:val="18"/>
                <w:szCs w:val="18"/>
                <w:lang w:val="en"/>
              </w:rPr>
              <w:t>7</w:t>
            </w:r>
          </w:p>
        </w:tc>
        <w:tc>
          <w:tcPr>
            <w:tcW w:w="1385" w:type="dxa"/>
            <w:gridSpan w:val="2"/>
            <w:shd w:val="clear" w:color="auto" w:fill="auto"/>
          </w:tcPr>
          <w:p w14:paraId="589740D3" w14:textId="70F493B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20</w:t>
            </w:r>
            <w:r w:rsidR="00C260AA" w:rsidRPr="007669E1">
              <w:rPr>
                <w:rFonts w:ascii="Segoe UI" w:hAnsi="Segoe UI" w:cs="Segoe UI"/>
                <w:w w:val="105"/>
                <w:sz w:val="18"/>
                <w:szCs w:val="18"/>
                <w:lang w:val="en"/>
              </w:rPr>
              <w:t>,134.7</w:t>
            </w:r>
          </w:p>
        </w:tc>
        <w:tc>
          <w:tcPr>
            <w:tcW w:w="1385" w:type="dxa"/>
            <w:shd w:val="clear" w:color="auto" w:fill="auto"/>
          </w:tcPr>
          <w:p w14:paraId="3D9EBD83" w14:textId="06F95C1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24</w:t>
            </w:r>
            <w:r w:rsidR="00537DBC" w:rsidRPr="007669E1">
              <w:rPr>
                <w:rFonts w:ascii="Segoe UI" w:hAnsi="Segoe UI" w:cs="Segoe UI"/>
                <w:w w:val="105"/>
                <w:sz w:val="18"/>
                <w:szCs w:val="18"/>
                <w:lang w:val="en"/>
              </w:rPr>
              <w:t>,891.8</w:t>
            </w:r>
          </w:p>
        </w:tc>
        <w:tc>
          <w:tcPr>
            <w:tcW w:w="1660" w:type="dxa"/>
            <w:shd w:val="clear" w:color="auto" w:fill="auto"/>
          </w:tcPr>
          <w:p w14:paraId="0DD922C9" w14:textId="2792FA7A" w:rsidR="00476D10" w:rsidRPr="007669E1" w:rsidRDefault="005C4EB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r w:rsidR="00620B0E" w:rsidRPr="007669E1">
              <w:rPr>
                <w:rFonts w:ascii="Segoe UI" w:hAnsi="Segoe UI" w:cs="Segoe UI"/>
                <w:sz w:val="18"/>
                <w:szCs w:val="18"/>
              </w:rPr>
              <w:t>.</w:t>
            </w:r>
          </w:p>
        </w:tc>
      </w:tr>
    </w:tbl>
    <w:p w14:paraId="5F3C43A5"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2"/>
        <w:gridCol w:w="1338"/>
        <w:gridCol w:w="1603"/>
        <w:gridCol w:w="692"/>
        <w:gridCol w:w="687"/>
        <w:gridCol w:w="1338"/>
        <w:gridCol w:w="1595"/>
      </w:tblGrid>
      <w:tr w:rsidR="00476D10" w:rsidRPr="005567B9" w14:paraId="4F30CC62" w14:textId="77777777" w:rsidTr="005567B9">
        <w:tc>
          <w:tcPr>
            <w:tcW w:w="9625" w:type="dxa"/>
            <w:gridSpan w:val="7"/>
          </w:tcPr>
          <w:p w14:paraId="25FBFD4A" w14:textId="31C3F1B4"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14. </w:t>
            </w:r>
            <w:r w:rsidR="00E9688B" w:rsidRPr="005567B9">
              <w:rPr>
                <w:rFonts w:ascii="Segoe UI" w:hAnsi="Segoe UI" w:cs="Segoe UI"/>
                <w:b/>
                <w:bCs/>
                <w:sz w:val="18"/>
                <w:szCs w:val="18"/>
              </w:rPr>
              <w:t>Exemption for t</w:t>
            </w:r>
            <w:r w:rsidRPr="005567B9">
              <w:rPr>
                <w:rFonts w:ascii="Segoe UI" w:hAnsi="Segoe UI" w:cs="Segoe UI"/>
                <w:b/>
                <w:bCs/>
                <w:spacing w:val="-1"/>
                <w:w w:val="105"/>
                <w:sz w:val="18"/>
                <w:szCs w:val="18"/>
                <w:lang w:val="en"/>
              </w:rPr>
              <w:t>he National Health Insurance Company and its territorial agencies</w:t>
            </w:r>
          </w:p>
        </w:tc>
      </w:tr>
      <w:tr w:rsidR="00476D10" w:rsidRPr="007669E1" w14:paraId="60A5401F" w14:textId="77777777" w:rsidTr="005567B9">
        <w:tc>
          <w:tcPr>
            <w:tcW w:w="2372" w:type="dxa"/>
          </w:tcPr>
          <w:p w14:paraId="1E1DB6E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lastRenderedPageBreak/>
              <w:t>Description</w:t>
            </w:r>
          </w:p>
        </w:tc>
        <w:tc>
          <w:tcPr>
            <w:tcW w:w="7253" w:type="dxa"/>
            <w:gridSpan w:val="6"/>
          </w:tcPr>
          <w:p w14:paraId="74FE7396"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Property owned by the National Health Insurance Company in Medicine and its territorial agencies shall be exempted.</w:t>
            </w:r>
          </w:p>
        </w:tc>
      </w:tr>
      <w:tr w:rsidR="00476D10" w:rsidRPr="007669E1" w14:paraId="69BAD399" w14:textId="77777777" w:rsidTr="005567B9">
        <w:tc>
          <w:tcPr>
            <w:tcW w:w="2372" w:type="dxa"/>
          </w:tcPr>
          <w:p w14:paraId="3E99BE3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253" w:type="dxa"/>
            <w:gridSpan w:val="6"/>
          </w:tcPr>
          <w:p w14:paraId="2B229BA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476D10" w:rsidRPr="007669E1" w14:paraId="52E9D532" w14:textId="77777777" w:rsidTr="005567B9">
        <w:tc>
          <w:tcPr>
            <w:tcW w:w="2372" w:type="dxa"/>
          </w:tcPr>
          <w:p w14:paraId="3F5484A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253" w:type="dxa"/>
            <w:gridSpan w:val="6"/>
          </w:tcPr>
          <w:p w14:paraId="2872B08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National Health Insurance Company and its territorial agencies.</w:t>
            </w:r>
          </w:p>
        </w:tc>
      </w:tr>
      <w:tr w:rsidR="00476D10" w:rsidRPr="007669E1" w14:paraId="77A91E33" w14:textId="77777777" w:rsidTr="005567B9">
        <w:tc>
          <w:tcPr>
            <w:tcW w:w="2372" w:type="dxa"/>
          </w:tcPr>
          <w:p w14:paraId="6FA4CFE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253" w:type="dxa"/>
            <w:gridSpan w:val="6"/>
          </w:tcPr>
          <w:p w14:paraId="20C9C57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 or reduced rate</w:t>
            </w:r>
          </w:p>
        </w:tc>
      </w:tr>
      <w:tr w:rsidR="00476D10" w:rsidRPr="007669E1" w14:paraId="3AA7B00B" w14:textId="77777777" w:rsidTr="005567B9">
        <w:tc>
          <w:tcPr>
            <w:tcW w:w="2372" w:type="dxa"/>
          </w:tcPr>
          <w:p w14:paraId="2DF87EA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253" w:type="dxa"/>
            <w:gridSpan w:val="6"/>
          </w:tcPr>
          <w:p w14:paraId="31202E9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476D10" w:rsidRPr="007669E1" w14:paraId="3D6152ED" w14:textId="77777777" w:rsidTr="005567B9">
        <w:tc>
          <w:tcPr>
            <w:tcW w:w="2372" w:type="dxa"/>
          </w:tcPr>
          <w:p w14:paraId="4E196C6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253" w:type="dxa"/>
            <w:gridSpan w:val="6"/>
          </w:tcPr>
          <w:p w14:paraId="405FFC5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283(1)(n) of TC</w:t>
            </w:r>
          </w:p>
        </w:tc>
      </w:tr>
      <w:tr w:rsidR="00476D10" w:rsidRPr="007669E1" w14:paraId="301DA06D" w14:textId="77777777" w:rsidTr="005567B9">
        <w:trPr>
          <w:trHeight w:val="182"/>
        </w:trPr>
        <w:tc>
          <w:tcPr>
            <w:tcW w:w="2372" w:type="dxa"/>
            <w:vMerge w:val="restart"/>
          </w:tcPr>
          <w:p w14:paraId="59B7317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253" w:type="dxa"/>
            <w:gridSpan w:val="6"/>
          </w:tcPr>
          <w:p w14:paraId="63F1036F" w14:textId="77777777" w:rsidR="00476D10" w:rsidRPr="007669E1" w:rsidRDefault="00476D10" w:rsidP="00E90BA7">
            <w:pPr>
              <w:spacing w:before="20" w:after="20" w:line="240" w:lineRule="auto"/>
              <w:jc w:val="both"/>
              <w:rPr>
                <w:rFonts w:ascii="Segoe UI" w:hAnsi="Segoe UI" w:cs="Segoe UI"/>
                <w:sz w:val="18"/>
                <w:szCs w:val="18"/>
              </w:rPr>
            </w:pPr>
          </w:p>
        </w:tc>
      </w:tr>
      <w:tr w:rsidR="00476D10" w:rsidRPr="007669E1" w14:paraId="4E2A020A" w14:textId="77777777" w:rsidTr="005567B9">
        <w:trPr>
          <w:trHeight w:val="182"/>
        </w:trPr>
        <w:tc>
          <w:tcPr>
            <w:tcW w:w="2372" w:type="dxa"/>
            <w:vMerge/>
          </w:tcPr>
          <w:p w14:paraId="7BA04D09" w14:textId="77777777" w:rsidR="00476D10" w:rsidRPr="005567B9" w:rsidRDefault="00476D10" w:rsidP="00E90BA7">
            <w:pPr>
              <w:spacing w:before="20" w:after="20" w:line="240" w:lineRule="auto"/>
              <w:jc w:val="both"/>
              <w:rPr>
                <w:rFonts w:ascii="Segoe UI" w:hAnsi="Segoe UI" w:cs="Segoe UI"/>
                <w:b/>
                <w:bCs/>
                <w:sz w:val="18"/>
                <w:szCs w:val="18"/>
              </w:rPr>
            </w:pPr>
          </w:p>
        </w:tc>
        <w:tc>
          <w:tcPr>
            <w:tcW w:w="3633" w:type="dxa"/>
            <w:gridSpan w:val="3"/>
          </w:tcPr>
          <w:p w14:paraId="4FB8517F" w14:textId="1BE7B70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20" w:type="dxa"/>
            <w:gridSpan w:val="3"/>
          </w:tcPr>
          <w:p w14:paraId="6D1B5F75" w14:textId="339CBDDF"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476D10" w:rsidRPr="007669E1" w14:paraId="0B6C47C3" w14:textId="77777777" w:rsidTr="005567B9">
        <w:tc>
          <w:tcPr>
            <w:tcW w:w="2372" w:type="dxa"/>
          </w:tcPr>
          <w:p w14:paraId="3C9D2142"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253" w:type="dxa"/>
            <w:gridSpan w:val="6"/>
          </w:tcPr>
          <w:p w14:paraId="7311C2D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476D10" w:rsidRPr="007669E1" w14:paraId="421858B3" w14:textId="77777777" w:rsidTr="005567B9">
        <w:tc>
          <w:tcPr>
            <w:tcW w:w="2372" w:type="dxa"/>
          </w:tcPr>
          <w:p w14:paraId="5409CA5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253" w:type="dxa"/>
            <w:gridSpan w:val="6"/>
          </w:tcPr>
          <w:p w14:paraId="16A48F4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476D10" w:rsidRPr="007669E1" w14:paraId="2D636664" w14:textId="77777777" w:rsidTr="005567B9">
        <w:tc>
          <w:tcPr>
            <w:tcW w:w="2372" w:type="dxa"/>
          </w:tcPr>
          <w:p w14:paraId="3B0FABA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253" w:type="dxa"/>
            <w:gridSpan w:val="6"/>
          </w:tcPr>
          <w:p w14:paraId="4C7E893A" w14:textId="614A4663"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476D10" w:rsidRPr="007669E1" w14:paraId="7604CFFA" w14:textId="77777777" w:rsidTr="005567B9">
        <w:tc>
          <w:tcPr>
            <w:tcW w:w="2372" w:type="dxa"/>
          </w:tcPr>
          <w:p w14:paraId="595BC88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253" w:type="dxa"/>
            <w:gridSpan w:val="6"/>
          </w:tcPr>
          <w:p w14:paraId="31286704" w14:textId="101FBD5F" w:rsidR="00476D10" w:rsidRPr="007669E1" w:rsidRDefault="000816D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476D10" w:rsidRPr="007669E1">
              <w:rPr>
                <w:rFonts w:ascii="Segoe UI" w:hAnsi="Segoe UI" w:cs="Segoe UI"/>
                <w:sz w:val="18"/>
                <w:szCs w:val="18"/>
              </w:rPr>
              <w:t>MDL</w:t>
            </w:r>
          </w:p>
        </w:tc>
      </w:tr>
      <w:tr w:rsidR="00515767" w:rsidRPr="007669E1" w14:paraId="7923CD26" w14:textId="77777777" w:rsidTr="005567B9">
        <w:trPr>
          <w:trHeight w:val="91"/>
        </w:trPr>
        <w:tc>
          <w:tcPr>
            <w:tcW w:w="2372" w:type="dxa"/>
            <w:vMerge w:val="restart"/>
          </w:tcPr>
          <w:p w14:paraId="31ABAD9F" w14:textId="77777777" w:rsidR="00476D10" w:rsidRPr="007669E1" w:rsidRDefault="00476D10" w:rsidP="00E90BA7">
            <w:pPr>
              <w:spacing w:before="20" w:after="20" w:line="240" w:lineRule="auto"/>
              <w:jc w:val="both"/>
              <w:rPr>
                <w:rFonts w:ascii="Segoe UI" w:hAnsi="Segoe UI" w:cs="Segoe UI"/>
                <w:sz w:val="18"/>
                <w:szCs w:val="18"/>
              </w:rPr>
            </w:pPr>
          </w:p>
        </w:tc>
        <w:tc>
          <w:tcPr>
            <w:tcW w:w="1338" w:type="dxa"/>
          </w:tcPr>
          <w:p w14:paraId="223073B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603" w:type="dxa"/>
          </w:tcPr>
          <w:p w14:paraId="37D4343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379" w:type="dxa"/>
            <w:gridSpan w:val="2"/>
          </w:tcPr>
          <w:p w14:paraId="62E3B15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38" w:type="dxa"/>
          </w:tcPr>
          <w:p w14:paraId="5417398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595" w:type="dxa"/>
          </w:tcPr>
          <w:p w14:paraId="1A062771" w14:textId="5F19361D"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515767" w:rsidRPr="007669E1" w14:paraId="10856C25" w14:textId="77777777" w:rsidTr="005567B9">
        <w:trPr>
          <w:trHeight w:val="305"/>
        </w:trPr>
        <w:tc>
          <w:tcPr>
            <w:tcW w:w="2372" w:type="dxa"/>
            <w:vMerge/>
          </w:tcPr>
          <w:p w14:paraId="6D82265C" w14:textId="77777777" w:rsidR="00476D10" w:rsidRPr="007669E1" w:rsidRDefault="00476D10" w:rsidP="00E90BA7">
            <w:pPr>
              <w:spacing w:before="20" w:after="20" w:line="240" w:lineRule="auto"/>
              <w:jc w:val="both"/>
              <w:rPr>
                <w:rFonts w:ascii="Segoe UI" w:hAnsi="Segoe UI" w:cs="Segoe UI"/>
                <w:sz w:val="18"/>
                <w:szCs w:val="18"/>
              </w:rPr>
            </w:pPr>
          </w:p>
        </w:tc>
        <w:tc>
          <w:tcPr>
            <w:tcW w:w="1338" w:type="dxa"/>
          </w:tcPr>
          <w:p w14:paraId="3506857E" w14:textId="791EE9A8" w:rsidR="00476D10" w:rsidRPr="007669E1" w:rsidRDefault="00121BF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16.8</w:t>
            </w:r>
          </w:p>
        </w:tc>
        <w:tc>
          <w:tcPr>
            <w:tcW w:w="1603" w:type="dxa"/>
          </w:tcPr>
          <w:p w14:paraId="563C062B" w14:textId="0722C3CF" w:rsidR="00476D10" w:rsidRPr="007669E1" w:rsidRDefault="001A517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15,975.2</w:t>
            </w:r>
          </w:p>
        </w:tc>
        <w:tc>
          <w:tcPr>
            <w:tcW w:w="1379" w:type="dxa"/>
            <w:gridSpan w:val="2"/>
          </w:tcPr>
          <w:p w14:paraId="57C57FD4" w14:textId="5D683A86"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w:t>
            </w:r>
            <w:r w:rsidR="001A5172" w:rsidRPr="007669E1">
              <w:rPr>
                <w:rFonts w:ascii="Segoe UI" w:hAnsi="Segoe UI" w:cs="Segoe UI"/>
                <w:color w:val="000000"/>
                <w:sz w:val="18"/>
                <w:szCs w:val="18"/>
              </w:rPr>
              <w:t>,912.8</w:t>
            </w:r>
          </w:p>
        </w:tc>
        <w:tc>
          <w:tcPr>
            <w:tcW w:w="1338" w:type="dxa"/>
          </w:tcPr>
          <w:p w14:paraId="4EC5CA8C" w14:textId="4BF157B4" w:rsidR="00476D10" w:rsidRPr="007669E1" w:rsidRDefault="001A517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493829" w:rsidRPr="007669E1">
              <w:rPr>
                <w:rFonts w:ascii="Segoe UI" w:hAnsi="Segoe UI" w:cs="Segoe UI"/>
                <w:color w:val="000000"/>
                <w:sz w:val="18"/>
                <w:szCs w:val="18"/>
              </w:rPr>
              <w:t>.</w:t>
            </w:r>
          </w:p>
        </w:tc>
        <w:tc>
          <w:tcPr>
            <w:tcW w:w="1595" w:type="dxa"/>
          </w:tcPr>
          <w:p w14:paraId="14F8313B" w14:textId="74C2D9E7" w:rsidR="00476D10" w:rsidRPr="007669E1" w:rsidRDefault="0037385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493829" w:rsidRPr="007669E1">
              <w:rPr>
                <w:rFonts w:ascii="Segoe UI" w:hAnsi="Segoe UI" w:cs="Segoe UI"/>
                <w:color w:val="000000"/>
                <w:sz w:val="18"/>
                <w:szCs w:val="18"/>
              </w:rPr>
              <w:t>.</w:t>
            </w:r>
          </w:p>
        </w:tc>
      </w:tr>
    </w:tbl>
    <w:p w14:paraId="69927465"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476D10" w:rsidRPr="005567B9" w14:paraId="0AD2F88E" w14:textId="77777777" w:rsidTr="005567B9">
        <w:tc>
          <w:tcPr>
            <w:tcW w:w="9625" w:type="dxa"/>
            <w:gridSpan w:val="7"/>
          </w:tcPr>
          <w:p w14:paraId="30FD91E6" w14:textId="3042D4A5"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15. </w:t>
            </w:r>
            <w:r w:rsidR="00E9688B" w:rsidRPr="005567B9">
              <w:rPr>
                <w:rFonts w:ascii="Segoe UI" w:hAnsi="Segoe UI" w:cs="Segoe UI"/>
                <w:b/>
                <w:bCs/>
                <w:sz w:val="18"/>
                <w:szCs w:val="18"/>
              </w:rPr>
              <w:t>Exemption for t</w:t>
            </w:r>
            <w:r w:rsidRPr="005567B9">
              <w:rPr>
                <w:rFonts w:ascii="Segoe UI" w:hAnsi="Segoe UI" w:cs="Segoe UI"/>
                <w:b/>
                <w:bCs/>
                <w:sz w:val="18"/>
                <w:szCs w:val="18"/>
              </w:rPr>
              <w:t>he National Bank of Moldova</w:t>
            </w:r>
          </w:p>
        </w:tc>
      </w:tr>
      <w:tr w:rsidR="00476D10" w:rsidRPr="007669E1" w14:paraId="4B09ABC2" w14:textId="77777777" w:rsidTr="005567B9">
        <w:tc>
          <w:tcPr>
            <w:tcW w:w="2425" w:type="dxa"/>
          </w:tcPr>
          <w:p w14:paraId="5A96047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200" w:type="dxa"/>
            <w:gridSpan w:val="6"/>
          </w:tcPr>
          <w:p w14:paraId="483597B4"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Property owned and occupied by the National Bank of Moldova is exempt from property tax</w:t>
            </w:r>
          </w:p>
        </w:tc>
      </w:tr>
      <w:tr w:rsidR="00476D10" w:rsidRPr="007669E1" w14:paraId="4F466410" w14:textId="77777777" w:rsidTr="005567B9">
        <w:tc>
          <w:tcPr>
            <w:tcW w:w="2425" w:type="dxa"/>
          </w:tcPr>
          <w:p w14:paraId="4D0F035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200" w:type="dxa"/>
            <w:gridSpan w:val="6"/>
          </w:tcPr>
          <w:p w14:paraId="540141C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476D10" w:rsidRPr="007669E1" w14:paraId="084F36EA" w14:textId="77777777" w:rsidTr="005567B9">
        <w:tc>
          <w:tcPr>
            <w:tcW w:w="2425" w:type="dxa"/>
          </w:tcPr>
          <w:p w14:paraId="5A7986B0"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200" w:type="dxa"/>
            <w:gridSpan w:val="6"/>
          </w:tcPr>
          <w:p w14:paraId="0330F5B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National Bank of Moldova</w:t>
            </w:r>
          </w:p>
        </w:tc>
      </w:tr>
      <w:tr w:rsidR="00476D10" w:rsidRPr="007669E1" w14:paraId="41313015" w14:textId="77777777" w:rsidTr="005567B9">
        <w:tc>
          <w:tcPr>
            <w:tcW w:w="2425" w:type="dxa"/>
          </w:tcPr>
          <w:p w14:paraId="61FA62C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200" w:type="dxa"/>
            <w:gridSpan w:val="6"/>
          </w:tcPr>
          <w:p w14:paraId="5DAC973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476D10" w:rsidRPr="007669E1" w14:paraId="212ECAB7" w14:textId="77777777" w:rsidTr="005567B9">
        <w:tc>
          <w:tcPr>
            <w:tcW w:w="2425" w:type="dxa"/>
          </w:tcPr>
          <w:p w14:paraId="170E641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200" w:type="dxa"/>
            <w:gridSpan w:val="6"/>
          </w:tcPr>
          <w:p w14:paraId="1E2233E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476D10" w:rsidRPr="007669E1" w14:paraId="0E6D8D53" w14:textId="77777777" w:rsidTr="005567B9">
        <w:tc>
          <w:tcPr>
            <w:tcW w:w="2425" w:type="dxa"/>
          </w:tcPr>
          <w:p w14:paraId="1B238A20"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200" w:type="dxa"/>
            <w:gridSpan w:val="6"/>
          </w:tcPr>
          <w:p w14:paraId="3D76B79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283(1)(o) of TC</w:t>
            </w:r>
          </w:p>
        </w:tc>
      </w:tr>
      <w:tr w:rsidR="00476D10" w:rsidRPr="007669E1" w14:paraId="6DBBAD9F" w14:textId="77777777" w:rsidTr="005567B9">
        <w:trPr>
          <w:trHeight w:val="182"/>
        </w:trPr>
        <w:tc>
          <w:tcPr>
            <w:tcW w:w="2425" w:type="dxa"/>
            <w:vMerge w:val="restart"/>
          </w:tcPr>
          <w:p w14:paraId="1BD3537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200" w:type="dxa"/>
            <w:gridSpan w:val="6"/>
          </w:tcPr>
          <w:p w14:paraId="1536ADF1" w14:textId="77777777" w:rsidR="00476D10" w:rsidRPr="007669E1" w:rsidRDefault="00476D10" w:rsidP="00E90BA7">
            <w:pPr>
              <w:spacing w:before="20" w:after="20" w:line="240" w:lineRule="auto"/>
              <w:jc w:val="both"/>
              <w:rPr>
                <w:rFonts w:ascii="Segoe UI" w:hAnsi="Segoe UI" w:cs="Segoe UI"/>
                <w:sz w:val="18"/>
                <w:szCs w:val="18"/>
              </w:rPr>
            </w:pPr>
          </w:p>
        </w:tc>
      </w:tr>
      <w:tr w:rsidR="00476D10" w:rsidRPr="007669E1" w14:paraId="3F0824E8" w14:textId="77777777" w:rsidTr="005567B9">
        <w:trPr>
          <w:trHeight w:val="182"/>
        </w:trPr>
        <w:tc>
          <w:tcPr>
            <w:tcW w:w="2425" w:type="dxa"/>
            <w:vMerge/>
          </w:tcPr>
          <w:p w14:paraId="54009A02" w14:textId="77777777" w:rsidR="00476D10" w:rsidRPr="005567B9" w:rsidRDefault="00476D10" w:rsidP="00E90BA7">
            <w:pPr>
              <w:spacing w:before="20" w:after="20" w:line="240" w:lineRule="auto"/>
              <w:jc w:val="both"/>
              <w:rPr>
                <w:rFonts w:ascii="Segoe UI" w:hAnsi="Segoe UI" w:cs="Segoe UI"/>
                <w:b/>
                <w:bCs/>
                <w:sz w:val="18"/>
                <w:szCs w:val="18"/>
              </w:rPr>
            </w:pPr>
          </w:p>
        </w:tc>
        <w:tc>
          <w:tcPr>
            <w:tcW w:w="3462" w:type="dxa"/>
            <w:gridSpan w:val="3"/>
          </w:tcPr>
          <w:p w14:paraId="36211246" w14:textId="5E8510F5"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2DC6CF36" w14:textId="1F2CE2D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476D10" w:rsidRPr="007669E1" w14:paraId="0A0A3B1B" w14:textId="77777777" w:rsidTr="005567B9">
        <w:tc>
          <w:tcPr>
            <w:tcW w:w="2425" w:type="dxa"/>
          </w:tcPr>
          <w:p w14:paraId="367CAD6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200" w:type="dxa"/>
            <w:gridSpan w:val="6"/>
          </w:tcPr>
          <w:p w14:paraId="6815091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476D10" w:rsidRPr="007669E1" w14:paraId="0083289A" w14:textId="77777777" w:rsidTr="005567B9">
        <w:tc>
          <w:tcPr>
            <w:tcW w:w="2425" w:type="dxa"/>
          </w:tcPr>
          <w:p w14:paraId="458A316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200" w:type="dxa"/>
            <w:gridSpan w:val="6"/>
          </w:tcPr>
          <w:p w14:paraId="619732C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476D10" w:rsidRPr="007669E1" w14:paraId="26F93014" w14:textId="77777777" w:rsidTr="005567B9">
        <w:tc>
          <w:tcPr>
            <w:tcW w:w="2425" w:type="dxa"/>
          </w:tcPr>
          <w:p w14:paraId="42B9538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200" w:type="dxa"/>
            <w:gridSpan w:val="6"/>
          </w:tcPr>
          <w:p w14:paraId="17AB7020" w14:textId="7F500EE0"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w:t>
            </w:r>
          </w:p>
        </w:tc>
      </w:tr>
      <w:tr w:rsidR="00476D10" w:rsidRPr="007669E1" w14:paraId="7B2589BE" w14:textId="77777777" w:rsidTr="005567B9">
        <w:tc>
          <w:tcPr>
            <w:tcW w:w="2425" w:type="dxa"/>
          </w:tcPr>
          <w:p w14:paraId="40B62870"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200" w:type="dxa"/>
            <w:gridSpan w:val="6"/>
          </w:tcPr>
          <w:p w14:paraId="273A1ADE" w14:textId="10837D0F" w:rsidR="00476D10" w:rsidRPr="007669E1" w:rsidRDefault="001A6DA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669E1" w:rsidRPr="007669E1" w14:paraId="6B98CFA7" w14:textId="77777777" w:rsidTr="005567B9">
        <w:trPr>
          <w:trHeight w:val="91"/>
        </w:trPr>
        <w:tc>
          <w:tcPr>
            <w:tcW w:w="2425" w:type="dxa"/>
            <w:vMerge w:val="restart"/>
          </w:tcPr>
          <w:p w14:paraId="6A2228B8"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3B810DDC"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385" w:type="dxa"/>
          </w:tcPr>
          <w:p w14:paraId="60FD83CA"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385" w:type="dxa"/>
            <w:gridSpan w:val="2"/>
          </w:tcPr>
          <w:p w14:paraId="78B5D88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85" w:type="dxa"/>
          </w:tcPr>
          <w:p w14:paraId="7340FF2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660" w:type="dxa"/>
          </w:tcPr>
          <w:p w14:paraId="1F89268E" w14:textId="1291C078"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7669E1" w:rsidRPr="007669E1" w14:paraId="49B492C4" w14:textId="77777777" w:rsidTr="005567B9">
        <w:trPr>
          <w:trHeight w:val="305"/>
        </w:trPr>
        <w:tc>
          <w:tcPr>
            <w:tcW w:w="2425" w:type="dxa"/>
            <w:vMerge/>
          </w:tcPr>
          <w:p w14:paraId="6063311A"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585FA0F7" w14:textId="1F615196" w:rsidR="00476D10" w:rsidRPr="007669E1" w:rsidRDefault="00902551"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25,720.7</w:t>
            </w:r>
          </w:p>
        </w:tc>
        <w:tc>
          <w:tcPr>
            <w:tcW w:w="1385" w:type="dxa"/>
          </w:tcPr>
          <w:p w14:paraId="67AEFA7F" w14:textId="7383B69D" w:rsidR="00476D10" w:rsidRPr="007669E1" w:rsidRDefault="002771B1"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44.7</w:t>
            </w:r>
          </w:p>
        </w:tc>
        <w:tc>
          <w:tcPr>
            <w:tcW w:w="1385" w:type="dxa"/>
            <w:gridSpan w:val="2"/>
          </w:tcPr>
          <w:p w14:paraId="3ECCC103" w14:textId="6AE44766" w:rsidR="00476D10" w:rsidRPr="007669E1" w:rsidRDefault="002771B1"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116.2</w:t>
            </w:r>
          </w:p>
        </w:tc>
        <w:tc>
          <w:tcPr>
            <w:tcW w:w="1385" w:type="dxa"/>
          </w:tcPr>
          <w:p w14:paraId="501578FD" w14:textId="136FF575" w:rsidR="00476D10" w:rsidRPr="007669E1" w:rsidRDefault="002771B1"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116.2</w:t>
            </w:r>
          </w:p>
        </w:tc>
        <w:tc>
          <w:tcPr>
            <w:tcW w:w="1660" w:type="dxa"/>
          </w:tcPr>
          <w:p w14:paraId="62CF6723" w14:textId="49284034" w:rsidR="00476D10" w:rsidRPr="007669E1" w:rsidRDefault="00F67ED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612207" w:rsidRPr="007669E1">
              <w:rPr>
                <w:rFonts w:ascii="Segoe UI" w:hAnsi="Segoe UI" w:cs="Segoe UI"/>
                <w:color w:val="000000"/>
                <w:sz w:val="18"/>
                <w:szCs w:val="18"/>
              </w:rPr>
              <w:t>.</w:t>
            </w:r>
          </w:p>
        </w:tc>
      </w:tr>
    </w:tbl>
    <w:p w14:paraId="2F6F3602"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5567B9" w14:paraId="0BB1157A" w14:textId="77777777" w:rsidTr="005A7B4B">
        <w:tc>
          <w:tcPr>
            <w:tcW w:w="9625" w:type="dxa"/>
            <w:gridSpan w:val="7"/>
            <w:shd w:val="clear" w:color="auto" w:fill="D9D9D9" w:themeFill="background1" w:themeFillShade="D9"/>
          </w:tcPr>
          <w:p w14:paraId="37EC9F89" w14:textId="76443875"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16. </w:t>
            </w:r>
            <w:r w:rsidR="00E9688B" w:rsidRPr="005567B9">
              <w:rPr>
                <w:rFonts w:ascii="Segoe UI" w:hAnsi="Segoe UI" w:cs="Segoe UI"/>
                <w:b/>
                <w:bCs/>
                <w:sz w:val="18"/>
                <w:szCs w:val="18"/>
              </w:rPr>
              <w:t>Exemption for</w:t>
            </w:r>
            <w:r w:rsidR="4CAF0B9B" w:rsidRPr="005567B9">
              <w:rPr>
                <w:rFonts w:ascii="Segoe UI" w:hAnsi="Segoe UI" w:cs="Segoe UI"/>
                <w:b/>
                <w:bCs/>
                <w:sz w:val="18"/>
                <w:szCs w:val="18"/>
              </w:rPr>
              <w:t xml:space="preserve"> </w:t>
            </w:r>
            <w:r w:rsidRPr="005567B9">
              <w:rPr>
                <w:rFonts w:ascii="Segoe UI" w:hAnsi="Segoe UI" w:cs="Segoe UI"/>
                <w:b/>
                <w:bCs/>
                <w:spacing w:val="-1"/>
                <w:w w:val="105"/>
                <w:sz w:val="18"/>
                <w:szCs w:val="18"/>
                <w:lang w:val="en"/>
              </w:rPr>
              <w:t>owners or holders of property requisitioned in the public interest during the requisition period</w:t>
            </w:r>
          </w:p>
        </w:tc>
      </w:tr>
      <w:tr w:rsidR="007669E1" w:rsidRPr="007669E1" w14:paraId="3FAED2F6" w14:textId="77777777" w:rsidTr="005A7B4B">
        <w:tc>
          <w:tcPr>
            <w:tcW w:w="2425" w:type="dxa"/>
          </w:tcPr>
          <w:p w14:paraId="2391ABE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200" w:type="dxa"/>
            <w:gridSpan w:val="6"/>
          </w:tcPr>
          <w:p w14:paraId="267DB5A9"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The owners or holders of property requisitioned in the public interest shall be exempted from property tax during the requisition period, in accordance with the legislation.</w:t>
            </w:r>
          </w:p>
        </w:tc>
      </w:tr>
      <w:tr w:rsidR="007669E1" w:rsidRPr="007669E1" w14:paraId="39A8B8F7" w14:textId="77777777" w:rsidTr="005A7B4B">
        <w:tc>
          <w:tcPr>
            <w:tcW w:w="2425" w:type="dxa"/>
          </w:tcPr>
          <w:p w14:paraId="30DFF48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200" w:type="dxa"/>
            <w:gridSpan w:val="6"/>
          </w:tcPr>
          <w:p w14:paraId="1AB555C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136C8F" w:rsidRPr="007669E1" w14:paraId="1923D3E3" w14:textId="77777777" w:rsidTr="00012DF5">
        <w:trPr>
          <w:trHeight w:val="50"/>
        </w:trPr>
        <w:tc>
          <w:tcPr>
            <w:tcW w:w="2425" w:type="dxa"/>
          </w:tcPr>
          <w:p w14:paraId="18CCB75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200" w:type="dxa"/>
            <w:gridSpan w:val="6"/>
          </w:tcPr>
          <w:p w14:paraId="00A3709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The owners or holders of requisitioned property which is in the public interest.</w:t>
            </w:r>
          </w:p>
        </w:tc>
      </w:tr>
      <w:tr w:rsidR="007669E1" w:rsidRPr="007669E1" w14:paraId="6EC2C712" w14:textId="77777777" w:rsidTr="005A7B4B">
        <w:tc>
          <w:tcPr>
            <w:tcW w:w="2425" w:type="dxa"/>
          </w:tcPr>
          <w:p w14:paraId="0E845C5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200" w:type="dxa"/>
            <w:gridSpan w:val="6"/>
          </w:tcPr>
          <w:p w14:paraId="06D6854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 or reduced rate</w:t>
            </w:r>
          </w:p>
        </w:tc>
      </w:tr>
      <w:tr w:rsidR="007669E1" w:rsidRPr="007669E1" w14:paraId="4FE92357" w14:textId="77777777" w:rsidTr="005A7B4B">
        <w:tc>
          <w:tcPr>
            <w:tcW w:w="2425" w:type="dxa"/>
          </w:tcPr>
          <w:p w14:paraId="415BE56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lastRenderedPageBreak/>
              <w:t>Reason why this Measure is not part of the Benchmark Tax System</w:t>
            </w:r>
          </w:p>
        </w:tc>
        <w:tc>
          <w:tcPr>
            <w:tcW w:w="7200" w:type="dxa"/>
            <w:gridSpan w:val="6"/>
          </w:tcPr>
          <w:p w14:paraId="7D7D6DC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669E1" w:rsidRPr="007669E1" w14:paraId="6752D9D1" w14:textId="77777777" w:rsidTr="005A7B4B">
        <w:tc>
          <w:tcPr>
            <w:tcW w:w="2425" w:type="dxa"/>
          </w:tcPr>
          <w:p w14:paraId="3DFD955A"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200" w:type="dxa"/>
            <w:gridSpan w:val="6"/>
          </w:tcPr>
          <w:p w14:paraId="445761E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283(1)(p) of TC</w:t>
            </w:r>
          </w:p>
        </w:tc>
      </w:tr>
      <w:tr w:rsidR="00136C8F" w:rsidRPr="007669E1" w14:paraId="2EE1E2FB" w14:textId="77777777" w:rsidTr="005A7B4B">
        <w:trPr>
          <w:trHeight w:val="182"/>
        </w:trPr>
        <w:tc>
          <w:tcPr>
            <w:tcW w:w="2425" w:type="dxa"/>
            <w:vMerge w:val="restart"/>
          </w:tcPr>
          <w:p w14:paraId="707B020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200" w:type="dxa"/>
            <w:gridSpan w:val="6"/>
          </w:tcPr>
          <w:p w14:paraId="3A0A0EAD" w14:textId="77777777" w:rsidR="00476D10" w:rsidRPr="007669E1" w:rsidRDefault="00476D10" w:rsidP="00E90BA7">
            <w:pPr>
              <w:spacing w:before="20" w:after="20" w:line="240" w:lineRule="auto"/>
              <w:jc w:val="both"/>
              <w:rPr>
                <w:rFonts w:ascii="Segoe UI" w:hAnsi="Segoe UI" w:cs="Segoe UI"/>
                <w:sz w:val="18"/>
                <w:szCs w:val="18"/>
              </w:rPr>
            </w:pPr>
          </w:p>
        </w:tc>
      </w:tr>
      <w:tr w:rsidR="00136C8F" w:rsidRPr="007669E1" w14:paraId="614AF561" w14:textId="77777777" w:rsidTr="005A7B4B">
        <w:trPr>
          <w:trHeight w:val="182"/>
        </w:trPr>
        <w:tc>
          <w:tcPr>
            <w:tcW w:w="2425" w:type="dxa"/>
            <w:vMerge/>
          </w:tcPr>
          <w:p w14:paraId="2ACD92BF" w14:textId="77777777" w:rsidR="00476D10" w:rsidRPr="005567B9" w:rsidRDefault="00476D10" w:rsidP="00E90BA7">
            <w:pPr>
              <w:spacing w:before="20" w:after="20" w:line="240" w:lineRule="auto"/>
              <w:jc w:val="both"/>
              <w:rPr>
                <w:rFonts w:ascii="Segoe UI" w:hAnsi="Segoe UI" w:cs="Segoe UI"/>
                <w:b/>
                <w:bCs/>
                <w:sz w:val="18"/>
                <w:szCs w:val="18"/>
              </w:rPr>
            </w:pPr>
          </w:p>
        </w:tc>
        <w:tc>
          <w:tcPr>
            <w:tcW w:w="3462" w:type="dxa"/>
            <w:gridSpan w:val="3"/>
          </w:tcPr>
          <w:p w14:paraId="2B8381E1" w14:textId="3E53280D"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6F1A5C11" w14:textId="180708E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7CFCBF45" w14:textId="77777777" w:rsidTr="005A7B4B">
        <w:tc>
          <w:tcPr>
            <w:tcW w:w="2425" w:type="dxa"/>
          </w:tcPr>
          <w:p w14:paraId="13B4782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200" w:type="dxa"/>
            <w:gridSpan w:val="6"/>
          </w:tcPr>
          <w:p w14:paraId="0D72824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79815671" w14:textId="77777777" w:rsidTr="005A7B4B">
        <w:tc>
          <w:tcPr>
            <w:tcW w:w="2425" w:type="dxa"/>
          </w:tcPr>
          <w:p w14:paraId="0742C656"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200" w:type="dxa"/>
            <w:gridSpan w:val="6"/>
          </w:tcPr>
          <w:p w14:paraId="27BF85E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30DE6BB0" w14:textId="77777777" w:rsidTr="005A7B4B">
        <w:tc>
          <w:tcPr>
            <w:tcW w:w="2425" w:type="dxa"/>
          </w:tcPr>
          <w:p w14:paraId="71DE379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200" w:type="dxa"/>
            <w:gridSpan w:val="6"/>
          </w:tcPr>
          <w:p w14:paraId="3F2606C4" w14:textId="4BD0FEAD"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9924363" w14:textId="77777777" w:rsidTr="005A7B4B">
        <w:tc>
          <w:tcPr>
            <w:tcW w:w="2425" w:type="dxa"/>
          </w:tcPr>
          <w:p w14:paraId="5FD61AA6"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200" w:type="dxa"/>
            <w:gridSpan w:val="6"/>
          </w:tcPr>
          <w:p w14:paraId="33C938BC" w14:textId="684309DD" w:rsidR="00476D10" w:rsidRPr="007669E1" w:rsidRDefault="00950BB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136C8F" w:rsidRPr="007669E1" w14:paraId="0DA56D9A" w14:textId="77777777" w:rsidTr="005A7B4B">
        <w:trPr>
          <w:trHeight w:val="91"/>
        </w:trPr>
        <w:tc>
          <w:tcPr>
            <w:tcW w:w="2425" w:type="dxa"/>
            <w:vMerge w:val="restart"/>
          </w:tcPr>
          <w:p w14:paraId="0B30048F"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4C2BA26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385" w:type="dxa"/>
          </w:tcPr>
          <w:p w14:paraId="410191E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385" w:type="dxa"/>
            <w:gridSpan w:val="2"/>
          </w:tcPr>
          <w:p w14:paraId="7446E78A"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85" w:type="dxa"/>
          </w:tcPr>
          <w:p w14:paraId="5F2D81C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660" w:type="dxa"/>
          </w:tcPr>
          <w:p w14:paraId="6FD9B298" w14:textId="7278B60B"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136C8F" w:rsidRPr="007669E1" w14:paraId="17AFAC64" w14:textId="77777777" w:rsidTr="00012DF5">
        <w:trPr>
          <w:trHeight w:val="305"/>
        </w:trPr>
        <w:tc>
          <w:tcPr>
            <w:tcW w:w="2425" w:type="dxa"/>
            <w:vMerge/>
          </w:tcPr>
          <w:p w14:paraId="1E6A7481"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center"/>
          </w:tcPr>
          <w:p w14:paraId="75043E3E" w14:textId="10123574" w:rsidR="00476D10" w:rsidRPr="007669E1" w:rsidRDefault="008714D9"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12DF5" w:rsidRPr="007669E1">
              <w:rPr>
                <w:rFonts w:ascii="Segoe UI" w:hAnsi="Segoe UI" w:cs="Segoe UI"/>
                <w:color w:val="000000"/>
                <w:sz w:val="18"/>
                <w:szCs w:val="18"/>
              </w:rPr>
              <w:t>.</w:t>
            </w:r>
          </w:p>
        </w:tc>
        <w:tc>
          <w:tcPr>
            <w:tcW w:w="1385" w:type="dxa"/>
            <w:shd w:val="clear" w:color="auto" w:fill="auto"/>
            <w:vAlign w:val="center"/>
          </w:tcPr>
          <w:p w14:paraId="3ED4D85E" w14:textId="6356B2B2" w:rsidR="00476D10" w:rsidRPr="007669E1" w:rsidRDefault="00950BB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99.3</w:t>
            </w:r>
          </w:p>
        </w:tc>
        <w:tc>
          <w:tcPr>
            <w:tcW w:w="1385" w:type="dxa"/>
            <w:gridSpan w:val="2"/>
            <w:shd w:val="clear" w:color="auto" w:fill="auto"/>
            <w:vAlign w:val="center"/>
          </w:tcPr>
          <w:p w14:paraId="067D7421" w14:textId="05522BF2" w:rsidR="00476D10" w:rsidRPr="007669E1" w:rsidRDefault="00950BB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66.3</w:t>
            </w:r>
          </w:p>
        </w:tc>
        <w:tc>
          <w:tcPr>
            <w:tcW w:w="1385" w:type="dxa"/>
            <w:shd w:val="clear" w:color="auto" w:fill="auto"/>
            <w:vAlign w:val="center"/>
          </w:tcPr>
          <w:p w14:paraId="15DCD1A2" w14:textId="3C6CA381" w:rsidR="00476D10" w:rsidRPr="007669E1" w:rsidRDefault="00950BB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33.3</w:t>
            </w:r>
          </w:p>
        </w:tc>
        <w:tc>
          <w:tcPr>
            <w:tcW w:w="1660" w:type="dxa"/>
            <w:shd w:val="clear" w:color="auto" w:fill="auto"/>
            <w:vAlign w:val="center"/>
          </w:tcPr>
          <w:p w14:paraId="5362FDCE" w14:textId="25994E00" w:rsidR="00476D10" w:rsidRPr="007669E1" w:rsidRDefault="008714D9"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012DF5" w:rsidRPr="007669E1">
              <w:rPr>
                <w:rFonts w:ascii="Segoe UI" w:hAnsi="Segoe UI" w:cs="Segoe UI"/>
                <w:color w:val="000000"/>
                <w:sz w:val="18"/>
                <w:szCs w:val="18"/>
              </w:rPr>
              <w:t>.</w:t>
            </w:r>
          </w:p>
        </w:tc>
      </w:tr>
    </w:tbl>
    <w:p w14:paraId="49754907"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476D10" w:rsidRPr="005567B9" w14:paraId="382258FA" w14:textId="77777777" w:rsidTr="005567B9">
        <w:tc>
          <w:tcPr>
            <w:tcW w:w="9625" w:type="dxa"/>
            <w:gridSpan w:val="7"/>
          </w:tcPr>
          <w:p w14:paraId="337F5D12" w14:textId="30B0E91D"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17. </w:t>
            </w:r>
            <w:r w:rsidR="003B68E4" w:rsidRPr="005567B9">
              <w:rPr>
                <w:rFonts w:ascii="Segoe UI" w:hAnsi="Segoe UI" w:cs="Segoe UI"/>
                <w:b/>
                <w:bCs/>
                <w:sz w:val="18"/>
                <w:szCs w:val="18"/>
              </w:rPr>
              <w:t xml:space="preserve">Exemption for </w:t>
            </w:r>
            <w:r w:rsidR="003B68E4" w:rsidRPr="005567B9">
              <w:rPr>
                <w:rFonts w:ascii="Segoe UI" w:hAnsi="Segoe UI" w:cs="Segoe UI"/>
                <w:b/>
                <w:bCs/>
                <w:spacing w:val="-1"/>
                <w:w w:val="105"/>
                <w:sz w:val="18"/>
                <w:szCs w:val="18"/>
                <w:lang w:val="en"/>
              </w:rPr>
              <w:t>n</w:t>
            </w:r>
            <w:r w:rsidRPr="005567B9">
              <w:rPr>
                <w:rFonts w:ascii="Segoe UI" w:hAnsi="Segoe UI" w:cs="Segoe UI"/>
                <w:b/>
                <w:bCs/>
                <w:spacing w:val="-1"/>
                <w:w w:val="105"/>
                <w:sz w:val="18"/>
                <w:szCs w:val="18"/>
                <w:lang w:val="en"/>
              </w:rPr>
              <w:t>on-commercial organizations that meet the requirements of Art.52 within which social welfare institutions operate</w:t>
            </w:r>
          </w:p>
        </w:tc>
      </w:tr>
      <w:tr w:rsidR="00476D10" w:rsidRPr="007669E1" w14:paraId="4ACEB83A" w14:textId="77777777" w:rsidTr="005567B9">
        <w:tc>
          <w:tcPr>
            <w:tcW w:w="2425" w:type="dxa"/>
          </w:tcPr>
          <w:p w14:paraId="18BC35B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200" w:type="dxa"/>
            <w:gridSpan w:val="6"/>
          </w:tcPr>
          <w:p w14:paraId="07650DCA"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Non-commercial organizations that meet the requirements of Art.52 within which social welfare institutions operate shall be exempted from property tax.</w:t>
            </w:r>
          </w:p>
        </w:tc>
      </w:tr>
      <w:tr w:rsidR="00476D10" w:rsidRPr="007669E1" w14:paraId="47D53648" w14:textId="77777777" w:rsidTr="005567B9">
        <w:tc>
          <w:tcPr>
            <w:tcW w:w="2425" w:type="dxa"/>
          </w:tcPr>
          <w:p w14:paraId="777E6B9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200" w:type="dxa"/>
            <w:gridSpan w:val="6"/>
          </w:tcPr>
          <w:p w14:paraId="47F2C75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476D10" w:rsidRPr="007669E1" w14:paraId="064D9445" w14:textId="77777777" w:rsidTr="005567B9">
        <w:tc>
          <w:tcPr>
            <w:tcW w:w="2425" w:type="dxa"/>
          </w:tcPr>
          <w:p w14:paraId="5990496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200" w:type="dxa"/>
            <w:gridSpan w:val="6"/>
          </w:tcPr>
          <w:p w14:paraId="0F5D388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Public benefit organizations and its social welfare institutions supporting vulnerable groups or people</w:t>
            </w:r>
          </w:p>
        </w:tc>
      </w:tr>
      <w:tr w:rsidR="00476D10" w:rsidRPr="007669E1" w14:paraId="523E31D1" w14:textId="77777777" w:rsidTr="005567B9">
        <w:tc>
          <w:tcPr>
            <w:tcW w:w="2425" w:type="dxa"/>
          </w:tcPr>
          <w:p w14:paraId="693DC1A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200" w:type="dxa"/>
            <w:gridSpan w:val="6"/>
          </w:tcPr>
          <w:p w14:paraId="013B126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476D10" w:rsidRPr="007669E1" w14:paraId="39BF17FF" w14:textId="77777777" w:rsidTr="005567B9">
        <w:tc>
          <w:tcPr>
            <w:tcW w:w="2425" w:type="dxa"/>
          </w:tcPr>
          <w:p w14:paraId="3709F971"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200" w:type="dxa"/>
            <w:gridSpan w:val="6"/>
          </w:tcPr>
          <w:p w14:paraId="14B3332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476D10" w:rsidRPr="007669E1" w14:paraId="7F384425" w14:textId="77777777" w:rsidTr="005567B9">
        <w:tc>
          <w:tcPr>
            <w:tcW w:w="2425" w:type="dxa"/>
          </w:tcPr>
          <w:p w14:paraId="73085286"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200" w:type="dxa"/>
            <w:gridSpan w:val="6"/>
          </w:tcPr>
          <w:p w14:paraId="2152C40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283(1)(s) of TC</w:t>
            </w:r>
          </w:p>
        </w:tc>
      </w:tr>
      <w:tr w:rsidR="00476D10" w:rsidRPr="007669E1" w14:paraId="6848554E" w14:textId="77777777" w:rsidTr="005567B9">
        <w:trPr>
          <w:trHeight w:val="182"/>
        </w:trPr>
        <w:tc>
          <w:tcPr>
            <w:tcW w:w="2425" w:type="dxa"/>
            <w:vMerge w:val="restart"/>
          </w:tcPr>
          <w:p w14:paraId="2C9B315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200" w:type="dxa"/>
            <w:gridSpan w:val="6"/>
          </w:tcPr>
          <w:p w14:paraId="58C06750" w14:textId="77777777" w:rsidR="00476D10" w:rsidRPr="007669E1" w:rsidRDefault="00476D10" w:rsidP="00E90BA7">
            <w:pPr>
              <w:spacing w:before="20" w:after="20" w:line="240" w:lineRule="auto"/>
              <w:jc w:val="both"/>
              <w:rPr>
                <w:rFonts w:ascii="Segoe UI" w:hAnsi="Segoe UI" w:cs="Segoe UI"/>
                <w:sz w:val="18"/>
                <w:szCs w:val="18"/>
              </w:rPr>
            </w:pPr>
          </w:p>
        </w:tc>
      </w:tr>
      <w:tr w:rsidR="00476D10" w:rsidRPr="007669E1" w14:paraId="62EFF1DB" w14:textId="77777777" w:rsidTr="005567B9">
        <w:trPr>
          <w:trHeight w:val="182"/>
        </w:trPr>
        <w:tc>
          <w:tcPr>
            <w:tcW w:w="2425" w:type="dxa"/>
            <w:vMerge/>
          </w:tcPr>
          <w:p w14:paraId="39FD8B18" w14:textId="77777777" w:rsidR="00476D10" w:rsidRPr="005567B9" w:rsidRDefault="00476D10" w:rsidP="00E90BA7">
            <w:pPr>
              <w:spacing w:before="20" w:after="20" w:line="240" w:lineRule="auto"/>
              <w:jc w:val="both"/>
              <w:rPr>
                <w:rFonts w:ascii="Segoe UI" w:hAnsi="Segoe UI" w:cs="Segoe UI"/>
                <w:b/>
                <w:bCs/>
                <w:sz w:val="18"/>
                <w:szCs w:val="18"/>
              </w:rPr>
            </w:pPr>
          </w:p>
        </w:tc>
        <w:tc>
          <w:tcPr>
            <w:tcW w:w="3462" w:type="dxa"/>
            <w:gridSpan w:val="3"/>
          </w:tcPr>
          <w:p w14:paraId="4ECDF7ED" w14:textId="558CAD3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4EAD21A1" w14:textId="60EC711C"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476D10" w:rsidRPr="007669E1" w14:paraId="178FD171" w14:textId="77777777" w:rsidTr="005567B9">
        <w:tc>
          <w:tcPr>
            <w:tcW w:w="2425" w:type="dxa"/>
          </w:tcPr>
          <w:p w14:paraId="2A1E4CA1"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200" w:type="dxa"/>
            <w:gridSpan w:val="6"/>
          </w:tcPr>
          <w:p w14:paraId="676E8FC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476D10" w:rsidRPr="007669E1" w14:paraId="23EFA42D" w14:textId="77777777" w:rsidTr="005567B9">
        <w:tc>
          <w:tcPr>
            <w:tcW w:w="2425" w:type="dxa"/>
          </w:tcPr>
          <w:p w14:paraId="03629C58"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200" w:type="dxa"/>
            <w:gridSpan w:val="6"/>
          </w:tcPr>
          <w:p w14:paraId="7914899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476D10" w:rsidRPr="007669E1" w14:paraId="711016D7" w14:textId="77777777" w:rsidTr="005567B9">
        <w:tc>
          <w:tcPr>
            <w:tcW w:w="2425" w:type="dxa"/>
          </w:tcPr>
          <w:p w14:paraId="3B7A13E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200" w:type="dxa"/>
            <w:gridSpan w:val="6"/>
          </w:tcPr>
          <w:p w14:paraId="1212A9FD" w14:textId="367C3199"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476D10" w:rsidRPr="007669E1" w14:paraId="2D5806C3" w14:textId="77777777" w:rsidTr="005567B9">
        <w:tc>
          <w:tcPr>
            <w:tcW w:w="2425" w:type="dxa"/>
          </w:tcPr>
          <w:p w14:paraId="11491E5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200" w:type="dxa"/>
            <w:gridSpan w:val="6"/>
          </w:tcPr>
          <w:p w14:paraId="3D1D6FD5" w14:textId="2EC9555F" w:rsidR="00476D10" w:rsidRPr="007669E1" w:rsidRDefault="00B45C3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476D10" w:rsidRPr="007669E1" w14:paraId="0461EECB" w14:textId="77777777" w:rsidTr="005567B9">
        <w:trPr>
          <w:trHeight w:val="91"/>
        </w:trPr>
        <w:tc>
          <w:tcPr>
            <w:tcW w:w="2425" w:type="dxa"/>
            <w:vMerge w:val="restart"/>
          </w:tcPr>
          <w:p w14:paraId="25082C27"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45928851"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385" w:type="dxa"/>
          </w:tcPr>
          <w:p w14:paraId="2184757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385" w:type="dxa"/>
            <w:gridSpan w:val="2"/>
          </w:tcPr>
          <w:p w14:paraId="719A9770"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85" w:type="dxa"/>
          </w:tcPr>
          <w:p w14:paraId="52B09BA6"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660" w:type="dxa"/>
          </w:tcPr>
          <w:p w14:paraId="5C5001CD" w14:textId="655228B8"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012DF5" w:rsidRPr="007669E1" w14:paraId="5967A460" w14:textId="77777777" w:rsidTr="005567B9">
        <w:trPr>
          <w:trHeight w:val="305"/>
        </w:trPr>
        <w:tc>
          <w:tcPr>
            <w:tcW w:w="2425" w:type="dxa"/>
            <w:vMerge/>
          </w:tcPr>
          <w:p w14:paraId="3C1282A4"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2D2A9D74" w14:textId="7CDCD841" w:rsidR="00476D10" w:rsidRPr="007669E1" w:rsidRDefault="00533110"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3,802.2</w:t>
            </w:r>
          </w:p>
        </w:tc>
        <w:tc>
          <w:tcPr>
            <w:tcW w:w="1385" w:type="dxa"/>
          </w:tcPr>
          <w:p w14:paraId="56E736BE" w14:textId="0BF08BFE" w:rsidR="00476D10" w:rsidRPr="007669E1" w:rsidRDefault="0077220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318.5</w:t>
            </w:r>
          </w:p>
        </w:tc>
        <w:tc>
          <w:tcPr>
            <w:tcW w:w="1385" w:type="dxa"/>
            <w:gridSpan w:val="2"/>
          </w:tcPr>
          <w:p w14:paraId="7F2BFB6C" w14:textId="26373C15" w:rsidR="00476D10" w:rsidRPr="007669E1" w:rsidRDefault="0077220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268.8</w:t>
            </w:r>
          </w:p>
        </w:tc>
        <w:tc>
          <w:tcPr>
            <w:tcW w:w="1385" w:type="dxa"/>
          </w:tcPr>
          <w:p w14:paraId="55596DB9" w14:textId="5A44E55B" w:rsidR="00476D10" w:rsidRPr="007669E1" w:rsidRDefault="0077220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535.8</w:t>
            </w:r>
          </w:p>
        </w:tc>
        <w:tc>
          <w:tcPr>
            <w:tcW w:w="1660" w:type="dxa"/>
          </w:tcPr>
          <w:p w14:paraId="62D3260D" w14:textId="3C4A9AEB" w:rsidR="00476D10" w:rsidRPr="007669E1" w:rsidRDefault="00DB05A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A37CA3" w:rsidRPr="007669E1">
              <w:rPr>
                <w:rFonts w:ascii="Segoe UI" w:hAnsi="Segoe UI" w:cs="Segoe UI"/>
                <w:color w:val="000000"/>
                <w:sz w:val="18"/>
                <w:szCs w:val="18"/>
              </w:rPr>
              <w:t>.</w:t>
            </w:r>
          </w:p>
        </w:tc>
      </w:tr>
    </w:tbl>
    <w:p w14:paraId="14C1679E" w14:textId="77777777" w:rsidR="00476D10" w:rsidRPr="007669E1" w:rsidRDefault="00476D10" w:rsidP="00E90BA7">
      <w:pPr>
        <w:spacing w:before="20" w:after="20" w:line="240" w:lineRule="auto"/>
        <w:jc w:val="both"/>
        <w:rPr>
          <w:rFonts w:ascii="Segoe UI" w:hAnsi="Segoe UI" w:cs="Segoe UI"/>
          <w:sz w:val="18"/>
          <w:szCs w:val="18"/>
        </w:rPr>
      </w:pPr>
    </w:p>
    <w:tbl>
      <w:tblPr>
        <w:tblW w:w="963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30"/>
        <w:gridCol w:w="1274"/>
        <w:gridCol w:w="1501"/>
        <w:gridCol w:w="808"/>
        <w:gridCol w:w="693"/>
        <w:gridCol w:w="1542"/>
        <w:gridCol w:w="1382"/>
      </w:tblGrid>
      <w:tr w:rsidR="00A2051E" w:rsidRPr="005567B9" w14:paraId="4B67A399" w14:textId="77777777" w:rsidTr="009043A1">
        <w:tc>
          <w:tcPr>
            <w:tcW w:w="9630" w:type="dxa"/>
            <w:gridSpan w:val="7"/>
            <w:shd w:val="clear" w:color="auto" w:fill="D9D9D9" w:themeFill="background1" w:themeFillShade="D9"/>
          </w:tcPr>
          <w:p w14:paraId="5AB0CAF9" w14:textId="6755F766"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18. </w:t>
            </w:r>
            <w:r w:rsidR="003B68E4" w:rsidRPr="005567B9">
              <w:rPr>
                <w:rFonts w:ascii="Segoe UI" w:hAnsi="Segoe UI" w:cs="Segoe UI"/>
                <w:b/>
                <w:bCs/>
                <w:sz w:val="18"/>
                <w:szCs w:val="18"/>
              </w:rPr>
              <w:t xml:space="preserve">Exemption for </w:t>
            </w:r>
            <w:r w:rsidR="007D2E37" w:rsidRPr="005567B9">
              <w:rPr>
                <w:rFonts w:ascii="Segoe UI" w:hAnsi="Segoe UI" w:cs="Segoe UI"/>
                <w:b/>
                <w:bCs/>
                <w:sz w:val="18"/>
                <w:szCs w:val="18"/>
              </w:rPr>
              <w:t>r</w:t>
            </w:r>
            <w:r w:rsidRPr="005567B9">
              <w:rPr>
                <w:rFonts w:ascii="Segoe UI" w:hAnsi="Segoe UI" w:cs="Segoe UI"/>
                <w:b/>
                <w:bCs/>
                <w:sz w:val="18"/>
                <w:szCs w:val="18"/>
              </w:rPr>
              <w:t xml:space="preserve">eal estate consisting of lands and land plots </w:t>
            </w:r>
            <w:r w:rsidR="00F97DCA" w:rsidRPr="005567B9">
              <w:rPr>
                <w:rFonts w:ascii="Segoe UI" w:hAnsi="Segoe UI" w:cs="Segoe UI"/>
                <w:b/>
                <w:bCs/>
                <w:spacing w:val="-1"/>
                <w:w w:val="105"/>
                <w:sz w:val="18"/>
                <w:szCs w:val="18"/>
                <w:lang w:val="en"/>
              </w:rPr>
              <w:t>used for national nature reserves, dendrological parks and botanical gardens</w:t>
            </w:r>
          </w:p>
        </w:tc>
      </w:tr>
      <w:tr w:rsidR="00C943A7" w:rsidRPr="007669E1" w14:paraId="6927C825" w14:textId="77777777" w:rsidTr="009043A1">
        <w:tc>
          <w:tcPr>
            <w:tcW w:w="2430" w:type="dxa"/>
          </w:tcPr>
          <w:p w14:paraId="61FC090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200" w:type="dxa"/>
            <w:gridSpan w:val="6"/>
          </w:tcPr>
          <w:p w14:paraId="1CF4748B"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The owners and beneficiaries whose land is used for national nature reserves, dendrological parks and botanical gardens shall be exempted;</w:t>
            </w:r>
          </w:p>
        </w:tc>
      </w:tr>
      <w:tr w:rsidR="00C943A7" w:rsidRPr="007669E1" w14:paraId="249EEBB5" w14:textId="77777777" w:rsidTr="009043A1">
        <w:tc>
          <w:tcPr>
            <w:tcW w:w="2430" w:type="dxa"/>
          </w:tcPr>
          <w:p w14:paraId="36361081"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200" w:type="dxa"/>
            <w:gridSpan w:val="6"/>
          </w:tcPr>
          <w:p w14:paraId="5323EF4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C943A7" w:rsidRPr="007669E1" w14:paraId="37445DCA" w14:textId="77777777" w:rsidTr="009043A1">
        <w:tc>
          <w:tcPr>
            <w:tcW w:w="2430" w:type="dxa"/>
          </w:tcPr>
          <w:p w14:paraId="7FC536B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200" w:type="dxa"/>
            <w:gridSpan w:val="6"/>
          </w:tcPr>
          <w:p w14:paraId="4BD14B5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Owners of </w:t>
            </w:r>
            <w:r w:rsidRPr="007669E1">
              <w:rPr>
                <w:rFonts w:ascii="Segoe UI" w:hAnsi="Segoe UI" w:cs="Segoe UI"/>
                <w:spacing w:val="-1"/>
                <w:w w:val="105"/>
                <w:sz w:val="18"/>
                <w:szCs w:val="18"/>
                <w:lang w:val="en"/>
              </w:rPr>
              <w:t>national nature reserves, dendrological parks and botanical gardens and their visitors if tax relief benefit is passed through</w:t>
            </w:r>
          </w:p>
        </w:tc>
      </w:tr>
      <w:tr w:rsidR="00C943A7" w:rsidRPr="007669E1" w14:paraId="1579186C" w14:textId="77777777" w:rsidTr="009043A1">
        <w:tc>
          <w:tcPr>
            <w:tcW w:w="2430" w:type="dxa"/>
          </w:tcPr>
          <w:p w14:paraId="54CEDAA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200" w:type="dxa"/>
            <w:gridSpan w:val="6"/>
          </w:tcPr>
          <w:p w14:paraId="1EA75BC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C943A7" w:rsidRPr="007669E1" w14:paraId="72E37FB5" w14:textId="77777777" w:rsidTr="009043A1">
        <w:tc>
          <w:tcPr>
            <w:tcW w:w="2430" w:type="dxa"/>
          </w:tcPr>
          <w:p w14:paraId="61AA980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200" w:type="dxa"/>
            <w:gridSpan w:val="6"/>
          </w:tcPr>
          <w:p w14:paraId="68968E7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C943A7" w:rsidRPr="007669E1" w14:paraId="413D6EDD" w14:textId="77777777" w:rsidTr="009043A1">
        <w:tc>
          <w:tcPr>
            <w:tcW w:w="2430" w:type="dxa"/>
          </w:tcPr>
          <w:p w14:paraId="1CA729DC"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200" w:type="dxa"/>
            <w:gridSpan w:val="6"/>
          </w:tcPr>
          <w:p w14:paraId="53FD8E0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283(4)(a) of TC</w:t>
            </w:r>
          </w:p>
        </w:tc>
      </w:tr>
      <w:tr w:rsidR="003C7165" w:rsidRPr="007669E1" w14:paraId="3315502A" w14:textId="77777777" w:rsidTr="009043A1">
        <w:trPr>
          <w:trHeight w:val="182"/>
        </w:trPr>
        <w:tc>
          <w:tcPr>
            <w:tcW w:w="2430" w:type="dxa"/>
            <w:vMerge w:val="restart"/>
          </w:tcPr>
          <w:p w14:paraId="6CD2FE7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lastRenderedPageBreak/>
              <w:t>Implementation Objectives, and History</w:t>
            </w:r>
          </w:p>
        </w:tc>
        <w:tc>
          <w:tcPr>
            <w:tcW w:w="7200" w:type="dxa"/>
            <w:gridSpan w:val="6"/>
          </w:tcPr>
          <w:p w14:paraId="7578B71A" w14:textId="77777777" w:rsidR="00476D10" w:rsidRPr="007669E1" w:rsidRDefault="00476D10" w:rsidP="00E90BA7">
            <w:pPr>
              <w:spacing w:before="20" w:after="20" w:line="240" w:lineRule="auto"/>
              <w:jc w:val="both"/>
              <w:rPr>
                <w:rFonts w:ascii="Segoe UI" w:hAnsi="Segoe UI" w:cs="Segoe UI"/>
                <w:sz w:val="18"/>
                <w:szCs w:val="18"/>
              </w:rPr>
            </w:pPr>
          </w:p>
        </w:tc>
      </w:tr>
      <w:tr w:rsidR="00D40A8C" w:rsidRPr="007669E1" w14:paraId="377E3B3F" w14:textId="77777777" w:rsidTr="009043A1">
        <w:trPr>
          <w:trHeight w:val="182"/>
        </w:trPr>
        <w:tc>
          <w:tcPr>
            <w:tcW w:w="2430" w:type="dxa"/>
            <w:vMerge/>
          </w:tcPr>
          <w:p w14:paraId="53B12E81" w14:textId="77777777" w:rsidR="00476D10" w:rsidRPr="005567B9" w:rsidRDefault="00476D10" w:rsidP="00E90BA7">
            <w:pPr>
              <w:spacing w:before="20" w:after="20" w:line="240" w:lineRule="auto"/>
              <w:jc w:val="both"/>
              <w:rPr>
                <w:rFonts w:ascii="Segoe UI" w:hAnsi="Segoe UI" w:cs="Segoe UI"/>
                <w:b/>
                <w:bCs/>
                <w:sz w:val="18"/>
                <w:szCs w:val="18"/>
              </w:rPr>
            </w:pPr>
          </w:p>
        </w:tc>
        <w:tc>
          <w:tcPr>
            <w:tcW w:w="3583" w:type="dxa"/>
            <w:gridSpan w:val="3"/>
          </w:tcPr>
          <w:p w14:paraId="4F51DD22" w14:textId="494DD355"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17" w:type="dxa"/>
            <w:gridSpan w:val="3"/>
          </w:tcPr>
          <w:p w14:paraId="129D4C21" w14:textId="69BC230D"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C943A7" w:rsidRPr="007669E1" w14:paraId="06207A1A" w14:textId="77777777" w:rsidTr="009043A1">
        <w:tc>
          <w:tcPr>
            <w:tcW w:w="2430" w:type="dxa"/>
          </w:tcPr>
          <w:p w14:paraId="00B3AEA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200" w:type="dxa"/>
            <w:gridSpan w:val="6"/>
          </w:tcPr>
          <w:p w14:paraId="083F796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C943A7" w:rsidRPr="007669E1" w14:paraId="3AA94E44" w14:textId="77777777" w:rsidTr="009043A1">
        <w:tc>
          <w:tcPr>
            <w:tcW w:w="2430" w:type="dxa"/>
          </w:tcPr>
          <w:p w14:paraId="26F8D9BA"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200" w:type="dxa"/>
            <w:gridSpan w:val="6"/>
          </w:tcPr>
          <w:p w14:paraId="33C57F1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C943A7" w:rsidRPr="007669E1" w14:paraId="35A6AACA" w14:textId="77777777" w:rsidTr="009043A1">
        <w:tc>
          <w:tcPr>
            <w:tcW w:w="2430" w:type="dxa"/>
          </w:tcPr>
          <w:p w14:paraId="0C2C4BA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200" w:type="dxa"/>
            <w:gridSpan w:val="6"/>
          </w:tcPr>
          <w:p w14:paraId="6F0F3665" w14:textId="32C708EB"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4F07C42" w14:textId="77777777" w:rsidTr="009043A1">
        <w:tc>
          <w:tcPr>
            <w:tcW w:w="2430" w:type="dxa"/>
          </w:tcPr>
          <w:p w14:paraId="55F2E90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200" w:type="dxa"/>
            <w:gridSpan w:val="6"/>
          </w:tcPr>
          <w:p w14:paraId="62E20BED" w14:textId="4E66BBEC" w:rsidR="00476D10" w:rsidRPr="007669E1" w:rsidRDefault="0077220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669E1" w:rsidRPr="007669E1" w14:paraId="35EE36F4" w14:textId="77777777" w:rsidTr="009043A1">
        <w:trPr>
          <w:trHeight w:val="91"/>
        </w:trPr>
        <w:tc>
          <w:tcPr>
            <w:tcW w:w="2430" w:type="dxa"/>
            <w:vMerge w:val="restart"/>
          </w:tcPr>
          <w:p w14:paraId="68DBBECD" w14:textId="77777777" w:rsidR="00476D10" w:rsidRPr="005567B9" w:rsidRDefault="00476D10" w:rsidP="00E90BA7">
            <w:pPr>
              <w:spacing w:before="20" w:after="20" w:line="240" w:lineRule="auto"/>
              <w:jc w:val="both"/>
              <w:rPr>
                <w:rFonts w:ascii="Segoe UI" w:hAnsi="Segoe UI" w:cs="Segoe UI"/>
                <w:b/>
                <w:bCs/>
                <w:sz w:val="18"/>
                <w:szCs w:val="18"/>
              </w:rPr>
            </w:pPr>
          </w:p>
        </w:tc>
        <w:tc>
          <w:tcPr>
            <w:tcW w:w="1274" w:type="dxa"/>
          </w:tcPr>
          <w:p w14:paraId="51339B9C"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501" w:type="dxa"/>
          </w:tcPr>
          <w:p w14:paraId="43E5810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501" w:type="dxa"/>
            <w:gridSpan w:val="2"/>
          </w:tcPr>
          <w:p w14:paraId="569466E0"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542" w:type="dxa"/>
          </w:tcPr>
          <w:p w14:paraId="163B7E16"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382" w:type="dxa"/>
          </w:tcPr>
          <w:p w14:paraId="0360DC40" w14:textId="0AF814EC"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3C7165" w:rsidRPr="007669E1" w14:paraId="518D176F" w14:textId="77777777" w:rsidTr="009043A1">
        <w:trPr>
          <w:trHeight w:val="305"/>
        </w:trPr>
        <w:tc>
          <w:tcPr>
            <w:tcW w:w="2430" w:type="dxa"/>
            <w:vMerge/>
          </w:tcPr>
          <w:p w14:paraId="0EBEEEDC" w14:textId="77777777" w:rsidR="00476D10" w:rsidRPr="007669E1" w:rsidRDefault="00476D10" w:rsidP="00E90BA7">
            <w:pPr>
              <w:spacing w:before="20" w:after="20" w:line="240" w:lineRule="auto"/>
              <w:jc w:val="both"/>
              <w:rPr>
                <w:rFonts w:ascii="Segoe UI" w:hAnsi="Segoe UI" w:cs="Segoe UI"/>
                <w:sz w:val="18"/>
                <w:szCs w:val="18"/>
              </w:rPr>
            </w:pPr>
          </w:p>
        </w:tc>
        <w:tc>
          <w:tcPr>
            <w:tcW w:w="1274" w:type="dxa"/>
            <w:vAlign w:val="center"/>
          </w:tcPr>
          <w:p w14:paraId="4DDE1496" w14:textId="0FD363B7" w:rsidR="00476D10" w:rsidRPr="007669E1" w:rsidRDefault="00BA788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1,131.4</w:t>
            </w:r>
          </w:p>
        </w:tc>
        <w:tc>
          <w:tcPr>
            <w:tcW w:w="1501" w:type="dxa"/>
            <w:vAlign w:val="center"/>
          </w:tcPr>
          <w:p w14:paraId="5BC88DD7" w14:textId="3BA51E73" w:rsidR="00476D10" w:rsidRPr="007669E1" w:rsidRDefault="00AC72B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1,600.4</w:t>
            </w:r>
          </w:p>
        </w:tc>
        <w:tc>
          <w:tcPr>
            <w:tcW w:w="1501" w:type="dxa"/>
            <w:gridSpan w:val="2"/>
            <w:shd w:val="clear" w:color="auto" w:fill="auto"/>
            <w:vAlign w:val="center"/>
          </w:tcPr>
          <w:p w14:paraId="37F658A8" w14:textId="488DF9BE" w:rsidR="00476D10" w:rsidRPr="007669E1" w:rsidRDefault="00AC72B8"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1,593.8</w:t>
            </w:r>
          </w:p>
        </w:tc>
        <w:tc>
          <w:tcPr>
            <w:tcW w:w="1542" w:type="dxa"/>
            <w:shd w:val="clear" w:color="auto" w:fill="auto"/>
            <w:vAlign w:val="center"/>
          </w:tcPr>
          <w:p w14:paraId="00B3FFEC" w14:textId="09B2D14F" w:rsidR="00476D10" w:rsidRPr="007669E1" w:rsidRDefault="005D5071"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w:t>
            </w:r>
            <w:r w:rsidR="00AC72B8" w:rsidRPr="007669E1">
              <w:rPr>
                <w:rFonts w:ascii="Segoe UI" w:hAnsi="Segoe UI" w:cs="Segoe UI"/>
                <w:color w:val="000000"/>
                <w:sz w:val="18"/>
                <w:szCs w:val="18"/>
              </w:rPr>
              <w:t>,285.0</w:t>
            </w:r>
          </w:p>
        </w:tc>
        <w:tc>
          <w:tcPr>
            <w:tcW w:w="1382" w:type="dxa"/>
            <w:shd w:val="clear" w:color="auto" w:fill="auto"/>
            <w:vAlign w:val="center"/>
          </w:tcPr>
          <w:p w14:paraId="146DC0E0" w14:textId="264CC09E" w:rsidR="00476D10" w:rsidRPr="007669E1" w:rsidRDefault="00033167"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A37CA3" w:rsidRPr="007669E1">
              <w:rPr>
                <w:rFonts w:ascii="Segoe UI" w:hAnsi="Segoe UI" w:cs="Segoe UI"/>
                <w:color w:val="000000"/>
                <w:sz w:val="18"/>
                <w:szCs w:val="18"/>
              </w:rPr>
              <w:t>.</w:t>
            </w:r>
          </w:p>
        </w:tc>
      </w:tr>
    </w:tbl>
    <w:p w14:paraId="2CC8DC4C"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440"/>
        <w:gridCol w:w="1350"/>
        <w:gridCol w:w="628"/>
        <w:gridCol w:w="787"/>
        <w:gridCol w:w="1375"/>
        <w:gridCol w:w="1615"/>
      </w:tblGrid>
      <w:tr w:rsidR="00C943A7" w:rsidRPr="005567B9" w14:paraId="228B646D" w14:textId="77777777" w:rsidTr="00A37CA3">
        <w:tc>
          <w:tcPr>
            <w:tcW w:w="9625" w:type="dxa"/>
            <w:gridSpan w:val="7"/>
            <w:shd w:val="clear" w:color="auto" w:fill="D9D9D9" w:themeFill="background1" w:themeFillShade="D9"/>
          </w:tcPr>
          <w:p w14:paraId="30B81F09" w14:textId="30FD8D1A"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19. </w:t>
            </w:r>
            <w:r w:rsidR="008C72AC" w:rsidRPr="005567B9">
              <w:rPr>
                <w:rFonts w:ascii="Segoe UI" w:hAnsi="Segoe UI" w:cs="Segoe UI"/>
                <w:b/>
                <w:bCs/>
                <w:sz w:val="18"/>
                <w:szCs w:val="18"/>
              </w:rPr>
              <w:t xml:space="preserve">Exemption </w:t>
            </w:r>
            <w:r w:rsidR="00A85305" w:rsidRPr="005567B9">
              <w:rPr>
                <w:rFonts w:ascii="Segoe UI" w:hAnsi="Segoe UI" w:cs="Segoe UI"/>
                <w:b/>
                <w:bCs/>
                <w:sz w:val="18"/>
                <w:szCs w:val="18"/>
              </w:rPr>
              <w:t xml:space="preserve">for </w:t>
            </w:r>
            <w:r w:rsidR="00BE6E40" w:rsidRPr="005567B9">
              <w:rPr>
                <w:rFonts w:ascii="Segoe UI" w:hAnsi="Segoe UI" w:cs="Segoe UI"/>
                <w:b/>
                <w:bCs/>
                <w:sz w:val="18"/>
                <w:szCs w:val="18"/>
              </w:rPr>
              <w:t xml:space="preserve">owners and beneficiaries of </w:t>
            </w:r>
            <w:r w:rsidRPr="005567B9">
              <w:rPr>
                <w:rFonts w:ascii="Segoe UI" w:hAnsi="Segoe UI" w:cs="Segoe UI"/>
                <w:b/>
                <w:bCs/>
                <w:sz w:val="18"/>
                <w:szCs w:val="18"/>
              </w:rPr>
              <w:t>lands and land plots</w:t>
            </w:r>
            <w:r w:rsidR="007E783D" w:rsidRPr="005567B9">
              <w:rPr>
                <w:rFonts w:ascii="Segoe UI" w:hAnsi="Segoe UI" w:cs="Segoe UI"/>
                <w:b/>
                <w:bCs/>
                <w:sz w:val="18"/>
                <w:szCs w:val="18"/>
              </w:rPr>
              <w:t>, whose lands are included in the Forest Fund</w:t>
            </w:r>
            <w:r w:rsidRPr="005567B9">
              <w:rPr>
                <w:rFonts w:ascii="Segoe UI" w:hAnsi="Segoe UI" w:cs="Segoe UI"/>
                <w:b/>
                <w:bCs/>
                <w:sz w:val="18"/>
                <w:szCs w:val="18"/>
              </w:rPr>
              <w:t xml:space="preserve"> </w:t>
            </w:r>
          </w:p>
        </w:tc>
      </w:tr>
      <w:tr w:rsidR="007619A8" w:rsidRPr="007669E1" w14:paraId="15E67A4C" w14:textId="77777777" w:rsidTr="00A37CA3">
        <w:tc>
          <w:tcPr>
            <w:tcW w:w="2430" w:type="dxa"/>
          </w:tcPr>
          <w:p w14:paraId="5898805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195" w:type="dxa"/>
            <w:gridSpan w:val="6"/>
          </w:tcPr>
          <w:p w14:paraId="6D8156A9"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 xml:space="preserve">The owners and beneficiaries whose land is included in the Forest Fund shall be exempted, if these are not used for entrepreneurial activity, except for the forestry enterprises that conduct ecological reconstruction, conservation and secondary pruning, forestry management, research and development and design works for the needs of the forestry household, to liquidate the effects of natural disasters, </w:t>
            </w:r>
            <w:r w:rsidRPr="007669E1">
              <w:rPr>
                <w:rFonts w:ascii="Segoe UI" w:hAnsi="Segoe UI" w:cs="Segoe UI"/>
                <w:spacing w:val="-1"/>
                <w:w w:val="105"/>
                <w:sz w:val="18"/>
                <w:szCs w:val="18"/>
                <w:lang w:val="en"/>
              </w:rPr>
              <w:t>as well as to conduct other forestry work related to forest care.</w:t>
            </w:r>
          </w:p>
        </w:tc>
      </w:tr>
      <w:tr w:rsidR="007619A8" w:rsidRPr="007669E1" w14:paraId="10D32C88" w14:textId="77777777" w:rsidTr="00A37CA3">
        <w:tc>
          <w:tcPr>
            <w:tcW w:w="2430" w:type="dxa"/>
          </w:tcPr>
          <w:p w14:paraId="45EE747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195" w:type="dxa"/>
            <w:gridSpan w:val="6"/>
          </w:tcPr>
          <w:p w14:paraId="67F72F0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19A8" w:rsidRPr="007669E1" w14:paraId="2FEB2027" w14:textId="77777777" w:rsidTr="00A37CA3">
        <w:tc>
          <w:tcPr>
            <w:tcW w:w="2430" w:type="dxa"/>
          </w:tcPr>
          <w:p w14:paraId="106017DB"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195" w:type="dxa"/>
            <w:gridSpan w:val="6"/>
          </w:tcPr>
          <w:p w14:paraId="517FD3B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Owners and beneficiaries whose forest land is ecologically protected and improved through conservation, R&amp;D, and rejuvenation after natural disasters.</w:t>
            </w:r>
          </w:p>
        </w:tc>
      </w:tr>
      <w:tr w:rsidR="007619A8" w:rsidRPr="007669E1" w14:paraId="3B73DC88" w14:textId="77777777" w:rsidTr="00A37CA3">
        <w:tc>
          <w:tcPr>
            <w:tcW w:w="2430" w:type="dxa"/>
          </w:tcPr>
          <w:p w14:paraId="6A3D42D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195" w:type="dxa"/>
            <w:gridSpan w:val="6"/>
          </w:tcPr>
          <w:p w14:paraId="4B3B428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19A8" w:rsidRPr="007669E1" w14:paraId="5F058DC1" w14:textId="77777777" w:rsidTr="00A37CA3">
        <w:tc>
          <w:tcPr>
            <w:tcW w:w="2430" w:type="dxa"/>
          </w:tcPr>
          <w:p w14:paraId="66E01CA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195" w:type="dxa"/>
            <w:gridSpan w:val="6"/>
          </w:tcPr>
          <w:p w14:paraId="3EB91FC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619A8" w:rsidRPr="007669E1" w14:paraId="0331B4AD" w14:textId="77777777" w:rsidTr="00A37CA3">
        <w:tc>
          <w:tcPr>
            <w:tcW w:w="2430" w:type="dxa"/>
          </w:tcPr>
          <w:p w14:paraId="731C0B3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195" w:type="dxa"/>
            <w:gridSpan w:val="6"/>
          </w:tcPr>
          <w:p w14:paraId="15E8131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283(4)(b) of TC</w:t>
            </w:r>
          </w:p>
        </w:tc>
      </w:tr>
      <w:tr w:rsidR="00C943A7" w:rsidRPr="007669E1" w14:paraId="2375C0F6" w14:textId="77777777" w:rsidTr="00A37CA3">
        <w:trPr>
          <w:trHeight w:val="182"/>
        </w:trPr>
        <w:tc>
          <w:tcPr>
            <w:tcW w:w="2430" w:type="dxa"/>
            <w:vMerge w:val="restart"/>
          </w:tcPr>
          <w:p w14:paraId="24ECF75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195" w:type="dxa"/>
            <w:gridSpan w:val="6"/>
          </w:tcPr>
          <w:p w14:paraId="31DA6C33" w14:textId="77777777" w:rsidR="00476D10" w:rsidRPr="007669E1" w:rsidRDefault="00476D10" w:rsidP="00E90BA7">
            <w:pPr>
              <w:spacing w:before="20" w:after="20" w:line="240" w:lineRule="auto"/>
              <w:jc w:val="both"/>
              <w:rPr>
                <w:rFonts w:ascii="Segoe UI" w:hAnsi="Segoe UI" w:cs="Segoe UI"/>
                <w:sz w:val="18"/>
                <w:szCs w:val="18"/>
              </w:rPr>
            </w:pPr>
          </w:p>
        </w:tc>
      </w:tr>
      <w:tr w:rsidR="00775F01" w:rsidRPr="007669E1" w14:paraId="037A2FC9" w14:textId="77777777" w:rsidTr="00A37CA3">
        <w:trPr>
          <w:trHeight w:val="182"/>
        </w:trPr>
        <w:tc>
          <w:tcPr>
            <w:tcW w:w="2430" w:type="dxa"/>
            <w:vMerge/>
          </w:tcPr>
          <w:p w14:paraId="77786E70" w14:textId="77777777" w:rsidR="00476D10" w:rsidRPr="005567B9" w:rsidRDefault="00476D10" w:rsidP="00E90BA7">
            <w:pPr>
              <w:spacing w:before="20" w:after="20" w:line="240" w:lineRule="auto"/>
              <w:jc w:val="both"/>
              <w:rPr>
                <w:rFonts w:ascii="Segoe UI" w:hAnsi="Segoe UI" w:cs="Segoe UI"/>
                <w:b/>
                <w:bCs/>
                <w:sz w:val="18"/>
                <w:szCs w:val="18"/>
              </w:rPr>
            </w:pPr>
          </w:p>
        </w:tc>
        <w:tc>
          <w:tcPr>
            <w:tcW w:w="3418" w:type="dxa"/>
            <w:gridSpan w:val="3"/>
          </w:tcPr>
          <w:p w14:paraId="6231AD0E" w14:textId="73E12ED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77" w:type="dxa"/>
            <w:gridSpan w:val="3"/>
          </w:tcPr>
          <w:p w14:paraId="26C8E15B" w14:textId="7199886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19A8" w:rsidRPr="007669E1" w14:paraId="281FC1B9" w14:textId="77777777" w:rsidTr="00A37CA3">
        <w:tc>
          <w:tcPr>
            <w:tcW w:w="2430" w:type="dxa"/>
          </w:tcPr>
          <w:p w14:paraId="0187EFB1"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Source of Data</w:t>
            </w:r>
          </w:p>
        </w:tc>
        <w:tc>
          <w:tcPr>
            <w:tcW w:w="7195" w:type="dxa"/>
            <w:gridSpan w:val="6"/>
          </w:tcPr>
          <w:p w14:paraId="5702F93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19A8" w:rsidRPr="007669E1" w14:paraId="2E6F8421" w14:textId="77777777" w:rsidTr="00A37CA3">
        <w:tc>
          <w:tcPr>
            <w:tcW w:w="2430" w:type="dxa"/>
          </w:tcPr>
          <w:p w14:paraId="6557961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195" w:type="dxa"/>
            <w:gridSpan w:val="6"/>
          </w:tcPr>
          <w:p w14:paraId="6C26FAC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19A8" w:rsidRPr="007669E1" w14:paraId="7FE9942D" w14:textId="77777777" w:rsidTr="00A37CA3">
        <w:tc>
          <w:tcPr>
            <w:tcW w:w="2430" w:type="dxa"/>
          </w:tcPr>
          <w:p w14:paraId="072CA5C2"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195" w:type="dxa"/>
            <w:gridSpan w:val="6"/>
          </w:tcPr>
          <w:p w14:paraId="5D0ABC60" w14:textId="65DA2EBC"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19A8" w:rsidRPr="007669E1" w14:paraId="03FFAE13" w14:textId="77777777" w:rsidTr="00A37CA3">
        <w:tc>
          <w:tcPr>
            <w:tcW w:w="2430" w:type="dxa"/>
          </w:tcPr>
          <w:p w14:paraId="3EE6725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195" w:type="dxa"/>
            <w:gridSpan w:val="6"/>
          </w:tcPr>
          <w:p w14:paraId="29BE48E8" w14:textId="69864477" w:rsidR="00476D10" w:rsidRPr="007669E1" w:rsidRDefault="0079436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476D10" w:rsidRPr="007669E1">
              <w:rPr>
                <w:rFonts w:ascii="Segoe UI" w:hAnsi="Segoe UI" w:cs="Segoe UI"/>
                <w:sz w:val="18"/>
                <w:szCs w:val="18"/>
              </w:rPr>
              <w:t>MDL</w:t>
            </w:r>
          </w:p>
        </w:tc>
      </w:tr>
      <w:tr w:rsidR="007669E1" w:rsidRPr="007669E1" w14:paraId="786B58E1" w14:textId="77777777" w:rsidTr="00A37CA3">
        <w:trPr>
          <w:trHeight w:val="91"/>
        </w:trPr>
        <w:tc>
          <w:tcPr>
            <w:tcW w:w="2430" w:type="dxa"/>
            <w:vMerge w:val="restart"/>
          </w:tcPr>
          <w:p w14:paraId="02C5AE74" w14:textId="77777777" w:rsidR="00476D10" w:rsidRPr="007669E1" w:rsidRDefault="00476D10" w:rsidP="00E90BA7">
            <w:pPr>
              <w:spacing w:before="20" w:after="20" w:line="240" w:lineRule="auto"/>
              <w:jc w:val="both"/>
              <w:rPr>
                <w:rFonts w:ascii="Segoe UI" w:hAnsi="Segoe UI" w:cs="Segoe UI"/>
                <w:sz w:val="18"/>
                <w:szCs w:val="18"/>
              </w:rPr>
            </w:pPr>
          </w:p>
        </w:tc>
        <w:tc>
          <w:tcPr>
            <w:tcW w:w="1440" w:type="dxa"/>
            <w:shd w:val="clear" w:color="auto" w:fill="auto"/>
          </w:tcPr>
          <w:p w14:paraId="74C2374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350" w:type="dxa"/>
            <w:shd w:val="clear" w:color="auto" w:fill="auto"/>
          </w:tcPr>
          <w:p w14:paraId="59D0C11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415" w:type="dxa"/>
            <w:gridSpan w:val="2"/>
            <w:shd w:val="clear" w:color="auto" w:fill="auto"/>
          </w:tcPr>
          <w:p w14:paraId="388D9090"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75" w:type="dxa"/>
            <w:shd w:val="clear" w:color="auto" w:fill="auto"/>
          </w:tcPr>
          <w:p w14:paraId="29EFB70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615" w:type="dxa"/>
            <w:shd w:val="clear" w:color="auto" w:fill="auto"/>
          </w:tcPr>
          <w:p w14:paraId="6C4D9C20" w14:textId="50B90677"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3C7165" w:rsidRPr="007669E1" w14:paraId="690137C5" w14:textId="77777777" w:rsidTr="007C2B38">
        <w:trPr>
          <w:trHeight w:val="305"/>
        </w:trPr>
        <w:tc>
          <w:tcPr>
            <w:tcW w:w="2430" w:type="dxa"/>
            <w:vMerge/>
          </w:tcPr>
          <w:p w14:paraId="493DA740" w14:textId="77777777" w:rsidR="00476D10" w:rsidRPr="007669E1" w:rsidRDefault="00476D10" w:rsidP="00E90BA7">
            <w:pPr>
              <w:spacing w:before="20" w:after="20" w:line="240" w:lineRule="auto"/>
              <w:jc w:val="both"/>
              <w:rPr>
                <w:rFonts w:ascii="Segoe UI" w:hAnsi="Segoe UI" w:cs="Segoe UI"/>
                <w:sz w:val="18"/>
                <w:szCs w:val="18"/>
              </w:rPr>
            </w:pPr>
          </w:p>
        </w:tc>
        <w:tc>
          <w:tcPr>
            <w:tcW w:w="1440" w:type="dxa"/>
            <w:shd w:val="clear" w:color="auto" w:fill="auto"/>
            <w:vAlign w:val="center"/>
          </w:tcPr>
          <w:p w14:paraId="5D46114C" w14:textId="66B3B04A" w:rsidR="00476D10" w:rsidRPr="007669E1" w:rsidRDefault="00CF129B"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15,559.3</w:t>
            </w:r>
          </w:p>
        </w:tc>
        <w:tc>
          <w:tcPr>
            <w:tcW w:w="1350" w:type="dxa"/>
            <w:shd w:val="clear" w:color="auto" w:fill="auto"/>
            <w:vAlign w:val="center"/>
          </w:tcPr>
          <w:p w14:paraId="641282A6" w14:textId="167EE1D9" w:rsidR="00476D10" w:rsidRPr="007669E1" w:rsidRDefault="00C90AF1"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20,730.5</w:t>
            </w:r>
          </w:p>
        </w:tc>
        <w:tc>
          <w:tcPr>
            <w:tcW w:w="1415" w:type="dxa"/>
            <w:gridSpan w:val="2"/>
            <w:shd w:val="clear" w:color="auto" w:fill="auto"/>
            <w:vAlign w:val="center"/>
          </w:tcPr>
          <w:p w14:paraId="352B05AE" w14:textId="1CAB08F1" w:rsidR="00476D10" w:rsidRPr="007669E1" w:rsidRDefault="00C90AF1"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18,935.7</w:t>
            </w:r>
          </w:p>
        </w:tc>
        <w:tc>
          <w:tcPr>
            <w:tcW w:w="1375" w:type="dxa"/>
            <w:shd w:val="clear" w:color="auto" w:fill="auto"/>
            <w:vAlign w:val="center"/>
          </w:tcPr>
          <w:p w14:paraId="4E85A2DA" w14:textId="3960D345" w:rsidR="00476D10" w:rsidRPr="007669E1" w:rsidRDefault="00476D1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19</w:t>
            </w:r>
            <w:r w:rsidR="00C90AF1" w:rsidRPr="007669E1">
              <w:rPr>
                <w:rFonts w:ascii="Segoe UI" w:hAnsi="Segoe UI" w:cs="Segoe UI"/>
                <w:color w:val="000000"/>
                <w:sz w:val="18"/>
                <w:szCs w:val="18"/>
              </w:rPr>
              <w:t>,</w:t>
            </w:r>
            <w:r w:rsidR="00DB1CB6" w:rsidRPr="007669E1">
              <w:rPr>
                <w:rFonts w:ascii="Segoe UI" w:hAnsi="Segoe UI" w:cs="Segoe UI"/>
                <w:color w:val="000000"/>
                <w:sz w:val="18"/>
                <w:szCs w:val="18"/>
              </w:rPr>
              <w:t>5</w:t>
            </w:r>
            <w:r w:rsidR="00DB1CB6" w:rsidRPr="007669E1" w:rsidDel="00CE39DF">
              <w:rPr>
                <w:rFonts w:ascii="Segoe UI" w:hAnsi="Segoe UI" w:cs="Segoe UI"/>
                <w:color w:val="000000"/>
                <w:sz w:val="18"/>
                <w:szCs w:val="18"/>
              </w:rPr>
              <w:t>19</w:t>
            </w:r>
            <w:r w:rsidR="00C90AF1" w:rsidRPr="007669E1">
              <w:rPr>
                <w:rFonts w:ascii="Segoe UI" w:hAnsi="Segoe UI" w:cs="Segoe UI"/>
                <w:color w:val="000000"/>
                <w:sz w:val="18"/>
                <w:szCs w:val="18"/>
              </w:rPr>
              <w:t>.4</w:t>
            </w:r>
          </w:p>
        </w:tc>
        <w:tc>
          <w:tcPr>
            <w:tcW w:w="1615" w:type="dxa"/>
            <w:shd w:val="clear" w:color="auto" w:fill="auto"/>
            <w:vAlign w:val="center"/>
          </w:tcPr>
          <w:p w14:paraId="77C55956" w14:textId="57274C5E" w:rsidR="00476D10" w:rsidRPr="007669E1" w:rsidRDefault="00DB1CB6"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r w:rsidR="00A37CA3" w:rsidRPr="007669E1">
              <w:rPr>
                <w:rFonts w:ascii="Segoe UI" w:hAnsi="Segoe UI" w:cs="Segoe UI"/>
                <w:color w:val="000000"/>
                <w:sz w:val="18"/>
                <w:szCs w:val="18"/>
              </w:rPr>
              <w:t>.</w:t>
            </w:r>
          </w:p>
        </w:tc>
      </w:tr>
    </w:tbl>
    <w:p w14:paraId="6EC56066"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11"/>
        <w:gridCol w:w="1289"/>
        <w:gridCol w:w="1501"/>
        <w:gridCol w:w="808"/>
        <w:gridCol w:w="693"/>
        <w:gridCol w:w="1501"/>
        <w:gridCol w:w="1522"/>
      </w:tblGrid>
      <w:tr w:rsidR="00A2051E" w:rsidRPr="005567B9" w14:paraId="742067EE" w14:textId="77777777" w:rsidTr="005A7B4B">
        <w:tc>
          <w:tcPr>
            <w:tcW w:w="9625" w:type="dxa"/>
            <w:gridSpan w:val="7"/>
            <w:shd w:val="clear" w:color="auto" w:fill="D9D9D9" w:themeFill="background1" w:themeFillShade="D9"/>
          </w:tcPr>
          <w:p w14:paraId="25100F1C" w14:textId="7B497D09"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 xml:space="preserve">20. </w:t>
            </w:r>
            <w:r w:rsidR="009E77CF" w:rsidRPr="005567B9">
              <w:rPr>
                <w:rFonts w:ascii="Segoe UI" w:hAnsi="Segoe UI" w:cs="Segoe UI"/>
                <w:b/>
                <w:bCs/>
                <w:sz w:val="18"/>
                <w:szCs w:val="18"/>
              </w:rPr>
              <w:t xml:space="preserve">Exemption for owners and beneficiaries of lands and land plots, whose lands are included in the </w:t>
            </w:r>
            <w:r w:rsidR="00CA7906" w:rsidRPr="005567B9">
              <w:rPr>
                <w:rFonts w:ascii="Segoe UI" w:hAnsi="Segoe UI" w:cs="Segoe UI"/>
                <w:b/>
                <w:bCs/>
                <w:sz w:val="18"/>
                <w:szCs w:val="18"/>
              </w:rPr>
              <w:t>Water</w:t>
            </w:r>
            <w:r w:rsidR="009E77CF" w:rsidRPr="005567B9">
              <w:rPr>
                <w:rFonts w:ascii="Segoe UI" w:hAnsi="Segoe UI" w:cs="Segoe UI"/>
                <w:b/>
                <w:bCs/>
                <w:sz w:val="18"/>
                <w:szCs w:val="18"/>
              </w:rPr>
              <w:t xml:space="preserve"> Fund</w:t>
            </w:r>
          </w:p>
        </w:tc>
      </w:tr>
      <w:tr w:rsidR="00C943A7" w:rsidRPr="007669E1" w14:paraId="59B84FF2" w14:textId="77777777" w:rsidTr="00B16AA3">
        <w:tc>
          <w:tcPr>
            <w:tcW w:w="2311" w:type="dxa"/>
          </w:tcPr>
          <w:p w14:paraId="1A400F99"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Description</w:t>
            </w:r>
          </w:p>
        </w:tc>
        <w:tc>
          <w:tcPr>
            <w:tcW w:w="7314" w:type="dxa"/>
            <w:gridSpan w:val="6"/>
          </w:tcPr>
          <w:p w14:paraId="26A3170F"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The owners and beneficiaries whose land and land plots are destined for the Water Fund shall be exempted if they are not engaged in commercial activity for profit.</w:t>
            </w:r>
          </w:p>
        </w:tc>
      </w:tr>
      <w:tr w:rsidR="00C943A7" w:rsidRPr="007669E1" w14:paraId="430B5EB4" w14:textId="77777777" w:rsidTr="00B16AA3">
        <w:tc>
          <w:tcPr>
            <w:tcW w:w="2311" w:type="dxa"/>
          </w:tcPr>
          <w:p w14:paraId="0EDFEB48"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Tax Affected</w:t>
            </w:r>
          </w:p>
        </w:tc>
        <w:tc>
          <w:tcPr>
            <w:tcW w:w="7314" w:type="dxa"/>
            <w:gridSpan w:val="6"/>
          </w:tcPr>
          <w:p w14:paraId="3F51E00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C943A7" w:rsidRPr="007669E1" w14:paraId="01747891" w14:textId="77777777" w:rsidTr="00B16AA3">
        <w:tc>
          <w:tcPr>
            <w:tcW w:w="2311" w:type="dxa"/>
          </w:tcPr>
          <w:p w14:paraId="263CFF2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Beneficiaries</w:t>
            </w:r>
          </w:p>
        </w:tc>
        <w:tc>
          <w:tcPr>
            <w:tcW w:w="7314" w:type="dxa"/>
            <w:gridSpan w:val="6"/>
          </w:tcPr>
          <w:p w14:paraId="0D1533E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Owners and beneficiaries of land destined for the Water Preservation Fund</w:t>
            </w:r>
          </w:p>
        </w:tc>
      </w:tr>
      <w:tr w:rsidR="00C943A7" w:rsidRPr="007669E1" w14:paraId="437EB5C6" w14:textId="77777777" w:rsidTr="00B16AA3">
        <w:tc>
          <w:tcPr>
            <w:tcW w:w="2311" w:type="dxa"/>
          </w:tcPr>
          <w:p w14:paraId="6C41F1C5"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Type of Measure</w:t>
            </w:r>
          </w:p>
        </w:tc>
        <w:tc>
          <w:tcPr>
            <w:tcW w:w="7314" w:type="dxa"/>
            <w:gridSpan w:val="6"/>
          </w:tcPr>
          <w:p w14:paraId="38E4FB0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C943A7" w:rsidRPr="007669E1" w14:paraId="37C373DC" w14:textId="77777777" w:rsidTr="00B16AA3">
        <w:tc>
          <w:tcPr>
            <w:tcW w:w="2311" w:type="dxa"/>
          </w:tcPr>
          <w:p w14:paraId="6F10474A"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Reason why this Measure is not part of the Benchmark Tax System</w:t>
            </w:r>
          </w:p>
        </w:tc>
        <w:tc>
          <w:tcPr>
            <w:tcW w:w="7314" w:type="dxa"/>
            <w:gridSpan w:val="6"/>
          </w:tcPr>
          <w:p w14:paraId="5E8BE45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C943A7" w:rsidRPr="007669E1" w14:paraId="406449EF" w14:textId="77777777" w:rsidTr="00B16AA3">
        <w:tc>
          <w:tcPr>
            <w:tcW w:w="2311" w:type="dxa"/>
          </w:tcPr>
          <w:p w14:paraId="604096BC"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Legal Reference</w:t>
            </w:r>
          </w:p>
        </w:tc>
        <w:tc>
          <w:tcPr>
            <w:tcW w:w="7314" w:type="dxa"/>
            <w:gridSpan w:val="6"/>
          </w:tcPr>
          <w:p w14:paraId="28E3A60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283(4)(b</w:t>
            </w:r>
            <w:r w:rsidRPr="007669E1">
              <w:rPr>
                <w:rFonts w:ascii="Segoe UI" w:hAnsi="Segoe UI" w:cs="Segoe UI"/>
                <w:sz w:val="18"/>
                <w:szCs w:val="18"/>
                <w:vertAlign w:val="superscript"/>
              </w:rPr>
              <w:t>1</w:t>
            </w:r>
            <w:r w:rsidRPr="007669E1">
              <w:rPr>
                <w:rFonts w:ascii="Segoe UI" w:hAnsi="Segoe UI" w:cs="Segoe UI"/>
                <w:sz w:val="18"/>
                <w:szCs w:val="18"/>
              </w:rPr>
              <w:t>) of TC</w:t>
            </w:r>
          </w:p>
        </w:tc>
      </w:tr>
      <w:tr w:rsidR="00C943A7" w:rsidRPr="007669E1" w14:paraId="1E19870F" w14:textId="77777777" w:rsidTr="00B16AA3">
        <w:trPr>
          <w:trHeight w:val="182"/>
        </w:trPr>
        <w:tc>
          <w:tcPr>
            <w:tcW w:w="2311" w:type="dxa"/>
            <w:vMerge w:val="restart"/>
          </w:tcPr>
          <w:p w14:paraId="627519EF"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Implementation Objectives, and History</w:t>
            </w:r>
          </w:p>
        </w:tc>
        <w:tc>
          <w:tcPr>
            <w:tcW w:w="7314" w:type="dxa"/>
            <w:gridSpan w:val="6"/>
          </w:tcPr>
          <w:p w14:paraId="4170C3EF" w14:textId="77777777" w:rsidR="00476D10" w:rsidRPr="007669E1" w:rsidRDefault="00476D10" w:rsidP="00E90BA7">
            <w:pPr>
              <w:spacing w:before="20" w:after="20" w:line="240" w:lineRule="auto"/>
              <w:jc w:val="both"/>
              <w:rPr>
                <w:rFonts w:ascii="Segoe UI" w:hAnsi="Segoe UI" w:cs="Segoe UI"/>
                <w:sz w:val="18"/>
                <w:szCs w:val="18"/>
              </w:rPr>
            </w:pPr>
          </w:p>
        </w:tc>
      </w:tr>
      <w:tr w:rsidR="00775F01" w:rsidRPr="007669E1" w14:paraId="4DCF230E" w14:textId="77777777" w:rsidTr="00B16AA3">
        <w:trPr>
          <w:trHeight w:val="182"/>
        </w:trPr>
        <w:tc>
          <w:tcPr>
            <w:tcW w:w="2311" w:type="dxa"/>
            <w:vMerge/>
          </w:tcPr>
          <w:p w14:paraId="545F1F1E" w14:textId="77777777" w:rsidR="00476D10" w:rsidRPr="005567B9" w:rsidRDefault="00476D10" w:rsidP="00E90BA7">
            <w:pPr>
              <w:spacing w:before="20" w:after="20" w:line="240" w:lineRule="auto"/>
              <w:jc w:val="both"/>
              <w:rPr>
                <w:rFonts w:ascii="Segoe UI" w:hAnsi="Segoe UI" w:cs="Segoe UI"/>
                <w:b/>
                <w:bCs/>
                <w:sz w:val="18"/>
                <w:szCs w:val="18"/>
              </w:rPr>
            </w:pPr>
          </w:p>
        </w:tc>
        <w:tc>
          <w:tcPr>
            <w:tcW w:w="3598" w:type="dxa"/>
            <w:gridSpan w:val="3"/>
          </w:tcPr>
          <w:p w14:paraId="6039A57A" w14:textId="56EEA81E"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16" w:type="dxa"/>
            <w:gridSpan w:val="3"/>
          </w:tcPr>
          <w:p w14:paraId="1E8E2286" w14:textId="2A13D494"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C943A7" w:rsidRPr="007669E1" w14:paraId="5C73E8D0" w14:textId="77777777" w:rsidTr="00B16AA3">
        <w:tc>
          <w:tcPr>
            <w:tcW w:w="2311" w:type="dxa"/>
          </w:tcPr>
          <w:p w14:paraId="1E80A8A7"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lastRenderedPageBreak/>
              <w:t>Source of Data</w:t>
            </w:r>
          </w:p>
        </w:tc>
        <w:tc>
          <w:tcPr>
            <w:tcW w:w="7314" w:type="dxa"/>
            <w:gridSpan w:val="6"/>
          </w:tcPr>
          <w:p w14:paraId="48D2DCF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C943A7" w:rsidRPr="007669E1" w14:paraId="748EE001" w14:textId="77777777" w:rsidTr="00B16AA3">
        <w:tc>
          <w:tcPr>
            <w:tcW w:w="2311" w:type="dxa"/>
          </w:tcPr>
          <w:p w14:paraId="65B761C8"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Estimation Method</w:t>
            </w:r>
          </w:p>
        </w:tc>
        <w:tc>
          <w:tcPr>
            <w:tcW w:w="7314" w:type="dxa"/>
            <w:gridSpan w:val="6"/>
          </w:tcPr>
          <w:p w14:paraId="472F16E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C943A7" w:rsidRPr="007669E1" w14:paraId="1A2C7178" w14:textId="77777777" w:rsidTr="00B16AA3">
        <w:tc>
          <w:tcPr>
            <w:tcW w:w="2311" w:type="dxa"/>
          </w:tcPr>
          <w:p w14:paraId="28346DC4"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Number of Beneficiaries</w:t>
            </w:r>
          </w:p>
        </w:tc>
        <w:tc>
          <w:tcPr>
            <w:tcW w:w="7314" w:type="dxa"/>
            <w:gridSpan w:val="6"/>
          </w:tcPr>
          <w:p w14:paraId="548F57E9" w14:textId="5093B173"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1E6329B0" w14:textId="77777777" w:rsidTr="00B16AA3">
        <w:tc>
          <w:tcPr>
            <w:tcW w:w="2311" w:type="dxa"/>
          </w:tcPr>
          <w:p w14:paraId="3609CAAE"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Revenue Cost Reporting</w:t>
            </w:r>
          </w:p>
        </w:tc>
        <w:tc>
          <w:tcPr>
            <w:tcW w:w="7314" w:type="dxa"/>
            <w:gridSpan w:val="6"/>
          </w:tcPr>
          <w:p w14:paraId="30B156FE" w14:textId="19A9A936" w:rsidR="00476D10" w:rsidRPr="007669E1" w:rsidRDefault="002A72B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84536F" w:rsidRPr="007669E1" w14:paraId="5088EA5F" w14:textId="77777777" w:rsidTr="00E147D6">
        <w:trPr>
          <w:trHeight w:val="91"/>
        </w:trPr>
        <w:tc>
          <w:tcPr>
            <w:tcW w:w="2311" w:type="dxa"/>
            <w:tcBorders>
              <w:bottom w:val="nil"/>
            </w:tcBorders>
          </w:tcPr>
          <w:p w14:paraId="5D430F7D" w14:textId="77777777" w:rsidR="00476D10" w:rsidRPr="007669E1" w:rsidRDefault="00476D10" w:rsidP="00E90BA7">
            <w:pPr>
              <w:spacing w:before="20" w:after="20" w:line="240" w:lineRule="auto"/>
              <w:jc w:val="both"/>
              <w:rPr>
                <w:rFonts w:ascii="Segoe UI" w:hAnsi="Segoe UI" w:cs="Segoe UI"/>
                <w:sz w:val="18"/>
                <w:szCs w:val="18"/>
              </w:rPr>
            </w:pPr>
          </w:p>
        </w:tc>
        <w:tc>
          <w:tcPr>
            <w:tcW w:w="1289" w:type="dxa"/>
          </w:tcPr>
          <w:p w14:paraId="70B62458"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501" w:type="dxa"/>
          </w:tcPr>
          <w:p w14:paraId="169D406D"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501" w:type="dxa"/>
            <w:gridSpan w:val="2"/>
          </w:tcPr>
          <w:p w14:paraId="29BD6433"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501" w:type="dxa"/>
          </w:tcPr>
          <w:p w14:paraId="61B9C0C2" w14:textId="77777777" w:rsidR="00476D10" w:rsidRPr="005567B9" w:rsidRDefault="00476D10"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522" w:type="dxa"/>
          </w:tcPr>
          <w:p w14:paraId="2E24B037" w14:textId="7938DDD1" w:rsidR="00476D10" w:rsidRPr="005567B9" w:rsidRDefault="000C00AF"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A2051E" w:rsidRPr="007669E1" w14:paraId="0E8728DB" w14:textId="77777777" w:rsidTr="00E147D6">
        <w:trPr>
          <w:trHeight w:val="305"/>
        </w:trPr>
        <w:tc>
          <w:tcPr>
            <w:tcW w:w="2311" w:type="dxa"/>
            <w:tcBorders>
              <w:top w:val="nil"/>
            </w:tcBorders>
          </w:tcPr>
          <w:p w14:paraId="2F9427CA" w14:textId="77777777" w:rsidR="00476D10" w:rsidRPr="007669E1" w:rsidRDefault="00476D10" w:rsidP="00E90BA7">
            <w:pPr>
              <w:spacing w:before="20" w:after="20" w:line="240" w:lineRule="auto"/>
              <w:jc w:val="both"/>
              <w:rPr>
                <w:rFonts w:ascii="Segoe UI" w:hAnsi="Segoe UI" w:cs="Segoe UI"/>
                <w:sz w:val="18"/>
                <w:szCs w:val="18"/>
              </w:rPr>
            </w:pPr>
          </w:p>
        </w:tc>
        <w:tc>
          <w:tcPr>
            <w:tcW w:w="1289" w:type="dxa"/>
            <w:shd w:val="clear" w:color="auto" w:fill="auto"/>
            <w:vAlign w:val="center"/>
          </w:tcPr>
          <w:p w14:paraId="61C72BB9" w14:textId="0A5590E1" w:rsidR="00476D10" w:rsidRPr="007669E1" w:rsidRDefault="003304B6"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1,958.6</w:t>
            </w:r>
          </w:p>
        </w:tc>
        <w:tc>
          <w:tcPr>
            <w:tcW w:w="1501" w:type="dxa"/>
            <w:shd w:val="clear" w:color="auto" w:fill="auto"/>
            <w:vAlign w:val="center"/>
          </w:tcPr>
          <w:p w14:paraId="30E55304" w14:textId="0FA3CEA0" w:rsidR="00476D10" w:rsidRPr="007669E1" w:rsidRDefault="00B16AA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2,020</w:t>
            </w:r>
            <w:r w:rsidR="007F702A" w:rsidRPr="007669E1">
              <w:rPr>
                <w:rFonts w:ascii="Segoe UI" w:hAnsi="Segoe UI" w:cs="Segoe UI"/>
                <w:color w:val="000000"/>
                <w:sz w:val="18"/>
                <w:szCs w:val="18"/>
              </w:rPr>
              <w:t>.0</w:t>
            </w:r>
          </w:p>
        </w:tc>
        <w:tc>
          <w:tcPr>
            <w:tcW w:w="1501" w:type="dxa"/>
            <w:gridSpan w:val="2"/>
            <w:shd w:val="clear" w:color="auto" w:fill="auto"/>
            <w:vAlign w:val="center"/>
          </w:tcPr>
          <w:p w14:paraId="68AE8F20" w14:textId="1A3A7D29" w:rsidR="00476D10" w:rsidRPr="007669E1" w:rsidRDefault="007F702A"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w:t>
            </w:r>
            <w:r w:rsidR="00B16AA3" w:rsidRPr="007669E1">
              <w:rPr>
                <w:rFonts w:ascii="Segoe UI" w:hAnsi="Segoe UI" w:cs="Segoe UI"/>
                <w:color w:val="000000"/>
                <w:sz w:val="18"/>
                <w:szCs w:val="18"/>
              </w:rPr>
              <w:t>,374.0</w:t>
            </w:r>
          </w:p>
        </w:tc>
        <w:tc>
          <w:tcPr>
            <w:tcW w:w="1501" w:type="dxa"/>
            <w:shd w:val="clear" w:color="auto" w:fill="auto"/>
            <w:vAlign w:val="center"/>
          </w:tcPr>
          <w:p w14:paraId="0BB5B431" w14:textId="50E047BD" w:rsidR="00476D10" w:rsidRPr="007669E1" w:rsidRDefault="00B16AA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2,068.7</w:t>
            </w:r>
          </w:p>
        </w:tc>
        <w:tc>
          <w:tcPr>
            <w:tcW w:w="1522" w:type="dxa"/>
            <w:shd w:val="clear" w:color="auto" w:fill="auto"/>
            <w:vAlign w:val="center"/>
          </w:tcPr>
          <w:p w14:paraId="54CE6F0D" w14:textId="7C4B1021" w:rsidR="00476D10" w:rsidRPr="007669E1" w:rsidRDefault="007F702A"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r w:rsidR="005567B9">
              <w:rPr>
                <w:rFonts w:ascii="Segoe UI" w:hAnsi="Segoe UI" w:cs="Segoe UI"/>
                <w:color w:val="000000"/>
                <w:sz w:val="18"/>
                <w:szCs w:val="18"/>
              </w:rPr>
              <w:t>.</w:t>
            </w:r>
          </w:p>
        </w:tc>
      </w:tr>
    </w:tbl>
    <w:p w14:paraId="723718F2"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38"/>
        <w:gridCol w:w="1308"/>
        <w:gridCol w:w="1501"/>
        <w:gridCol w:w="830"/>
        <w:gridCol w:w="712"/>
        <w:gridCol w:w="1382"/>
        <w:gridCol w:w="1554"/>
      </w:tblGrid>
      <w:tr w:rsidR="00A2051E" w:rsidRPr="00BB3103" w14:paraId="0C2032A2" w14:textId="77777777" w:rsidTr="005A7B4B">
        <w:tc>
          <w:tcPr>
            <w:tcW w:w="9625" w:type="dxa"/>
            <w:gridSpan w:val="7"/>
            <w:shd w:val="clear" w:color="auto" w:fill="D9D9D9" w:themeFill="background1" w:themeFillShade="D9"/>
          </w:tcPr>
          <w:p w14:paraId="46C4EF61" w14:textId="0437FBBD"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 xml:space="preserve">21. </w:t>
            </w:r>
            <w:r w:rsidR="006A5950" w:rsidRPr="00BB3103">
              <w:rPr>
                <w:rFonts w:ascii="Segoe UI" w:hAnsi="Segoe UI" w:cs="Segoe UI"/>
                <w:b/>
                <w:bCs/>
                <w:sz w:val="18"/>
                <w:szCs w:val="18"/>
              </w:rPr>
              <w:t xml:space="preserve">Exemption for owners and beneficiaries of lands and land plots, whose lands are </w:t>
            </w:r>
            <w:r w:rsidR="003877D5" w:rsidRPr="00BB3103">
              <w:rPr>
                <w:rFonts w:ascii="Segoe UI" w:hAnsi="Segoe UI" w:cs="Segoe UI"/>
                <w:b/>
                <w:bCs/>
                <w:w w:val="105"/>
                <w:sz w:val="18"/>
                <w:szCs w:val="18"/>
                <w:lang w:val="en"/>
              </w:rPr>
              <w:t>used for scientific and instructional purposes</w:t>
            </w:r>
            <w:r w:rsidR="003877D5" w:rsidRPr="00BB3103" w:rsidDel="006A5950">
              <w:rPr>
                <w:rFonts w:ascii="Segoe UI" w:hAnsi="Segoe UI" w:cs="Segoe UI"/>
                <w:b/>
                <w:bCs/>
                <w:sz w:val="18"/>
                <w:szCs w:val="18"/>
              </w:rPr>
              <w:t xml:space="preserve"> </w:t>
            </w:r>
          </w:p>
        </w:tc>
      </w:tr>
      <w:tr w:rsidR="00C943A7" w:rsidRPr="007669E1" w14:paraId="27D380AA" w14:textId="77777777" w:rsidTr="00827004">
        <w:tc>
          <w:tcPr>
            <w:tcW w:w="2338" w:type="dxa"/>
          </w:tcPr>
          <w:p w14:paraId="4A4334E3"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Description</w:t>
            </w:r>
          </w:p>
        </w:tc>
        <w:tc>
          <w:tcPr>
            <w:tcW w:w="7287" w:type="dxa"/>
            <w:gridSpan w:val="6"/>
          </w:tcPr>
          <w:p w14:paraId="0F50BF9C"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 xml:space="preserve">The owners and beneficiaries whose land is used for scientific and instructional purposes by scientific organizations and scientific research institutions with an </w:t>
            </w:r>
            <w:r w:rsidRPr="007669E1">
              <w:rPr>
                <w:rFonts w:ascii="Segoe UI" w:hAnsi="Segoe UI" w:cs="Segoe UI"/>
                <w:spacing w:val="-1"/>
                <w:w w:val="105"/>
                <w:sz w:val="18"/>
                <w:szCs w:val="18"/>
                <w:lang w:val="en"/>
              </w:rPr>
              <w:t>agricultural and forestry profile shall be exempted from property tax</w:t>
            </w:r>
          </w:p>
        </w:tc>
      </w:tr>
      <w:tr w:rsidR="00C943A7" w:rsidRPr="007669E1" w14:paraId="71920917" w14:textId="77777777" w:rsidTr="00827004">
        <w:tc>
          <w:tcPr>
            <w:tcW w:w="2338" w:type="dxa"/>
          </w:tcPr>
          <w:p w14:paraId="77FBCE0D"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Type of Tax Affected</w:t>
            </w:r>
          </w:p>
        </w:tc>
        <w:tc>
          <w:tcPr>
            <w:tcW w:w="7287" w:type="dxa"/>
            <w:gridSpan w:val="6"/>
          </w:tcPr>
          <w:p w14:paraId="121CAFD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C943A7" w:rsidRPr="007669E1" w14:paraId="1E579E51" w14:textId="77777777" w:rsidTr="00827004">
        <w:tc>
          <w:tcPr>
            <w:tcW w:w="2338" w:type="dxa"/>
          </w:tcPr>
          <w:p w14:paraId="0A73B696"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Beneficiaries</w:t>
            </w:r>
          </w:p>
        </w:tc>
        <w:tc>
          <w:tcPr>
            <w:tcW w:w="7287" w:type="dxa"/>
            <w:gridSpan w:val="6"/>
          </w:tcPr>
          <w:p w14:paraId="14305C7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The owners and beneficiaries whose land is used for scientific and instructional purposes.</w:t>
            </w:r>
          </w:p>
        </w:tc>
      </w:tr>
      <w:tr w:rsidR="00C943A7" w:rsidRPr="007669E1" w14:paraId="778C3158" w14:textId="77777777" w:rsidTr="00827004">
        <w:tc>
          <w:tcPr>
            <w:tcW w:w="2338" w:type="dxa"/>
          </w:tcPr>
          <w:p w14:paraId="22614A8A"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Type of Measure</w:t>
            </w:r>
          </w:p>
        </w:tc>
        <w:tc>
          <w:tcPr>
            <w:tcW w:w="7287" w:type="dxa"/>
            <w:gridSpan w:val="6"/>
          </w:tcPr>
          <w:p w14:paraId="0975640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C943A7" w:rsidRPr="007669E1" w14:paraId="1ED64B93" w14:textId="77777777" w:rsidTr="00827004">
        <w:tc>
          <w:tcPr>
            <w:tcW w:w="2338" w:type="dxa"/>
          </w:tcPr>
          <w:p w14:paraId="584DE904"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Reason why this Measure is not part of the Benchmark Tax System</w:t>
            </w:r>
          </w:p>
        </w:tc>
        <w:tc>
          <w:tcPr>
            <w:tcW w:w="7287" w:type="dxa"/>
            <w:gridSpan w:val="6"/>
          </w:tcPr>
          <w:p w14:paraId="3FF1159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C943A7" w:rsidRPr="007669E1" w14:paraId="1D3107A6" w14:textId="77777777" w:rsidTr="00827004">
        <w:tc>
          <w:tcPr>
            <w:tcW w:w="2338" w:type="dxa"/>
          </w:tcPr>
          <w:p w14:paraId="1E1E1AB3"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Legal Reference</w:t>
            </w:r>
          </w:p>
        </w:tc>
        <w:tc>
          <w:tcPr>
            <w:tcW w:w="7287" w:type="dxa"/>
            <w:gridSpan w:val="6"/>
          </w:tcPr>
          <w:p w14:paraId="03F305C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283(4)(c) of TC</w:t>
            </w:r>
          </w:p>
        </w:tc>
      </w:tr>
      <w:tr w:rsidR="00C943A7" w:rsidRPr="007669E1" w14:paraId="1981FF67" w14:textId="77777777" w:rsidTr="00827004">
        <w:trPr>
          <w:trHeight w:val="182"/>
        </w:trPr>
        <w:tc>
          <w:tcPr>
            <w:tcW w:w="2338" w:type="dxa"/>
            <w:vMerge w:val="restart"/>
          </w:tcPr>
          <w:p w14:paraId="7CFF1DCE"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Implementation Objectives, and History</w:t>
            </w:r>
          </w:p>
        </w:tc>
        <w:tc>
          <w:tcPr>
            <w:tcW w:w="7287" w:type="dxa"/>
            <w:gridSpan w:val="6"/>
          </w:tcPr>
          <w:p w14:paraId="62275202" w14:textId="77777777" w:rsidR="00476D10" w:rsidRPr="007669E1" w:rsidRDefault="00476D10" w:rsidP="00E90BA7">
            <w:pPr>
              <w:spacing w:before="20" w:after="20" w:line="240" w:lineRule="auto"/>
              <w:jc w:val="both"/>
              <w:rPr>
                <w:rFonts w:ascii="Segoe UI" w:hAnsi="Segoe UI" w:cs="Segoe UI"/>
                <w:sz w:val="18"/>
                <w:szCs w:val="18"/>
              </w:rPr>
            </w:pPr>
          </w:p>
        </w:tc>
      </w:tr>
      <w:tr w:rsidR="003C7165" w:rsidRPr="007669E1" w14:paraId="4E3A9F23" w14:textId="77777777" w:rsidTr="00827004">
        <w:trPr>
          <w:trHeight w:val="182"/>
        </w:trPr>
        <w:tc>
          <w:tcPr>
            <w:tcW w:w="2338" w:type="dxa"/>
            <w:vMerge/>
          </w:tcPr>
          <w:p w14:paraId="2B2FE2BE" w14:textId="77777777" w:rsidR="00476D10" w:rsidRPr="00BB3103" w:rsidRDefault="00476D10" w:rsidP="00E90BA7">
            <w:pPr>
              <w:spacing w:before="20" w:after="20" w:line="240" w:lineRule="auto"/>
              <w:jc w:val="both"/>
              <w:rPr>
                <w:rFonts w:ascii="Segoe UI" w:hAnsi="Segoe UI" w:cs="Segoe UI"/>
                <w:b/>
                <w:bCs/>
                <w:sz w:val="18"/>
                <w:szCs w:val="18"/>
              </w:rPr>
            </w:pPr>
          </w:p>
        </w:tc>
        <w:tc>
          <w:tcPr>
            <w:tcW w:w="3639" w:type="dxa"/>
            <w:gridSpan w:val="3"/>
          </w:tcPr>
          <w:p w14:paraId="671A6212" w14:textId="6F2C785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48" w:type="dxa"/>
            <w:gridSpan w:val="3"/>
          </w:tcPr>
          <w:p w14:paraId="7A313E94" w14:textId="55CF0BE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C943A7" w:rsidRPr="007669E1" w14:paraId="08BBD0F8" w14:textId="77777777" w:rsidTr="00827004">
        <w:tc>
          <w:tcPr>
            <w:tcW w:w="2338" w:type="dxa"/>
          </w:tcPr>
          <w:p w14:paraId="39F7E6CB"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Source of Data</w:t>
            </w:r>
          </w:p>
        </w:tc>
        <w:tc>
          <w:tcPr>
            <w:tcW w:w="7287" w:type="dxa"/>
            <w:gridSpan w:val="6"/>
          </w:tcPr>
          <w:p w14:paraId="765DD4D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C943A7" w:rsidRPr="007669E1" w14:paraId="2FC41D53" w14:textId="77777777" w:rsidTr="00827004">
        <w:tc>
          <w:tcPr>
            <w:tcW w:w="2338" w:type="dxa"/>
          </w:tcPr>
          <w:p w14:paraId="284C73DE"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Estimation Method</w:t>
            </w:r>
          </w:p>
        </w:tc>
        <w:tc>
          <w:tcPr>
            <w:tcW w:w="7287" w:type="dxa"/>
            <w:gridSpan w:val="6"/>
          </w:tcPr>
          <w:p w14:paraId="1805C0D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C943A7" w:rsidRPr="007669E1" w14:paraId="5BF9687A" w14:textId="77777777" w:rsidTr="00827004">
        <w:tc>
          <w:tcPr>
            <w:tcW w:w="2338" w:type="dxa"/>
          </w:tcPr>
          <w:p w14:paraId="11A5C07D"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Number of Beneficiaries</w:t>
            </w:r>
          </w:p>
        </w:tc>
        <w:tc>
          <w:tcPr>
            <w:tcW w:w="7287" w:type="dxa"/>
            <w:gridSpan w:val="6"/>
          </w:tcPr>
          <w:p w14:paraId="195E9150" w14:textId="51070EC2"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65639CE6" w14:textId="77777777" w:rsidTr="00827004">
        <w:tc>
          <w:tcPr>
            <w:tcW w:w="2338" w:type="dxa"/>
          </w:tcPr>
          <w:p w14:paraId="0A29F5ED" w14:textId="77777777"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Revenue Cost Reporting</w:t>
            </w:r>
          </w:p>
        </w:tc>
        <w:tc>
          <w:tcPr>
            <w:tcW w:w="7287" w:type="dxa"/>
            <w:gridSpan w:val="6"/>
          </w:tcPr>
          <w:p w14:paraId="06CC4444" w14:textId="241FEC54" w:rsidR="00476D10" w:rsidRPr="007669E1" w:rsidRDefault="0025792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E147D6" w:rsidRPr="007669E1" w14:paraId="54ED6955" w14:textId="77777777" w:rsidTr="00AF44F8">
        <w:trPr>
          <w:trHeight w:val="91"/>
        </w:trPr>
        <w:tc>
          <w:tcPr>
            <w:tcW w:w="2338" w:type="dxa"/>
            <w:vMerge w:val="restart"/>
          </w:tcPr>
          <w:p w14:paraId="3987063C" w14:textId="77777777" w:rsidR="00E147D6" w:rsidRPr="007669E1" w:rsidRDefault="00E147D6" w:rsidP="00E90BA7">
            <w:pPr>
              <w:spacing w:before="20" w:after="20" w:line="240" w:lineRule="auto"/>
              <w:jc w:val="both"/>
              <w:rPr>
                <w:rFonts w:ascii="Segoe UI" w:hAnsi="Segoe UI" w:cs="Segoe UI"/>
                <w:sz w:val="18"/>
                <w:szCs w:val="18"/>
              </w:rPr>
            </w:pPr>
          </w:p>
        </w:tc>
        <w:tc>
          <w:tcPr>
            <w:tcW w:w="1308" w:type="dxa"/>
          </w:tcPr>
          <w:p w14:paraId="0C070E1B" w14:textId="77777777" w:rsidR="00E147D6" w:rsidRPr="005567B9" w:rsidRDefault="00E147D6"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2018</w:t>
            </w:r>
          </w:p>
        </w:tc>
        <w:tc>
          <w:tcPr>
            <w:tcW w:w="1501" w:type="dxa"/>
          </w:tcPr>
          <w:p w14:paraId="05B4E147" w14:textId="77777777" w:rsidR="00E147D6" w:rsidRPr="005567B9" w:rsidRDefault="00E147D6"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2019</w:t>
            </w:r>
          </w:p>
        </w:tc>
        <w:tc>
          <w:tcPr>
            <w:tcW w:w="1542" w:type="dxa"/>
            <w:gridSpan w:val="2"/>
          </w:tcPr>
          <w:p w14:paraId="07330E81" w14:textId="77777777" w:rsidR="00E147D6" w:rsidRPr="005567B9" w:rsidRDefault="00E147D6"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2020</w:t>
            </w:r>
          </w:p>
        </w:tc>
        <w:tc>
          <w:tcPr>
            <w:tcW w:w="1382" w:type="dxa"/>
          </w:tcPr>
          <w:p w14:paraId="4CC016B2" w14:textId="77777777" w:rsidR="00E147D6" w:rsidRPr="005567B9" w:rsidRDefault="00E147D6"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2021</w:t>
            </w:r>
          </w:p>
        </w:tc>
        <w:tc>
          <w:tcPr>
            <w:tcW w:w="1554" w:type="dxa"/>
          </w:tcPr>
          <w:p w14:paraId="00338E79" w14:textId="1B53E515" w:rsidR="00E147D6" w:rsidRPr="005567B9" w:rsidRDefault="00E147D6" w:rsidP="00E90BA7">
            <w:pPr>
              <w:spacing w:before="20" w:after="20" w:line="240" w:lineRule="auto"/>
              <w:jc w:val="both"/>
              <w:rPr>
                <w:rFonts w:ascii="Segoe UI" w:hAnsi="Segoe UI" w:cs="Segoe UI"/>
                <w:b/>
                <w:bCs/>
                <w:sz w:val="18"/>
                <w:szCs w:val="18"/>
              </w:rPr>
            </w:pPr>
            <w:r w:rsidRPr="005567B9">
              <w:rPr>
                <w:rFonts w:ascii="Segoe UI" w:hAnsi="Segoe UI" w:cs="Segoe UI"/>
                <w:b/>
                <w:bCs/>
                <w:sz w:val="18"/>
                <w:szCs w:val="18"/>
              </w:rPr>
              <w:t>2022</w:t>
            </w:r>
          </w:p>
        </w:tc>
      </w:tr>
      <w:tr w:rsidR="00E147D6" w:rsidRPr="007669E1" w14:paraId="2B0C82B4" w14:textId="77777777" w:rsidTr="00AF44F8">
        <w:trPr>
          <w:trHeight w:val="305"/>
        </w:trPr>
        <w:tc>
          <w:tcPr>
            <w:tcW w:w="2338" w:type="dxa"/>
            <w:vMerge/>
          </w:tcPr>
          <w:p w14:paraId="32EED69F" w14:textId="77777777" w:rsidR="00E147D6" w:rsidRPr="007669E1" w:rsidRDefault="00E147D6" w:rsidP="00E90BA7">
            <w:pPr>
              <w:spacing w:before="20" w:after="20" w:line="240" w:lineRule="auto"/>
              <w:jc w:val="both"/>
              <w:rPr>
                <w:rFonts w:ascii="Segoe UI" w:hAnsi="Segoe UI" w:cs="Segoe UI"/>
                <w:sz w:val="18"/>
                <w:szCs w:val="18"/>
              </w:rPr>
            </w:pPr>
          </w:p>
        </w:tc>
        <w:tc>
          <w:tcPr>
            <w:tcW w:w="1308" w:type="dxa"/>
            <w:shd w:val="clear" w:color="auto" w:fill="auto"/>
            <w:vAlign w:val="center"/>
          </w:tcPr>
          <w:p w14:paraId="0FAC537A" w14:textId="39B7EE17" w:rsidR="00E147D6" w:rsidRPr="007669E1" w:rsidRDefault="00E147D6"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846.5</w:t>
            </w:r>
          </w:p>
        </w:tc>
        <w:tc>
          <w:tcPr>
            <w:tcW w:w="1501" w:type="dxa"/>
            <w:shd w:val="clear" w:color="auto" w:fill="auto"/>
            <w:vAlign w:val="center"/>
          </w:tcPr>
          <w:p w14:paraId="610B2E42" w14:textId="6035AA37" w:rsidR="00E147D6" w:rsidRPr="007669E1" w:rsidRDefault="00E147D6"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1,213.9</w:t>
            </w:r>
          </w:p>
        </w:tc>
        <w:tc>
          <w:tcPr>
            <w:tcW w:w="1542" w:type="dxa"/>
            <w:gridSpan w:val="2"/>
            <w:shd w:val="clear" w:color="auto" w:fill="auto"/>
            <w:vAlign w:val="center"/>
          </w:tcPr>
          <w:p w14:paraId="04FA8A00" w14:textId="7EC2D5B0" w:rsidR="00E147D6" w:rsidRPr="007669E1" w:rsidRDefault="00E147D6"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1,185.3</w:t>
            </w:r>
          </w:p>
        </w:tc>
        <w:tc>
          <w:tcPr>
            <w:tcW w:w="1382" w:type="dxa"/>
            <w:shd w:val="clear" w:color="auto" w:fill="auto"/>
            <w:vAlign w:val="center"/>
          </w:tcPr>
          <w:p w14:paraId="1A8CC452" w14:textId="138CC171" w:rsidR="00E147D6" w:rsidRPr="007669E1" w:rsidRDefault="00E147D6"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593.8</w:t>
            </w:r>
          </w:p>
        </w:tc>
        <w:tc>
          <w:tcPr>
            <w:tcW w:w="1554" w:type="dxa"/>
            <w:shd w:val="clear" w:color="auto" w:fill="auto"/>
            <w:vAlign w:val="center"/>
          </w:tcPr>
          <w:p w14:paraId="2554389C" w14:textId="20E84D93" w:rsidR="00E147D6" w:rsidRPr="007669E1" w:rsidRDefault="00E147D6"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p>
        </w:tc>
      </w:tr>
    </w:tbl>
    <w:p w14:paraId="2DF55560"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87"/>
        <w:gridCol w:w="1354"/>
        <w:gridCol w:w="1384"/>
        <w:gridCol w:w="808"/>
        <w:gridCol w:w="693"/>
        <w:gridCol w:w="1384"/>
        <w:gridCol w:w="1615"/>
      </w:tblGrid>
      <w:tr w:rsidR="00A2051E" w:rsidRPr="00BB3103" w14:paraId="1F58A706" w14:textId="77777777" w:rsidTr="005A7B4B">
        <w:tc>
          <w:tcPr>
            <w:tcW w:w="9625" w:type="dxa"/>
            <w:gridSpan w:val="7"/>
            <w:shd w:val="clear" w:color="auto" w:fill="D9D9D9" w:themeFill="background1" w:themeFillShade="D9"/>
          </w:tcPr>
          <w:p w14:paraId="37D91DCA" w14:textId="632C9806" w:rsidR="00476D10" w:rsidRPr="00BB3103" w:rsidRDefault="00476D10" w:rsidP="00E90BA7">
            <w:pPr>
              <w:spacing w:before="20" w:after="20" w:line="240" w:lineRule="auto"/>
              <w:jc w:val="both"/>
              <w:rPr>
                <w:rFonts w:ascii="Segoe UI" w:hAnsi="Segoe UI" w:cs="Segoe UI"/>
                <w:b/>
                <w:bCs/>
                <w:sz w:val="18"/>
                <w:szCs w:val="18"/>
              </w:rPr>
            </w:pPr>
            <w:r w:rsidRPr="00BB3103">
              <w:rPr>
                <w:rFonts w:ascii="Segoe UI" w:hAnsi="Segoe UI" w:cs="Segoe UI"/>
                <w:b/>
                <w:bCs/>
                <w:sz w:val="18"/>
                <w:szCs w:val="18"/>
              </w:rPr>
              <w:t xml:space="preserve">22. </w:t>
            </w:r>
            <w:r w:rsidR="00064076" w:rsidRPr="00BB3103">
              <w:rPr>
                <w:rFonts w:ascii="Segoe UI" w:hAnsi="Segoe UI" w:cs="Segoe UI"/>
                <w:b/>
                <w:bCs/>
                <w:sz w:val="18"/>
                <w:szCs w:val="18"/>
              </w:rPr>
              <w:t xml:space="preserve">Exemption for owners and beneficiaries of lands and land plots, whose lands are </w:t>
            </w:r>
            <w:r w:rsidR="00064076" w:rsidRPr="00BB3103">
              <w:rPr>
                <w:rFonts w:ascii="Segoe UI" w:hAnsi="Segoe UI" w:cs="Segoe UI"/>
                <w:b/>
                <w:bCs/>
                <w:spacing w:val="-1"/>
                <w:w w:val="105"/>
                <w:sz w:val="18"/>
                <w:szCs w:val="18"/>
                <w:lang w:val="en"/>
              </w:rPr>
              <w:t>occupied by multi-annual plantations</w:t>
            </w:r>
            <w:r w:rsidR="00064076" w:rsidRPr="00BB3103" w:rsidDel="00064076">
              <w:rPr>
                <w:rFonts w:ascii="Segoe UI" w:hAnsi="Segoe UI" w:cs="Segoe UI"/>
                <w:b/>
                <w:bCs/>
                <w:sz w:val="18"/>
                <w:szCs w:val="18"/>
              </w:rPr>
              <w:t xml:space="preserve"> </w:t>
            </w:r>
          </w:p>
        </w:tc>
      </w:tr>
      <w:tr w:rsidR="00A2051E" w:rsidRPr="007669E1" w14:paraId="548B0978" w14:textId="77777777" w:rsidTr="001B19F9">
        <w:tc>
          <w:tcPr>
            <w:tcW w:w="2387" w:type="dxa"/>
          </w:tcPr>
          <w:p w14:paraId="270C6673"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38" w:type="dxa"/>
            <w:gridSpan w:val="6"/>
          </w:tcPr>
          <w:p w14:paraId="21C31861"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The owners and beneficiaries whose land and plots of land are occupied by multi-annual plantations before coming into bearing fruit shall be exempted.</w:t>
            </w:r>
          </w:p>
        </w:tc>
      </w:tr>
      <w:tr w:rsidR="00A2051E" w:rsidRPr="007669E1" w14:paraId="647AC37D" w14:textId="77777777" w:rsidTr="001B19F9">
        <w:tc>
          <w:tcPr>
            <w:tcW w:w="2387" w:type="dxa"/>
          </w:tcPr>
          <w:p w14:paraId="74F71E53"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38" w:type="dxa"/>
            <w:gridSpan w:val="6"/>
          </w:tcPr>
          <w:p w14:paraId="47535F4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A2051E" w:rsidRPr="007669E1" w14:paraId="7F59294E" w14:textId="77777777" w:rsidTr="001B19F9">
        <w:tc>
          <w:tcPr>
            <w:tcW w:w="2387" w:type="dxa"/>
          </w:tcPr>
          <w:p w14:paraId="54AA820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38" w:type="dxa"/>
            <w:gridSpan w:val="6"/>
          </w:tcPr>
          <w:p w14:paraId="2C4C1F4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of designated land categories</w:t>
            </w:r>
          </w:p>
        </w:tc>
      </w:tr>
      <w:tr w:rsidR="00A2051E" w:rsidRPr="007669E1" w14:paraId="066219E7" w14:textId="77777777" w:rsidTr="001B19F9">
        <w:tc>
          <w:tcPr>
            <w:tcW w:w="2387" w:type="dxa"/>
          </w:tcPr>
          <w:p w14:paraId="1A9283D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38" w:type="dxa"/>
            <w:gridSpan w:val="6"/>
          </w:tcPr>
          <w:p w14:paraId="01D93F6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A2051E" w:rsidRPr="007669E1" w14:paraId="167B0393" w14:textId="77777777" w:rsidTr="001B19F9">
        <w:tc>
          <w:tcPr>
            <w:tcW w:w="2387" w:type="dxa"/>
          </w:tcPr>
          <w:p w14:paraId="7C88715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38" w:type="dxa"/>
            <w:gridSpan w:val="6"/>
          </w:tcPr>
          <w:p w14:paraId="1970C67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A2051E" w:rsidRPr="007669E1" w14:paraId="7EEAF255" w14:textId="77777777" w:rsidTr="001B19F9">
        <w:tc>
          <w:tcPr>
            <w:tcW w:w="2387" w:type="dxa"/>
          </w:tcPr>
          <w:p w14:paraId="0844DC4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38" w:type="dxa"/>
            <w:gridSpan w:val="6"/>
          </w:tcPr>
          <w:p w14:paraId="54C4046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283(4)(d) of TC</w:t>
            </w:r>
          </w:p>
        </w:tc>
      </w:tr>
      <w:tr w:rsidR="00C943A7" w:rsidRPr="007669E1" w14:paraId="26AAB22C" w14:textId="77777777" w:rsidTr="001B19F9">
        <w:trPr>
          <w:trHeight w:val="182"/>
        </w:trPr>
        <w:tc>
          <w:tcPr>
            <w:tcW w:w="2387" w:type="dxa"/>
            <w:vMerge w:val="restart"/>
          </w:tcPr>
          <w:p w14:paraId="165FA92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38" w:type="dxa"/>
            <w:gridSpan w:val="6"/>
          </w:tcPr>
          <w:p w14:paraId="6EEA1EC1" w14:textId="77777777" w:rsidR="00476D10" w:rsidRPr="007669E1" w:rsidRDefault="00476D10" w:rsidP="00E90BA7">
            <w:pPr>
              <w:spacing w:before="20" w:after="20" w:line="240" w:lineRule="auto"/>
              <w:jc w:val="both"/>
              <w:rPr>
                <w:rFonts w:ascii="Segoe UI" w:hAnsi="Segoe UI" w:cs="Segoe UI"/>
                <w:sz w:val="18"/>
                <w:szCs w:val="18"/>
              </w:rPr>
            </w:pPr>
          </w:p>
        </w:tc>
      </w:tr>
      <w:tr w:rsidR="00775F01" w:rsidRPr="007669E1" w14:paraId="621E10AD" w14:textId="77777777" w:rsidTr="001B19F9">
        <w:trPr>
          <w:trHeight w:val="182"/>
        </w:trPr>
        <w:tc>
          <w:tcPr>
            <w:tcW w:w="2387" w:type="dxa"/>
            <w:vMerge/>
          </w:tcPr>
          <w:p w14:paraId="7D8216BA" w14:textId="77777777" w:rsidR="00476D10" w:rsidRPr="004A6798" w:rsidRDefault="00476D10" w:rsidP="00E90BA7">
            <w:pPr>
              <w:spacing w:before="20" w:after="20" w:line="240" w:lineRule="auto"/>
              <w:jc w:val="both"/>
              <w:rPr>
                <w:rFonts w:ascii="Segoe UI" w:hAnsi="Segoe UI" w:cs="Segoe UI"/>
                <w:b/>
                <w:bCs/>
                <w:sz w:val="18"/>
                <w:szCs w:val="18"/>
              </w:rPr>
            </w:pPr>
          </w:p>
        </w:tc>
        <w:tc>
          <w:tcPr>
            <w:tcW w:w="3546" w:type="dxa"/>
            <w:gridSpan w:val="3"/>
          </w:tcPr>
          <w:p w14:paraId="02AEC81F" w14:textId="443F7275"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92" w:type="dxa"/>
            <w:gridSpan w:val="3"/>
          </w:tcPr>
          <w:p w14:paraId="06400C21" w14:textId="03088A7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A2051E" w:rsidRPr="007669E1" w14:paraId="4927EF55" w14:textId="77777777" w:rsidTr="001B19F9">
        <w:tc>
          <w:tcPr>
            <w:tcW w:w="2387" w:type="dxa"/>
          </w:tcPr>
          <w:p w14:paraId="3672A0A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38" w:type="dxa"/>
            <w:gridSpan w:val="6"/>
          </w:tcPr>
          <w:p w14:paraId="6689A26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A2051E" w:rsidRPr="007669E1" w14:paraId="59525F5F" w14:textId="77777777" w:rsidTr="001B19F9">
        <w:tc>
          <w:tcPr>
            <w:tcW w:w="2387" w:type="dxa"/>
          </w:tcPr>
          <w:p w14:paraId="1C15664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38" w:type="dxa"/>
            <w:gridSpan w:val="6"/>
          </w:tcPr>
          <w:p w14:paraId="7C014F7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A2051E" w:rsidRPr="007669E1" w14:paraId="41F9A450" w14:textId="77777777" w:rsidTr="001B19F9">
        <w:tc>
          <w:tcPr>
            <w:tcW w:w="2387" w:type="dxa"/>
          </w:tcPr>
          <w:p w14:paraId="4821A2F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38" w:type="dxa"/>
            <w:gridSpan w:val="6"/>
          </w:tcPr>
          <w:p w14:paraId="15C8588C" w14:textId="706B3781"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A2051E" w:rsidRPr="007669E1" w14:paraId="71D635CD" w14:textId="77777777" w:rsidTr="001B19F9">
        <w:tc>
          <w:tcPr>
            <w:tcW w:w="2387" w:type="dxa"/>
          </w:tcPr>
          <w:p w14:paraId="2121666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38" w:type="dxa"/>
            <w:gridSpan w:val="6"/>
          </w:tcPr>
          <w:p w14:paraId="1962795A" w14:textId="0AF4CC02" w:rsidR="00476D10" w:rsidRPr="007669E1" w:rsidRDefault="002C467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3C7165" w:rsidRPr="007669E1" w14:paraId="6DD82CD5" w14:textId="77777777" w:rsidTr="001B19F9">
        <w:trPr>
          <w:trHeight w:val="91"/>
        </w:trPr>
        <w:tc>
          <w:tcPr>
            <w:tcW w:w="2387" w:type="dxa"/>
            <w:vMerge w:val="restart"/>
          </w:tcPr>
          <w:p w14:paraId="41DAFDF2" w14:textId="77777777" w:rsidR="00476D10" w:rsidRPr="007669E1" w:rsidRDefault="00476D10" w:rsidP="00E90BA7">
            <w:pPr>
              <w:spacing w:before="20" w:after="20" w:line="240" w:lineRule="auto"/>
              <w:jc w:val="both"/>
              <w:rPr>
                <w:rFonts w:ascii="Segoe UI" w:hAnsi="Segoe UI" w:cs="Segoe UI"/>
                <w:sz w:val="18"/>
                <w:szCs w:val="18"/>
              </w:rPr>
            </w:pPr>
          </w:p>
        </w:tc>
        <w:tc>
          <w:tcPr>
            <w:tcW w:w="1354" w:type="dxa"/>
          </w:tcPr>
          <w:p w14:paraId="094D0C27" w14:textId="77777777" w:rsidR="00476D10" w:rsidRPr="00BB3103" w:rsidRDefault="00476D10" w:rsidP="00E90BA7">
            <w:pPr>
              <w:keepNext/>
              <w:spacing w:before="20" w:after="20" w:line="240" w:lineRule="auto"/>
              <w:jc w:val="both"/>
              <w:rPr>
                <w:rFonts w:ascii="Segoe UI" w:hAnsi="Segoe UI" w:cs="Segoe UI"/>
                <w:b/>
                <w:bCs/>
                <w:sz w:val="18"/>
                <w:szCs w:val="18"/>
              </w:rPr>
            </w:pPr>
            <w:r w:rsidRPr="00BB3103">
              <w:rPr>
                <w:rFonts w:ascii="Segoe UI" w:hAnsi="Segoe UI" w:cs="Segoe UI"/>
                <w:b/>
                <w:bCs/>
                <w:sz w:val="18"/>
                <w:szCs w:val="18"/>
              </w:rPr>
              <w:t>2018</w:t>
            </w:r>
          </w:p>
        </w:tc>
        <w:tc>
          <w:tcPr>
            <w:tcW w:w="1384" w:type="dxa"/>
          </w:tcPr>
          <w:p w14:paraId="6BD7E279" w14:textId="77777777" w:rsidR="00476D10" w:rsidRPr="00BB3103" w:rsidRDefault="00476D10" w:rsidP="00E90BA7">
            <w:pPr>
              <w:keepNext/>
              <w:spacing w:before="20" w:after="20" w:line="240" w:lineRule="auto"/>
              <w:jc w:val="both"/>
              <w:rPr>
                <w:rFonts w:ascii="Segoe UI" w:hAnsi="Segoe UI" w:cs="Segoe UI"/>
                <w:b/>
                <w:bCs/>
                <w:sz w:val="18"/>
                <w:szCs w:val="18"/>
              </w:rPr>
            </w:pPr>
            <w:r w:rsidRPr="00BB3103">
              <w:rPr>
                <w:rFonts w:ascii="Segoe UI" w:hAnsi="Segoe UI" w:cs="Segoe UI"/>
                <w:b/>
                <w:bCs/>
                <w:sz w:val="18"/>
                <w:szCs w:val="18"/>
              </w:rPr>
              <w:t>2019</w:t>
            </w:r>
          </w:p>
        </w:tc>
        <w:tc>
          <w:tcPr>
            <w:tcW w:w="1501" w:type="dxa"/>
            <w:gridSpan w:val="2"/>
          </w:tcPr>
          <w:p w14:paraId="54181F89" w14:textId="77777777" w:rsidR="00476D10" w:rsidRPr="00BB3103" w:rsidRDefault="00476D10" w:rsidP="00E90BA7">
            <w:pPr>
              <w:keepNext/>
              <w:spacing w:before="20" w:after="20" w:line="240" w:lineRule="auto"/>
              <w:jc w:val="both"/>
              <w:rPr>
                <w:rFonts w:ascii="Segoe UI" w:hAnsi="Segoe UI" w:cs="Segoe UI"/>
                <w:b/>
                <w:bCs/>
                <w:sz w:val="18"/>
                <w:szCs w:val="18"/>
              </w:rPr>
            </w:pPr>
            <w:r w:rsidRPr="00BB3103">
              <w:rPr>
                <w:rFonts w:ascii="Segoe UI" w:hAnsi="Segoe UI" w:cs="Segoe UI"/>
                <w:b/>
                <w:bCs/>
                <w:sz w:val="18"/>
                <w:szCs w:val="18"/>
              </w:rPr>
              <w:t>2020</w:t>
            </w:r>
          </w:p>
        </w:tc>
        <w:tc>
          <w:tcPr>
            <w:tcW w:w="1384" w:type="dxa"/>
          </w:tcPr>
          <w:p w14:paraId="3C7EB40B" w14:textId="77777777" w:rsidR="00476D10" w:rsidRPr="00BB3103" w:rsidRDefault="00476D10" w:rsidP="00E90BA7">
            <w:pPr>
              <w:keepNext/>
              <w:spacing w:before="20" w:after="20" w:line="240" w:lineRule="auto"/>
              <w:jc w:val="both"/>
              <w:rPr>
                <w:rFonts w:ascii="Segoe UI" w:hAnsi="Segoe UI" w:cs="Segoe UI"/>
                <w:b/>
                <w:bCs/>
                <w:sz w:val="18"/>
                <w:szCs w:val="18"/>
              </w:rPr>
            </w:pPr>
            <w:r w:rsidRPr="00BB3103">
              <w:rPr>
                <w:rFonts w:ascii="Segoe UI" w:hAnsi="Segoe UI" w:cs="Segoe UI"/>
                <w:b/>
                <w:bCs/>
                <w:sz w:val="18"/>
                <w:szCs w:val="18"/>
              </w:rPr>
              <w:t>2021</w:t>
            </w:r>
          </w:p>
        </w:tc>
        <w:tc>
          <w:tcPr>
            <w:tcW w:w="1615" w:type="dxa"/>
          </w:tcPr>
          <w:p w14:paraId="63CDEBB3" w14:textId="0E0BF08A" w:rsidR="00476D10" w:rsidRPr="00BB3103" w:rsidRDefault="000C00AF" w:rsidP="00E90BA7">
            <w:pPr>
              <w:keepNext/>
              <w:spacing w:before="20" w:after="20" w:line="240" w:lineRule="auto"/>
              <w:jc w:val="both"/>
              <w:rPr>
                <w:rFonts w:ascii="Segoe UI" w:hAnsi="Segoe UI" w:cs="Segoe UI"/>
                <w:b/>
                <w:bCs/>
                <w:sz w:val="18"/>
                <w:szCs w:val="18"/>
              </w:rPr>
            </w:pPr>
            <w:r w:rsidRPr="00BB3103">
              <w:rPr>
                <w:rFonts w:ascii="Segoe UI" w:hAnsi="Segoe UI" w:cs="Segoe UI"/>
                <w:b/>
                <w:bCs/>
                <w:sz w:val="18"/>
                <w:szCs w:val="18"/>
              </w:rPr>
              <w:t>2022</w:t>
            </w:r>
          </w:p>
        </w:tc>
      </w:tr>
      <w:tr w:rsidR="00775F01" w:rsidRPr="007669E1" w14:paraId="19106499" w14:textId="77777777" w:rsidTr="001B19F9">
        <w:trPr>
          <w:trHeight w:val="305"/>
        </w:trPr>
        <w:tc>
          <w:tcPr>
            <w:tcW w:w="2387" w:type="dxa"/>
            <w:vMerge/>
          </w:tcPr>
          <w:p w14:paraId="193CDC6B" w14:textId="77777777" w:rsidR="00476D10" w:rsidRPr="007669E1" w:rsidRDefault="00476D10" w:rsidP="00E90BA7">
            <w:pPr>
              <w:spacing w:before="20" w:after="20" w:line="240" w:lineRule="auto"/>
              <w:jc w:val="both"/>
              <w:rPr>
                <w:rFonts w:ascii="Segoe UI" w:hAnsi="Segoe UI" w:cs="Segoe UI"/>
                <w:sz w:val="18"/>
                <w:szCs w:val="18"/>
              </w:rPr>
            </w:pPr>
          </w:p>
        </w:tc>
        <w:tc>
          <w:tcPr>
            <w:tcW w:w="1354" w:type="dxa"/>
            <w:vAlign w:val="center"/>
          </w:tcPr>
          <w:p w14:paraId="4EE0C438" w14:textId="67331653" w:rsidR="00476D10" w:rsidRPr="007669E1" w:rsidRDefault="00FF6F78" w:rsidP="00E90BA7">
            <w:pPr>
              <w:keepNext/>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722.3</w:t>
            </w:r>
          </w:p>
        </w:tc>
        <w:tc>
          <w:tcPr>
            <w:tcW w:w="1384" w:type="dxa"/>
            <w:vAlign w:val="center"/>
          </w:tcPr>
          <w:p w14:paraId="1FD47FE6" w14:textId="2DEC685D" w:rsidR="00476D10" w:rsidRPr="007669E1" w:rsidRDefault="001B19F9" w:rsidP="00E90BA7">
            <w:pPr>
              <w:keepNext/>
              <w:spacing w:before="20" w:after="20" w:line="240" w:lineRule="auto"/>
              <w:jc w:val="both"/>
              <w:rPr>
                <w:rFonts w:ascii="Segoe UI" w:hAnsi="Segoe UI" w:cs="Segoe UI"/>
                <w:sz w:val="18"/>
                <w:szCs w:val="18"/>
              </w:rPr>
            </w:pPr>
            <w:r w:rsidRPr="007669E1">
              <w:rPr>
                <w:rFonts w:ascii="Segoe UI" w:hAnsi="Segoe UI" w:cs="Segoe UI"/>
                <w:color w:val="000000"/>
                <w:sz w:val="18"/>
                <w:szCs w:val="18"/>
              </w:rPr>
              <w:t>713.1</w:t>
            </w:r>
          </w:p>
        </w:tc>
        <w:tc>
          <w:tcPr>
            <w:tcW w:w="1501" w:type="dxa"/>
            <w:gridSpan w:val="2"/>
            <w:shd w:val="clear" w:color="auto" w:fill="auto"/>
            <w:vAlign w:val="center"/>
          </w:tcPr>
          <w:p w14:paraId="363B4F15" w14:textId="616C7513" w:rsidR="00476D10" w:rsidRPr="007669E1" w:rsidRDefault="001B19F9" w:rsidP="00E90BA7">
            <w:pPr>
              <w:keepNext/>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1,091.7</w:t>
            </w:r>
          </w:p>
        </w:tc>
        <w:tc>
          <w:tcPr>
            <w:tcW w:w="1384" w:type="dxa"/>
            <w:shd w:val="clear" w:color="auto" w:fill="auto"/>
            <w:vAlign w:val="center"/>
          </w:tcPr>
          <w:p w14:paraId="1C5598C5" w14:textId="18D44A13" w:rsidR="00476D10" w:rsidRPr="007669E1" w:rsidRDefault="001B19F9" w:rsidP="00E90BA7">
            <w:pPr>
              <w:keepNext/>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966.3</w:t>
            </w:r>
          </w:p>
        </w:tc>
        <w:tc>
          <w:tcPr>
            <w:tcW w:w="1615" w:type="dxa"/>
            <w:shd w:val="clear" w:color="auto" w:fill="auto"/>
            <w:vAlign w:val="center"/>
          </w:tcPr>
          <w:p w14:paraId="1AD283A1" w14:textId="35CF7533" w:rsidR="00476D10" w:rsidRPr="007669E1" w:rsidRDefault="00690618" w:rsidP="00E90BA7">
            <w:pPr>
              <w:keepNext/>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24F00266" w14:textId="77777777" w:rsidR="00476D10" w:rsidRPr="007669E1" w:rsidRDefault="00476D10" w:rsidP="00E90BA7">
      <w:pPr>
        <w:spacing w:before="20" w:after="20" w:line="240" w:lineRule="auto"/>
        <w:jc w:val="both"/>
        <w:rPr>
          <w:rFonts w:ascii="Segoe UI" w:hAnsi="Segoe UI" w:cs="Segoe UI"/>
          <w:sz w:val="18"/>
          <w:szCs w:val="18"/>
        </w:rPr>
      </w:pPr>
    </w:p>
    <w:tbl>
      <w:tblPr>
        <w:tblW w:w="963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40"/>
        <w:gridCol w:w="1176"/>
        <w:gridCol w:w="1501"/>
        <w:gridCol w:w="918"/>
        <w:gridCol w:w="787"/>
        <w:gridCol w:w="1705"/>
        <w:gridCol w:w="1203"/>
      </w:tblGrid>
      <w:tr w:rsidR="00A2051E" w:rsidRPr="004A6798" w14:paraId="4C4EA930" w14:textId="77777777" w:rsidTr="009043A1">
        <w:tc>
          <w:tcPr>
            <w:tcW w:w="9630" w:type="dxa"/>
            <w:gridSpan w:val="7"/>
            <w:shd w:val="clear" w:color="auto" w:fill="D9D9D9" w:themeFill="background1" w:themeFillShade="D9"/>
          </w:tcPr>
          <w:p w14:paraId="2698BB1A" w14:textId="6AD0174C"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23. </w:t>
            </w:r>
            <w:r w:rsidR="00172F03" w:rsidRPr="004A6798">
              <w:rPr>
                <w:rFonts w:ascii="Segoe UI" w:hAnsi="Segoe UI" w:cs="Segoe UI"/>
                <w:b/>
                <w:bCs/>
                <w:sz w:val="18"/>
                <w:szCs w:val="18"/>
              </w:rPr>
              <w:t xml:space="preserve">Exemption for owners and beneficiaries of lands and land plots, whose lands are </w:t>
            </w:r>
            <w:r w:rsidR="00172F03" w:rsidRPr="004A6798">
              <w:rPr>
                <w:rFonts w:ascii="Segoe UI" w:hAnsi="Segoe UI" w:cs="Segoe UI"/>
                <w:b/>
                <w:bCs/>
                <w:w w:val="105"/>
                <w:sz w:val="18"/>
                <w:szCs w:val="18"/>
                <w:lang w:val="en"/>
              </w:rPr>
              <w:t>used by culture, art, cinema, education, health care, sports and leisure institutions</w:t>
            </w:r>
            <w:r w:rsidR="00172F03" w:rsidRPr="004A6798" w:rsidDel="00172F03">
              <w:rPr>
                <w:rFonts w:ascii="Segoe UI" w:hAnsi="Segoe UI" w:cs="Segoe UI"/>
                <w:b/>
                <w:bCs/>
                <w:sz w:val="18"/>
                <w:szCs w:val="18"/>
              </w:rPr>
              <w:t xml:space="preserve"> </w:t>
            </w:r>
          </w:p>
        </w:tc>
      </w:tr>
      <w:tr w:rsidR="00C943A7" w:rsidRPr="007669E1" w14:paraId="7DC55D3C" w14:textId="77777777" w:rsidTr="009043A1">
        <w:tc>
          <w:tcPr>
            <w:tcW w:w="2340" w:type="dxa"/>
          </w:tcPr>
          <w:p w14:paraId="00BD80F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90" w:type="dxa"/>
            <w:gridSpan w:val="6"/>
          </w:tcPr>
          <w:p w14:paraId="010A28A1"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The owners and beneficiaries whose land and land plots are used by culture, art, cinema, education, health care, sports and leisure institutions (except for health resorts), as well as monuments of nature, history and culture which financing is done from the state budget or trade union funds are exempt from property tax.</w:t>
            </w:r>
          </w:p>
        </w:tc>
      </w:tr>
      <w:tr w:rsidR="00C943A7" w:rsidRPr="007669E1" w14:paraId="2F4EC8BA" w14:textId="77777777" w:rsidTr="009043A1">
        <w:tc>
          <w:tcPr>
            <w:tcW w:w="2340" w:type="dxa"/>
          </w:tcPr>
          <w:p w14:paraId="1796CDB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90" w:type="dxa"/>
            <w:gridSpan w:val="6"/>
          </w:tcPr>
          <w:p w14:paraId="0F5E4A2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C943A7" w:rsidRPr="007669E1" w14:paraId="1044B98A" w14:textId="77777777" w:rsidTr="009043A1">
        <w:tc>
          <w:tcPr>
            <w:tcW w:w="2340" w:type="dxa"/>
          </w:tcPr>
          <w:p w14:paraId="7C77614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90" w:type="dxa"/>
            <w:gridSpan w:val="6"/>
          </w:tcPr>
          <w:p w14:paraId="0ADB0B1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of designated land categories</w:t>
            </w:r>
          </w:p>
        </w:tc>
      </w:tr>
      <w:tr w:rsidR="00C943A7" w:rsidRPr="007669E1" w14:paraId="10FBB967" w14:textId="77777777" w:rsidTr="009043A1">
        <w:tc>
          <w:tcPr>
            <w:tcW w:w="2340" w:type="dxa"/>
          </w:tcPr>
          <w:p w14:paraId="378E8A3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90" w:type="dxa"/>
            <w:gridSpan w:val="6"/>
          </w:tcPr>
          <w:p w14:paraId="725A65A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C943A7" w:rsidRPr="007669E1" w14:paraId="5316D3DD" w14:textId="77777777" w:rsidTr="009043A1">
        <w:tc>
          <w:tcPr>
            <w:tcW w:w="2340" w:type="dxa"/>
          </w:tcPr>
          <w:p w14:paraId="24045B3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90" w:type="dxa"/>
            <w:gridSpan w:val="6"/>
          </w:tcPr>
          <w:p w14:paraId="562B382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C943A7" w:rsidRPr="007669E1" w14:paraId="3A26FFE5" w14:textId="77777777" w:rsidTr="009043A1">
        <w:tc>
          <w:tcPr>
            <w:tcW w:w="2340" w:type="dxa"/>
          </w:tcPr>
          <w:p w14:paraId="2DCAA3F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90" w:type="dxa"/>
            <w:gridSpan w:val="6"/>
          </w:tcPr>
          <w:p w14:paraId="520237E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283(4)(e) of TC</w:t>
            </w:r>
          </w:p>
        </w:tc>
      </w:tr>
      <w:tr w:rsidR="00C943A7" w:rsidRPr="007669E1" w14:paraId="3883C28D" w14:textId="77777777" w:rsidTr="009043A1">
        <w:trPr>
          <w:trHeight w:val="182"/>
        </w:trPr>
        <w:tc>
          <w:tcPr>
            <w:tcW w:w="2340" w:type="dxa"/>
            <w:vMerge w:val="restart"/>
          </w:tcPr>
          <w:p w14:paraId="0533B46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90" w:type="dxa"/>
            <w:gridSpan w:val="6"/>
          </w:tcPr>
          <w:p w14:paraId="2B9CC6CF" w14:textId="77777777" w:rsidR="00476D10" w:rsidRPr="007669E1" w:rsidRDefault="00476D10" w:rsidP="00E90BA7">
            <w:pPr>
              <w:spacing w:before="20" w:after="20" w:line="240" w:lineRule="auto"/>
              <w:jc w:val="both"/>
              <w:rPr>
                <w:rFonts w:ascii="Segoe UI" w:hAnsi="Segoe UI" w:cs="Segoe UI"/>
                <w:sz w:val="18"/>
                <w:szCs w:val="18"/>
              </w:rPr>
            </w:pPr>
          </w:p>
        </w:tc>
      </w:tr>
      <w:tr w:rsidR="00775F01" w:rsidRPr="007669E1" w14:paraId="41B7F234" w14:textId="77777777" w:rsidTr="009043A1">
        <w:trPr>
          <w:trHeight w:val="182"/>
        </w:trPr>
        <w:tc>
          <w:tcPr>
            <w:tcW w:w="2340" w:type="dxa"/>
            <w:vMerge/>
          </w:tcPr>
          <w:p w14:paraId="31CB5C69" w14:textId="77777777" w:rsidR="00476D10" w:rsidRPr="004A6798" w:rsidRDefault="00476D10" w:rsidP="00E90BA7">
            <w:pPr>
              <w:spacing w:before="20" w:after="20" w:line="240" w:lineRule="auto"/>
              <w:jc w:val="both"/>
              <w:rPr>
                <w:rFonts w:ascii="Segoe UI" w:hAnsi="Segoe UI" w:cs="Segoe UI"/>
                <w:b/>
                <w:bCs/>
                <w:sz w:val="18"/>
                <w:szCs w:val="18"/>
              </w:rPr>
            </w:pPr>
          </w:p>
        </w:tc>
        <w:tc>
          <w:tcPr>
            <w:tcW w:w="3595" w:type="dxa"/>
            <w:gridSpan w:val="3"/>
          </w:tcPr>
          <w:p w14:paraId="61A50308" w14:textId="342D50D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95" w:type="dxa"/>
            <w:gridSpan w:val="3"/>
          </w:tcPr>
          <w:p w14:paraId="12723069" w14:textId="79B4C02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C943A7" w:rsidRPr="007669E1" w14:paraId="3B7383FE" w14:textId="77777777" w:rsidTr="009043A1">
        <w:tc>
          <w:tcPr>
            <w:tcW w:w="2340" w:type="dxa"/>
          </w:tcPr>
          <w:p w14:paraId="48D3885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90" w:type="dxa"/>
            <w:gridSpan w:val="6"/>
          </w:tcPr>
          <w:p w14:paraId="7623189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C943A7" w:rsidRPr="007669E1" w14:paraId="1A2E3515" w14:textId="77777777" w:rsidTr="009043A1">
        <w:tc>
          <w:tcPr>
            <w:tcW w:w="2340" w:type="dxa"/>
          </w:tcPr>
          <w:p w14:paraId="599B7C0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90" w:type="dxa"/>
            <w:gridSpan w:val="6"/>
          </w:tcPr>
          <w:p w14:paraId="3CF1900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C943A7" w:rsidRPr="007669E1" w14:paraId="437B0972" w14:textId="77777777" w:rsidTr="009043A1">
        <w:tc>
          <w:tcPr>
            <w:tcW w:w="2340" w:type="dxa"/>
          </w:tcPr>
          <w:p w14:paraId="79B71B60"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90" w:type="dxa"/>
            <w:gridSpan w:val="6"/>
          </w:tcPr>
          <w:p w14:paraId="68B00349" w14:textId="47B9E713"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03086827" w14:textId="77777777" w:rsidTr="009043A1">
        <w:tc>
          <w:tcPr>
            <w:tcW w:w="2340" w:type="dxa"/>
          </w:tcPr>
          <w:p w14:paraId="62263E5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90" w:type="dxa"/>
            <w:gridSpan w:val="6"/>
          </w:tcPr>
          <w:p w14:paraId="703381D3" w14:textId="72CFEE48" w:rsidR="00476D10" w:rsidRPr="007669E1" w:rsidRDefault="006B221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84536F" w:rsidRPr="007669E1" w14:paraId="14C36266" w14:textId="77777777" w:rsidTr="009043A1">
        <w:trPr>
          <w:trHeight w:val="91"/>
        </w:trPr>
        <w:tc>
          <w:tcPr>
            <w:tcW w:w="2340" w:type="dxa"/>
            <w:vMerge w:val="restart"/>
          </w:tcPr>
          <w:p w14:paraId="7490543E" w14:textId="77777777" w:rsidR="00476D10" w:rsidRPr="007669E1" w:rsidRDefault="00476D10" w:rsidP="00E90BA7">
            <w:pPr>
              <w:spacing w:before="20" w:after="20" w:line="240" w:lineRule="auto"/>
              <w:jc w:val="both"/>
              <w:rPr>
                <w:rFonts w:ascii="Segoe UI" w:hAnsi="Segoe UI" w:cs="Segoe UI"/>
                <w:sz w:val="18"/>
                <w:szCs w:val="18"/>
              </w:rPr>
            </w:pPr>
          </w:p>
        </w:tc>
        <w:tc>
          <w:tcPr>
            <w:tcW w:w="1176" w:type="dxa"/>
          </w:tcPr>
          <w:p w14:paraId="5FFCB19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501" w:type="dxa"/>
          </w:tcPr>
          <w:p w14:paraId="7C3570A0"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705" w:type="dxa"/>
            <w:gridSpan w:val="2"/>
          </w:tcPr>
          <w:p w14:paraId="292E9F9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705" w:type="dxa"/>
          </w:tcPr>
          <w:p w14:paraId="7CAE1CA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203" w:type="dxa"/>
          </w:tcPr>
          <w:p w14:paraId="3E8F2676" w14:textId="52341F9A"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775F01" w:rsidRPr="007669E1" w14:paraId="6AC58541" w14:textId="77777777" w:rsidTr="009043A1">
        <w:trPr>
          <w:trHeight w:val="305"/>
        </w:trPr>
        <w:tc>
          <w:tcPr>
            <w:tcW w:w="2340" w:type="dxa"/>
            <w:vMerge/>
          </w:tcPr>
          <w:p w14:paraId="26A29B41" w14:textId="77777777" w:rsidR="00476D10" w:rsidRPr="007669E1" w:rsidRDefault="00476D10" w:rsidP="00E90BA7">
            <w:pPr>
              <w:spacing w:before="20" w:after="20" w:line="240" w:lineRule="auto"/>
              <w:jc w:val="both"/>
              <w:rPr>
                <w:rFonts w:ascii="Segoe UI" w:hAnsi="Segoe UI" w:cs="Segoe UI"/>
                <w:sz w:val="18"/>
                <w:szCs w:val="18"/>
              </w:rPr>
            </w:pPr>
          </w:p>
        </w:tc>
        <w:tc>
          <w:tcPr>
            <w:tcW w:w="1176" w:type="dxa"/>
            <w:vAlign w:val="center"/>
          </w:tcPr>
          <w:p w14:paraId="472AC8EE" w14:textId="311824C2" w:rsidR="00476D10" w:rsidRPr="007669E1" w:rsidRDefault="00E60766"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2,507.1</w:t>
            </w:r>
          </w:p>
        </w:tc>
        <w:tc>
          <w:tcPr>
            <w:tcW w:w="1501" w:type="dxa"/>
            <w:shd w:val="clear" w:color="auto" w:fill="auto"/>
            <w:vAlign w:val="center"/>
          </w:tcPr>
          <w:p w14:paraId="4F6B34C4" w14:textId="0646F9F3" w:rsidR="00476D10" w:rsidRPr="007669E1" w:rsidRDefault="00F529E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2,731.9</w:t>
            </w:r>
          </w:p>
        </w:tc>
        <w:tc>
          <w:tcPr>
            <w:tcW w:w="1705" w:type="dxa"/>
            <w:gridSpan w:val="2"/>
            <w:shd w:val="clear" w:color="auto" w:fill="auto"/>
            <w:vAlign w:val="center"/>
          </w:tcPr>
          <w:p w14:paraId="5ED42907" w14:textId="6BEFA017" w:rsidR="00476D10" w:rsidRPr="007669E1" w:rsidRDefault="00E5395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28</w:t>
            </w:r>
            <w:r w:rsidR="00F529EB" w:rsidRPr="007669E1">
              <w:rPr>
                <w:rFonts w:ascii="Segoe UI" w:hAnsi="Segoe UI" w:cs="Segoe UI"/>
                <w:color w:val="000000"/>
                <w:sz w:val="18"/>
                <w:szCs w:val="18"/>
              </w:rPr>
              <w:t>,663</w:t>
            </w:r>
            <w:r w:rsidRPr="007669E1">
              <w:rPr>
                <w:rFonts w:ascii="Segoe UI" w:hAnsi="Segoe UI" w:cs="Segoe UI"/>
                <w:color w:val="000000"/>
                <w:sz w:val="18"/>
                <w:szCs w:val="18"/>
              </w:rPr>
              <w:t>.7</w:t>
            </w:r>
          </w:p>
        </w:tc>
        <w:tc>
          <w:tcPr>
            <w:tcW w:w="1705" w:type="dxa"/>
            <w:shd w:val="clear" w:color="auto" w:fill="auto"/>
            <w:vAlign w:val="center"/>
          </w:tcPr>
          <w:p w14:paraId="0C36EBFB" w14:textId="62DD70C3" w:rsidR="00476D10" w:rsidRPr="007669E1" w:rsidRDefault="00F529EB"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31,150.0</w:t>
            </w:r>
          </w:p>
        </w:tc>
        <w:tc>
          <w:tcPr>
            <w:tcW w:w="1203" w:type="dxa"/>
            <w:shd w:val="clear" w:color="auto" w:fill="auto"/>
            <w:vAlign w:val="center"/>
          </w:tcPr>
          <w:p w14:paraId="3207A805" w14:textId="68A4A576" w:rsidR="00476D10" w:rsidRPr="007669E1" w:rsidRDefault="00E5395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36960CB8" w14:textId="77777777" w:rsidR="00476D10" w:rsidRPr="007669E1" w:rsidRDefault="00476D10" w:rsidP="00E90BA7">
      <w:pPr>
        <w:spacing w:before="20" w:after="20" w:line="240" w:lineRule="auto"/>
        <w:jc w:val="both"/>
        <w:rPr>
          <w:rFonts w:ascii="Segoe UI" w:hAnsi="Segoe UI" w:cs="Segoe UI"/>
          <w:sz w:val="18"/>
          <w:szCs w:val="18"/>
        </w:rPr>
      </w:pPr>
    </w:p>
    <w:tbl>
      <w:tblPr>
        <w:tblW w:w="963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30"/>
        <w:gridCol w:w="1289"/>
        <w:gridCol w:w="1501"/>
        <w:gridCol w:w="808"/>
        <w:gridCol w:w="693"/>
        <w:gridCol w:w="1501"/>
        <w:gridCol w:w="1408"/>
      </w:tblGrid>
      <w:tr w:rsidR="00A2051E" w:rsidRPr="004A6798" w14:paraId="35214033" w14:textId="77777777" w:rsidTr="009043A1">
        <w:tc>
          <w:tcPr>
            <w:tcW w:w="9630" w:type="dxa"/>
            <w:gridSpan w:val="7"/>
            <w:shd w:val="clear" w:color="auto" w:fill="D9D9D9" w:themeFill="background1" w:themeFillShade="D9"/>
          </w:tcPr>
          <w:p w14:paraId="36DF71E5" w14:textId="2A4708CA"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24. </w:t>
            </w:r>
            <w:r w:rsidR="00CA2DF7" w:rsidRPr="004A6798">
              <w:rPr>
                <w:rFonts w:ascii="Segoe UI" w:hAnsi="Segoe UI" w:cs="Segoe UI"/>
                <w:b/>
                <w:bCs/>
                <w:sz w:val="18"/>
                <w:szCs w:val="18"/>
              </w:rPr>
              <w:t xml:space="preserve">Exemption for owners and beneficiaries of lands and land plots, whose lands are </w:t>
            </w:r>
            <w:r w:rsidR="00CA2DF7" w:rsidRPr="004A6798">
              <w:rPr>
                <w:rFonts w:ascii="Segoe UI" w:hAnsi="Segoe UI" w:cs="Segoe UI"/>
                <w:b/>
                <w:bCs/>
                <w:w w:val="105"/>
                <w:sz w:val="18"/>
                <w:szCs w:val="18"/>
                <w:lang w:val="en"/>
              </w:rPr>
              <w:t xml:space="preserve">used by </w:t>
            </w:r>
            <w:r w:rsidR="00CA2DF7" w:rsidRPr="004A6798">
              <w:rPr>
                <w:rFonts w:ascii="Segoe UI" w:hAnsi="Segoe UI" w:cs="Segoe UI"/>
                <w:b/>
                <w:bCs/>
                <w:sz w:val="18"/>
                <w:szCs w:val="18"/>
              </w:rPr>
              <w:t>permanently occupied and used by linear infrastructure</w:t>
            </w:r>
            <w:r w:rsidR="00CA2DF7" w:rsidRPr="004A6798" w:rsidDel="00CA2DF7">
              <w:rPr>
                <w:rFonts w:ascii="Segoe UI" w:hAnsi="Segoe UI" w:cs="Segoe UI"/>
                <w:b/>
                <w:bCs/>
                <w:sz w:val="18"/>
                <w:szCs w:val="18"/>
              </w:rPr>
              <w:t xml:space="preserve"> </w:t>
            </w:r>
          </w:p>
        </w:tc>
      </w:tr>
      <w:tr w:rsidR="00C943A7" w:rsidRPr="007669E1" w14:paraId="49AFB9DC" w14:textId="77777777" w:rsidTr="009043A1">
        <w:tc>
          <w:tcPr>
            <w:tcW w:w="2430" w:type="dxa"/>
          </w:tcPr>
          <w:p w14:paraId="57A8AE7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7D3A893C"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Owners and beneficiaries whose land and land plots are permanently occupied and used by linear infrastructure such as railways, public roads, river ports, and airport runways are exempt from RET.</w:t>
            </w:r>
          </w:p>
        </w:tc>
      </w:tr>
      <w:tr w:rsidR="00C943A7" w:rsidRPr="007669E1" w14:paraId="2BDC3BC1" w14:textId="77777777" w:rsidTr="009043A1">
        <w:tc>
          <w:tcPr>
            <w:tcW w:w="2430" w:type="dxa"/>
          </w:tcPr>
          <w:p w14:paraId="7579F88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6340111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C943A7" w:rsidRPr="007669E1" w14:paraId="1BEFC350" w14:textId="77777777" w:rsidTr="009043A1">
        <w:tc>
          <w:tcPr>
            <w:tcW w:w="2430" w:type="dxa"/>
          </w:tcPr>
          <w:p w14:paraId="3AED2EE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382C70C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of designated categories</w:t>
            </w:r>
          </w:p>
        </w:tc>
      </w:tr>
      <w:tr w:rsidR="00C943A7" w:rsidRPr="007669E1" w14:paraId="2755FF7A" w14:textId="77777777" w:rsidTr="009043A1">
        <w:tc>
          <w:tcPr>
            <w:tcW w:w="2430" w:type="dxa"/>
          </w:tcPr>
          <w:p w14:paraId="582483F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0BE6910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C943A7" w:rsidRPr="007669E1" w14:paraId="61563C40" w14:textId="77777777" w:rsidTr="009043A1">
        <w:tc>
          <w:tcPr>
            <w:tcW w:w="2430" w:type="dxa"/>
          </w:tcPr>
          <w:p w14:paraId="2936A790"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30C71AA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land tax exemption and which own very valuable land that earns material returns, or has highly lucrative earning potential.</w:t>
            </w:r>
          </w:p>
        </w:tc>
      </w:tr>
      <w:tr w:rsidR="00C943A7" w:rsidRPr="007669E1" w14:paraId="72EF5BEA" w14:textId="77777777" w:rsidTr="009043A1">
        <w:tc>
          <w:tcPr>
            <w:tcW w:w="2430" w:type="dxa"/>
          </w:tcPr>
          <w:p w14:paraId="44525D4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26D2756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283(4)(f) of Tax Code</w:t>
            </w:r>
          </w:p>
        </w:tc>
      </w:tr>
      <w:tr w:rsidR="00C943A7" w:rsidRPr="007669E1" w14:paraId="7AC788CE" w14:textId="77777777" w:rsidTr="009043A1">
        <w:trPr>
          <w:trHeight w:val="182"/>
        </w:trPr>
        <w:tc>
          <w:tcPr>
            <w:tcW w:w="2430" w:type="dxa"/>
            <w:vMerge w:val="restart"/>
          </w:tcPr>
          <w:p w14:paraId="63A61C3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7696304A" w14:textId="77777777" w:rsidR="00476D10" w:rsidRPr="007669E1" w:rsidRDefault="00476D10" w:rsidP="00E90BA7">
            <w:pPr>
              <w:spacing w:before="20" w:after="20" w:line="240" w:lineRule="auto"/>
              <w:jc w:val="both"/>
              <w:rPr>
                <w:rFonts w:ascii="Segoe UI" w:hAnsi="Segoe UI" w:cs="Segoe UI"/>
                <w:sz w:val="18"/>
                <w:szCs w:val="18"/>
              </w:rPr>
            </w:pPr>
          </w:p>
        </w:tc>
      </w:tr>
      <w:tr w:rsidR="00775F01" w:rsidRPr="007669E1" w14:paraId="2FA5D571" w14:textId="77777777" w:rsidTr="009043A1">
        <w:trPr>
          <w:trHeight w:val="182"/>
        </w:trPr>
        <w:tc>
          <w:tcPr>
            <w:tcW w:w="2430" w:type="dxa"/>
            <w:vMerge/>
          </w:tcPr>
          <w:p w14:paraId="53D845D7" w14:textId="77777777" w:rsidR="00476D10" w:rsidRPr="004A6798" w:rsidRDefault="00476D10" w:rsidP="00E90BA7">
            <w:pPr>
              <w:spacing w:before="20" w:after="20" w:line="240" w:lineRule="auto"/>
              <w:jc w:val="both"/>
              <w:rPr>
                <w:rFonts w:ascii="Segoe UI" w:hAnsi="Segoe UI" w:cs="Segoe UI"/>
                <w:b/>
                <w:bCs/>
                <w:sz w:val="18"/>
                <w:szCs w:val="18"/>
              </w:rPr>
            </w:pPr>
          </w:p>
        </w:tc>
        <w:tc>
          <w:tcPr>
            <w:tcW w:w="3598" w:type="dxa"/>
            <w:gridSpan w:val="3"/>
          </w:tcPr>
          <w:p w14:paraId="2AFC1E73" w14:textId="44BDB58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02" w:type="dxa"/>
            <w:gridSpan w:val="3"/>
          </w:tcPr>
          <w:p w14:paraId="2528F759" w14:textId="263BCE7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C943A7" w:rsidRPr="007669E1" w14:paraId="0CF658A9" w14:textId="77777777" w:rsidTr="009043A1">
        <w:tc>
          <w:tcPr>
            <w:tcW w:w="2430" w:type="dxa"/>
          </w:tcPr>
          <w:p w14:paraId="07FA2E2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23C9BA2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C943A7" w:rsidRPr="007669E1" w14:paraId="727512BF" w14:textId="77777777" w:rsidTr="009043A1">
        <w:tc>
          <w:tcPr>
            <w:tcW w:w="2430" w:type="dxa"/>
          </w:tcPr>
          <w:p w14:paraId="61B4089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52BB31D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C943A7" w:rsidRPr="007669E1" w14:paraId="706D83E2" w14:textId="77777777" w:rsidTr="009043A1">
        <w:tc>
          <w:tcPr>
            <w:tcW w:w="2430" w:type="dxa"/>
          </w:tcPr>
          <w:p w14:paraId="105D285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1EB06709" w14:textId="718E32F8"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4A958B2E" w14:textId="77777777" w:rsidTr="009043A1">
        <w:tc>
          <w:tcPr>
            <w:tcW w:w="2430" w:type="dxa"/>
          </w:tcPr>
          <w:p w14:paraId="3469571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483F9720" w14:textId="0F6C84F3" w:rsidR="00476D10" w:rsidRPr="007669E1" w:rsidRDefault="0036133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84536F" w:rsidRPr="007669E1" w14:paraId="531A082C" w14:textId="77777777" w:rsidTr="009043A1">
        <w:trPr>
          <w:trHeight w:val="91"/>
        </w:trPr>
        <w:tc>
          <w:tcPr>
            <w:tcW w:w="2430" w:type="dxa"/>
            <w:tcBorders>
              <w:bottom w:val="nil"/>
            </w:tcBorders>
          </w:tcPr>
          <w:p w14:paraId="66093468" w14:textId="77777777" w:rsidR="00476D10" w:rsidRPr="007669E1" w:rsidRDefault="00476D10" w:rsidP="00E90BA7">
            <w:pPr>
              <w:spacing w:before="20" w:after="20" w:line="240" w:lineRule="auto"/>
              <w:jc w:val="both"/>
              <w:rPr>
                <w:rFonts w:ascii="Segoe UI" w:hAnsi="Segoe UI" w:cs="Segoe UI"/>
                <w:sz w:val="18"/>
                <w:szCs w:val="18"/>
              </w:rPr>
            </w:pPr>
          </w:p>
        </w:tc>
        <w:tc>
          <w:tcPr>
            <w:tcW w:w="1289" w:type="dxa"/>
          </w:tcPr>
          <w:p w14:paraId="0A2C6BA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501" w:type="dxa"/>
          </w:tcPr>
          <w:p w14:paraId="652B82E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501" w:type="dxa"/>
            <w:gridSpan w:val="2"/>
          </w:tcPr>
          <w:p w14:paraId="514A5E9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501" w:type="dxa"/>
          </w:tcPr>
          <w:p w14:paraId="2D1CA6C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408" w:type="dxa"/>
          </w:tcPr>
          <w:p w14:paraId="3F3799F4" w14:textId="7460533D"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7619A8" w:rsidRPr="007669E1" w14:paraId="24837294" w14:textId="77777777" w:rsidTr="009043A1">
        <w:trPr>
          <w:trHeight w:val="305"/>
        </w:trPr>
        <w:tc>
          <w:tcPr>
            <w:tcW w:w="2430" w:type="dxa"/>
            <w:tcBorders>
              <w:top w:val="nil"/>
            </w:tcBorders>
          </w:tcPr>
          <w:p w14:paraId="28B8545B" w14:textId="77777777" w:rsidR="00476D10" w:rsidRPr="007669E1" w:rsidRDefault="00476D10" w:rsidP="00E90BA7">
            <w:pPr>
              <w:spacing w:before="20" w:after="20" w:line="240" w:lineRule="auto"/>
              <w:jc w:val="both"/>
              <w:rPr>
                <w:rFonts w:ascii="Segoe UI" w:hAnsi="Segoe UI" w:cs="Segoe UI"/>
                <w:sz w:val="18"/>
                <w:szCs w:val="18"/>
              </w:rPr>
            </w:pPr>
          </w:p>
        </w:tc>
        <w:tc>
          <w:tcPr>
            <w:tcW w:w="1289" w:type="dxa"/>
            <w:shd w:val="clear" w:color="auto" w:fill="auto"/>
            <w:vAlign w:val="center"/>
          </w:tcPr>
          <w:p w14:paraId="4288EEC4" w14:textId="7C27C895" w:rsidR="00476D10" w:rsidRPr="007669E1" w:rsidRDefault="0010787A"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9,223.8</w:t>
            </w:r>
          </w:p>
        </w:tc>
        <w:tc>
          <w:tcPr>
            <w:tcW w:w="1501" w:type="dxa"/>
            <w:shd w:val="clear" w:color="auto" w:fill="auto"/>
            <w:vAlign w:val="center"/>
          </w:tcPr>
          <w:p w14:paraId="1A3CA887" w14:textId="1D47028D" w:rsidR="00476D10" w:rsidRPr="007669E1" w:rsidRDefault="00A87B9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4,866.2</w:t>
            </w:r>
          </w:p>
        </w:tc>
        <w:tc>
          <w:tcPr>
            <w:tcW w:w="1501" w:type="dxa"/>
            <w:gridSpan w:val="2"/>
            <w:shd w:val="clear" w:color="auto" w:fill="auto"/>
            <w:vAlign w:val="center"/>
          </w:tcPr>
          <w:p w14:paraId="2419F5EC" w14:textId="4839AFF7" w:rsidR="00476D10" w:rsidRPr="007669E1" w:rsidRDefault="00A87B9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7,271.7</w:t>
            </w:r>
          </w:p>
        </w:tc>
        <w:tc>
          <w:tcPr>
            <w:tcW w:w="1501" w:type="dxa"/>
            <w:shd w:val="clear" w:color="auto" w:fill="auto"/>
            <w:vAlign w:val="center"/>
          </w:tcPr>
          <w:p w14:paraId="12FC1F07" w14:textId="68208147" w:rsidR="00476D10" w:rsidRPr="007669E1" w:rsidRDefault="00A87B93"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7,472.9</w:t>
            </w:r>
          </w:p>
        </w:tc>
        <w:tc>
          <w:tcPr>
            <w:tcW w:w="1408" w:type="dxa"/>
            <w:shd w:val="clear" w:color="auto" w:fill="auto"/>
            <w:vAlign w:val="center"/>
          </w:tcPr>
          <w:p w14:paraId="6D3EFD2C" w14:textId="70ACF71F" w:rsidR="00476D10" w:rsidRPr="007669E1" w:rsidRDefault="00A90EF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61CF5953"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16B4D7B1" w14:textId="77777777" w:rsidTr="005A7B4B">
        <w:tc>
          <w:tcPr>
            <w:tcW w:w="9625" w:type="dxa"/>
            <w:gridSpan w:val="7"/>
            <w:shd w:val="clear" w:color="auto" w:fill="D9D9D9" w:themeFill="background1" w:themeFillShade="D9"/>
          </w:tcPr>
          <w:p w14:paraId="0A2709EF" w14:textId="43B02D1F"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lastRenderedPageBreak/>
              <w:t xml:space="preserve">25. </w:t>
            </w:r>
            <w:r w:rsidR="003F77AA" w:rsidRPr="004A6798">
              <w:rPr>
                <w:rFonts w:ascii="Segoe UI" w:hAnsi="Segoe UI" w:cs="Segoe UI"/>
                <w:b/>
                <w:bCs/>
                <w:sz w:val="18"/>
                <w:szCs w:val="18"/>
              </w:rPr>
              <w:t xml:space="preserve">Exemption for owners and beneficiaries of lands and land plots, whose lands are </w:t>
            </w:r>
            <w:r w:rsidR="003F77AA" w:rsidRPr="004A6798">
              <w:rPr>
                <w:rFonts w:ascii="Segoe UI" w:hAnsi="Segoe UI" w:cs="Segoe UI"/>
                <w:b/>
                <w:bCs/>
                <w:spacing w:val="-1"/>
                <w:w w:val="105"/>
                <w:sz w:val="18"/>
                <w:szCs w:val="18"/>
                <w:lang w:val="en"/>
              </w:rPr>
              <w:t>assigned to state borderlines</w:t>
            </w:r>
            <w:r w:rsidR="003F77AA" w:rsidRPr="004A6798" w:rsidDel="003F77AA">
              <w:rPr>
                <w:rFonts w:ascii="Segoe UI" w:hAnsi="Segoe UI" w:cs="Segoe UI"/>
                <w:b/>
                <w:bCs/>
                <w:sz w:val="18"/>
                <w:szCs w:val="18"/>
              </w:rPr>
              <w:t xml:space="preserve"> </w:t>
            </w:r>
          </w:p>
        </w:tc>
      </w:tr>
      <w:tr w:rsidR="00E72E03" w:rsidRPr="007669E1" w14:paraId="23E4F741" w14:textId="77777777" w:rsidTr="005A7B4B">
        <w:tc>
          <w:tcPr>
            <w:tcW w:w="2425" w:type="dxa"/>
          </w:tcPr>
          <w:p w14:paraId="32C3535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0A601A7E"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The owners and beneficiaries whose land and land plots are assigned to state borderlines shall be exempted from the real estate tax.</w:t>
            </w:r>
          </w:p>
        </w:tc>
      </w:tr>
      <w:tr w:rsidR="00E72E03" w:rsidRPr="007669E1" w14:paraId="70EB7C8F" w14:textId="77777777" w:rsidTr="005A7B4B">
        <w:tc>
          <w:tcPr>
            <w:tcW w:w="2425" w:type="dxa"/>
          </w:tcPr>
          <w:p w14:paraId="21EE3F8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4C082E7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18AF7135" w14:textId="77777777" w:rsidTr="005A7B4B">
        <w:tc>
          <w:tcPr>
            <w:tcW w:w="2425" w:type="dxa"/>
          </w:tcPr>
          <w:p w14:paraId="15165CB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15EF4ED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Landowners and beneficiaries of designated categories. </w:t>
            </w:r>
          </w:p>
        </w:tc>
      </w:tr>
      <w:tr w:rsidR="00E72E03" w:rsidRPr="007669E1" w14:paraId="3AA6A79E" w14:textId="77777777" w:rsidTr="005A7B4B">
        <w:tc>
          <w:tcPr>
            <w:tcW w:w="2425" w:type="dxa"/>
          </w:tcPr>
          <w:p w14:paraId="1D96CA7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3CE1B9E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08501241" w14:textId="77777777" w:rsidTr="005A7B4B">
        <w:tc>
          <w:tcPr>
            <w:tcW w:w="2425" w:type="dxa"/>
          </w:tcPr>
          <w:p w14:paraId="26792F2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1213452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E72E03" w:rsidRPr="007669E1" w14:paraId="06898C52" w14:textId="77777777" w:rsidTr="005A7B4B">
        <w:tc>
          <w:tcPr>
            <w:tcW w:w="2425" w:type="dxa"/>
          </w:tcPr>
          <w:p w14:paraId="02D9067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5ADA5F5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283(4)(g) of TC</w:t>
            </w:r>
          </w:p>
        </w:tc>
      </w:tr>
      <w:tr w:rsidR="007619A8" w:rsidRPr="007669E1" w14:paraId="146C0383" w14:textId="77777777" w:rsidTr="005A7B4B">
        <w:trPr>
          <w:trHeight w:val="182"/>
        </w:trPr>
        <w:tc>
          <w:tcPr>
            <w:tcW w:w="2425" w:type="dxa"/>
            <w:vMerge w:val="restart"/>
          </w:tcPr>
          <w:p w14:paraId="65D8D0D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49D1E5DC" w14:textId="77777777" w:rsidR="00476D10" w:rsidRPr="007669E1" w:rsidRDefault="00476D10" w:rsidP="00E90BA7">
            <w:pPr>
              <w:spacing w:before="20" w:after="20" w:line="240" w:lineRule="auto"/>
              <w:jc w:val="both"/>
              <w:rPr>
                <w:rFonts w:ascii="Segoe UI" w:hAnsi="Segoe UI" w:cs="Segoe UI"/>
                <w:sz w:val="18"/>
                <w:szCs w:val="18"/>
              </w:rPr>
            </w:pPr>
          </w:p>
        </w:tc>
      </w:tr>
      <w:tr w:rsidR="00A2051E" w:rsidRPr="007669E1" w14:paraId="05C76E97" w14:textId="77777777" w:rsidTr="005A7B4B">
        <w:trPr>
          <w:trHeight w:val="182"/>
        </w:trPr>
        <w:tc>
          <w:tcPr>
            <w:tcW w:w="2425" w:type="dxa"/>
            <w:vMerge/>
          </w:tcPr>
          <w:p w14:paraId="0ECF8339" w14:textId="77777777" w:rsidR="00476D10" w:rsidRPr="004A6798" w:rsidRDefault="00476D10" w:rsidP="00E90BA7">
            <w:pPr>
              <w:spacing w:before="20" w:after="20" w:line="240" w:lineRule="auto"/>
              <w:jc w:val="both"/>
              <w:rPr>
                <w:rFonts w:ascii="Segoe UI" w:hAnsi="Segoe UI" w:cs="Segoe UI"/>
                <w:b/>
                <w:bCs/>
                <w:sz w:val="18"/>
                <w:szCs w:val="18"/>
              </w:rPr>
            </w:pPr>
          </w:p>
        </w:tc>
        <w:tc>
          <w:tcPr>
            <w:tcW w:w="3462" w:type="dxa"/>
            <w:gridSpan w:val="3"/>
          </w:tcPr>
          <w:p w14:paraId="49E9D1E3" w14:textId="5CDB8D0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2A25C370" w14:textId="5F6B99CB"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66C355A2" w14:textId="77777777" w:rsidTr="005A7B4B">
        <w:tc>
          <w:tcPr>
            <w:tcW w:w="2425" w:type="dxa"/>
          </w:tcPr>
          <w:p w14:paraId="4EEA549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0EBC3ED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5458FFE1" w14:textId="77777777" w:rsidTr="005A7B4B">
        <w:tc>
          <w:tcPr>
            <w:tcW w:w="2425" w:type="dxa"/>
          </w:tcPr>
          <w:p w14:paraId="6EB9030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4AB672A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61B1652E" w14:textId="77777777" w:rsidTr="005A7B4B">
        <w:tc>
          <w:tcPr>
            <w:tcW w:w="2425" w:type="dxa"/>
          </w:tcPr>
          <w:p w14:paraId="755D2FB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6A5F3642" w14:textId="14C03295"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63E5782D" w14:textId="77777777" w:rsidTr="005A7B4B">
        <w:tc>
          <w:tcPr>
            <w:tcW w:w="2425" w:type="dxa"/>
          </w:tcPr>
          <w:p w14:paraId="6D83826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692FA54D" w14:textId="36915BAB" w:rsidR="00476D10" w:rsidRPr="007669E1" w:rsidRDefault="008F6C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A2051E" w:rsidRPr="007669E1" w14:paraId="7473FD8A" w14:textId="77777777" w:rsidTr="005A7B4B">
        <w:trPr>
          <w:trHeight w:val="91"/>
        </w:trPr>
        <w:tc>
          <w:tcPr>
            <w:tcW w:w="2425" w:type="dxa"/>
            <w:vMerge w:val="restart"/>
          </w:tcPr>
          <w:p w14:paraId="75404431"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3D84F09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300E437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2E3E328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2325FF4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03BFE9AB" w14:textId="2457CCB1"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A2051E" w:rsidRPr="007669E1" w14:paraId="58B55DE1" w14:textId="77777777" w:rsidTr="00CE23B9">
        <w:trPr>
          <w:trHeight w:val="305"/>
        </w:trPr>
        <w:tc>
          <w:tcPr>
            <w:tcW w:w="2425" w:type="dxa"/>
            <w:vMerge/>
          </w:tcPr>
          <w:p w14:paraId="20D28EB8"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shd w:val="clear" w:color="auto" w:fill="auto"/>
            <w:vAlign w:val="center"/>
          </w:tcPr>
          <w:p w14:paraId="48B9FEC9" w14:textId="3C628C2D" w:rsidR="00476D10" w:rsidRPr="007669E1" w:rsidRDefault="0010787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54.6</w:t>
            </w:r>
          </w:p>
        </w:tc>
        <w:tc>
          <w:tcPr>
            <w:tcW w:w="1385" w:type="dxa"/>
            <w:shd w:val="clear" w:color="auto" w:fill="auto"/>
            <w:vAlign w:val="center"/>
          </w:tcPr>
          <w:p w14:paraId="22704BF9" w14:textId="2BA872D7" w:rsidR="00476D10" w:rsidRPr="007669E1" w:rsidRDefault="0051313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36.8</w:t>
            </w:r>
          </w:p>
        </w:tc>
        <w:tc>
          <w:tcPr>
            <w:tcW w:w="1385" w:type="dxa"/>
            <w:gridSpan w:val="2"/>
            <w:shd w:val="clear" w:color="auto" w:fill="auto"/>
            <w:vAlign w:val="center"/>
          </w:tcPr>
          <w:p w14:paraId="491F58F6" w14:textId="784A74E6" w:rsidR="00476D10" w:rsidRPr="007669E1" w:rsidRDefault="0051313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124.9</w:t>
            </w:r>
          </w:p>
        </w:tc>
        <w:tc>
          <w:tcPr>
            <w:tcW w:w="1385" w:type="dxa"/>
            <w:shd w:val="clear" w:color="auto" w:fill="auto"/>
            <w:vAlign w:val="center"/>
          </w:tcPr>
          <w:p w14:paraId="52A4B679" w14:textId="5B7390BE" w:rsidR="00476D10" w:rsidRPr="007669E1" w:rsidRDefault="0051313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115.3</w:t>
            </w:r>
          </w:p>
        </w:tc>
        <w:tc>
          <w:tcPr>
            <w:tcW w:w="1660" w:type="dxa"/>
            <w:shd w:val="clear" w:color="auto" w:fill="auto"/>
            <w:vAlign w:val="center"/>
          </w:tcPr>
          <w:p w14:paraId="13F92962" w14:textId="2AE74445" w:rsidR="00476D10" w:rsidRPr="007669E1" w:rsidRDefault="00A90EF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40DF734E"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179"/>
        <w:gridCol w:w="1530"/>
        <w:gridCol w:w="841"/>
        <w:gridCol w:w="821"/>
        <w:gridCol w:w="1819"/>
        <w:gridCol w:w="1104"/>
      </w:tblGrid>
      <w:tr w:rsidR="00C943A7" w:rsidRPr="004A6798" w14:paraId="4A426EFF" w14:textId="77777777" w:rsidTr="00CE23B9">
        <w:tc>
          <w:tcPr>
            <w:tcW w:w="9625" w:type="dxa"/>
            <w:gridSpan w:val="7"/>
            <w:shd w:val="clear" w:color="auto" w:fill="D9D9D9" w:themeFill="background1" w:themeFillShade="D9"/>
          </w:tcPr>
          <w:p w14:paraId="575746C2" w14:textId="0532C8BC"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26. </w:t>
            </w:r>
            <w:r w:rsidR="00217133" w:rsidRPr="004A6798">
              <w:rPr>
                <w:rFonts w:ascii="Segoe UI" w:hAnsi="Segoe UI" w:cs="Segoe UI"/>
                <w:b/>
                <w:bCs/>
                <w:sz w:val="18"/>
                <w:szCs w:val="18"/>
              </w:rPr>
              <w:t xml:space="preserve">Exemption for owners and beneficiaries of lands and land plots, whose lands are </w:t>
            </w:r>
            <w:r w:rsidR="00217133" w:rsidRPr="004A6798">
              <w:rPr>
                <w:rFonts w:ascii="Segoe UI" w:hAnsi="Segoe UI" w:cs="Segoe UI"/>
                <w:b/>
                <w:bCs/>
                <w:spacing w:val="-1"/>
                <w:w w:val="105"/>
                <w:sz w:val="18"/>
                <w:szCs w:val="18"/>
                <w:lang w:val="en"/>
              </w:rPr>
              <w:t>used for public use or benefit</w:t>
            </w:r>
            <w:r w:rsidR="00217133" w:rsidRPr="004A6798" w:rsidDel="00217133">
              <w:rPr>
                <w:rFonts w:ascii="Segoe UI" w:hAnsi="Segoe UI" w:cs="Segoe UI"/>
                <w:b/>
                <w:bCs/>
                <w:sz w:val="18"/>
                <w:szCs w:val="18"/>
              </w:rPr>
              <w:t xml:space="preserve"> </w:t>
            </w:r>
          </w:p>
        </w:tc>
      </w:tr>
      <w:tr w:rsidR="00775F01" w:rsidRPr="007669E1" w14:paraId="6B11BF38" w14:textId="77777777" w:rsidTr="00CE23B9">
        <w:tc>
          <w:tcPr>
            <w:tcW w:w="2331" w:type="dxa"/>
          </w:tcPr>
          <w:p w14:paraId="71A9036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94" w:type="dxa"/>
            <w:gridSpan w:val="6"/>
          </w:tcPr>
          <w:p w14:paraId="7BF46D4B"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pacing w:val="-1"/>
                <w:w w:val="105"/>
                <w:sz w:val="18"/>
                <w:szCs w:val="18"/>
                <w:lang w:val="en"/>
              </w:rPr>
              <w:t>The owners and beneficiaries whose land and plots of land are used for public use or benefit in certain localities shall be exempt from RET.</w:t>
            </w:r>
          </w:p>
        </w:tc>
      </w:tr>
      <w:tr w:rsidR="00775F01" w:rsidRPr="007669E1" w14:paraId="71B96EBF" w14:textId="77777777" w:rsidTr="00CE23B9">
        <w:tc>
          <w:tcPr>
            <w:tcW w:w="2331" w:type="dxa"/>
          </w:tcPr>
          <w:p w14:paraId="22E1B39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94" w:type="dxa"/>
            <w:gridSpan w:val="6"/>
          </w:tcPr>
          <w:p w14:paraId="47B47A02"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75F01" w:rsidRPr="007669E1" w14:paraId="7076B3D0" w14:textId="77777777" w:rsidTr="00CE23B9">
        <w:tc>
          <w:tcPr>
            <w:tcW w:w="2331" w:type="dxa"/>
          </w:tcPr>
          <w:p w14:paraId="71DA954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94" w:type="dxa"/>
            <w:gridSpan w:val="6"/>
          </w:tcPr>
          <w:p w14:paraId="699E141E"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and beneficiaries of designated categories.</w:t>
            </w:r>
          </w:p>
        </w:tc>
      </w:tr>
      <w:tr w:rsidR="00775F01" w:rsidRPr="007669E1" w14:paraId="368F317C" w14:textId="77777777" w:rsidTr="00CE23B9">
        <w:tc>
          <w:tcPr>
            <w:tcW w:w="2331" w:type="dxa"/>
          </w:tcPr>
          <w:p w14:paraId="14DD288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94" w:type="dxa"/>
            <w:gridSpan w:val="6"/>
          </w:tcPr>
          <w:p w14:paraId="03678CB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75F01" w:rsidRPr="007669E1" w14:paraId="332BC504" w14:textId="77777777" w:rsidTr="00CE23B9">
        <w:tc>
          <w:tcPr>
            <w:tcW w:w="2331" w:type="dxa"/>
          </w:tcPr>
          <w:p w14:paraId="2E6A416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94" w:type="dxa"/>
            <w:gridSpan w:val="6"/>
          </w:tcPr>
          <w:p w14:paraId="3D5CFB9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75F01" w:rsidRPr="007669E1" w14:paraId="1E89713C" w14:textId="77777777" w:rsidTr="00CE23B9">
        <w:tc>
          <w:tcPr>
            <w:tcW w:w="2331" w:type="dxa"/>
          </w:tcPr>
          <w:p w14:paraId="3131EE0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94" w:type="dxa"/>
            <w:gridSpan w:val="6"/>
          </w:tcPr>
          <w:p w14:paraId="6385C95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283(4)(h) of TC</w:t>
            </w:r>
          </w:p>
        </w:tc>
      </w:tr>
      <w:tr w:rsidR="003C7165" w:rsidRPr="007669E1" w14:paraId="1B27633A" w14:textId="77777777" w:rsidTr="00CE23B9">
        <w:trPr>
          <w:trHeight w:val="182"/>
        </w:trPr>
        <w:tc>
          <w:tcPr>
            <w:tcW w:w="2331" w:type="dxa"/>
            <w:vMerge w:val="restart"/>
          </w:tcPr>
          <w:p w14:paraId="19C9DCD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94" w:type="dxa"/>
            <w:gridSpan w:val="6"/>
          </w:tcPr>
          <w:p w14:paraId="702A2055" w14:textId="77777777" w:rsidR="00476D10" w:rsidRPr="007669E1" w:rsidRDefault="00476D10" w:rsidP="00E90BA7">
            <w:pPr>
              <w:spacing w:before="20" w:after="20" w:line="240" w:lineRule="auto"/>
              <w:jc w:val="both"/>
              <w:rPr>
                <w:rFonts w:ascii="Segoe UI" w:hAnsi="Segoe UI" w:cs="Segoe UI"/>
                <w:sz w:val="18"/>
                <w:szCs w:val="18"/>
              </w:rPr>
            </w:pPr>
          </w:p>
        </w:tc>
      </w:tr>
      <w:tr w:rsidR="0084536F" w:rsidRPr="007669E1" w14:paraId="69DC0C4D" w14:textId="77777777" w:rsidTr="00CE23B9">
        <w:trPr>
          <w:trHeight w:val="182"/>
        </w:trPr>
        <w:tc>
          <w:tcPr>
            <w:tcW w:w="2331" w:type="dxa"/>
            <w:vMerge/>
          </w:tcPr>
          <w:p w14:paraId="511675C5" w14:textId="77777777" w:rsidR="00476D10" w:rsidRPr="004A6798" w:rsidRDefault="00476D10" w:rsidP="00E90BA7">
            <w:pPr>
              <w:spacing w:before="20" w:after="20" w:line="240" w:lineRule="auto"/>
              <w:jc w:val="both"/>
              <w:rPr>
                <w:rFonts w:ascii="Segoe UI" w:hAnsi="Segoe UI" w:cs="Segoe UI"/>
                <w:b/>
                <w:bCs/>
                <w:sz w:val="18"/>
                <w:szCs w:val="18"/>
              </w:rPr>
            </w:pPr>
          </w:p>
        </w:tc>
        <w:tc>
          <w:tcPr>
            <w:tcW w:w="3550" w:type="dxa"/>
            <w:gridSpan w:val="3"/>
          </w:tcPr>
          <w:p w14:paraId="65B0EE44" w14:textId="44B67F7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44" w:type="dxa"/>
            <w:gridSpan w:val="3"/>
          </w:tcPr>
          <w:p w14:paraId="4FB18F87" w14:textId="3DF7EB4B"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75F01" w:rsidRPr="007669E1" w14:paraId="277E6EFB" w14:textId="77777777" w:rsidTr="00CE23B9">
        <w:tc>
          <w:tcPr>
            <w:tcW w:w="2331" w:type="dxa"/>
          </w:tcPr>
          <w:p w14:paraId="39D0D32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94" w:type="dxa"/>
            <w:gridSpan w:val="6"/>
          </w:tcPr>
          <w:p w14:paraId="1B40FED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75F01" w:rsidRPr="007669E1" w14:paraId="56E9B66E" w14:textId="77777777" w:rsidTr="00CE23B9">
        <w:tc>
          <w:tcPr>
            <w:tcW w:w="2331" w:type="dxa"/>
          </w:tcPr>
          <w:p w14:paraId="38744EF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94" w:type="dxa"/>
            <w:gridSpan w:val="6"/>
          </w:tcPr>
          <w:p w14:paraId="6106A4B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75F01" w:rsidRPr="007669E1" w14:paraId="68638FE4" w14:textId="77777777" w:rsidTr="00CE23B9">
        <w:tc>
          <w:tcPr>
            <w:tcW w:w="2331" w:type="dxa"/>
          </w:tcPr>
          <w:p w14:paraId="5F086B6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94" w:type="dxa"/>
            <w:gridSpan w:val="6"/>
          </w:tcPr>
          <w:p w14:paraId="591A7E13" w14:textId="555226BC"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3C7165" w:rsidRPr="007669E1" w14:paraId="7E29D5F6" w14:textId="77777777" w:rsidTr="00CE23B9">
        <w:tc>
          <w:tcPr>
            <w:tcW w:w="2331" w:type="dxa"/>
          </w:tcPr>
          <w:p w14:paraId="4E941AB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94" w:type="dxa"/>
            <w:gridSpan w:val="6"/>
          </w:tcPr>
          <w:p w14:paraId="22D27045" w14:textId="084B9A95" w:rsidR="00476D10" w:rsidRPr="007669E1" w:rsidRDefault="0051313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7669E1" w:rsidRPr="007669E1" w14:paraId="6CD6B0AA" w14:textId="77777777" w:rsidTr="00CE23B9">
        <w:trPr>
          <w:trHeight w:val="91"/>
        </w:trPr>
        <w:tc>
          <w:tcPr>
            <w:tcW w:w="2331" w:type="dxa"/>
            <w:vMerge w:val="restart"/>
          </w:tcPr>
          <w:p w14:paraId="260248D6" w14:textId="77777777" w:rsidR="00476D10" w:rsidRPr="007669E1" w:rsidRDefault="00476D10" w:rsidP="00E90BA7">
            <w:pPr>
              <w:spacing w:before="20" w:after="20" w:line="240" w:lineRule="auto"/>
              <w:jc w:val="both"/>
              <w:rPr>
                <w:rFonts w:ascii="Segoe UI" w:hAnsi="Segoe UI" w:cs="Segoe UI"/>
                <w:sz w:val="18"/>
                <w:szCs w:val="18"/>
              </w:rPr>
            </w:pPr>
          </w:p>
        </w:tc>
        <w:tc>
          <w:tcPr>
            <w:tcW w:w="1179" w:type="dxa"/>
          </w:tcPr>
          <w:p w14:paraId="40B106F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530" w:type="dxa"/>
          </w:tcPr>
          <w:p w14:paraId="6266228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662" w:type="dxa"/>
            <w:gridSpan w:val="2"/>
          </w:tcPr>
          <w:p w14:paraId="0347703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819" w:type="dxa"/>
          </w:tcPr>
          <w:p w14:paraId="66A9637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104" w:type="dxa"/>
          </w:tcPr>
          <w:p w14:paraId="0B58E85B" w14:textId="5AF5533F"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84536F" w:rsidRPr="007669E1" w14:paraId="24996B7D" w14:textId="77777777" w:rsidTr="0095739D">
        <w:trPr>
          <w:trHeight w:val="305"/>
        </w:trPr>
        <w:tc>
          <w:tcPr>
            <w:tcW w:w="2331" w:type="dxa"/>
            <w:vMerge/>
          </w:tcPr>
          <w:p w14:paraId="03446026" w14:textId="77777777" w:rsidR="00476D10" w:rsidRPr="007669E1" w:rsidRDefault="00476D10" w:rsidP="00E90BA7">
            <w:pPr>
              <w:spacing w:before="20" w:after="20" w:line="240" w:lineRule="auto"/>
              <w:jc w:val="both"/>
              <w:rPr>
                <w:rFonts w:ascii="Segoe UI" w:hAnsi="Segoe UI" w:cs="Segoe UI"/>
                <w:sz w:val="18"/>
                <w:szCs w:val="18"/>
              </w:rPr>
            </w:pPr>
          </w:p>
        </w:tc>
        <w:tc>
          <w:tcPr>
            <w:tcW w:w="1179" w:type="dxa"/>
            <w:shd w:val="clear" w:color="auto" w:fill="auto"/>
            <w:vAlign w:val="center"/>
          </w:tcPr>
          <w:p w14:paraId="712944FA" w14:textId="57760824" w:rsidR="00476D10" w:rsidRPr="007669E1" w:rsidRDefault="00FE1FC0"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12,071.6</w:t>
            </w:r>
          </w:p>
        </w:tc>
        <w:tc>
          <w:tcPr>
            <w:tcW w:w="1530" w:type="dxa"/>
            <w:shd w:val="clear" w:color="auto" w:fill="auto"/>
            <w:vAlign w:val="center"/>
          </w:tcPr>
          <w:p w14:paraId="57482D59" w14:textId="662327E4" w:rsidR="00476D10" w:rsidRPr="007669E1" w:rsidRDefault="00234A47"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8,961.7</w:t>
            </w:r>
          </w:p>
        </w:tc>
        <w:tc>
          <w:tcPr>
            <w:tcW w:w="1662" w:type="dxa"/>
            <w:gridSpan w:val="2"/>
            <w:shd w:val="clear" w:color="auto" w:fill="auto"/>
            <w:vAlign w:val="center"/>
          </w:tcPr>
          <w:p w14:paraId="070089ED" w14:textId="6DBE355C" w:rsidR="00476D10" w:rsidRPr="007669E1" w:rsidRDefault="00234A47"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6,995.4</w:t>
            </w:r>
          </w:p>
        </w:tc>
        <w:tc>
          <w:tcPr>
            <w:tcW w:w="1819" w:type="dxa"/>
            <w:shd w:val="clear" w:color="auto" w:fill="auto"/>
            <w:vAlign w:val="center"/>
          </w:tcPr>
          <w:p w14:paraId="3AB7ED5D" w14:textId="0DD5A8FB" w:rsidR="00476D10" w:rsidRPr="007669E1" w:rsidRDefault="00476D1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6</w:t>
            </w:r>
            <w:r w:rsidR="00234A47" w:rsidRPr="007669E1">
              <w:rPr>
                <w:rFonts w:ascii="Segoe UI" w:hAnsi="Segoe UI" w:cs="Segoe UI"/>
                <w:color w:val="000000"/>
                <w:sz w:val="18"/>
                <w:szCs w:val="18"/>
              </w:rPr>
              <w:t>,494.9</w:t>
            </w:r>
          </w:p>
        </w:tc>
        <w:tc>
          <w:tcPr>
            <w:tcW w:w="1104" w:type="dxa"/>
            <w:shd w:val="clear" w:color="auto" w:fill="auto"/>
            <w:vAlign w:val="center"/>
          </w:tcPr>
          <w:p w14:paraId="3D19DF54" w14:textId="58C05117" w:rsidR="00476D10" w:rsidRPr="007669E1" w:rsidRDefault="00412DA3"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2CBD6950"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47"/>
        <w:gridCol w:w="1316"/>
        <w:gridCol w:w="1460"/>
        <w:gridCol w:w="786"/>
        <w:gridCol w:w="691"/>
        <w:gridCol w:w="1460"/>
        <w:gridCol w:w="1565"/>
      </w:tblGrid>
      <w:tr w:rsidR="00A2051E" w:rsidRPr="004A6798" w14:paraId="27ECC353" w14:textId="77777777" w:rsidTr="005A7B4B">
        <w:tc>
          <w:tcPr>
            <w:tcW w:w="9625" w:type="dxa"/>
            <w:gridSpan w:val="7"/>
            <w:shd w:val="clear" w:color="auto" w:fill="D9D9D9" w:themeFill="background1" w:themeFillShade="D9"/>
          </w:tcPr>
          <w:p w14:paraId="6CFFAF16" w14:textId="49A387E5"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27. </w:t>
            </w:r>
            <w:r w:rsidR="00F56E61" w:rsidRPr="004A6798">
              <w:rPr>
                <w:rFonts w:ascii="Segoe UI" w:hAnsi="Segoe UI" w:cs="Segoe UI"/>
                <w:b/>
                <w:bCs/>
                <w:sz w:val="18"/>
                <w:szCs w:val="18"/>
              </w:rPr>
              <w:t xml:space="preserve">Exemption for owners and beneficiaries of lands and land plots, whose lands are </w:t>
            </w:r>
            <w:r w:rsidR="004804B3" w:rsidRPr="004A6798">
              <w:rPr>
                <w:rFonts w:ascii="Segoe UI" w:hAnsi="Segoe UI" w:cs="Segoe UI"/>
                <w:b/>
                <w:bCs/>
                <w:w w:val="105"/>
                <w:sz w:val="18"/>
                <w:szCs w:val="18"/>
                <w:lang w:val="en"/>
              </w:rPr>
              <w:t>assigned for agricultural purposes</w:t>
            </w:r>
            <w:r w:rsidR="004804B3" w:rsidRPr="004A6798" w:rsidDel="00F56E61">
              <w:rPr>
                <w:rFonts w:ascii="Segoe UI" w:hAnsi="Segoe UI" w:cs="Segoe UI"/>
                <w:b/>
                <w:bCs/>
                <w:sz w:val="18"/>
                <w:szCs w:val="18"/>
              </w:rPr>
              <w:t xml:space="preserve"> </w:t>
            </w:r>
          </w:p>
        </w:tc>
      </w:tr>
      <w:tr w:rsidR="00C943A7" w:rsidRPr="007669E1" w14:paraId="1756FF75" w14:textId="77777777" w:rsidTr="00B85A92">
        <w:tc>
          <w:tcPr>
            <w:tcW w:w="2347" w:type="dxa"/>
          </w:tcPr>
          <w:p w14:paraId="410E030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78" w:type="dxa"/>
            <w:gridSpan w:val="6"/>
          </w:tcPr>
          <w:p w14:paraId="5196B5AD" w14:textId="77777777" w:rsidR="00476D10" w:rsidRPr="007669E1" w:rsidRDefault="00476D10" w:rsidP="00E90BA7">
            <w:pPr>
              <w:pStyle w:val="TableParagraph"/>
              <w:spacing w:before="20" w:after="20"/>
              <w:ind w:left="23"/>
              <w:jc w:val="both"/>
              <w:rPr>
                <w:rFonts w:ascii="Segoe UI" w:hAnsi="Segoe UI" w:cs="Segoe UI"/>
                <w:sz w:val="18"/>
                <w:szCs w:val="18"/>
              </w:rPr>
            </w:pPr>
            <w:r w:rsidRPr="007669E1">
              <w:rPr>
                <w:rFonts w:ascii="Segoe UI" w:hAnsi="Segoe UI" w:cs="Segoe UI"/>
                <w:w w:val="105"/>
                <w:sz w:val="18"/>
                <w:szCs w:val="18"/>
                <w:lang w:val="en"/>
              </w:rPr>
              <w:t>The owners and beneficiaries whose land and plots of land are assigned for agricultural purposes, being recognized as destroyed but having been rehabilitated</w:t>
            </w:r>
          </w:p>
          <w:p w14:paraId="1DC4860A" w14:textId="45553763"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at the time of assignment shall be exempted from RET</w:t>
            </w:r>
            <w:r w:rsidR="00252F93" w:rsidRPr="007669E1">
              <w:rPr>
                <w:rFonts w:ascii="Segoe UI" w:hAnsi="Segoe UI" w:cs="Segoe UI"/>
                <w:w w:val="105"/>
                <w:sz w:val="18"/>
                <w:szCs w:val="18"/>
                <w:lang w:val="en"/>
              </w:rPr>
              <w:t xml:space="preserve"> </w:t>
            </w:r>
            <w:r w:rsidRPr="007669E1">
              <w:rPr>
                <w:rFonts w:ascii="Segoe UI" w:hAnsi="Segoe UI" w:cs="Segoe UI"/>
                <w:w w:val="105"/>
                <w:sz w:val="18"/>
                <w:szCs w:val="18"/>
                <w:lang w:val="en"/>
              </w:rPr>
              <w:t>for a period of 5 years.</w:t>
            </w:r>
          </w:p>
        </w:tc>
      </w:tr>
      <w:tr w:rsidR="00C943A7" w:rsidRPr="007669E1" w14:paraId="3C8C636B" w14:textId="77777777" w:rsidTr="00B85A92">
        <w:tc>
          <w:tcPr>
            <w:tcW w:w="2347" w:type="dxa"/>
          </w:tcPr>
          <w:p w14:paraId="7F92EC7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78" w:type="dxa"/>
            <w:gridSpan w:val="6"/>
          </w:tcPr>
          <w:p w14:paraId="42867D9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C943A7" w:rsidRPr="007669E1" w14:paraId="0C2E6305" w14:textId="77777777" w:rsidTr="00B85A92">
        <w:tc>
          <w:tcPr>
            <w:tcW w:w="2347" w:type="dxa"/>
          </w:tcPr>
          <w:p w14:paraId="70CED2B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lastRenderedPageBreak/>
              <w:t>Beneficiaries</w:t>
            </w:r>
          </w:p>
        </w:tc>
        <w:tc>
          <w:tcPr>
            <w:tcW w:w="7278" w:type="dxa"/>
            <w:gridSpan w:val="6"/>
          </w:tcPr>
          <w:p w14:paraId="497798D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and beneficiaries of designated categories.</w:t>
            </w:r>
          </w:p>
        </w:tc>
      </w:tr>
      <w:tr w:rsidR="00C943A7" w:rsidRPr="007669E1" w14:paraId="1A972C67" w14:textId="77777777" w:rsidTr="00B85A92">
        <w:tc>
          <w:tcPr>
            <w:tcW w:w="2347" w:type="dxa"/>
          </w:tcPr>
          <w:p w14:paraId="6A99692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78" w:type="dxa"/>
            <w:gridSpan w:val="6"/>
          </w:tcPr>
          <w:p w14:paraId="1A6472DC" w14:textId="1F9DB104"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C943A7" w:rsidRPr="007669E1" w14:paraId="436E84D7" w14:textId="77777777" w:rsidTr="00B85A92">
        <w:tc>
          <w:tcPr>
            <w:tcW w:w="2347" w:type="dxa"/>
          </w:tcPr>
          <w:p w14:paraId="348F340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78" w:type="dxa"/>
            <w:gridSpan w:val="6"/>
          </w:tcPr>
          <w:p w14:paraId="74CBA46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C943A7" w:rsidRPr="007669E1" w14:paraId="741DD884" w14:textId="77777777" w:rsidTr="00B85A92">
        <w:tc>
          <w:tcPr>
            <w:tcW w:w="2347" w:type="dxa"/>
          </w:tcPr>
          <w:p w14:paraId="01EB175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78" w:type="dxa"/>
            <w:gridSpan w:val="6"/>
          </w:tcPr>
          <w:p w14:paraId="32EAC89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283(4)(i) of TC</w:t>
            </w:r>
          </w:p>
        </w:tc>
      </w:tr>
      <w:tr w:rsidR="00C943A7" w:rsidRPr="007669E1" w14:paraId="13EAACA5" w14:textId="77777777" w:rsidTr="00B85A92">
        <w:trPr>
          <w:trHeight w:val="182"/>
        </w:trPr>
        <w:tc>
          <w:tcPr>
            <w:tcW w:w="2347" w:type="dxa"/>
            <w:vMerge w:val="restart"/>
          </w:tcPr>
          <w:p w14:paraId="38082F5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78" w:type="dxa"/>
            <w:gridSpan w:val="6"/>
          </w:tcPr>
          <w:p w14:paraId="2D0E2D40" w14:textId="77777777" w:rsidR="00476D10" w:rsidRPr="007669E1" w:rsidRDefault="00476D10" w:rsidP="00E90BA7">
            <w:pPr>
              <w:spacing w:before="20" w:after="20" w:line="240" w:lineRule="auto"/>
              <w:jc w:val="both"/>
              <w:rPr>
                <w:rFonts w:ascii="Segoe UI" w:hAnsi="Segoe UI" w:cs="Segoe UI"/>
                <w:sz w:val="18"/>
                <w:szCs w:val="18"/>
              </w:rPr>
            </w:pPr>
          </w:p>
        </w:tc>
      </w:tr>
      <w:tr w:rsidR="003C7165" w:rsidRPr="007669E1" w14:paraId="23C7EC76" w14:textId="77777777" w:rsidTr="00B85A92">
        <w:trPr>
          <w:trHeight w:val="182"/>
        </w:trPr>
        <w:tc>
          <w:tcPr>
            <w:tcW w:w="2347" w:type="dxa"/>
            <w:vMerge/>
          </w:tcPr>
          <w:p w14:paraId="2CEDF8DB" w14:textId="77777777" w:rsidR="00476D10" w:rsidRPr="004A6798" w:rsidRDefault="00476D10" w:rsidP="00E90BA7">
            <w:pPr>
              <w:spacing w:before="20" w:after="20" w:line="240" w:lineRule="auto"/>
              <w:jc w:val="both"/>
              <w:rPr>
                <w:rFonts w:ascii="Segoe UI" w:hAnsi="Segoe UI" w:cs="Segoe UI"/>
                <w:b/>
                <w:bCs/>
                <w:sz w:val="18"/>
                <w:szCs w:val="18"/>
              </w:rPr>
            </w:pPr>
          </w:p>
        </w:tc>
        <w:tc>
          <w:tcPr>
            <w:tcW w:w="3562" w:type="dxa"/>
            <w:gridSpan w:val="3"/>
          </w:tcPr>
          <w:p w14:paraId="4070A4E7" w14:textId="4BA4DA4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16" w:type="dxa"/>
            <w:gridSpan w:val="3"/>
          </w:tcPr>
          <w:p w14:paraId="3C73065D" w14:textId="6B0A8152"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C943A7" w:rsidRPr="007669E1" w14:paraId="6FFF6383" w14:textId="77777777" w:rsidTr="00B85A92">
        <w:tc>
          <w:tcPr>
            <w:tcW w:w="2347" w:type="dxa"/>
          </w:tcPr>
          <w:p w14:paraId="47C73A1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78" w:type="dxa"/>
            <w:gridSpan w:val="6"/>
          </w:tcPr>
          <w:p w14:paraId="410B77C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C943A7" w:rsidRPr="007669E1" w14:paraId="269E1F9A" w14:textId="77777777" w:rsidTr="00B85A92">
        <w:tc>
          <w:tcPr>
            <w:tcW w:w="2347" w:type="dxa"/>
          </w:tcPr>
          <w:p w14:paraId="33997E5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78" w:type="dxa"/>
            <w:gridSpan w:val="6"/>
          </w:tcPr>
          <w:p w14:paraId="2290C33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C943A7" w:rsidRPr="007669E1" w14:paraId="009E7370" w14:textId="77777777" w:rsidTr="00B85A92">
        <w:tc>
          <w:tcPr>
            <w:tcW w:w="2347" w:type="dxa"/>
          </w:tcPr>
          <w:p w14:paraId="1B2F0BC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78" w:type="dxa"/>
            <w:gridSpan w:val="6"/>
          </w:tcPr>
          <w:p w14:paraId="0BFCE9B5" w14:textId="3287DE64"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C943A7" w:rsidRPr="007669E1" w14:paraId="30C0AB3E" w14:textId="77777777" w:rsidTr="00B85A92">
        <w:tc>
          <w:tcPr>
            <w:tcW w:w="2347" w:type="dxa"/>
          </w:tcPr>
          <w:p w14:paraId="59BF496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78" w:type="dxa"/>
            <w:gridSpan w:val="6"/>
          </w:tcPr>
          <w:p w14:paraId="1A6F0933" w14:textId="64F3CA20" w:rsidR="00476D10" w:rsidRPr="007669E1" w:rsidRDefault="00C60822"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476D10" w:rsidRPr="007669E1">
              <w:rPr>
                <w:rFonts w:ascii="Segoe UI" w:hAnsi="Segoe UI" w:cs="Segoe UI"/>
                <w:sz w:val="18"/>
                <w:szCs w:val="18"/>
              </w:rPr>
              <w:t>MDL</w:t>
            </w:r>
          </w:p>
        </w:tc>
      </w:tr>
      <w:tr w:rsidR="00D40A8C" w:rsidRPr="007669E1" w14:paraId="2952B4E1" w14:textId="77777777" w:rsidTr="00B85A92">
        <w:trPr>
          <w:trHeight w:val="91"/>
        </w:trPr>
        <w:tc>
          <w:tcPr>
            <w:tcW w:w="2347" w:type="dxa"/>
            <w:vMerge w:val="restart"/>
          </w:tcPr>
          <w:p w14:paraId="6A762876" w14:textId="77777777" w:rsidR="00476D10" w:rsidRPr="007669E1" w:rsidRDefault="00476D10" w:rsidP="00E90BA7">
            <w:pPr>
              <w:spacing w:before="20" w:after="20" w:line="240" w:lineRule="auto"/>
              <w:jc w:val="both"/>
              <w:rPr>
                <w:rFonts w:ascii="Segoe UI" w:hAnsi="Segoe UI" w:cs="Segoe UI"/>
                <w:sz w:val="18"/>
                <w:szCs w:val="18"/>
              </w:rPr>
            </w:pPr>
          </w:p>
        </w:tc>
        <w:tc>
          <w:tcPr>
            <w:tcW w:w="1316" w:type="dxa"/>
          </w:tcPr>
          <w:p w14:paraId="51FB26E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460" w:type="dxa"/>
          </w:tcPr>
          <w:p w14:paraId="2B0F9B2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477" w:type="dxa"/>
            <w:gridSpan w:val="2"/>
          </w:tcPr>
          <w:p w14:paraId="10BFBBA0"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460" w:type="dxa"/>
          </w:tcPr>
          <w:p w14:paraId="268DB32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565" w:type="dxa"/>
          </w:tcPr>
          <w:p w14:paraId="251ECAB1" w14:textId="38B24C44"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3C7165" w:rsidRPr="007669E1" w14:paraId="37CCA6F8" w14:textId="77777777" w:rsidTr="00B85A92">
        <w:trPr>
          <w:trHeight w:val="305"/>
        </w:trPr>
        <w:tc>
          <w:tcPr>
            <w:tcW w:w="2347" w:type="dxa"/>
            <w:vMerge/>
          </w:tcPr>
          <w:p w14:paraId="64F1E7A4" w14:textId="77777777" w:rsidR="00476D10" w:rsidRPr="007669E1" w:rsidRDefault="00476D10" w:rsidP="00E90BA7">
            <w:pPr>
              <w:spacing w:before="20" w:after="20" w:line="240" w:lineRule="auto"/>
              <w:jc w:val="both"/>
              <w:rPr>
                <w:rFonts w:ascii="Segoe UI" w:hAnsi="Segoe UI" w:cs="Segoe UI"/>
                <w:sz w:val="18"/>
                <w:szCs w:val="18"/>
              </w:rPr>
            </w:pPr>
          </w:p>
        </w:tc>
        <w:tc>
          <w:tcPr>
            <w:tcW w:w="1316" w:type="dxa"/>
            <w:vAlign w:val="center"/>
          </w:tcPr>
          <w:p w14:paraId="2F50587E" w14:textId="779E279B" w:rsidR="00476D10" w:rsidRPr="007669E1" w:rsidRDefault="00F12F5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190</w:t>
            </w:r>
            <w:r w:rsidR="00BE7AB0" w:rsidRPr="007669E1">
              <w:rPr>
                <w:rFonts w:ascii="Segoe UI" w:hAnsi="Segoe UI" w:cs="Segoe UI"/>
                <w:sz w:val="18"/>
                <w:szCs w:val="18"/>
              </w:rPr>
              <w:t>.7</w:t>
            </w:r>
          </w:p>
        </w:tc>
        <w:tc>
          <w:tcPr>
            <w:tcW w:w="1460" w:type="dxa"/>
            <w:shd w:val="clear" w:color="auto" w:fill="auto"/>
            <w:vAlign w:val="center"/>
          </w:tcPr>
          <w:p w14:paraId="385FB26A" w14:textId="09625A6D" w:rsidR="00476D10" w:rsidRPr="007669E1" w:rsidRDefault="00B85A9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234.9</w:t>
            </w:r>
          </w:p>
        </w:tc>
        <w:tc>
          <w:tcPr>
            <w:tcW w:w="1477" w:type="dxa"/>
            <w:gridSpan w:val="2"/>
            <w:shd w:val="clear" w:color="auto" w:fill="auto"/>
            <w:vAlign w:val="center"/>
          </w:tcPr>
          <w:p w14:paraId="4A4C61C7" w14:textId="1D33B77B" w:rsidR="00476D10" w:rsidRPr="007669E1" w:rsidRDefault="00B85A92"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310.5</w:t>
            </w:r>
          </w:p>
        </w:tc>
        <w:tc>
          <w:tcPr>
            <w:tcW w:w="1460" w:type="dxa"/>
            <w:shd w:val="clear" w:color="auto" w:fill="auto"/>
            <w:vAlign w:val="center"/>
          </w:tcPr>
          <w:p w14:paraId="6F4FDDE4" w14:textId="4A5F8E16" w:rsidR="00476D10" w:rsidRPr="007669E1" w:rsidRDefault="00B85A92"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310.2</w:t>
            </w:r>
          </w:p>
        </w:tc>
        <w:tc>
          <w:tcPr>
            <w:tcW w:w="1565" w:type="dxa"/>
            <w:shd w:val="clear" w:color="auto" w:fill="auto"/>
            <w:vAlign w:val="center"/>
          </w:tcPr>
          <w:p w14:paraId="6600626C" w14:textId="369B5D14" w:rsidR="00476D10" w:rsidRPr="007669E1" w:rsidRDefault="00B85A92"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412E5AD9"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108DD567" w14:textId="77777777" w:rsidTr="005A7B4B">
        <w:tc>
          <w:tcPr>
            <w:tcW w:w="9625" w:type="dxa"/>
            <w:gridSpan w:val="7"/>
            <w:shd w:val="clear" w:color="auto" w:fill="D9D9D9" w:themeFill="background1" w:themeFillShade="D9"/>
          </w:tcPr>
          <w:p w14:paraId="44BC8D84" w14:textId="4AFBD309"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28. </w:t>
            </w:r>
            <w:r w:rsidR="00B321CF" w:rsidRPr="004A6798">
              <w:rPr>
                <w:rFonts w:ascii="Segoe UI" w:hAnsi="Segoe UI" w:cs="Segoe UI"/>
                <w:b/>
                <w:bCs/>
                <w:sz w:val="18"/>
                <w:szCs w:val="18"/>
              </w:rPr>
              <w:t xml:space="preserve">Exemption for owners and beneficiaries of lands and land plots, </w:t>
            </w:r>
            <w:r w:rsidR="00B321CF" w:rsidRPr="004A6798">
              <w:rPr>
                <w:rFonts w:ascii="Segoe UI" w:hAnsi="Segoe UI" w:cs="Segoe UI"/>
                <w:b/>
                <w:bCs/>
                <w:w w:val="105"/>
                <w:sz w:val="18"/>
                <w:szCs w:val="18"/>
                <w:lang w:val="en"/>
              </w:rPr>
              <w:t xml:space="preserve">whose land and plots of land were subjected to chemical, radioactive and other pollution </w:t>
            </w:r>
          </w:p>
        </w:tc>
      </w:tr>
      <w:tr w:rsidR="007669E1" w:rsidRPr="007669E1" w14:paraId="67BB8AF7" w14:textId="77777777" w:rsidTr="005A7B4B">
        <w:tc>
          <w:tcPr>
            <w:tcW w:w="2425" w:type="dxa"/>
          </w:tcPr>
          <w:p w14:paraId="2C4078B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40646D22"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w w:val="105"/>
                <w:sz w:val="18"/>
                <w:szCs w:val="18"/>
                <w:lang w:val="en"/>
              </w:rPr>
              <w:t xml:space="preserve">The owners and beneficiaries whose land and plots of land were subjected to chemical, radioactive and other pollution shall be exempted, if the Government has </w:t>
            </w:r>
            <w:r w:rsidRPr="007669E1">
              <w:rPr>
                <w:rFonts w:ascii="Segoe UI" w:hAnsi="Segoe UI" w:cs="Segoe UI"/>
                <w:spacing w:val="-1"/>
                <w:w w:val="105"/>
                <w:sz w:val="18"/>
                <w:szCs w:val="18"/>
                <w:lang w:val="en"/>
              </w:rPr>
              <w:t>set restrictions to conduct agricultural works on this land.</w:t>
            </w:r>
          </w:p>
        </w:tc>
      </w:tr>
      <w:tr w:rsidR="007669E1" w:rsidRPr="007669E1" w14:paraId="5D134AF3" w14:textId="77777777" w:rsidTr="005A7B4B">
        <w:tc>
          <w:tcPr>
            <w:tcW w:w="2425" w:type="dxa"/>
          </w:tcPr>
          <w:p w14:paraId="20CF08D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4193C5A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69E1" w:rsidRPr="007669E1" w14:paraId="19722F92" w14:textId="77777777" w:rsidTr="005A7B4B">
        <w:tc>
          <w:tcPr>
            <w:tcW w:w="2425" w:type="dxa"/>
          </w:tcPr>
          <w:p w14:paraId="482F229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534F04A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and beneficiaries of designated categories of land.</w:t>
            </w:r>
          </w:p>
        </w:tc>
      </w:tr>
      <w:tr w:rsidR="007669E1" w:rsidRPr="007669E1" w14:paraId="0C9DFE2E" w14:textId="77777777" w:rsidTr="005A7B4B">
        <w:tc>
          <w:tcPr>
            <w:tcW w:w="2425" w:type="dxa"/>
          </w:tcPr>
          <w:p w14:paraId="4C97B0A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7260F4D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69E1" w:rsidRPr="007669E1" w14:paraId="738146AE" w14:textId="77777777" w:rsidTr="005A7B4B">
        <w:tc>
          <w:tcPr>
            <w:tcW w:w="2425" w:type="dxa"/>
          </w:tcPr>
          <w:p w14:paraId="242CD9F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67B3B05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669E1" w:rsidRPr="007669E1" w14:paraId="2C5244AF" w14:textId="77777777" w:rsidTr="005A7B4B">
        <w:tc>
          <w:tcPr>
            <w:tcW w:w="2425" w:type="dxa"/>
          </w:tcPr>
          <w:p w14:paraId="4181872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212BE739"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283(4)(j) of TC</w:t>
            </w:r>
          </w:p>
        </w:tc>
      </w:tr>
      <w:tr w:rsidR="00136C8F" w:rsidRPr="007669E1" w14:paraId="4418BBEF" w14:textId="77777777" w:rsidTr="005A7B4B">
        <w:trPr>
          <w:trHeight w:val="182"/>
        </w:trPr>
        <w:tc>
          <w:tcPr>
            <w:tcW w:w="2425" w:type="dxa"/>
            <w:vMerge w:val="restart"/>
          </w:tcPr>
          <w:p w14:paraId="6B21B24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06C163A7" w14:textId="77777777" w:rsidR="00476D10" w:rsidRPr="007669E1" w:rsidRDefault="00476D10" w:rsidP="00E90BA7">
            <w:pPr>
              <w:spacing w:before="20" w:after="20" w:line="240" w:lineRule="auto"/>
              <w:jc w:val="both"/>
              <w:rPr>
                <w:rFonts w:ascii="Segoe UI" w:hAnsi="Segoe UI" w:cs="Segoe UI"/>
                <w:sz w:val="18"/>
                <w:szCs w:val="18"/>
              </w:rPr>
            </w:pPr>
          </w:p>
        </w:tc>
      </w:tr>
      <w:tr w:rsidR="00136C8F" w:rsidRPr="007669E1" w14:paraId="115BF60B" w14:textId="77777777" w:rsidTr="005A7B4B">
        <w:trPr>
          <w:trHeight w:val="182"/>
        </w:trPr>
        <w:tc>
          <w:tcPr>
            <w:tcW w:w="2425" w:type="dxa"/>
            <w:vMerge/>
          </w:tcPr>
          <w:p w14:paraId="03EE977F" w14:textId="77777777" w:rsidR="00476D10" w:rsidRPr="004A6798" w:rsidRDefault="00476D10" w:rsidP="00E90BA7">
            <w:pPr>
              <w:spacing w:before="20" w:after="20" w:line="240" w:lineRule="auto"/>
              <w:jc w:val="both"/>
              <w:rPr>
                <w:rFonts w:ascii="Segoe UI" w:hAnsi="Segoe UI" w:cs="Segoe UI"/>
                <w:b/>
                <w:bCs/>
                <w:sz w:val="18"/>
                <w:szCs w:val="18"/>
              </w:rPr>
            </w:pPr>
          </w:p>
        </w:tc>
        <w:tc>
          <w:tcPr>
            <w:tcW w:w="3462" w:type="dxa"/>
            <w:gridSpan w:val="3"/>
          </w:tcPr>
          <w:p w14:paraId="7336842D" w14:textId="04940CBF"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0D79B686" w14:textId="0D102845"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46F2655E" w14:textId="77777777" w:rsidTr="005A7B4B">
        <w:tc>
          <w:tcPr>
            <w:tcW w:w="2425" w:type="dxa"/>
          </w:tcPr>
          <w:p w14:paraId="0FFAC2C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220F7B1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68C422E5" w14:textId="77777777" w:rsidTr="005A7B4B">
        <w:tc>
          <w:tcPr>
            <w:tcW w:w="2425" w:type="dxa"/>
          </w:tcPr>
          <w:p w14:paraId="5C27A79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7854D03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705EAED2" w14:textId="77777777" w:rsidTr="005A7B4B">
        <w:tc>
          <w:tcPr>
            <w:tcW w:w="2425" w:type="dxa"/>
          </w:tcPr>
          <w:p w14:paraId="477B9A7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42A934E3" w14:textId="3A41E7FB"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04A24239" w14:textId="77777777" w:rsidTr="005A7B4B">
        <w:tc>
          <w:tcPr>
            <w:tcW w:w="2425" w:type="dxa"/>
          </w:tcPr>
          <w:p w14:paraId="7B659DA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045D26B3" w14:textId="014E9E23" w:rsidR="00476D10" w:rsidRPr="007669E1" w:rsidRDefault="00111A2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C943A7" w:rsidRPr="007669E1" w14:paraId="31E419C0" w14:textId="77777777" w:rsidTr="002C37CB">
        <w:trPr>
          <w:trHeight w:val="91"/>
        </w:trPr>
        <w:tc>
          <w:tcPr>
            <w:tcW w:w="2425" w:type="dxa"/>
            <w:vMerge w:val="restart"/>
          </w:tcPr>
          <w:p w14:paraId="5FD34A17"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47CE35D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shd w:val="clear" w:color="auto" w:fill="auto"/>
          </w:tcPr>
          <w:p w14:paraId="4CF438A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shd w:val="clear" w:color="auto" w:fill="auto"/>
          </w:tcPr>
          <w:p w14:paraId="502DECF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shd w:val="clear" w:color="auto" w:fill="auto"/>
          </w:tcPr>
          <w:p w14:paraId="0CE92743"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shd w:val="clear" w:color="auto" w:fill="auto"/>
          </w:tcPr>
          <w:p w14:paraId="6793F327" w14:textId="3869506B"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136C8F" w:rsidRPr="007669E1" w14:paraId="403D67F7" w14:textId="77777777" w:rsidTr="00CE23B9">
        <w:trPr>
          <w:trHeight w:val="305"/>
        </w:trPr>
        <w:tc>
          <w:tcPr>
            <w:tcW w:w="2425" w:type="dxa"/>
            <w:vMerge/>
          </w:tcPr>
          <w:p w14:paraId="16BCBAE3"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center"/>
          </w:tcPr>
          <w:p w14:paraId="615A4BAA" w14:textId="0ED0D6DF" w:rsidR="00476D10" w:rsidRPr="007669E1" w:rsidRDefault="00A504C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c>
          <w:tcPr>
            <w:tcW w:w="1385" w:type="dxa"/>
            <w:shd w:val="clear" w:color="auto" w:fill="auto"/>
            <w:vAlign w:val="center"/>
          </w:tcPr>
          <w:p w14:paraId="6015913F" w14:textId="500AB966" w:rsidR="00476D10" w:rsidRPr="007669E1" w:rsidRDefault="00A504C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4.6</w:t>
            </w:r>
          </w:p>
        </w:tc>
        <w:tc>
          <w:tcPr>
            <w:tcW w:w="1385" w:type="dxa"/>
            <w:gridSpan w:val="2"/>
            <w:shd w:val="clear" w:color="auto" w:fill="auto"/>
            <w:vAlign w:val="center"/>
          </w:tcPr>
          <w:p w14:paraId="36720B95" w14:textId="46774B4E" w:rsidR="00476D10" w:rsidRPr="007669E1" w:rsidRDefault="00A504C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4.5</w:t>
            </w:r>
          </w:p>
        </w:tc>
        <w:tc>
          <w:tcPr>
            <w:tcW w:w="1385" w:type="dxa"/>
            <w:shd w:val="clear" w:color="auto" w:fill="auto"/>
            <w:vAlign w:val="center"/>
          </w:tcPr>
          <w:p w14:paraId="503329F8" w14:textId="6990D396" w:rsidR="00476D10" w:rsidRPr="007669E1" w:rsidRDefault="00A504C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1.0</w:t>
            </w:r>
          </w:p>
        </w:tc>
        <w:tc>
          <w:tcPr>
            <w:tcW w:w="1660" w:type="dxa"/>
            <w:shd w:val="clear" w:color="auto" w:fill="auto"/>
            <w:vAlign w:val="center"/>
          </w:tcPr>
          <w:p w14:paraId="55DDFCF0" w14:textId="39B2DDAA" w:rsidR="00476D10" w:rsidRPr="007669E1" w:rsidRDefault="00A504CE"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0ECA5456"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56F5E64A" w14:textId="77777777" w:rsidTr="005A7B4B">
        <w:tc>
          <w:tcPr>
            <w:tcW w:w="9625" w:type="dxa"/>
            <w:gridSpan w:val="7"/>
            <w:shd w:val="clear" w:color="auto" w:fill="D9D9D9" w:themeFill="background1" w:themeFillShade="D9"/>
          </w:tcPr>
          <w:p w14:paraId="6A584257" w14:textId="3BF07095"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29. Exemption for Free Economic Zones</w:t>
            </w:r>
          </w:p>
        </w:tc>
      </w:tr>
      <w:tr w:rsidR="007669E1" w:rsidRPr="007669E1" w14:paraId="250E6AA3" w14:textId="77777777" w:rsidTr="005A7B4B">
        <w:tc>
          <w:tcPr>
            <w:tcW w:w="2425" w:type="dxa"/>
          </w:tcPr>
          <w:p w14:paraId="329077D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6B51DCC6"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From the tax on real estate (lands, land plots) are exempted the administrations</w:t>
            </w:r>
          </w:p>
          <w:p w14:paraId="3E8F9330"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of free economic zones during the period of being in their management of the respective real estate.</w:t>
            </w:r>
          </w:p>
        </w:tc>
      </w:tr>
      <w:tr w:rsidR="007669E1" w:rsidRPr="007669E1" w14:paraId="0CD9FA4F" w14:textId="77777777" w:rsidTr="005A7B4B">
        <w:tc>
          <w:tcPr>
            <w:tcW w:w="2425" w:type="dxa"/>
          </w:tcPr>
          <w:p w14:paraId="351DACA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4E7580C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69E1" w:rsidRPr="007669E1" w14:paraId="6FB4516C" w14:textId="77777777" w:rsidTr="005A7B4B">
        <w:tc>
          <w:tcPr>
            <w:tcW w:w="2425" w:type="dxa"/>
          </w:tcPr>
          <w:p w14:paraId="21645C0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222B3C48"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Administrator of lands and land plots that are assigned free economic zone status.</w:t>
            </w:r>
          </w:p>
        </w:tc>
      </w:tr>
      <w:tr w:rsidR="007669E1" w:rsidRPr="007669E1" w14:paraId="7DC590AA" w14:textId="77777777" w:rsidTr="005A7B4B">
        <w:tc>
          <w:tcPr>
            <w:tcW w:w="2425" w:type="dxa"/>
          </w:tcPr>
          <w:p w14:paraId="73A4901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0B37FBD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69E1" w:rsidRPr="007669E1" w14:paraId="7A6DA7CF" w14:textId="77777777" w:rsidTr="005A7B4B">
        <w:tc>
          <w:tcPr>
            <w:tcW w:w="2425" w:type="dxa"/>
          </w:tcPr>
          <w:p w14:paraId="1F4BCBF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39DD50B3"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Moldovan business community benefiting from the land tax exemption.</w:t>
            </w:r>
          </w:p>
        </w:tc>
      </w:tr>
      <w:tr w:rsidR="007669E1" w:rsidRPr="007669E1" w14:paraId="6A1832D4" w14:textId="77777777" w:rsidTr="005A7B4B">
        <w:tc>
          <w:tcPr>
            <w:tcW w:w="2425" w:type="dxa"/>
          </w:tcPr>
          <w:p w14:paraId="5BCBA6A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lastRenderedPageBreak/>
              <w:t>Legal Reference</w:t>
            </w:r>
          </w:p>
        </w:tc>
        <w:tc>
          <w:tcPr>
            <w:tcW w:w="7200" w:type="dxa"/>
            <w:gridSpan w:val="6"/>
          </w:tcPr>
          <w:p w14:paraId="2EC581F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283(5) of Tax Code</w:t>
            </w:r>
          </w:p>
        </w:tc>
      </w:tr>
      <w:tr w:rsidR="00136C8F" w:rsidRPr="007669E1" w14:paraId="3E2EC5E4" w14:textId="77777777" w:rsidTr="005A7B4B">
        <w:trPr>
          <w:trHeight w:val="182"/>
        </w:trPr>
        <w:tc>
          <w:tcPr>
            <w:tcW w:w="2425" w:type="dxa"/>
            <w:vMerge w:val="restart"/>
          </w:tcPr>
          <w:p w14:paraId="3D62D52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1397B606" w14:textId="77777777" w:rsidR="00476D10" w:rsidRPr="007669E1" w:rsidRDefault="00476D10" w:rsidP="00E90BA7">
            <w:pPr>
              <w:spacing w:before="20" w:after="20" w:line="240" w:lineRule="auto"/>
              <w:jc w:val="both"/>
              <w:rPr>
                <w:rFonts w:ascii="Segoe UI" w:hAnsi="Segoe UI" w:cs="Segoe UI"/>
                <w:sz w:val="18"/>
                <w:szCs w:val="18"/>
              </w:rPr>
            </w:pPr>
          </w:p>
        </w:tc>
      </w:tr>
      <w:tr w:rsidR="00136C8F" w:rsidRPr="007669E1" w14:paraId="24BCAEF7" w14:textId="77777777" w:rsidTr="005A7B4B">
        <w:trPr>
          <w:trHeight w:val="182"/>
        </w:trPr>
        <w:tc>
          <w:tcPr>
            <w:tcW w:w="2425" w:type="dxa"/>
            <w:vMerge/>
          </w:tcPr>
          <w:p w14:paraId="236AA122" w14:textId="77777777" w:rsidR="00476D10" w:rsidRPr="004A6798" w:rsidRDefault="00476D10" w:rsidP="00E90BA7">
            <w:pPr>
              <w:spacing w:before="20" w:after="20" w:line="240" w:lineRule="auto"/>
              <w:jc w:val="both"/>
              <w:rPr>
                <w:rFonts w:ascii="Segoe UI" w:hAnsi="Segoe UI" w:cs="Segoe UI"/>
                <w:b/>
                <w:bCs/>
                <w:sz w:val="18"/>
                <w:szCs w:val="18"/>
              </w:rPr>
            </w:pPr>
          </w:p>
        </w:tc>
        <w:tc>
          <w:tcPr>
            <w:tcW w:w="3462" w:type="dxa"/>
            <w:gridSpan w:val="3"/>
          </w:tcPr>
          <w:p w14:paraId="4CB45F01" w14:textId="4C2F039F"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3EAD9868" w14:textId="3FE58DBF"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50146DA7" w14:textId="77777777" w:rsidTr="005A7B4B">
        <w:tc>
          <w:tcPr>
            <w:tcW w:w="2425" w:type="dxa"/>
          </w:tcPr>
          <w:p w14:paraId="759103C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574A14F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7549761C" w14:textId="77777777" w:rsidTr="005A7B4B">
        <w:tc>
          <w:tcPr>
            <w:tcW w:w="2425" w:type="dxa"/>
          </w:tcPr>
          <w:p w14:paraId="3ABF728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5D99EDED"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6B862177" w14:textId="77777777" w:rsidTr="005A7B4B">
        <w:tc>
          <w:tcPr>
            <w:tcW w:w="2425" w:type="dxa"/>
          </w:tcPr>
          <w:p w14:paraId="1E450849"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29137BEE" w14:textId="103F40C4"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1B64D3D9" w14:textId="77777777" w:rsidTr="005A7B4B">
        <w:tc>
          <w:tcPr>
            <w:tcW w:w="2425" w:type="dxa"/>
          </w:tcPr>
          <w:p w14:paraId="13BEC16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180F3B5B" w14:textId="1DEE97CE" w:rsidR="00476D10" w:rsidRPr="007669E1" w:rsidRDefault="001F0F6E"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136C8F" w:rsidRPr="007669E1" w14:paraId="685BACF4" w14:textId="77777777" w:rsidTr="005A7B4B">
        <w:trPr>
          <w:trHeight w:val="91"/>
        </w:trPr>
        <w:tc>
          <w:tcPr>
            <w:tcW w:w="2425" w:type="dxa"/>
            <w:vMerge w:val="restart"/>
          </w:tcPr>
          <w:p w14:paraId="061FF1BE"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1289CB8F"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4B52F60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48B4620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4B215BF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59D20020" w14:textId="78372A31"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775F01" w:rsidRPr="007669E1" w14:paraId="4E24057A" w14:textId="77777777" w:rsidTr="006C336C">
        <w:trPr>
          <w:trHeight w:val="305"/>
        </w:trPr>
        <w:tc>
          <w:tcPr>
            <w:tcW w:w="2425" w:type="dxa"/>
            <w:vMerge/>
          </w:tcPr>
          <w:p w14:paraId="20070AF9"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shd w:val="clear" w:color="auto" w:fill="auto"/>
          </w:tcPr>
          <w:p w14:paraId="493CAF60" w14:textId="7BA1F648" w:rsidR="00476D10" w:rsidRPr="007669E1" w:rsidRDefault="004F461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820C334" w14:textId="66002685" w:rsidR="00476D10" w:rsidRPr="007669E1" w:rsidRDefault="004F461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5BED66C0" w14:textId="21958AAF" w:rsidR="00476D10" w:rsidRPr="007669E1" w:rsidRDefault="004F461A"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D8BAAD1" w14:textId="4E236314" w:rsidR="00476D10" w:rsidRPr="007669E1" w:rsidRDefault="004F461A"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3224F050" w14:textId="4BAC07E3" w:rsidR="00476D10" w:rsidRPr="007669E1" w:rsidRDefault="004F461A"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56F3000C"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4800E242" w14:textId="77777777" w:rsidTr="005A7B4B">
        <w:tc>
          <w:tcPr>
            <w:tcW w:w="9625" w:type="dxa"/>
            <w:gridSpan w:val="7"/>
            <w:shd w:val="clear" w:color="auto" w:fill="D9D9D9" w:themeFill="background1" w:themeFillShade="D9"/>
          </w:tcPr>
          <w:p w14:paraId="4355A753" w14:textId="261E9F9D"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30. </w:t>
            </w:r>
            <w:r w:rsidR="0033723D" w:rsidRPr="004A6798">
              <w:rPr>
                <w:rFonts w:ascii="Segoe UI" w:hAnsi="Segoe UI" w:cs="Segoe UI"/>
                <w:b/>
                <w:bCs/>
                <w:sz w:val="18"/>
                <w:szCs w:val="18"/>
              </w:rPr>
              <w:t xml:space="preserve">Exemptions granted by </w:t>
            </w:r>
            <w:r w:rsidRPr="004A6798">
              <w:rPr>
                <w:rFonts w:ascii="Segoe UI" w:hAnsi="Segoe UI" w:cs="Segoe UI"/>
                <w:b/>
                <w:bCs/>
                <w:w w:val="105"/>
                <w:sz w:val="18"/>
                <w:szCs w:val="18"/>
                <w:lang w:val="en"/>
              </w:rPr>
              <w:t xml:space="preserve">representative authorities of local public administrations </w:t>
            </w:r>
            <w:r w:rsidR="00BA5FE5" w:rsidRPr="004A6798">
              <w:rPr>
                <w:rFonts w:ascii="Segoe UI" w:hAnsi="Segoe UI" w:cs="Segoe UI"/>
                <w:b/>
                <w:bCs/>
                <w:spacing w:val="-1"/>
                <w:w w:val="105"/>
                <w:sz w:val="18"/>
                <w:szCs w:val="18"/>
                <w:lang w:val="en"/>
              </w:rPr>
              <w:t xml:space="preserve">in case of </w:t>
            </w:r>
            <w:r w:rsidR="00BA5FE5" w:rsidRPr="004A6798">
              <w:rPr>
                <w:rFonts w:ascii="Segoe UI" w:hAnsi="Segoe UI" w:cs="Segoe UI"/>
                <w:b/>
                <w:bCs/>
                <w:w w:val="105"/>
                <w:sz w:val="18"/>
                <w:szCs w:val="18"/>
                <w:lang w:val="en"/>
              </w:rPr>
              <w:t>natural disaster or fire</w:t>
            </w:r>
          </w:p>
        </w:tc>
      </w:tr>
      <w:tr w:rsidR="00E72E03" w:rsidRPr="007669E1" w14:paraId="1A6C21DF" w14:textId="77777777" w:rsidTr="005A7B4B">
        <w:tc>
          <w:tcPr>
            <w:tcW w:w="2425" w:type="dxa"/>
          </w:tcPr>
          <w:p w14:paraId="64F4E64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223305A4" w14:textId="0C6E70C2" w:rsidR="00476D10" w:rsidRPr="007669E1" w:rsidRDefault="00FF122D" w:rsidP="00E90BA7">
            <w:pPr>
              <w:pStyle w:val="TableParagraph"/>
              <w:spacing w:before="20" w:after="20"/>
              <w:ind w:left="23"/>
              <w:jc w:val="both"/>
              <w:rPr>
                <w:rFonts w:ascii="Segoe UI" w:hAnsi="Segoe UI" w:cs="Segoe UI"/>
                <w:sz w:val="18"/>
                <w:szCs w:val="18"/>
              </w:rPr>
            </w:pPr>
            <w:r w:rsidRPr="007669E1">
              <w:rPr>
                <w:rFonts w:ascii="Segoe UI" w:hAnsi="Segoe UI" w:cs="Segoe UI"/>
                <w:w w:val="105"/>
                <w:sz w:val="18"/>
                <w:szCs w:val="18"/>
                <w:lang w:val="en"/>
              </w:rPr>
              <w:t xml:space="preserve">The representative authorities of local public administrations are authorized to grant exemptions or postponement of property tax payments to natural and legal persons </w:t>
            </w:r>
            <w:r w:rsidRPr="007669E1">
              <w:rPr>
                <w:rFonts w:ascii="Segoe UI" w:hAnsi="Segoe UI" w:cs="Segoe UI"/>
                <w:spacing w:val="-1"/>
                <w:w w:val="105"/>
                <w:sz w:val="18"/>
                <w:szCs w:val="18"/>
                <w:lang w:val="en"/>
              </w:rPr>
              <w:t xml:space="preserve">for the current fiscal year, in case of </w:t>
            </w:r>
            <w:r w:rsidRPr="007669E1">
              <w:rPr>
                <w:rFonts w:ascii="Segoe UI" w:hAnsi="Segoe UI" w:cs="Segoe UI"/>
                <w:w w:val="105"/>
                <w:sz w:val="18"/>
                <w:szCs w:val="18"/>
                <w:lang w:val="en"/>
              </w:rPr>
              <w:t>n</w:t>
            </w:r>
            <w:r w:rsidR="00476D10" w:rsidRPr="007669E1">
              <w:rPr>
                <w:rFonts w:ascii="Segoe UI" w:hAnsi="Segoe UI" w:cs="Segoe UI"/>
                <w:w w:val="105"/>
                <w:sz w:val="18"/>
                <w:szCs w:val="18"/>
                <w:lang w:val="en"/>
              </w:rPr>
              <w:t>atural disaster or fire, as a result of which the property, the planting or sowing of crops and multi-annual plantations were significantly destroyed or damaged.</w:t>
            </w:r>
          </w:p>
        </w:tc>
      </w:tr>
      <w:tr w:rsidR="00E72E03" w:rsidRPr="007669E1" w14:paraId="78ABAE6F" w14:textId="77777777" w:rsidTr="005A7B4B">
        <w:tc>
          <w:tcPr>
            <w:tcW w:w="2425" w:type="dxa"/>
          </w:tcPr>
          <w:p w14:paraId="415C31D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08EFF58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36D6D5AA" w14:textId="77777777" w:rsidTr="005A7B4B">
        <w:tc>
          <w:tcPr>
            <w:tcW w:w="2425" w:type="dxa"/>
          </w:tcPr>
          <w:p w14:paraId="6D4FC97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28F0BED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and beneficiaries of designated categories.</w:t>
            </w:r>
          </w:p>
        </w:tc>
      </w:tr>
      <w:tr w:rsidR="00E72E03" w:rsidRPr="007669E1" w14:paraId="5E5004CE" w14:textId="77777777" w:rsidTr="005A7B4B">
        <w:tc>
          <w:tcPr>
            <w:tcW w:w="2425" w:type="dxa"/>
          </w:tcPr>
          <w:p w14:paraId="6ACFA921"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3B98570B" w14:textId="08A2BDD9"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1F72D62B" w14:textId="77777777" w:rsidTr="005A7B4B">
        <w:tc>
          <w:tcPr>
            <w:tcW w:w="2425" w:type="dxa"/>
          </w:tcPr>
          <w:p w14:paraId="3ED53B70"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1556010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E72E03" w:rsidRPr="007669E1" w14:paraId="16CCD9BD" w14:textId="77777777" w:rsidTr="005A7B4B">
        <w:tc>
          <w:tcPr>
            <w:tcW w:w="2425" w:type="dxa"/>
          </w:tcPr>
          <w:p w14:paraId="138EFAE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6F3D1EA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284(1)(a) of TC</w:t>
            </w:r>
          </w:p>
        </w:tc>
      </w:tr>
      <w:tr w:rsidR="00E72E03" w:rsidRPr="007669E1" w14:paraId="78B61549" w14:textId="77777777" w:rsidTr="005A7B4B">
        <w:trPr>
          <w:trHeight w:val="182"/>
        </w:trPr>
        <w:tc>
          <w:tcPr>
            <w:tcW w:w="2425" w:type="dxa"/>
            <w:vMerge w:val="restart"/>
          </w:tcPr>
          <w:p w14:paraId="4BC9D3A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18C92C52" w14:textId="77777777" w:rsidR="00476D10" w:rsidRPr="007669E1" w:rsidRDefault="00476D10" w:rsidP="00E90BA7">
            <w:pPr>
              <w:spacing w:before="20" w:after="20" w:line="240" w:lineRule="auto"/>
              <w:jc w:val="both"/>
              <w:rPr>
                <w:rFonts w:ascii="Segoe UI" w:hAnsi="Segoe UI" w:cs="Segoe UI"/>
                <w:sz w:val="18"/>
                <w:szCs w:val="18"/>
              </w:rPr>
            </w:pPr>
          </w:p>
        </w:tc>
      </w:tr>
      <w:tr w:rsidR="007619A8" w:rsidRPr="007669E1" w14:paraId="3DACAF17" w14:textId="77777777" w:rsidTr="005A7B4B">
        <w:trPr>
          <w:trHeight w:val="182"/>
        </w:trPr>
        <w:tc>
          <w:tcPr>
            <w:tcW w:w="2425" w:type="dxa"/>
            <w:vMerge/>
          </w:tcPr>
          <w:p w14:paraId="7C5B8701" w14:textId="77777777" w:rsidR="00476D10" w:rsidRPr="004A6798" w:rsidRDefault="00476D10" w:rsidP="00E90BA7">
            <w:pPr>
              <w:spacing w:before="20" w:after="20" w:line="240" w:lineRule="auto"/>
              <w:jc w:val="both"/>
              <w:rPr>
                <w:rFonts w:ascii="Segoe UI" w:hAnsi="Segoe UI" w:cs="Segoe UI"/>
                <w:b/>
                <w:bCs/>
                <w:sz w:val="18"/>
                <w:szCs w:val="18"/>
              </w:rPr>
            </w:pPr>
          </w:p>
        </w:tc>
        <w:tc>
          <w:tcPr>
            <w:tcW w:w="3462" w:type="dxa"/>
            <w:gridSpan w:val="3"/>
          </w:tcPr>
          <w:p w14:paraId="5E572A5F" w14:textId="69E698F8"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510165D6" w14:textId="647BB87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1E511499" w14:textId="77777777" w:rsidTr="005A7B4B">
        <w:tc>
          <w:tcPr>
            <w:tcW w:w="2425" w:type="dxa"/>
          </w:tcPr>
          <w:p w14:paraId="24C5D1D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5410A9DB"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4755C8F2" w14:textId="77777777" w:rsidTr="005A7B4B">
        <w:tc>
          <w:tcPr>
            <w:tcW w:w="2425" w:type="dxa"/>
          </w:tcPr>
          <w:p w14:paraId="278FE37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5616E4D6"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4F13D377" w14:textId="77777777" w:rsidTr="005A7B4B">
        <w:tc>
          <w:tcPr>
            <w:tcW w:w="2425" w:type="dxa"/>
          </w:tcPr>
          <w:p w14:paraId="410AD8A3"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38988ADB" w14:textId="29B9C0CA"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783F4F03" w14:textId="77777777" w:rsidTr="005A7B4B">
        <w:tc>
          <w:tcPr>
            <w:tcW w:w="2425" w:type="dxa"/>
          </w:tcPr>
          <w:p w14:paraId="46A46940"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2C66A11B" w14:textId="4156FD00" w:rsidR="00476D10" w:rsidRPr="007669E1" w:rsidRDefault="00A9303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A2051E" w:rsidRPr="007669E1" w14:paraId="4BCFEF0F" w14:textId="77777777" w:rsidTr="005A7B4B">
        <w:trPr>
          <w:trHeight w:val="91"/>
        </w:trPr>
        <w:tc>
          <w:tcPr>
            <w:tcW w:w="2425" w:type="dxa"/>
            <w:vMerge w:val="restart"/>
          </w:tcPr>
          <w:p w14:paraId="2FC72DDC"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07372FD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6B33C3B7"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3BE8378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56A7B74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7B2EC1DB" w14:textId="69A7CBF9"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E72E03" w:rsidRPr="007669E1" w14:paraId="34DD8DD7" w14:textId="77777777" w:rsidTr="00CE23B9">
        <w:trPr>
          <w:trHeight w:val="305"/>
        </w:trPr>
        <w:tc>
          <w:tcPr>
            <w:tcW w:w="2425" w:type="dxa"/>
            <w:vMerge/>
          </w:tcPr>
          <w:p w14:paraId="03130013"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vAlign w:val="center"/>
          </w:tcPr>
          <w:p w14:paraId="0AF6826B" w14:textId="4134C59D" w:rsidR="00476D10" w:rsidRPr="007669E1" w:rsidRDefault="002268D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84</w:t>
            </w:r>
            <w:r w:rsidR="003D08E0" w:rsidRPr="007669E1">
              <w:rPr>
                <w:rFonts w:ascii="Segoe UI" w:hAnsi="Segoe UI" w:cs="Segoe UI"/>
                <w:sz w:val="18"/>
                <w:szCs w:val="18"/>
              </w:rPr>
              <w:t>.5</w:t>
            </w:r>
          </w:p>
        </w:tc>
        <w:tc>
          <w:tcPr>
            <w:tcW w:w="1385" w:type="dxa"/>
            <w:shd w:val="clear" w:color="auto" w:fill="auto"/>
            <w:vAlign w:val="center"/>
          </w:tcPr>
          <w:p w14:paraId="4DD67592" w14:textId="208DDEFF" w:rsidR="00476D10" w:rsidRPr="007669E1" w:rsidRDefault="00F530E7"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105.7</w:t>
            </w:r>
          </w:p>
        </w:tc>
        <w:tc>
          <w:tcPr>
            <w:tcW w:w="1385" w:type="dxa"/>
            <w:gridSpan w:val="2"/>
            <w:shd w:val="clear" w:color="auto" w:fill="auto"/>
            <w:vAlign w:val="center"/>
          </w:tcPr>
          <w:p w14:paraId="59D09808" w14:textId="7DB090A2" w:rsidR="00476D10" w:rsidRPr="007669E1" w:rsidRDefault="00F530E7"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160.3</w:t>
            </w:r>
          </w:p>
        </w:tc>
        <w:tc>
          <w:tcPr>
            <w:tcW w:w="1385" w:type="dxa"/>
            <w:shd w:val="clear" w:color="auto" w:fill="auto"/>
            <w:vAlign w:val="center"/>
          </w:tcPr>
          <w:p w14:paraId="722DA381" w14:textId="79A9994C" w:rsidR="00476D10" w:rsidRPr="007669E1" w:rsidRDefault="00F530E7"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89.1</w:t>
            </w:r>
          </w:p>
        </w:tc>
        <w:tc>
          <w:tcPr>
            <w:tcW w:w="1660" w:type="dxa"/>
            <w:shd w:val="clear" w:color="auto" w:fill="auto"/>
            <w:vAlign w:val="center"/>
          </w:tcPr>
          <w:p w14:paraId="5BE68086" w14:textId="7636C587" w:rsidR="00476D10" w:rsidRPr="007669E1" w:rsidRDefault="00F530E7"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32973FEE" w14:textId="77777777"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131240F5" w14:textId="77777777" w:rsidTr="005A7B4B">
        <w:tc>
          <w:tcPr>
            <w:tcW w:w="9625" w:type="dxa"/>
            <w:gridSpan w:val="7"/>
            <w:shd w:val="clear" w:color="auto" w:fill="D9D9D9" w:themeFill="background1" w:themeFillShade="D9"/>
          </w:tcPr>
          <w:p w14:paraId="6F7C6A98" w14:textId="20A9864B"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31. </w:t>
            </w:r>
            <w:r w:rsidR="005E030E" w:rsidRPr="004A6798">
              <w:rPr>
                <w:rFonts w:ascii="Segoe UI" w:hAnsi="Segoe UI" w:cs="Segoe UI"/>
                <w:b/>
                <w:bCs/>
                <w:sz w:val="18"/>
                <w:szCs w:val="18"/>
              </w:rPr>
              <w:t xml:space="preserve">Exemptions granted by </w:t>
            </w:r>
            <w:r w:rsidR="005E030E" w:rsidRPr="004A6798">
              <w:rPr>
                <w:rFonts w:ascii="Segoe UI" w:hAnsi="Segoe UI" w:cs="Segoe UI"/>
                <w:b/>
                <w:bCs/>
                <w:w w:val="105"/>
                <w:sz w:val="18"/>
                <w:szCs w:val="18"/>
                <w:lang w:val="en"/>
              </w:rPr>
              <w:t xml:space="preserve">representative authorities of local public administrations to mitigate the negative impact on the environment stemming from </w:t>
            </w:r>
            <w:r w:rsidR="00BB6A3B" w:rsidRPr="004A6798">
              <w:rPr>
                <w:rFonts w:ascii="Segoe UI" w:hAnsi="Segoe UI" w:cs="Segoe UI"/>
                <w:b/>
                <w:bCs/>
                <w:w w:val="105"/>
                <w:sz w:val="18"/>
                <w:szCs w:val="18"/>
                <w:lang w:val="en"/>
              </w:rPr>
              <w:t xml:space="preserve">their </w:t>
            </w:r>
            <w:r w:rsidR="005E030E" w:rsidRPr="004A6798">
              <w:rPr>
                <w:rFonts w:ascii="Segoe UI" w:hAnsi="Segoe UI" w:cs="Segoe UI"/>
                <w:b/>
                <w:bCs/>
                <w:w w:val="105"/>
                <w:sz w:val="18"/>
                <w:szCs w:val="18"/>
                <w:lang w:val="en"/>
              </w:rPr>
              <w:t>economic activities</w:t>
            </w:r>
          </w:p>
        </w:tc>
      </w:tr>
      <w:tr w:rsidR="00E72E03" w:rsidRPr="007669E1" w14:paraId="7AC67793" w14:textId="77777777" w:rsidTr="005A7B4B">
        <w:tc>
          <w:tcPr>
            <w:tcW w:w="2425" w:type="dxa"/>
          </w:tcPr>
          <w:p w14:paraId="3E52B4A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05E9F0C5" w14:textId="10801206" w:rsidR="00476D10" w:rsidRPr="007669E1" w:rsidRDefault="00EB767A" w:rsidP="00E90BA7">
            <w:pPr>
              <w:pStyle w:val="TableParagraph"/>
              <w:spacing w:before="20" w:after="20"/>
              <w:ind w:left="23"/>
              <w:jc w:val="both"/>
              <w:rPr>
                <w:rFonts w:ascii="Segoe UI" w:hAnsi="Segoe UI" w:cs="Segoe UI"/>
                <w:sz w:val="18"/>
                <w:szCs w:val="18"/>
              </w:rPr>
            </w:pPr>
            <w:r w:rsidRPr="007669E1">
              <w:rPr>
                <w:rFonts w:ascii="Segoe UI" w:hAnsi="Segoe UI" w:cs="Segoe UI"/>
                <w:w w:val="105"/>
                <w:sz w:val="18"/>
                <w:szCs w:val="18"/>
                <w:lang w:val="en"/>
              </w:rPr>
              <w:t xml:space="preserve">The representative authorities of local public administrations are authorized to grant exemptions or postponement of property tax payments to natural and legal persons </w:t>
            </w:r>
            <w:r w:rsidRPr="007669E1">
              <w:rPr>
                <w:rFonts w:ascii="Segoe UI" w:hAnsi="Segoe UI" w:cs="Segoe UI"/>
                <w:spacing w:val="-1"/>
                <w:w w:val="105"/>
                <w:sz w:val="18"/>
                <w:szCs w:val="18"/>
                <w:lang w:val="en"/>
              </w:rPr>
              <w:t xml:space="preserve">for the current fiscal year, </w:t>
            </w:r>
            <w:r w:rsidR="00476D10" w:rsidRPr="007669E1">
              <w:rPr>
                <w:rFonts w:ascii="Segoe UI" w:hAnsi="Segoe UI" w:cs="Segoe UI"/>
                <w:w w:val="105"/>
                <w:sz w:val="18"/>
                <w:szCs w:val="18"/>
                <w:lang w:val="en"/>
              </w:rPr>
              <w:t xml:space="preserve">to mitigate the negative impact on the environment stemming from their economic activities. In this case, tax exemptions may be granted for </w:t>
            </w:r>
            <w:r w:rsidR="00476D10" w:rsidRPr="007669E1">
              <w:rPr>
                <w:rFonts w:ascii="Segoe UI" w:hAnsi="Segoe UI" w:cs="Segoe UI"/>
                <w:spacing w:val="-1"/>
                <w:w w:val="105"/>
                <w:sz w:val="18"/>
                <w:szCs w:val="18"/>
                <w:lang w:val="en"/>
              </w:rPr>
              <w:t>the normative duration of associated construction works.</w:t>
            </w:r>
          </w:p>
        </w:tc>
      </w:tr>
      <w:tr w:rsidR="00E72E03" w:rsidRPr="007669E1" w14:paraId="5603A827" w14:textId="77777777" w:rsidTr="005A7B4B">
        <w:tc>
          <w:tcPr>
            <w:tcW w:w="2425" w:type="dxa"/>
          </w:tcPr>
          <w:p w14:paraId="2AE64395"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5EBB644C"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7AFCD848" w14:textId="77777777" w:rsidTr="005A7B4B">
        <w:tc>
          <w:tcPr>
            <w:tcW w:w="2425" w:type="dxa"/>
          </w:tcPr>
          <w:p w14:paraId="6556B343"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4A27FC0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Landowners and beneficiaries of designated land categories.</w:t>
            </w:r>
          </w:p>
        </w:tc>
      </w:tr>
      <w:tr w:rsidR="00E72E03" w:rsidRPr="007669E1" w14:paraId="5AADDB04" w14:textId="77777777" w:rsidTr="005A7B4B">
        <w:tc>
          <w:tcPr>
            <w:tcW w:w="2425" w:type="dxa"/>
          </w:tcPr>
          <w:p w14:paraId="51023B64"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5DAD4145" w14:textId="07F1C9D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3BD2549E" w14:textId="77777777" w:rsidTr="005A7B4B">
        <w:tc>
          <w:tcPr>
            <w:tcW w:w="2425" w:type="dxa"/>
          </w:tcPr>
          <w:p w14:paraId="5AB81852"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6389E2E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E72E03" w:rsidRPr="007669E1" w14:paraId="3ACFFEEF" w14:textId="77777777" w:rsidTr="005A7B4B">
        <w:tc>
          <w:tcPr>
            <w:tcW w:w="2425" w:type="dxa"/>
          </w:tcPr>
          <w:p w14:paraId="0F04FAA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lastRenderedPageBreak/>
              <w:t>Legal Reference</w:t>
            </w:r>
          </w:p>
        </w:tc>
        <w:tc>
          <w:tcPr>
            <w:tcW w:w="7200" w:type="dxa"/>
            <w:gridSpan w:val="6"/>
          </w:tcPr>
          <w:p w14:paraId="4D11B16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284(1)(b) of TC</w:t>
            </w:r>
          </w:p>
        </w:tc>
      </w:tr>
      <w:tr w:rsidR="00E72E03" w:rsidRPr="007669E1" w14:paraId="19766628" w14:textId="77777777" w:rsidTr="005A7B4B">
        <w:trPr>
          <w:trHeight w:val="182"/>
        </w:trPr>
        <w:tc>
          <w:tcPr>
            <w:tcW w:w="2425" w:type="dxa"/>
            <w:vMerge w:val="restart"/>
          </w:tcPr>
          <w:p w14:paraId="5873DEFB"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703E19F3" w14:textId="77777777" w:rsidR="00476D10" w:rsidRPr="007669E1" w:rsidRDefault="00476D10" w:rsidP="00E90BA7">
            <w:pPr>
              <w:spacing w:before="20" w:after="20" w:line="240" w:lineRule="auto"/>
              <w:jc w:val="both"/>
              <w:rPr>
                <w:rFonts w:ascii="Segoe UI" w:hAnsi="Segoe UI" w:cs="Segoe UI"/>
                <w:sz w:val="18"/>
                <w:szCs w:val="18"/>
              </w:rPr>
            </w:pPr>
          </w:p>
        </w:tc>
      </w:tr>
      <w:tr w:rsidR="007619A8" w:rsidRPr="007669E1" w14:paraId="0F2CD49A" w14:textId="77777777" w:rsidTr="005A7B4B">
        <w:trPr>
          <w:trHeight w:val="182"/>
        </w:trPr>
        <w:tc>
          <w:tcPr>
            <w:tcW w:w="2425" w:type="dxa"/>
            <w:vMerge/>
          </w:tcPr>
          <w:p w14:paraId="6E39CF24" w14:textId="77777777" w:rsidR="00476D10" w:rsidRPr="004A6798" w:rsidRDefault="00476D10" w:rsidP="00E90BA7">
            <w:pPr>
              <w:spacing w:before="20" w:after="20" w:line="240" w:lineRule="auto"/>
              <w:jc w:val="both"/>
              <w:rPr>
                <w:rFonts w:ascii="Segoe UI" w:hAnsi="Segoe UI" w:cs="Segoe UI"/>
                <w:b/>
                <w:bCs/>
                <w:sz w:val="18"/>
                <w:szCs w:val="18"/>
              </w:rPr>
            </w:pPr>
          </w:p>
        </w:tc>
        <w:tc>
          <w:tcPr>
            <w:tcW w:w="3462" w:type="dxa"/>
            <w:gridSpan w:val="3"/>
          </w:tcPr>
          <w:p w14:paraId="3ACC8446" w14:textId="17951CF9"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52FB565B" w14:textId="795FC201"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52E207A4" w14:textId="77777777" w:rsidTr="005A7B4B">
        <w:tc>
          <w:tcPr>
            <w:tcW w:w="2425" w:type="dxa"/>
          </w:tcPr>
          <w:p w14:paraId="45E4CED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75E0F9F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379E0794" w14:textId="77777777" w:rsidTr="005A7B4B">
        <w:tc>
          <w:tcPr>
            <w:tcW w:w="2425" w:type="dxa"/>
          </w:tcPr>
          <w:p w14:paraId="444BFE1D"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326068B7"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6ED5466E" w14:textId="77777777" w:rsidTr="005A7B4B">
        <w:tc>
          <w:tcPr>
            <w:tcW w:w="2425" w:type="dxa"/>
          </w:tcPr>
          <w:p w14:paraId="44957D1A"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643560F3" w14:textId="600178B3" w:rsidR="00476D10" w:rsidRPr="007669E1" w:rsidRDefault="007B189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17CFDD0E" w14:textId="77777777" w:rsidTr="005A7B4B">
        <w:tc>
          <w:tcPr>
            <w:tcW w:w="2425" w:type="dxa"/>
          </w:tcPr>
          <w:p w14:paraId="06FBE958"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0933805B" w14:textId="2E44CECB" w:rsidR="00476D10" w:rsidRPr="007669E1" w:rsidRDefault="002132D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476D10" w:rsidRPr="007669E1">
              <w:rPr>
                <w:rFonts w:ascii="Segoe UI" w:hAnsi="Segoe UI" w:cs="Segoe UI"/>
                <w:sz w:val="18"/>
                <w:szCs w:val="18"/>
              </w:rPr>
              <w:t xml:space="preserve"> MDL</w:t>
            </w:r>
          </w:p>
        </w:tc>
      </w:tr>
      <w:tr w:rsidR="00A2051E" w:rsidRPr="007669E1" w14:paraId="2904D1F5" w14:textId="77777777" w:rsidTr="005A7B4B">
        <w:trPr>
          <w:trHeight w:val="91"/>
        </w:trPr>
        <w:tc>
          <w:tcPr>
            <w:tcW w:w="2425" w:type="dxa"/>
            <w:vMerge w:val="restart"/>
          </w:tcPr>
          <w:p w14:paraId="1C602C31"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tcPr>
          <w:p w14:paraId="308C1FEE"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0AB1B5EC"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5E9CC4A6"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3F30EAB3" w14:textId="77777777" w:rsidR="00476D10" w:rsidRPr="004A6798" w:rsidRDefault="00476D10"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52A89910" w14:textId="3CA03273" w:rsidR="00476D10" w:rsidRPr="004A6798" w:rsidRDefault="000C00AF"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7619A8" w:rsidRPr="007669E1" w14:paraId="6668841C" w14:textId="77777777" w:rsidTr="00CE23B9">
        <w:trPr>
          <w:trHeight w:val="305"/>
        </w:trPr>
        <w:tc>
          <w:tcPr>
            <w:tcW w:w="2425" w:type="dxa"/>
            <w:vMerge/>
          </w:tcPr>
          <w:p w14:paraId="38F760FF"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shd w:val="clear" w:color="auto" w:fill="auto"/>
            <w:vAlign w:val="center"/>
          </w:tcPr>
          <w:p w14:paraId="0550EAEF" w14:textId="20BE1A3D" w:rsidR="00476D10" w:rsidRPr="007669E1" w:rsidRDefault="009E50E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0.9</w:t>
            </w:r>
          </w:p>
        </w:tc>
        <w:tc>
          <w:tcPr>
            <w:tcW w:w="1385" w:type="dxa"/>
            <w:shd w:val="clear" w:color="auto" w:fill="auto"/>
            <w:vAlign w:val="center"/>
          </w:tcPr>
          <w:p w14:paraId="3096D2C1" w14:textId="38015D7E" w:rsidR="00476D10" w:rsidRPr="007669E1" w:rsidRDefault="001971F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14.5</w:t>
            </w:r>
          </w:p>
        </w:tc>
        <w:tc>
          <w:tcPr>
            <w:tcW w:w="1385" w:type="dxa"/>
            <w:gridSpan w:val="2"/>
            <w:shd w:val="clear" w:color="auto" w:fill="auto"/>
            <w:vAlign w:val="center"/>
          </w:tcPr>
          <w:p w14:paraId="59EB76FE" w14:textId="276C819E" w:rsidR="00476D10" w:rsidRPr="007669E1" w:rsidRDefault="001971F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0.2</w:t>
            </w:r>
          </w:p>
        </w:tc>
        <w:tc>
          <w:tcPr>
            <w:tcW w:w="1385" w:type="dxa"/>
            <w:shd w:val="clear" w:color="auto" w:fill="auto"/>
            <w:vAlign w:val="center"/>
          </w:tcPr>
          <w:p w14:paraId="078018BC" w14:textId="08B551E2" w:rsidR="00476D10" w:rsidRPr="007669E1" w:rsidRDefault="001971F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173.6</w:t>
            </w:r>
          </w:p>
        </w:tc>
        <w:tc>
          <w:tcPr>
            <w:tcW w:w="1660" w:type="dxa"/>
            <w:shd w:val="clear" w:color="auto" w:fill="auto"/>
            <w:vAlign w:val="center"/>
          </w:tcPr>
          <w:p w14:paraId="5841911A" w14:textId="0860F28F" w:rsidR="00476D10" w:rsidRPr="007669E1" w:rsidRDefault="001971FB"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017A3A59" w14:textId="77777777" w:rsidR="008D7DE8" w:rsidRPr="007669E1" w:rsidRDefault="008D7DE8"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653F4D07" w14:textId="77777777" w:rsidTr="005A7B4B">
        <w:tc>
          <w:tcPr>
            <w:tcW w:w="9625" w:type="dxa"/>
            <w:gridSpan w:val="7"/>
            <w:shd w:val="clear" w:color="auto" w:fill="D9D9D9" w:themeFill="background1" w:themeFillShade="D9"/>
          </w:tcPr>
          <w:p w14:paraId="652205A4" w14:textId="7533DFB8"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32. Exemptions granted by </w:t>
            </w:r>
            <w:r w:rsidRPr="004A6798">
              <w:rPr>
                <w:rFonts w:ascii="Segoe UI" w:hAnsi="Segoe UI" w:cs="Segoe UI"/>
                <w:b/>
                <w:bCs/>
                <w:w w:val="105"/>
                <w:sz w:val="18"/>
                <w:szCs w:val="18"/>
                <w:lang w:val="en"/>
              </w:rPr>
              <w:t>representative authorities of local public administrations in case of l</w:t>
            </w:r>
            <w:r w:rsidRPr="004A6798">
              <w:rPr>
                <w:rFonts w:ascii="Segoe UI" w:hAnsi="Segoe UI" w:cs="Segoe UI"/>
                <w:b/>
                <w:bCs/>
                <w:spacing w:val="-1"/>
                <w:w w:val="105"/>
                <w:sz w:val="18"/>
                <w:szCs w:val="18"/>
                <w:lang w:val="en"/>
              </w:rPr>
              <w:t>ong illness or death of the property owner</w:t>
            </w:r>
            <w:r w:rsidRPr="004A6798">
              <w:rPr>
                <w:rFonts w:ascii="Segoe UI" w:hAnsi="Segoe UI" w:cs="Segoe UI"/>
                <w:b/>
                <w:bCs/>
                <w:w w:val="105"/>
                <w:sz w:val="18"/>
                <w:szCs w:val="18"/>
                <w:lang w:val="en"/>
              </w:rPr>
              <w:t xml:space="preserve"> </w:t>
            </w:r>
          </w:p>
        </w:tc>
      </w:tr>
      <w:tr w:rsidR="00E72E03" w:rsidRPr="007669E1" w14:paraId="327F233B" w14:textId="77777777" w:rsidTr="005A7B4B">
        <w:tc>
          <w:tcPr>
            <w:tcW w:w="2425" w:type="dxa"/>
          </w:tcPr>
          <w:p w14:paraId="487AE753"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2E093691" w14:textId="77777777" w:rsidR="008D7DE8" w:rsidRPr="007669E1" w:rsidRDefault="008D7DE8"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Exemptions granted by </w:t>
            </w:r>
            <w:r w:rsidRPr="007669E1">
              <w:rPr>
                <w:rFonts w:ascii="Segoe UI" w:hAnsi="Segoe UI" w:cs="Segoe UI"/>
                <w:w w:val="105"/>
                <w:sz w:val="18"/>
                <w:szCs w:val="18"/>
                <w:lang w:val="en"/>
              </w:rPr>
              <w:t xml:space="preserve">representative authorities of local public administrations in case of </w:t>
            </w:r>
            <w:r w:rsidRPr="007669E1">
              <w:rPr>
                <w:rFonts w:ascii="Segoe UI" w:hAnsi="Segoe UI" w:cs="Segoe UI"/>
                <w:spacing w:val="-1"/>
                <w:w w:val="105"/>
                <w:sz w:val="18"/>
                <w:szCs w:val="18"/>
                <w:lang w:val="en"/>
              </w:rPr>
              <w:t>long illness or death of the property owner and as confirmed by medical or death certificate, respectively.</w:t>
            </w:r>
          </w:p>
        </w:tc>
      </w:tr>
      <w:tr w:rsidR="00E72E03" w:rsidRPr="007669E1" w14:paraId="641C6ED0" w14:textId="77777777" w:rsidTr="005A7B4B">
        <w:tc>
          <w:tcPr>
            <w:tcW w:w="2425" w:type="dxa"/>
          </w:tcPr>
          <w:p w14:paraId="52775E02"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485E48D2" w14:textId="77777777"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E72E03" w:rsidRPr="007669E1" w14:paraId="4D5517A0" w14:textId="77777777" w:rsidTr="005A7B4B">
        <w:tc>
          <w:tcPr>
            <w:tcW w:w="2425" w:type="dxa"/>
          </w:tcPr>
          <w:p w14:paraId="31D40931"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2E71584C" w14:textId="77777777"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Property owners of designated two categories.</w:t>
            </w:r>
          </w:p>
        </w:tc>
      </w:tr>
      <w:tr w:rsidR="00E72E03" w:rsidRPr="007669E1" w14:paraId="3BBD6E25" w14:textId="77777777" w:rsidTr="005A7B4B">
        <w:tc>
          <w:tcPr>
            <w:tcW w:w="2425" w:type="dxa"/>
          </w:tcPr>
          <w:p w14:paraId="547841EC"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2485CAAF" w14:textId="61160C2F"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E72E03" w:rsidRPr="007669E1" w14:paraId="030EF302" w14:textId="77777777" w:rsidTr="005A7B4B">
        <w:tc>
          <w:tcPr>
            <w:tcW w:w="2425" w:type="dxa"/>
          </w:tcPr>
          <w:p w14:paraId="6D3761B9"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00ACDFB6" w14:textId="77777777"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E72E03" w:rsidRPr="007669E1" w14:paraId="47A7F5CC" w14:textId="77777777" w:rsidTr="005A7B4B">
        <w:tc>
          <w:tcPr>
            <w:tcW w:w="2425" w:type="dxa"/>
          </w:tcPr>
          <w:p w14:paraId="6F8D3571"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174831B7" w14:textId="77777777"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284(1)(c) of TC</w:t>
            </w:r>
          </w:p>
        </w:tc>
      </w:tr>
      <w:tr w:rsidR="00E72E03" w:rsidRPr="007669E1" w14:paraId="3CB03C50" w14:textId="77777777" w:rsidTr="005A7B4B">
        <w:trPr>
          <w:trHeight w:val="182"/>
        </w:trPr>
        <w:tc>
          <w:tcPr>
            <w:tcW w:w="2425" w:type="dxa"/>
            <w:vMerge w:val="restart"/>
          </w:tcPr>
          <w:p w14:paraId="118D756B"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7ADE4955" w14:textId="77777777" w:rsidR="008D7DE8" w:rsidRPr="007669E1" w:rsidRDefault="008D7DE8" w:rsidP="00E90BA7">
            <w:pPr>
              <w:spacing w:before="20" w:after="20" w:line="240" w:lineRule="auto"/>
              <w:jc w:val="both"/>
              <w:rPr>
                <w:rFonts w:ascii="Segoe UI" w:hAnsi="Segoe UI" w:cs="Segoe UI"/>
                <w:sz w:val="18"/>
                <w:szCs w:val="18"/>
              </w:rPr>
            </w:pPr>
          </w:p>
        </w:tc>
      </w:tr>
      <w:tr w:rsidR="007619A8" w:rsidRPr="007669E1" w14:paraId="64288DD5" w14:textId="77777777" w:rsidTr="005A7B4B">
        <w:trPr>
          <w:trHeight w:val="182"/>
        </w:trPr>
        <w:tc>
          <w:tcPr>
            <w:tcW w:w="2425" w:type="dxa"/>
            <w:vMerge/>
          </w:tcPr>
          <w:p w14:paraId="50069B68" w14:textId="77777777" w:rsidR="008D7DE8" w:rsidRPr="004A6798" w:rsidRDefault="008D7DE8" w:rsidP="00E90BA7">
            <w:pPr>
              <w:spacing w:before="20" w:after="20" w:line="240" w:lineRule="auto"/>
              <w:jc w:val="both"/>
              <w:rPr>
                <w:rFonts w:ascii="Segoe UI" w:hAnsi="Segoe UI" w:cs="Segoe UI"/>
                <w:b/>
                <w:bCs/>
                <w:sz w:val="18"/>
                <w:szCs w:val="18"/>
              </w:rPr>
            </w:pPr>
          </w:p>
        </w:tc>
        <w:tc>
          <w:tcPr>
            <w:tcW w:w="3462" w:type="dxa"/>
            <w:gridSpan w:val="3"/>
          </w:tcPr>
          <w:p w14:paraId="2884D686" w14:textId="434348EA"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0B26A22F" w14:textId="69A2A356"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E72E03" w:rsidRPr="007669E1" w14:paraId="02BC915D" w14:textId="77777777" w:rsidTr="005A7B4B">
        <w:tc>
          <w:tcPr>
            <w:tcW w:w="2425" w:type="dxa"/>
          </w:tcPr>
          <w:p w14:paraId="02D61D64"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6B324637" w14:textId="77777777"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E72E03" w:rsidRPr="007669E1" w14:paraId="0AD73B5E" w14:textId="77777777" w:rsidTr="005A7B4B">
        <w:tc>
          <w:tcPr>
            <w:tcW w:w="2425" w:type="dxa"/>
          </w:tcPr>
          <w:p w14:paraId="17215E0D"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7621D437" w14:textId="77777777"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4CB2BC37" w14:textId="77777777" w:rsidTr="005A7B4B">
        <w:tc>
          <w:tcPr>
            <w:tcW w:w="2425" w:type="dxa"/>
          </w:tcPr>
          <w:p w14:paraId="7E0D4283"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5DBD92B9" w14:textId="2F2C5101" w:rsidR="008D7DE8" w:rsidRPr="007669E1" w:rsidRDefault="008D7DE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E72E03" w:rsidRPr="007669E1" w14:paraId="3D420143" w14:textId="77777777" w:rsidTr="005A7B4B">
        <w:tc>
          <w:tcPr>
            <w:tcW w:w="2425" w:type="dxa"/>
          </w:tcPr>
          <w:p w14:paraId="7FEB713A"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0663C9D1" w14:textId="0A46171E" w:rsidR="008D7DE8" w:rsidRPr="007669E1" w:rsidRDefault="001971F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8D7DE8" w:rsidRPr="007669E1">
              <w:rPr>
                <w:rFonts w:ascii="Segoe UI" w:hAnsi="Segoe UI" w:cs="Segoe UI"/>
                <w:sz w:val="18"/>
                <w:szCs w:val="18"/>
              </w:rPr>
              <w:t xml:space="preserve"> MDL</w:t>
            </w:r>
          </w:p>
        </w:tc>
      </w:tr>
      <w:tr w:rsidR="007619A8" w:rsidRPr="007669E1" w14:paraId="1CDED221" w14:textId="77777777" w:rsidTr="005A7B4B">
        <w:trPr>
          <w:trHeight w:val="91"/>
        </w:trPr>
        <w:tc>
          <w:tcPr>
            <w:tcW w:w="2425" w:type="dxa"/>
            <w:vMerge w:val="restart"/>
          </w:tcPr>
          <w:p w14:paraId="283732DF" w14:textId="77777777" w:rsidR="008D7DE8" w:rsidRPr="007669E1" w:rsidRDefault="008D7DE8" w:rsidP="00E90BA7">
            <w:pPr>
              <w:spacing w:before="20" w:after="20" w:line="240" w:lineRule="auto"/>
              <w:jc w:val="both"/>
              <w:rPr>
                <w:rFonts w:ascii="Segoe UI" w:hAnsi="Segoe UI" w:cs="Segoe UI"/>
                <w:sz w:val="18"/>
                <w:szCs w:val="18"/>
              </w:rPr>
            </w:pPr>
          </w:p>
        </w:tc>
        <w:tc>
          <w:tcPr>
            <w:tcW w:w="1385" w:type="dxa"/>
          </w:tcPr>
          <w:p w14:paraId="68A74C15"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751EAEDF"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35279AC5"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4B6957D9"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235C0955" w14:textId="77777777" w:rsidR="008D7DE8" w:rsidRPr="004A6798" w:rsidRDefault="008D7DE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84536F" w:rsidRPr="007669E1" w14:paraId="4A2F8558" w14:textId="77777777" w:rsidTr="00A105A6">
        <w:trPr>
          <w:trHeight w:val="305"/>
        </w:trPr>
        <w:tc>
          <w:tcPr>
            <w:tcW w:w="2425" w:type="dxa"/>
            <w:vMerge/>
          </w:tcPr>
          <w:p w14:paraId="2B300412" w14:textId="77777777" w:rsidR="008D7DE8" w:rsidRPr="007669E1" w:rsidRDefault="008D7DE8" w:rsidP="00E90BA7">
            <w:pPr>
              <w:spacing w:before="20" w:after="20" w:line="240" w:lineRule="auto"/>
              <w:jc w:val="both"/>
              <w:rPr>
                <w:rFonts w:ascii="Segoe UI" w:hAnsi="Segoe UI" w:cs="Segoe UI"/>
                <w:sz w:val="18"/>
                <w:szCs w:val="18"/>
              </w:rPr>
            </w:pPr>
          </w:p>
        </w:tc>
        <w:tc>
          <w:tcPr>
            <w:tcW w:w="1385" w:type="dxa"/>
            <w:shd w:val="clear" w:color="auto" w:fill="auto"/>
            <w:vAlign w:val="center"/>
          </w:tcPr>
          <w:p w14:paraId="6C18F656" w14:textId="777E8565" w:rsidR="008D7DE8" w:rsidRPr="007669E1" w:rsidRDefault="002F32A0"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sz w:val="18"/>
                <w:szCs w:val="18"/>
              </w:rPr>
              <w:t>201.8</w:t>
            </w:r>
          </w:p>
        </w:tc>
        <w:tc>
          <w:tcPr>
            <w:tcW w:w="1385" w:type="dxa"/>
            <w:shd w:val="clear" w:color="auto" w:fill="auto"/>
            <w:vAlign w:val="center"/>
          </w:tcPr>
          <w:p w14:paraId="14AF2C3E" w14:textId="4BD07C5C" w:rsidR="008D7DE8" w:rsidRPr="007669E1" w:rsidRDefault="001F3C8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205.1</w:t>
            </w:r>
          </w:p>
        </w:tc>
        <w:tc>
          <w:tcPr>
            <w:tcW w:w="1385" w:type="dxa"/>
            <w:gridSpan w:val="2"/>
            <w:shd w:val="clear" w:color="auto" w:fill="auto"/>
            <w:vAlign w:val="center"/>
          </w:tcPr>
          <w:p w14:paraId="1F4108B0" w14:textId="183FBB41" w:rsidR="008D7DE8" w:rsidRPr="007669E1" w:rsidRDefault="001F3C8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69.6</w:t>
            </w:r>
          </w:p>
        </w:tc>
        <w:tc>
          <w:tcPr>
            <w:tcW w:w="1385" w:type="dxa"/>
            <w:shd w:val="clear" w:color="auto" w:fill="auto"/>
            <w:vAlign w:val="center"/>
          </w:tcPr>
          <w:p w14:paraId="1CF70A54" w14:textId="5FFF5A51" w:rsidR="008D7DE8" w:rsidRPr="007669E1" w:rsidRDefault="001F3C80"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68.6</w:t>
            </w:r>
          </w:p>
        </w:tc>
        <w:tc>
          <w:tcPr>
            <w:tcW w:w="1660" w:type="dxa"/>
            <w:shd w:val="clear" w:color="auto" w:fill="auto"/>
            <w:vAlign w:val="center"/>
          </w:tcPr>
          <w:p w14:paraId="4C53E972" w14:textId="023CF471" w:rsidR="008D7DE8" w:rsidRPr="007669E1" w:rsidRDefault="001F3C80"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CE23B9" w:rsidRPr="007669E1">
              <w:rPr>
                <w:rFonts w:ascii="Segoe UI" w:hAnsi="Segoe UI" w:cs="Segoe UI"/>
                <w:color w:val="000000"/>
                <w:sz w:val="18"/>
                <w:szCs w:val="18"/>
              </w:rPr>
              <w:t>.</w:t>
            </w:r>
          </w:p>
        </w:tc>
      </w:tr>
    </w:tbl>
    <w:p w14:paraId="1C1B4D06" w14:textId="77777777" w:rsidR="008D7DE8" w:rsidRPr="007669E1" w:rsidRDefault="008D7DE8"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4A6798" w14:paraId="451ECBF1" w14:textId="77777777" w:rsidTr="005A7B4B">
        <w:tc>
          <w:tcPr>
            <w:tcW w:w="9625" w:type="dxa"/>
            <w:gridSpan w:val="7"/>
            <w:shd w:val="clear" w:color="auto" w:fill="D9D9D9" w:themeFill="background1" w:themeFillShade="D9"/>
          </w:tcPr>
          <w:p w14:paraId="657E9B75" w14:textId="5569D2F9"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 xml:space="preserve">33. </w:t>
            </w:r>
            <w:r w:rsidR="00CC663A" w:rsidRPr="004A6798">
              <w:rPr>
                <w:rFonts w:ascii="Segoe UI" w:hAnsi="Segoe UI" w:cs="Segoe UI"/>
                <w:b/>
                <w:bCs/>
                <w:sz w:val="18"/>
                <w:szCs w:val="18"/>
              </w:rPr>
              <w:t xml:space="preserve">Exemptions or postponement of RET granted by </w:t>
            </w:r>
            <w:r w:rsidR="00CC663A" w:rsidRPr="004A6798">
              <w:rPr>
                <w:rFonts w:ascii="Segoe UI" w:hAnsi="Segoe UI" w:cs="Segoe UI"/>
                <w:b/>
                <w:bCs/>
                <w:w w:val="105"/>
                <w:sz w:val="18"/>
                <w:szCs w:val="18"/>
                <w:lang w:val="en"/>
              </w:rPr>
              <w:t xml:space="preserve">representative authorities of local public administrations </w:t>
            </w:r>
            <w:r w:rsidR="00A36C7B" w:rsidRPr="004A6798">
              <w:rPr>
                <w:rFonts w:ascii="Segoe UI" w:hAnsi="Segoe UI" w:cs="Segoe UI"/>
                <w:b/>
                <w:bCs/>
                <w:w w:val="105"/>
                <w:sz w:val="18"/>
                <w:szCs w:val="18"/>
                <w:lang w:val="en"/>
              </w:rPr>
              <w:t xml:space="preserve">to individuals owning residential houses or other accommodations on lease from the </w:t>
            </w:r>
            <w:r w:rsidR="002C5273" w:rsidRPr="004A6798">
              <w:rPr>
                <w:rFonts w:ascii="Segoe UI" w:hAnsi="Segoe UI" w:cs="Segoe UI"/>
                <w:b/>
                <w:bCs/>
                <w:w w:val="105"/>
                <w:sz w:val="18"/>
                <w:szCs w:val="18"/>
                <w:lang w:val="en"/>
              </w:rPr>
              <w:t>P</w:t>
            </w:r>
            <w:r w:rsidR="00A36C7B" w:rsidRPr="004A6798">
              <w:rPr>
                <w:rFonts w:ascii="Segoe UI" w:hAnsi="Segoe UI" w:cs="Segoe UI"/>
                <w:b/>
                <w:bCs/>
                <w:w w:val="105"/>
                <w:sz w:val="18"/>
                <w:szCs w:val="18"/>
                <w:lang w:val="en"/>
              </w:rPr>
              <w:t xml:space="preserve">ublic </w:t>
            </w:r>
            <w:r w:rsidR="002C5273" w:rsidRPr="004A6798">
              <w:rPr>
                <w:rFonts w:ascii="Segoe UI" w:hAnsi="Segoe UI" w:cs="Segoe UI"/>
                <w:b/>
                <w:bCs/>
                <w:w w:val="105"/>
                <w:sz w:val="18"/>
                <w:szCs w:val="18"/>
                <w:lang w:val="en"/>
              </w:rPr>
              <w:t>H</w:t>
            </w:r>
            <w:r w:rsidR="00A36C7B" w:rsidRPr="004A6798">
              <w:rPr>
                <w:rFonts w:ascii="Segoe UI" w:hAnsi="Segoe UI" w:cs="Segoe UI"/>
                <w:b/>
                <w:bCs/>
                <w:w w:val="105"/>
                <w:sz w:val="18"/>
                <w:szCs w:val="18"/>
                <w:lang w:val="en"/>
              </w:rPr>
              <w:t xml:space="preserve">ousing </w:t>
            </w:r>
            <w:r w:rsidR="002C5273" w:rsidRPr="004A6798">
              <w:rPr>
                <w:rFonts w:ascii="Segoe UI" w:hAnsi="Segoe UI" w:cs="Segoe UI"/>
                <w:b/>
                <w:bCs/>
                <w:w w:val="105"/>
                <w:sz w:val="18"/>
                <w:szCs w:val="18"/>
                <w:lang w:val="en"/>
              </w:rPr>
              <w:t>F</w:t>
            </w:r>
            <w:r w:rsidR="00A36C7B" w:rsidRPr="004A6798">
              <w:rPr>
                <w:rFonts w:ascii="Segoe UI" w:hAnsi="Segoe UI" w:cs="Segoe UI"/>
                <w:b/>
                <w:bCs/>
                <w:w w:val="105"/>
                <w:sz w:val="18"/>
                <w:szCs w:val="18"/>
                <w:lang w:val="en"/>
              </w:rPr>
              <w:t>und</w:t>
            </w:r>
          </w:p>
        </w:tc>
      </w:tr>
      <w:tr w:rsidR="007669E1" w:rsidRPr="007669E1" w14:paraId="08AEAA4E" w14:textId="77777777" w:rsidTr="005A7B4B">
        <w:tc>
          <w:tcPr>
            <w:tcW w:w="2425" w:type="dxa"/>
          </w:tcPr>
          <w:p w14:paraId="4982C0BB"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38289A27" w14:textId="13CF823B" w:rsidR="00906D98" w:rsidRPr="007669E1" w:rsidRDefault="001B3193" w:rsidP="00E90BA7">
            <w:pPr>
              <w:autoSpaceDE w:val="0"/>
              <w:autoSpaceDN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Exemptions or postponement of RET granted by </w:t>
            </w:r>
            <w:r w:rsidRPr="007669E1">
              <w:rPr>
                <w:rFonts w:ascii="Segoe UI" w:hAnsi="Segoe UI" w:cs="Segoe UI"/>
                <w:w w:val="105"/>
                <w:sz w:val="18"/>
                <w:szCs w:val="18"/>
                <w:lang w:val="en"/>
              </w:rPr>
              <w:t xml:space="preserve">representative authorities of local public administrations </w:t>
            </w:r>
            <w:r w:rsidR="00915D51" w:rsidRPr="007669E1">
              <w:rPr>
                <w:rFonts w:ascii="Segoe UI" w:hAnsi="Segoe UI" w:cs="Segoe UI"/>
                <w:w w:val="105"/>
                <w:sz w:val="18"/>
                <w:szCs w:val="18"/>
                <w:lang w:val="en"/>
              </w:rPr>
              <w:t xml:space="preserve">to </w:t>
            </w:r>
            <w:r w:rsidR="00906D98" w:rsidRPr="007669E1">
              <w:rPr>
                <w:rFonts w:ascii="Segoe UI" w:hAnsi="Segoe UI" w:cs="Segoe UI"/>
                <w:w w:val="105"/>
                <w:sz w:val="18"/>
                <w:szCs w:val="18"/>
                <w:lang w:val="en"/>
              </w:rPr>
              <w:t xml:space="preserve">natural persons owning residential houses or other living quarters (used as basic housing) </w:t>
            </w:r>
            <w:r w:rsidR="00915D51" w:rsidRPr="007669E1">
              <w:rPr>
                <w:rFonts w:ascii="Segoe UI" w:hAnsi="Segoe UI" w:cs="Segoe UI"/>
                <w:w w:val="105"/>
                <w:sz w:val="18"/>
                <w:szCs w:val="18"/>
                <w:lang w:val="en"/>
              </w:rPr>
              <w:t xml:space="preserve">to individuals owning residential houses or other accommodations (used as basic housing) on lease from </w:t>
            </w:r>
            <w:r w:rsidR="00906D98" w:rsidRPr="007669E1">
              <w:rPr>
                <w:rFonts w:ascii="Segoe UI" w:hAnsi="Segoe UI" w:cs="Segoe UI"/>
                <w:w w:val="105"/>
                <w:sz w:val="18"/>
                <w:szCs w:val="18"/>
                <w:lang w:val="en"/>
              </w:rPr>
              <w:t>the Public Housing Fund.</w:t>
            </w:r>
          </w:p>
        </w:tc>
      </w:tr>
      <w:tr w:rsidR="007669E1" w:rsidRPr="007669E1" w14:paraId="4C6850AC" w14:textId="77777777" w:rsidTr="005A7B4B">
        <w:tc>
          <w:tcPr>
            <w:tcW w:w="2425" w:type="dxa"/>
          </w:tcPr>
          <w:p w14:paraId="2FC82789"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2CA18B43"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RET</w:t>
            </w:r>
          </w:p>
        </w:tc>
      </w:tr>
      <w:tr w:rsidR="007669E1" w:rsidRPr="007669E1" w14:paraId="19FBB96B" w14:textId="77777777" w:rsidTr="005A7B4B">
        <w:tc>
          <w:tcPr>
            <w:tcW w:w="2425" w:type="dxa"/>
          </w:tcPr>
          <w:p w14:paraId="58EBAD53"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646536FF"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Property owners and beneficiaries of this designated category.</w:t>
            </w:r>
          </w:p>
        </w:tc>
      </w:tr>
      <w:tr w:rsidR="007669E1" w:rsidRPr="007669E1" w14:paraId="607AB196" w14:textId="77777777" w:rsidTr="005A7B4B">
        <w:tc>
          <w:tcPr>
            <w:tcW w:w="2425" w:type="dxa"/>
          </w:tcPr>
          <w:p w14:paraId="6904FD1C"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7F6F00B2" w14:textId="6EFD9F64"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r w:rsidR="00CC663A" w:rsidRPr="007669E1">
              <w:rPr>
                <w:rFonts w:ascii="Segoe UI" w:hAnsi="Segoe UI" w:cs="Segoe UI"/>
                <w:sz w:val="18"/>
                <w:szCs w:val="18"/>
              </w:rPr>
              <w:t xml:space="preserve"> or postponement</w:t>
            </w:r>
          </w:p>
        </w:tc>
      </w:tr>
      <w:tr w:rsidR="007669E1" w:rsidRPr="007669E1" w14:paraId="1EEE9C7E" w14:textId="77777777" w:rsidTr="005A7B4B">
        <w:tc>
          <w:tcPr>
            <w:tcW w:w="2425" w:type="dxa"/>
          </w:tcPr>
          <w:p w14:paraId="5DFBAA52"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1AC1FC09"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7669E1" w:rsidRPr="007669E1" w14:paraId="56801978" w14:textId="77777777" w:rsidTr="005A7B4B">
        <w:tc>
          <w:tcPr>
            <w:tcW w:w="2425" w:type="dxa"/>
          </w:tcPr>
          <w:p w14:paraId="42F66298"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01312C60"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284(1</w:t>
            </w:r>
            <w:r w:rsidRPr="007669E1">
              <w:rPr>
                <w:rFonts w:ascii="Segoe UI" w:hAnsi="Segoe UI" w:cs="Segoe UI"/>
                <w:sz w:val="18"/>
                <w:szCs w:val="18"/>
                <w:vertAlign w:val="superscript"/>
              </w:rPr>
              <w:t>1</w:t>
            </w:r>
            <w:r w:rsidRPr="007669E1">
              <w:rPr>
                <w:rFonts w:ascii="Segoe UI" w:hAnsi="Segoe UI" w:cs="Segoe UI"/>
                <w:sz w:val="18"/>
                <w:szCs w:val="18"/>
              </w:rPr>
              <w:t>) of TC</w:t>
            </w:r>
          </w:p>
        </w:tc>
      </w:tr>
      <w:tr w:rsidR="00136C8F" w:rsidRPr="007669E1" w14:paraId="283B76D6" w14:textId="77777777" w:rsidTr="005A7B4B">
        <w:trPr>
          <w:trHeight w:val="182"/>
        </w:trPr>
        <w:tc>
          <w:tcPr>
            <w:tcW w:w="2425" w:type="dxa"/>
            <w:vMerge w:val="restart"/>
          </w:tcPr>
          <w:p w14:paraId="0B5DEC16"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2D36BE9E" w14:textId="77777777" w:rsidR="00906D98" w:rsidRPr="007669E1" w:rsidRDefault="00906D98" w:rsidP="00E90BA7">
            <w:pPr>
              <w:spacing w:before="20" w:after="20" w:line="240" w:lineRule="auto"/>
              <w:jc w:val="both"/>
              <w:rPr>
                <w:rFonts w:ascii="Segoe UI" w:hAnsi="Segoe UI" w:cs="Segoe UI"/>
                <w:sz w:val="18"/>
                <w:szCs w:val="18"/>
              </w:rPr>
            </w:pPr>
          </w:p>
        </w:tc>
      </w:tr>
      <w:tr w:rsidR="00136C8F" w:rsidRPr="007669E1" w14:paraId="2F0A9D2C" w14:textId="77777777" w:rsidTr="005A7B4B">
        <w:trPr>
          <w:trHeight w:val="182"/>
        </w:trPr>
        <w:tc>
          <w:tcPr>
            <w:tcW w:w="2425" w:type="dxa"/>
            <w:vMerge/>
          </w:tcPr>
          <w:p w14:paraId="0C4AB581" w14:textId="77777777" w:rsidR="00906D98" w:rsidRPr="004A6798" w:rsidRDefault="00906D98" w:rsidP="00E90BA7">
            <w:pPr>
              <w:spacing w:before="20" w:after="20" w:line="240" w:lineRule="auto"/>
              <w:jc w:val="both"/>
              <w:rPr>
                <w:rFonts w:ascii="Segoe UI" w:hAnsi="Segoe UI" w:cs="Segoe UI"/>
                <w:b/>
                <w:bCs/>
                <w:sz w:val="18"/>
                <w:szCs w:val="18"/>
              </w:rPr>
            </w:pPr>
          </w:p>
        </w:tc>
        <w:tc>
          <w:tcPr>
            <w:tcW w:w="3462" w:type="dxa"/>
            <w:gridSpan w:val="3"/>
          </w:tcPr>
          <w:p w14:paraId="2921CD76" w14:textId="6B6F7D5A"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10D3F92B" w14:textId="1F610791"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3F999E67" w14:textId="77777777" w:rsidTr="005A7B4B">
        <w:tc>
          <w:tcPr>
            <w:tcW w:w="2425" w:type="dxa"/>
          </w:tcPr>
          <w:p w14:paraId="453C5D74"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lastRenderedPageBreak/>
              <w:t>Source of Data</w:t>
            </w:r>
          </w:p>
        </w:tc>
        <w:tc>
          <w:tcPr>
            <w:tcW w:w="7200" w:type="dxa"/>
            <w:gridSpan w:val="6"/>
          </w:tcPr>
          <w:p w14:paraId="37D9F505"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12602B06" w14:textId="77777777" w:rsidTr="005A7B4B">
        <w:tc>
          <w:tcPr>
            <w:tcW w:w="2425" w:type="dxa"/>
          </w:tcPr>
          <w:p w14:paraId="035EAA3E"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61B5B150"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72D12A5F" w14:textId="77777777" w:rsidTr="005A7B4B">
        <w:tc>
          <w:tcPr>
            <w:tcW w:w="2425" w:type="dxa"/>
          </w:tcPr>
          <w:p w14:paraId="0E5F3A4F"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764C93DB" w14:textId="4B3FC5F5"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6A61D23D" w14:textId="77777777" w:rsidTr="005A7B4B">
        <w:tc>
          <w:tcPr>
            <w:tcW w:w="2425" w:type="dxa"/>
          </w:tcPr>
          <w:p w14:paraId="5D537B6A"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66B289EA" w14:textId="470D314D" w:rsidR="00906D98" w:rsidRPr="007669E1" w:rsidRDefault="00737B1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906D98" w:rsidRPr="007669E1">
              <w:rPr>
                <w:rFonts w:ascii="Segoe UI" w:hAnsi="Segoe UI" w:cs="Segoe UI"/>
                <w:sz w:val="18"/>
                <w:szCs w:val="18"/>
              </w:rPr>
              <w:t xml:space="preserve"> MDL</w:t>
            </w:r>
          </w:p>
        </w:tc>
      </w:tr>
      <w:tr w:rsidR="00136C8F" w:rsidRPr="007669E1" w14:paraId="7BD29CE8" w14:textId="77777777" w:rsidTr="005A7B4B">
        <w:trPr>
          <w:trHeight w:val="91"/>
        </w:trPr>
        <w:tc>
          <w:tcPr>
            <w:tcW w:w="2425" w:type="dxa"/>
            <w:vMerge w:val="restart"/>
          </w:tcPr>
          <w:p w14:paraId="45CB4E25" w14:textId="77777777" w:rsidR="00906D98" w:rsidRPr="007669E1" w:rsidRDefault="00906D98" w:rsidP="00E90BA7">
            <w:pPr>
              <w:spacing w:before="20" w:after="20" w:line="240" w:lineRule="auto"/>
              <w:jc w:val="both"/>
              <w:rPr>
                <w:rFonts w:ascii="Segoe UI" w:hAnsi="Segoe UI" w:cs="Segoe UI"/>
                <w:sz w:val="18"/>
                <w:szCs w:val="18"/>
              </w:rPr>
            </w:pPr>
          </w:p>
        </w:tc>
        <w:tc>
          <w:tcPr>
            <w:tcW w:w="1385" w:type="dxa"/>
          </w:tcPr>
          <w:p w14:paraId="2381AF12"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4125FFE9"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69D7543A"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04C712F6"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642F0B55"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136C8F" w:rsidRPr="007669E1" w14:paraId="09179BEF" w14:textId="77777777" w:rsidTr="00B77B24">
        <w:trPr>
          <w:trHeight w:val="305"/>
        </w:trPr>
        <w:tc>
          <w:tcPr>
            <w:tcW w:w="2425" w:type="dxa"/>
            <w:vMerge/>
          </w:tcPr>
          <w:p w14:paraId="59DA7919" w14:textId="77777777" w:rsidR="00906D98" w:rsidRPr="007669E1" w:rsidRDefault="00906D98" w:rsidP="00E90BA7">
            <w:pPr>
              <w:spacing w:before="20" w:after="20" w:line="240" w:lineRule="auto"/>
              <w:jc w:val="both"/>
              <w:rPr>
                <w:rFonts w:ascii="Segoe UI" w:hAnsi="Segoe UI" w:cs="Segoe UI"/>
                <w:sz w:val="18"/>
                <w:szCs w:val="18"/>
              </w:rPr>
            </w:pPr>
          </w:p>
        </w:tc>
        <w:tc>
          <w:tcPr>
            <w:tcW w:w="1385" w:type="dxa"/>
            <w:vAlign w:val="center"/>
          </w:tcPr>
          <w:p w14:paraId="2D64A7FF" w14:textId="270BCFB2" w:rsidR="00906D98" w:rsidRPr="007669E1" w:rsidRDefault="00D1718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77B24" w:rsidRPr="007669E1">
              <w:rPr>
                <w:rFonts w:ascii="Segoe UI" w:hAnsi="Segoe UI" w:cs="Segoe UI"/>
                <w:color w:val="000000"/>
                <w:sz w:val="18"/>
                <w:szCs w:val="18"/>
              </w:rPr>
              <w:t>.</w:t>
            </w:r>
          </w:p>
        </w:tc>
        <w:tc>
          <w:tcPr>
            <w:tcW w:w="1385" w:type="dxa"/>
            <w:shd w:val="clear" w:color="auto" w:fill="auto"/>
            <w:vAlign w:val="center"/>
          </w:tcPr>
          <w:p w14:paraId="098DBB68" w14:textId="0B2B9444" w:rsidR="00906D98" w:rsidRPr="007669E1" w:rsidRDefault="00D1718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50.3</w:t>
            </w:r>
          </w:p>
        </w:tc>
        <w:tc>
          <w:tcPr>
            <w:tcW w:w="1385" w:type="dxa"/>
            <w:gridSpan w:val="2"/>
            <w:shd w:val="clear" w:color="auto" w:fill="auto"/>
            <w:vAlign w:val="center"/>
          </w:tcPr>
          <w:p w14:paraId="1D5B2920" w14:textId="21E3BBD0" w:rsidR="00906D98" w:rsidRPr="007669E1" w:rsidRDefault="00D1718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0.0</w:t>
            </w:r>
          </w:p>
        </w:tc>
        <w:tc>
          <w:tcPr>
            <w:tcW w:w="1385" w:type="dxa"/>
            <w:shd w:val="clear" w:color="auto" w:fill="auto"/>
            <w:vAlign w:val="center"/>
          </w:tcPr>
          <w:p w14:paraId="4D4567C6" w14:textId="38A8DC80" w:rsidR="00906D98" w:rsidRPr="007669E1" w:rsidRDefault="00D17184" w:rsidP="00E90BA7">
            <w:pPr>
              <w:spacing w:before="20" w:after="20" w:line="240" w:lineRule="auto"/>
              <w:jc w:val="both"/>
              <w:rPr>
                <w:rFonts w:ascii="Segoe UI" w:hAnsi="Segoe UI" w:cs="Segoe UI"/>
                <w:i/>
                <w:sz w:val="18"/>
                <w:szCs w:val="18"/>
              </w:rPr>
            </w:pPr>
            <w:r w:rsidRPr="007669E1">
              <w:rPr>
                <w:rFonts w:ascii="Segoe UI" w:hAnsi="Segoe UI" w:cs="Segoe UI"/>
                <w:color w:val="000000"/>
                <w:sz w:val="18"/>
                <w:szCs w:val="18"/>
              </w:rPr>
              <w:t>1.0</w:t>
            </w:r>
          </w:p>
        </w:tc>
        <w:tc>
          <w:tcPr>
            <w:tcW w:w="1660" w:type="dxa"/>
            <w:shd w:val="clear" w:color="auto" w:fill="auto"/>
            <w:vAlign w:val="center"/>
          </w:tcPr>
          <w:p w14:paraId="7AAAE4C7" w14:textId="411FEE58" w:rsidR="00906D98" w:rsidRPr="007669E1" w:rsidRDefault="00D17184"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n.a</w:t>
            </w:r>
            <w:r w:rsidR="00B77B24" w:rsidRPr="007669E1">
              <w:rPr>
                <w:rFonts w:ascii="Segoe UI" w:hAnsi="Segoe UI" w:cs="Segoe UI"/>
                <w:color w:val="000000"/>
                <w:sz w:val="18"/>
                <w:szCs w:val="18"/>
              </w:rPr>
              <w:t>.</w:t>
            </w:r>
          </w:p>
        </w:tc>
      </w:tr>
    </w:tbl>
    <w:p w14:paraId="69C5DA31" w14:textId="77777777" w:rsidR="00906D98" w:rsidRPr="007669E1" w:rsidRDefault="00906D98"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1B749E" w14:paraId="37E85B46" w14:textId="77777777" w:rsidTr="005A7B4B">
        <w:tc>
          <w:tcPr>
            <w:tcW w:w="9625" w:type="dxa"/>
            <w:gridSpan w:val="7"/>
            <w:shd w:val="clear" w:color="auto" w:fill="D9D9D9" w:themeFill="background1" w:themeFillShade="D9"/>
          </w:tcPr>
          <w:p w14:paraId="665076BF" w14:textId="2091ED53"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 xml:space="preserve">34. Early </w:t>
            </w:r>
            <w:r w:rsidR="6D0198AF" w:rsidRPr="001B749E">
              <w:rPr>
                <w:rFonts w:ascii="Segoe UI" w:hAnsi="Segoe UI" w:cs="Segoe UI"/>
                <w:b/>
                <w:bCs/>
                <w:sz w:val="18"/>
                <w:szCs w:val="18"/>
              </w:rPr>
              <w:t>p</w:t>
            </w:r>
            <w:r w:rsidRPr="001B749E">
              <w:rPr>
                <w:rFonts w:ascii="Segoe UI" w:hAnsi="Segoe UI" w:cs="Segoe UI"/>
                <w:b/>
                <w:bCs/>
                <w:sz w:val="18"/>
                <w:szCs w:val="18"/>
              </w:rPr>
              <w:t>ayment discount of 15 percent</w:t>
            </w:r>
            <w:r w:rsidR="00A87917" w:rsidRPr="001B749E">
              <w:rPr>
                <w:rFonts w:ascii="Segoe UI" w:hAnsi="Segoe UI" w:cs="Segoe UI"/>
                <w:b/>
                <w:bCs/>
                <w:sz w:val="18"/>
                <w:szCs w:val="18"/>
              </w:rPr>
              <w:t xml:space="preserve"> </w:t>
            </w:r>
            <w:r w:rsidR="009C4402" w:rsidRPr="001B749E">
              <w:rPr>
                <w:rFonts w:ascii="Segoe UI" w:hAnsi="Segoe UI" w:cs="Segoe UI"/>
                <w:b/>
                <w:bCs/>
                <w:sz w:val="18"/>
                <w:szCs w:val="18"/>
              </w:rPr>
              <w:t xml:space="preserve">applicable to properties </w:t>
            </w:r>
            <w:r w:rsidR="00A87917" w:rsidRPr="001B749E">
              <w:rPr>
                <w:rFonts w:ascii="Segoe UI" w:hAnsi="Segoe UI" w:cs="Segoe UI"/>
                <w:b/>
                <w:bCs/>
                <w:sz w:val="18"/>
                <w:szCs w:val="18"/>
              </w:rPr>
              <w:t>appraised by the new property tax assessment method that commenced in 2004</w:t>
            </w:r>
            <w:r w:rsidRPr="001B749E">
              <w:rPr>
                <w:rFonts w:ascii="Segoe UI" w:hAnsi="Segoe UI" w:cs="Segoe UI"/>
                <w:b/>
                <w:bCs/>
                <w:sz w:val="18"/>
                <w:szCs w:val="18"/>
              </w:rPr>
              <w:t xml:space="preserve"> </w:t>
            </w:r>
          </w:p>
        </w:tc>
      </w:tr>
      <w:tr w:rsidR="00136C8F" w:rsidRPr="007669E1" w14:paraId="40C32AAF" w14:textId="77777777" w:rsidTr="005A7B4B">
        <w:trPr>
          <w:trHeight w:val="503"/>
        </w:trPr>
        <w:tc>
          <w:tcPr>
            <w:tcW w:w="2425" w:type="dxa"/>
          </w:tcPr>
          <w:p w14:paraId="680256C2"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Description</w:t>
            </w:r>
          </w:p>
        </w:tc>
        <w:tc>
          <w:tcPr>
            <w:tcW w:w="7200" w:type="dxa"/>
            <w:gridSpan w:val="6"/>
          </w:tcPr>
          <w:p w14:paraId="3CC73182" w14:textId="77777777" w:rsidR="00906D98" w:rsidRPr="007669E1" w:rsidRDefault="00906D98" w:rsidP="00E90BA7">
            <w:pPr>
              <w:pStyle w:val="TableParagraph"/>
              <w:spacing w:before="20" w:after="20"/>
              <w:ind w:left="23"/>
              <w:jc w:val="both"/>
              <w:rPr>
                <w:rFonts w:ascii="Segoe UI" w:hAnsi="Segoe UI" w:cs="Segoe UI"/>
                <w:sz w:val="18"/>
                <w:szCs w:val="18"/>
              </w:rPr>
            </w:pPr>
            <w:r w:rsidRPr="007669E1">
              <w:rPr>
                <w:rFonts w:ascii="Segoe UI" w:hAnsi="Segoe UI" w:cs="Segoe UI"/>
                <w:w w:val="105"/>
                <w:sz w:val="18"/>
                <w:szCs w:val="18"/>
                <w:lang w:val="en"/>
              </w:rPr>
              <w:t>Taxpayers who pay in full the tax for the current fiscal year by June 30 of the same year shall enjoy the right to 15 percent discount of the amount of payable tax.</w:t>
            </w:r>
          </w:p>
        </w:tc>
      </w:tr>
      <w:tr w:rsidR="00136C8F" w:rsidRPr="007669E1" w14:paraId="67E53540" w14:textId="77777777" w:rsidTr="005A7B4B">
        <w:tc>
          <w:tcPr>
            <w:tcW w:w="2425" w:type="dxa"/>
          </w:tcPr>
          <w:p w14:paraId="1A4948FA"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Tax Affected</w:t>
            </w:r>
          </w:p>
        </w:tc>
        <w:tc>
          <w:tcPr>
            <w:tcW w:w="7200" w:type="dxa"/>
            <w:gridSpan w:val="6"/>
          </w:tcPr>
          <w:p w14:paraId="08816AA7"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RET </w:t>
            </w:r>
          </w:p>
        </w:tc>
      </w:tr>
      <w:tr w:rsidR="00136C8F" w:rsidRPr="007669E1" w14:paraId="13B67DAC" w14:textId="77777777" w:rsidTr="005A7B4B">
        <w:tc>
          <w:tcPr>
            <w:tcW w:w="2425" w:type="dxa"/>
          </w:tcPr>
          <w:p w14:paraId="5F38B502"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Beneficiaries</w:t>
            </w:r>
          </w:p>
        </w:tc>
        <w:tc>
          <w:tcPr>
            <w:tcW w:w="7200" w:type="dxa"/>
            <w:gridSpan w:val="6"/>
          </w:tcPr>
          <w:p w14:paraId="1D8508FC"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Property or Landowners of designated categories</w:t>
            </w:r>
          </w:p>
        </w:tc>
      </w:tr>
      <w:tr w:rsidR="00136C8F" w:rsidRPr="007669E1" w14:paraId="11D7E9A7" w14:textId="77777777" w:rsidTr="005A7B4B">
        <w:tc>
          <w:tcPr>
            <w:tcW w:w="2425" w:type="dxa"/>
          </w:tcPr>
          <w:p w14:paraId="5AFFE5F5"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Type of Measure</w:t>
            </w:r>
          </w:p>
        </w:tc>
        <w:tc>
          <w:tcPr>
            <w:tcW w:w="7200" w:type="dxa"/>
            <w:gridSpan w:val="6"/>
          </w:tcPr>
          <w:p w14:paraId="2625C3DE" w14:textId="7F3EA88A" w:rsidR="00906D98" w:rsidRPr="007669E1" w:rsidRDefault="00377E54"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rate</w:t>
            </w:r>
          </w:p>
        </w:tc>
      </w:tr>
      <w:tr w:rsidR="00136C8F" w:rsidRPr="007669E1" w14:paraId="101C2F02" w14:textId="77777777" w:rsidTr="005A7B4B">
        <w:tc>
          <w:tcPr>
            <w:tcW w:w="2425" w:type="dxa"/>
          </w:tcPr>
          <w:p w14:paraId="232B6284"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Reason why this Measure is not part of the Benchmark Tax System</w:t>
            </w:r>
          </w:p>
        </w:tc>
        <w:tc>
          <w:tcPr>
            <w:tcW w:w="7200" w:type="dxa"/>
            <w:gridSpan w:val="6"/>
          </w:tcPr>
          <w:p w14:paraId="526F3A4B" w14:textId="21D4A68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society benefiting from the RET exemption.</w:t>
            </w:r>
          </w:p>
        </w:tc>
      </w:tr>
      <w:tr w:rsidR="00136C8F" w:rsidRPr="007669E1" w14:paraId="1081F90D" w14:textId="77777777" w:rsidTr="005A7B4B">
        <w:tc>
          <w:tcPr>
            <w:tcW w:w="2425" w:type="dxa"/>
          </w:tcPr>
          <w:p w14:paraId="24441873"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Legal Reference</w:t>
            </w:r>
          </w:p>
        </w:tc>
        <w:tc>
          <w:tcPr>
            <w:tcW w:w="7200" w:type="dxa"/>
            <w:gridSpan w:val="6"/>
          </w:tcPr>
          <w:p w14:paraId="636ABA82"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Art 282(2)</w:t>
            </w:r>
          </w:p>
        </w:tc>
      </w:tr>
      <w:tr w:rsidR="00E72E03" w:rsidRPr="007669E1" w14:paraId="7BCA3798" w14:textId="77777777" w:rsidTr="005A7B4B">
        <w:trPr>
          <w:trHeight w:val="182"/>
        </w:trPr>
        <w:tc>
          <w:tcPr>
            <w:tcW w:w="2425" w:type="dxa"/>
            <w:vMerge w:val="restart"/>
          </w:tcPr>
          <w:p w14:paraId="653C29CF"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Implementation Objectives, and History</w:t>
            </w:r>
          </w:p>
        </w:tc>
        <w:tc>
          <w:tcPr>
            <w:tcW w:w="7200" w:type="dxa"/>
            <w:gridSpan w:val="6"/>
          </w:tcPr>
          <w:p w14:paraId="501CCBFB" w14:textId="77777777" w:rsidR="00906D98" w:rsidRPr="007669E1" w:rsidRDefault="00906D98" w:rsidP="00E90BA7">
            <w:pPr>
              <w:spacing w:before="20" w:after="20" w:line="240" w:lineRule="auto"/>
              <w:jc w:val="both"/>
              <w:rPr>
                <w:rFonts w:ascii="Segoe UI" w:hAnsi="Segoe UI" w:cs="Segoe UI"/>
                <w:sz w:val="18"/>
                <w:szCs w:val="18"/>
              </w:rPr>
            </w:pPr>
          </w:p>
        </w:tc>
      </w:tr>
      <w:tr w:rsidR="00E72E03" w:rsidRPr="007669E1" w14:paraId="595EE83C" w14:textId="77777777" w:rsidTr="005A7B4B">
        <w:trPr>
          <w:trHeight w:val="182"/>
        </w:trPr>
        <w:tc>
          <w:tcPr>
            <w:tcW w:w="2425" w:type="dxa"/>
            <w:vMerge/>
          </w:tcPr>
          <w:p w14:paraId="17C3B323" w14:textId="77777777" w:rsidR="00906D98" w:rsidRPr="004A6798" w:rsidRDefault="00906D98" w:rsidP="00E90BA7">
            <w:pPr>
              <w:spacing w:before="20" w:after="20" w:line="240" w:lineRule="auto"/>
              <w:jc w:val="both"/>
              <w:rPr>
                <w:rFonts w:ascii="Segoe UI" w:hAnsi="Segoe UI" w:cs="Segoe UI"/>
                <w:b/>
                <w:bCs/>
                <w:sz w:val="18"/>
                <w:szCs w:val="18"/>
              </w:rPr>
            </w:pPr>
          </w:p>
        </w:tc>
        <w:tc>
          <w:tcPr>
            <w:tcW w:w="3462" w:type="dxa"/>
            <w:gridSpan w:val="3"/>
          </w:tcPr>
          <w:p w14:paraId="49BC155D" w14:textId="76054E33"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4F8C6DD8"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2021</w:t>
            </w:r>
          </w:p>
        </w:tc>
      </w:tr>
      <w:tr w:rsidR="00136C8F" w:rsidRPr="007669E1" w14:paraId="51E1E830" w14:textId="77777777" w:rsidTr="005A7B4B">
        <w:tc>
          <w:tcPr>
            <w:tcW w:w="2425" w:type="dxa"/>
          </w:tcPr>
          <w:p w14:paraId="29002DCD"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Source of Data</w:t>
            </w:r>
          </w:p>
        </w:tc>
        <w:tc>
          <w:tcPr>
            <w:tcW w:w="7200" w:type="dxa"/>
            <w:gridSpan w:val="6"/>
          </w:tcPr>
          <w:p w14:paraId="06E9C973"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136C8F" w:rsidRPr="007669E1" w14:paraId="40FE5839" w14:textId="77777777" w:rsidTr="005A7B4B">
        <w:tc>
          <w:tcPr>
            <w:tcW w:w="2425" w:type="dxa"/>
          </w:tcPr>
          <w:p w14:paraId="6295681B"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Estimation Method</w:t>
            </w:r>
          </w:p>
        </w:tc>
        <w:tc>
          <w:tcPr>
            <w:tcW w:w="7200" w:type="dxa"/>
            <w:gridSpan w:val="6"/>
          </w:tcPr>
          <w:p w14:paraId="18C7B884"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136C8F" w:rsidRPr="007669E1" w14:paraId="0B10D9CE" w14:textId="77777777" w:rsidTr="005A7B4B">
        <w:tc>
          <w:tcPr>
            <w:tcW w:w="2425" w:type="dxa"/>
          </w:tcPr>
          <w:p w14:paraId="788B6C5A"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Number of Beneficiaries</w:t>
            </w:r>
          </w:p>
        </w:tc>
        <w:tc>
          <w:tcPr>
            <w:tcW w:w="7200" w:type="dxa"/>
            <w:gridSpan w:val="6"/>
          </w:tcPr>
          <w:p w14:paraId="17C8BD3F" w14:textId="46C3E0A5"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136C8F" w:rsidRPr="007669E1" w14:paraId="7114E813" w14:textId="77777777" w:rsidTr="005A7B4B">
        <w:tc>
          <w:tcPr>
            <w:tcW w:w="2425" w:type="dxa"/>
          </w:tcPr>
          <w:p w14:paraId="208064FE"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Revenue Cost Reporting</w:t>
            </w:r>
          </w:p>
        </w:tc>
        <w:tc>
          <w:tcPr>
            <w:tcW w:w="7200" w:type="dxa"/>
            <w:gridSpan w:val="6"/>
          </w:tcPr>
          <w:p w14:paraId="78AF1DBE" w14:textId="124F703A" w:rsidR="00906D98" w:rsidRPr="007669E1" w:rsidRDefault="00772411"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906D98" w:rsidRPr="007669E1">
              <w:rPr>
                <w:rFonts w:ascii="Segoe UI" w:hAnsi="Segoe UI" w:cs="Segoe UI"/>
                <w:sz w:val="18"/>
                <w:szCs w:val="18"/>
              </w:rPr>
              <w:t>MDL</w:t>
            </w:r>
          </w:p>
        </w:tc>
      </w:tr>
      <w:tr w:rsidR="007619A8" w:rsidRPr="007669E1" w14:paraId="6D8A4737" w14:textId="77777777" w:rsidTr="005A7B4B">
        <w:trPr>
          <w:trHeight w:val="91"/>
        </w:trPr>
        <w:tc>
          <w:tcPr>
            <w:tcW w:w="2425" w:type="dxa"/>
            <w:vMerge w:val="restart"/>
          </w:tcPr>
          <w:p w14:paraId="4A180A07"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 </w:t>
            </w:r>
          </w:p>
        </w:tc>
        <w:tc>
          <w:tcPr>
            <w:tcW w:w="1385" w:type="dxa"/>
          </w:tcPr>
          <w:p w14:paraId="17458264"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2018</w:t>
            </w:r>
          </w:p>
        </w:tc>
        <w:tc>
          <w:tcPr>
            <w:tcW w:w="1385" w:type="dxa"/>
          </w:tcPr>
          <w:p w14:paraId="60A7F39E"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2019</w:t>
            </w:r>
          </w:p>
        </w:tc>
        <w:tc>
          <w:tcPr>
            <w:tcW w:w="1385" w:type="dxa"/>
            <w:gridSpan w:val="2"/>
          </w:tcPr>
          <w:p w14:paraId="2639E491"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2020</w:t>
            </w:r>
          </w:p>
        </w:tc>
        <w:tc>
          <w:tcPr>
            <w:tcW w:w="1385" w:type="dxa"/>
          </w:tcPr>
          <w:p w14:paraId="1602654C"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2021</w:t>
            </w:r>
          </w:p>
        </w:tc>
        <w:tc>
          <w:tcPr>
            <w:tcW w:w="1660" w:type="dxa"/>
          </w:tcPr>
          <w:p w14:paraId="74F4C72F" w14:textId="77777777" w:rsidR="00906D98" w:rsidRPr="004A6798" w:rsidRDefault="00906D98" w:rsidP="00E90BA7">
            <w:pPr>
              <w:spacing w:before="20" w:after="20" w:line="240" w:lineRule="auto"/>
              <w:jc w:val="both"/>
              <w:rPr>
                <w:rFonts w:ascii="Segoe UI" w:hAnsi="Segoe UI" w:cs="Segoe UI"/>
                <w:b/>
                <w:bCs/>
                <w:sz w:val="18"/>
                <w:szCs w:val="18"/>
              </w:rPr>
            </w:pPr>
            <w:r w:rsidRPr="004A6798">
              <w:rPr>
                <w:rFonts w:ascii="Segoe UI" w:hAnsi="Segoe UI" w:cs="Segoe UI"/>
                <w:b/>
                <w:bCs/>
                <w:sz w:val="18"/>
                <w:szCs w:val="18"/>
              </w:rPr>
              <w:t>2022</w:t>
            </w:r>
          </w:p>
        </w:tc>
      </w:tr>
      <w:tr w:rsidR="003C7165" w:rsidRPr="007669E1" w14:paraId="5F4AFF45" w14:textId="77777777" w:rsidTr="00AD7EAB">
        <w:trPr>
          <w:trHeight w:val="305"/>
        </w:trPr>
        <w:tc>
          <w:tcPr>
            <w:tcW w:w="2425" w:type="dxa"/>
            <w:vMerge/>
          </w:tcPr>
          <w:p w14:paraId="6CDAED9B" w14:textId="77777777" w:rsidR="00906D98" w:rsidRPr="007669E1" w:rsidRDefault="00906D98" w:rsidP="00E90BA7">
            <w:pPr>
              <w:spacing w:before="20" w:after="20" w:line="240" w:lineRule="auto"/>
              <w:jc w:val="both"/>
              <w:rPr>
                <w:rFonts w:ascii="Segoe UI" w:hAnsi="Segoe UI" w:cs="Segoe UI"/>
                <w:sz w:val="18"/>
                <w:szCs w:val="18"/>
              </w:rPr>
            </w:pPr>
          </w:p>
        </w:tc>
        <w:tc>
          <w:tcPr>
            <w:tcW w:w="1385" w:type="dxa"/>
            <w:shd w:val="clear" w:color="auto" w:fill="auto"/>
          </w:tcPr>
          <w:p w14:paraId="25DA516A" w14:textId="193788EF" w:rsidR="00906D98" w:rsidRPr="007669E1" w:rsidRDefault="00D53408"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55,232.7</w:t>
            </w:r>
          </w:p>
        </w:tc>
        <w:tc>
          <w:tcPr>
            <w:tcW w:w="1385" w:type="dxa"/>
            <w:shd w:val="clear" w:color="auto" w:fill="auto"/>
          </w:tcPr>
          <w:p w14:paraId="43721DF5" w14:textId="68D4E3A1"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35,729</w:t>
            </w:r>
            <w:r w:rsidR="007A7A96" w:rsidRPr="007669E1">
              <w:rPr>
                <w:rFonts w:ascii="Segoe UI" w:hAnsi="Segoe UI" w:cs="Segoe UI"/>
                <w:sz w:val="18"/>
                <w:szCs w:val="18"/>
              </w:rPr>
              <w:t>.</w:t>
            </w:r>
            <w:r w:rsidRPr="007669E1">
              <w:rPr>
                <w:rFonts w:ascii="Segoe UI" w:hAnsi="Segoe UI" w:cs="Segoe UI"/>
                <w:sz w:val="18"/>
                <w:szCs w:val="18"/>
              </w:rPr>
              <w:t>8</w:t>
            </w:r>
          </w:p>
        </w:tc>
        <w:tc>
          <w:tcPr>
            <w:tcW w:w="1385" w:type="dxa"/>
            <w:gridSpan w:val="2"/>
            <w:shd w:val="clear" w:color="auto" w:fill="auto"/>
          </w:tcPr>
          <w:p w14:paraId="0BF420AA" w14:textId="50A0044D"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38,799</w:t>
            </w:r>
            <w:r w:rsidR="00772411" w:rsidRPr="007669E1">
              <w:rPr>
                <w:rFonts w:ascii="Segoe UI" w:hAnsi="Segoe UI" w:cs="Segoe UI"/>
                <w:sz w:val="18"/>
                <w:szCs w:val="18"/>
              </w:rPr>
              <w:t>.9</w:t>
            </w:r>
          </w:p>
        </w:tc>
        <w:tc>
          <w:tcPr>
            <w:tcW w:w="1385" w:type="dxa"/>
            <w:shd w:val="clear" w:color="auto" w:fill="auto"/>
          </w:tcPr>
          <w:p w14:paraId="2F95D960" w14:textId="3BF6C3E8" w:rsidR="00906D98" w:rsidRPr="007669E1" w:rsidRDefault="000B3FE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c>
          <w:tcPr>
            <w:tcW w:w="1660" w:type="dxa"/>
            <w:shd w:val="clear" w:color="auto" w:fill="auto"/>
          </w:tcPr>
          <w:p w14:paraId="22C0F385" w14:textId="1D5168BA" w:rsidR="00906D98" w:rsidRPr="007669E1" w:rsidRDefault="000B3FEB"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t>
            </w:r>
          </w:p>
        </w:tc>
      </w:tr>
    </w:tbl>
    <w:p w14:paraId="64EE5873" w14:textId="620741AD" w:rsidR="006149ED" w:rsidRPr="007669E1" w:rsidRDefault="006149ED" w:rsidP="00E90BA7">
      <w:pPr>
        <w:spacing w:before="20" w:after="20" w:line="240" w:lineRule="auto"/>
        <w:jc w:val="both"/>
        <w:rPr>
          <w:rFonts w:ascii="Segoe UI" w:hAnsi="Segoe UI" w:cs="Segoe UI"/>
          <w:b/>
          <w:sz w:val="18"/>
          <w:szCs w:val="18"/>
        </w:rPr>
      </w:pPr>
      <w:r w:rsidRPr="007669E1">
        <w:rPr>
          <w:rFonts w:ascii="Segoe UI" w:hAnsi="Segoe UI" w:cs="Segoe UI"/>
          <w:sz w:val="18"/>
          <w:szCs w:val="18"/>
        </w:rPr>
        <w:t>Note: Estimates for 2021 and 2022 are not applicable.</w:t>
      </w:r>
    </w:p>
    <w:p w14:paraId="5B2FDE9E" w14:textId="302DB7BB" w:rsidR="00906D98" w:rsidRPr="007669E1" w:rsidRDefault="00906D98"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0"/>
        <w:gridCol w:w="1370"/>
        <w:gridCol w:w="1570"/>
        <w:gridCol w:w="692"/>
        <w:gridCol w:w="692"/>
        <w:gridCol w:w="1337"/>
        <w:gridCol w:w="1594"/>
      </w:tblGrid>
      <w:tr w:rsidR="00A2051E" w:rsidRPr="001B749E" w14:paraId="79415C64" w14:textId="77777777" w:rsidTr="005A7B4B">
        <w:tc>
          <w:tcPr>
            <w:tcW w:w="9625" w:type="dxa"/>
            <w:gridSpan w:val="7"/>
            <w:shd w:val="clear" w:color="auto" w:fill="D9D9D9" w:themeFill="background1" w:themeFillShade="D9"/>
          </w:tcPr>
          <w:p w14:paraId="567C4A75" w14:textId="1542CBD1" w:rsidR="00906D98" w:rsidRPr="001B749E" w:rsidRDefault="00906D98" w:rsidP="00E90BA7">
            <w:pPr>
              <w:keepNext/>
              <w:spacing w:before="20" w:after="20" w:line="240" w:lineRule="auto"/>
              <w:jc w:val="both"/>
              <w:rPr>
                <w:rFonts w:ascii="Segoe UI" w:hAnsi="Segoe UI" w:cs="Segoe UI"/>
                <w:b/>
                <w:bCs/>
                <w:sz w:val="18"/>
                <w:szCs w:val="18"/>
              </w:rPr>
            </w:pPr>
            <w:r w:rsidRPr="001B749E">
              <w:rPr>
                <w:rFonts w:ascii="Segoe UI" w:hAnsi="Segoe UI" w:cs="Segoe UI"/>
                <w:b/>
                <w:bCs/>
                <w:sz w:val="18"/>
                <w:szCs w:val="18"/>
              </w:rPr>
              <w:t xml:space="preserve">35. Early </w:t>
            </w:r>
            <w:r w:rsidR="19B66457" w:rsidRPr="001B749E">
              <w:rPr>
                <w:rFonts w:ascii="Segoe UI" w:hAnsi="Segoe UI" w:cs="Segoe UI"/>
                <w:b/>
                <w:bCs/>
                <w:sz w:val="18"/>
                <w:szCs w:val="18"/>
              </w:rPr>
              <w:t>p</w:t>
            </w:r>
            <w:r w:rsidRPr="001B749E">
              <w:rPr>
                <w:rFonts w:ascii="Segoe UI" w:hAnsi="Segoe UI" w:cs="Segoe UI"/>
                <w:b/>
                <w:bCs/>
                <w:sz w:val="18"/>
                <w:szCs w:val="18"/>
              </w:rPr>
              <w:t>ayment discount of 15 percent</w:t>
            </w:r>
            <w:r w:rsidR="009C4402" w:rsidRPr="001B749E">
              <w:rPr>
                <w:rFonts w:ascii="Segoe UI" w:hAnsi="Segoe UI" w:cs="Segoe UI"/>
                <w:b/>
                <w:bCs/>
                <w:sz w:val="18"/>
                <w:szCs w:val="18"/>
              </w:rPr>
              <w:t xml:space="preserve"> applicable to properties assessed according to the old property tax system that applies to non-cadaster registered and non-market value appraised properties</w:t>
            </w:r>
            <w:r w:rsidRPr="001B749E">
              <w:rPr>
                <w:rFonts w:ascii="Segoe UI" w:hAnsi="Segoe UI" w:cs="Segoe UI"/>
                <w:b/>
                <w:bCs/>
                <w:sz w:val="18"/>
                <w:szCs w:val="18"/>
              </w:rPr>
              <w:t xml:space="preserve"> </w:t>
            </w:r>
          </w:p>
        </w:tc>
      </w:tr>
      <w:tr w:rsidR="00775F01" w:rsidRPr="007669E1" w14:paraId="4913C247" w14:textId="77777777" w:rsidTr="00503994">
        <w:trPr>
          <w:trHeight w:val="503"/>
        </w:trPr>
        <w:tc>
          <w:tcPr>
            <w:tcW w:w="2370" w:type="dxa"/>
          </w:tcPr>
          <w:p w14:paraId="5B826C20" w14:textId="77777777" w:rsidR="00906D98" w:rsidRPr="001B749E" w:rsidRDefault="00906D98" w:rsidP="00E90BA7">
            <w:pPr>
              <w:keepNext/>
              <w:spacing w:before="20" w:after="20" w:line="240" w:lineRule="auto"/>
              <w:jc w:val="both"/>
              <w:rPr>
                <w:rFonts w:ascii="Segoe UI" w:hAnsi="Segoe UI" w:cs="Segoe UI"/>
                <w:b/>
                <w:bCs/>
                <w:sz w:val="18"/>
                <w:szCs w:val="18"/>
              </w:rPr>
            </w:pPr>
            <w:r w:rsidRPr="001B749E">
              <w:rPr>
                <w:rFonts w:ascii="Segoe UI" w:hAnsi="Segoe UI" w:cs="Segoe UI"/>
                <w:b/>
                <w:bCs/>
                <w:sz w:val="18"/>
                <w:szCs w:val="18"/>
              </w:rPr>
              <w:t>Description</w:t>
            </w:r>
          </w:p>
        </w:tc>
        <w:tc>
          <w:tcPr>
            <w:tcW w:w="7255" w:type="dxa"/>
            <w:gridSpan w:val="6"/>
          </w:tcPr>
          <w:p w14:paraId="357AF4F2" w14:textId="0CD4E388" w:rsidR="00906D98" w:rsidRPr="007669E1" w:rsidRDefault="007D4A46" w:rsidP="00E90BA7">
            <w:pPr>
              <w:pStyle w:val="TableParagraph"/>
              <w:widowControl/>
              <w:spacing w:before="20" w:after="20"/>
              <w:ind w:left="23"/>
              <w:jc w:val="both"/>
              <w:rPr>
                <w:rFonts w:ascii="Segoe UI" w:hAnsi="Segoe UI" w:cs="Segoe UI"/>
                <w:sz w:val="18"/>
                <w:szCs w:val="18"/>
              </w:rPr>
            </w:pPr>
            <w:r w:rsidRPr="007669E1">
              <w:rPr>
                <w:rFonts w:ascii="Segoe UI" w:hAnsi="Segoe UI" w:cs="Segoe UI"/>
                <w:w w:val="105"/>
                <w:sz w:val="18"/>
                <w:szCs w:val="18"/>
                <w:lang w:val="en"/>
              </w:rPr>
              <w:t>The discounted tax payment applies to natural persons that pay the property and land tax based on the old property tax system. In this regime the local tax administration assesses the tax liability with reference to surface area and hand-delivers the tax invoice to taxpayers. Tax payments are assigned to the budget of the respective administrative-territorial unit. The tax liability is split and payable in equal parts, not later than 15 August and 15 October of the current fiscal year. If the full amount of the property tax for the current fiscal year is paid by 30 June of the respective year, these taxpayers receive a 15% discount of the payable tax.</w:t>
            </w:r>
          </w:p>
        </w:tc>
      </w:tr>
      <w:tr w:rsidR="00775F01" w:rsidRPr="007669E1" w14:paraId="0817FDCB" w14:textId="77777777" w:rsidTr="00503994">
        <w:tc>
          <w:tcPr>
            <w:tcW w:w="2370" w:type="dxa"/>
          </w:tcPr>
          <w:p w14:paraId="1610F9E2"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Type of Tax Affected</w:t>
            </w:r>
          </w:p>
        </w:tc>
        <w:tc>
          <w:tcPr>
            <w:tcW w:w="7255" w:type="dxa"/>
            <w:gridSpan w:val="6"/>
          </w:tcPr>
          <w:p w14:paraId="244F0FA5"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RET </w:t>
            </w:r>
          </w:p>
        </w:tc>
      </w:tr>
      <w:tr w:rsidR="00775F01" w:rsidRPr="007669E1" w14:paraId="2F04052D" w14:textId="77777777" w:rsidTr="00503994">
        <w:tc>
          <w:tcPr>
            <w:tcW w:w="2370" w:type="dxa"/>
          </w:tcPr>
          <w:p w14:paraId="1B7007DA"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Beneficiaries</w:t>
            </w:r>
          </w:p>
        </w:tc>
        <w:tc>
          <w:tcPr>
            <w:tcW w:w="7255" w:type="dxa"/>
            <w:gridSpan w:val="6"/>
          </w:tcPr>
          <w:p w14:paraId="33E9E507" w14:textId="1AC3D0D3" w:rsidR="00906D98" w:rsidRPr="007669E1" w:rsidRDefault="00727E05"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Property or landowners of properties and land parcels that have not yet been registered in the cadaster and evaluated by the territorial cadastral authorities in terms of mass-appraised market value. These taxpayers and their properties are assessed in terms of an area-based assessment for agricultural land together with their capital improvements.</w:t>
            </w:r>
          </w:p>
        </w:tc>
      </w:tr>
      <w:tr w:rsidR="00775F01" w:rsidRPr="007669E1" w14:paraId="2FDC1F3E" w14:textId="77777777" w:rsidTr="00503994">
        <w:tc>
          <w:tcPr>
            <w:tcW w:w="2370" w:type="dxa"/>
          </w:tcPr>
          <w:p w14:paraId="48475BB3"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Type of Measure</w:t>
            </w:r>
          </w:p>
        </w:tc>
        <w:tc>
          <w:tcPr>
            <w:tcW w:w="7255" w:type="dxa"/>
            <w:gridSpan w:val="6"/>
          </w:tcPr>
          <w:p w14:paraId="7495BF63" w14:textId="59E79925" w:rsidR="00906D98" w:rsidRPr="007669E1" w:rsidRDefault="0016362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Reduced rate</w:t>
            </w:r>
          </w:p>
        </w:tc>
      </w:tr>
      <w:tr w:rsidR="00775F01" w:rsidRPr="007669E1" w14:paraId="6DB6F52C" w14:textId="77777777" w:rsidTr="00503994">
        <w:tc>
          <w:tcPr>
            <w:tcW w:w="2370" w:type="dxa"/>
          </w:tcPr>
          <w:p w14:paraId="2AA7651E"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Reason why this Measure is not part of the Benchmark Tax System</w:t>
            </w:r>
          </w:p>
        </w:tc>
        <w:tc>
          <w:tcPr>
            <w:tcW w:w="7255" w:type="dxa"/>
            <w:gridSpan w:val="6"/>
          </w:tcPr>
          <w:p w14:paraId="72DEF056"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 narrowly defined subgroup of the RET taxpayer universe.</w:t>
            </w:r>
          </w:p>
        </w:tc>
      </w:tr>
      <w:tr w:rsidR="00775F01" w:rsidRPr="007669E1" w14:paraId="1AC264AC" w14:textId="77777777" w:rsidTr="00503994">
        <w:tc>
          <w:tcPr>
            <w:tcW w:w="2370" w:type="dxa"/>
          </w:tcPr>
          <w:p w14:paraId="1EE88269"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lastRenderedPageBreak/>
              <w:t>Legal Reference</w:t>
            </w:r>
          </w:p>
        </w:tc>
        <w:tc>
          <w:tcPr>
            <w:tcW w:w="7255" w:type="dxa"/>
            <w:gridSpan w:val="6"/>
          </w:tcPr>
          <w:p w14:paraId="58DFBF80"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Art 282(2) and Art. 4(7)(c) </w:t>
            </w:r>
          </w:p>
        </w:tc>
      </w:tr>
      <w:tr w:rsidR="00775F01" w:rsidRPr="007669E1" w14:paraId="27026A41" w14:textId="77777777" w:rsidTr="00503994">
        <w:trPr>
          <w:trHeight w:val="182"/>
        </w:trPr>
        <w:tc>
          <w:tcPr>
            <w:tcW w:w="2370" w:type="dxa"/>
            <w:vMerge w:val="restart"/>
          </w:tcPr>
          <w:p w14:paraId="2E9CE5CA"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Implementation Objectives, and History</w:t>
            </w:r>
          </w:p>
        </w:tc>
        <w:tc>
          <w:tcPr>
            <w:tcW w:w="7255" w:type="dxa"/>
            <w:gridSpan w:val="6"/>
          </w:tcPr>
          <w:p w14:paraId="54283EEA" w14:textId="77777777" w:rsidR="00906D98" w:rsidRPr="007669E1" w:rsidRDefault="00906D98" w:rsidP="00E90BA7">
            <w:pPr>
              <w:spacing w:before="20" w:after="20" w:line="240" w:lineRule="auto"/>
              <w:jc w:val="both"/>
              <w:rPr>
                <w:rFonts w:ascii="Segoe UI" w:hAnsi="Segoe UI" w:cs="Segoe UI"/>
                <w:sz w:val="18"/>
                <w:szCs w:val="18"/>
              </w:rPr>
            </w:pPr>
          </w:p>
        </w:tc>
      </w:tr>
      <w:tr w:rsidR="0084536F" w:rsidRPr="007669E1" w14:paraId="0D0FB664" w14:textId="77777777" w:rsidTr="00503994">
        <w:trPr>
          <w:trHeight w:val="182"/>
        </w:trPr>
        <w:tc>
          <w:tcPr>
            <w:tcW w:w="2370" w:type="dxa"/>
            <w:vMerge/>
          </w:tcPr>
          <w:p w14:paraId="22B311E3" w14:textId="77777777" w:rsidR="00906D98" w:rsidRPr="001B749E" w:rsidRDefault="00906D98" w:rsidP="00E90BA7">
            <w:pPr>
              <w:spacing w:before="20" w:after="20" w:line="240" w:lineRule="auto"/>
              <w:jc w:val="both"/>
              <w:rPr>
                <w:rFonts w:ascii="Segoe UI" w:hAnsi="Segoe UI" w:cs="Segoe UI"/>
                <w:b/>
                <w:bCs/>
                <w:sz w:val="18"/>
                <w:szCs w:val="18"/>
              </w:rPr>
            </w:pPr>
          </w:p>
        </w:tc>
        <w:tc>
          <w:tcPr>
            <w:tcW w:w="3632" w:type="dxa"/>
            <w:gridSpan w:val="3"/>
          </w:tcPr>
          <w:p w14:paraId="4AC1F5E0" w14:textId="24EAF676"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623" w:type="dxa"/>
            <w:gridSpan w:val="3"/>
          </w:tcPr>
          <w:p w14:paraId="0E026600"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2021</w:t>
            </w:r>
          </w:p>
        </w:tc>
      </w:tr>
      <w:tr w:rsidR="00775F01" w:rsidRPr="007669E1" w14:paraId="2E12F4FA" w14:textId="77777777" w:rsidTr="00503994">
        <w:tc>
          <w:tcPr>
            <w:tcW w:w="2370" w:type="dxa"/>
          </w:tcPr>
          <w:p w14:paraId="2ED4CA22"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Source of Data</w:t>
            </w:r>
          </w:p>
        </w:tc>
        <w:tc>
          <w:tcPr>
            <w:tcW w:w="7255" w:type="dxa"/>
            <w:gridSpan w:val="6"/>
          </w:tcPr>
          <w:p w14:paraId="345B4FD9"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75F01" w:rsidRPr="007669E1" w14:paraId="53F2F64D" w14:textId="77777777" w:rsidTr="00503994">
        <w:tc>
          <w:tcPr>
            <w:tcW w:w="2370" w:type="dxa"/>
          </w:tcPr>
          <w:p w14:paraId="284CD6B1"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Estimation Method</w:t>
            </w:r>
          </w:p>
        </w:tc>
        <w:tc>
          <w:tcPr>
            <w:tcW w:w="7255" w:type="dxa"/>
            <w:gridSpan w:val="6"/>
          </w:tcPr>
          <w:p w14:paraId="26D4FCCC" w14:textId="77777777"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75F01" w:rsidRPr="007669E1" w14:paraId="445C06E3" w14:textId="77777777" w:rsidTr="00503994">
        <w:tc>
          <w:tcPr>
            <w:tcW w:w="2370" w:type="dxa"/>
          </w:tcPr>
          <w:p w14:paraId="2ADFB9CC"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Number of Beneficiaries</w:t>
            </w:r>
          </w:p>
        </w:tc>
        <w:tc>
          <w:tcPr>
            <w:tcW w:w="7255" w:type="dxa"/>
            <w:gridSpan w:val="6"/>
          </w:tcPr>
          <w:p w14:paraId="63E78812" w14:textId="78CB1EFA" w:rsidR="00906D98" w:rsidRPr="007669E1" w:rsidRDefault="00906D98"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D40A8C" w:rsidRPr="007669E1" w14:paraId="29792B94" w14:textId="77777777" w:rsidTr="00503994">
        <w:tc>
          <w:tcPr>
            <w:tcW w:w="2370" w:type="dxa"/>
          </w:tcPr>
          <w:p w14:paraId="1980FEF8"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Revenue Cost Reporting</w:t>
            </w:r>
          </w:p>
        </w:tc>
        <w:tc>
          <w:tcPr>
            <w:tcW w:w="7255" w:type="dxa"/>
            <w:gridSpan w:val="6"/>
            <w:shd w:val="clear" w:color="auto" w:fill="auto"/>
          </w:tcPr>
          <w:p w14:paraId="04C23508" w14:textId="2F85119D" w:rsidR="00906D98" w:rsidRPr="007669E1" w:rsidRDefault="007A7A9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906D98" w:rsidRPr="007669E1">
              <w:rPr>
                <w:rFonts w:ascii="Segoe UI" w:hAnsi="Segoe UI" w:cs="Segoe UI"/>
                <w:sz w:val="18"/>
                <w:szCs w:val="18"/>
              </w:rPr>
              <w:t xml:space="preserve"> MDL</w:t>
            </w:r>
          </w:p>
        </w:tc>
      </w:tr>
      <w:tr w:rsidR="00136C8F" w:rsidRPr="007669E1" w14:paraId="727B39E1" w14:textId="77777777" w:rsidTr="00503994">
        <w:trPr>
          <w:trHeight w:val="91"/>
        </w:trPr>
        <w:tc>
          <w:tcPr>
            <w:tcW w:w="2370" w:type="dxa"/>
            <w:vMerge w:val="restart"/>
          </w:tcPr>
          <w:p w14:paraId="2889A508" w14:textId="77777777" w:rsidR="00906D98" w:rsidRPr="007669E1" w:rsidRDefault="00906D98" w:rsidP="00E90BA7">
            <w:pPr>
              <w:spacing w:before="20" w:after="20" w:line="240" w:lineRule="auto"/>
              <w:jc w:val="both"/>
              <w:rPr>
                <w:rFonts w:ascii="Segoe UI" w:hAnsi="Segoe UI" w:cs="Segoe UI"/>
                <w:sz w:val="18"/>
                <w:szCs w:val="18"/>
              </w:rPr>
            </w:pPr>
          </w:p>
        </w:tc>
        <w:tc>
          <w:tcPr>
            <w:tcW w:w="1370" w:type="dxa"/>
          </w:tcPr>
          <w:p w14:paraId="438CFCB2"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2018</w:t>
            </w:r>
          </w:p>
        </w:tc>
        <w:tc>
          <w:tcPr>
            <w:tcW w:w="1570" w:type="dxa"/>
          </w:tcPr>
          <w:p w14:paraId="12C71BDF"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2019</w:t>
            </w:r>
          </w:p>
        </w:tc>
        <w:tc>
          <w:tcPr>
            <w:tcW w:w="1384" w:type="dxa"/>
            <w:gridSpan w:val="2"/>
          </w:tcPr>
          <w:p w14:paraId="7B85005E"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2020</w:t>
            </w:r>
          </w:p>
        </w:tc>
        <w:tc>
          <w:tcPr>
            <w:tcW w:w="1337" w:type="dxa"/>
          </w:tcPr>
          <w:p w14:paraId="386C057E"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2021</w:t>
            </w:r>
          </w:p>
        </w:tc>
        <w:tc>
          <w:tcPr>
            <w:tcW w:w="1594" w:type="dxa"/>
          </w:tcPr>
          <w:p w14:paraId="231B899E" w14:textId="77777777" w:rsidR="00906D98" w:rsidRPr="001B749E" w:rsidRDefault="00906D98"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2022</w:t>
            </w:r>
          </w:p>
        </w:tc>
      </w:tr>
      <w:tr w:rsidR="00E72E03" w:rsidRPr="007669E1" w14:paraId="271ADD87" w14:textId="77777777" w:rsidTr="00B77B24">
        <w:trPr>
          <w:trHeight w:val="305"/>
        </w:trPr>
        <w:tc>
          <w:tcPr>
            <w:tcW w:w="2370" w:type="dxa"/>
            <w:vMerge/>
          </w:tcPr>
          <w:p w14:paraId="7C685183" w14:textId="77777777" w:rsidR="00906D98" w:rsidRPr="007669E1" w:rsidRDefault="00906D98" w:rsidP="00E90BA7">
            <w:pPr>
              <w:spacing w:before="20" w:after="20" w:line="240" w:lineRule="auto"/>
              <w:jc w:val="both"/>
              <w:rPr>
                <w:rFonts w:ascii="Segoe UI" w:hAnsi="Segoe UI" w:cs="Segoe UI"/>
                <w:sz w:val="18"/>
                <w:szCs w:val="18"/>
              </w:rPr>
            </w:pPr>
          </w:p>
        </w:tc>
        <w:tc>
          <w:tcPr>
            <w:tcW w:w="1370" w:type="dxa"/>
            <w:shd w:val="clear" w:color="auto" w:fill="auto"/>
            <w:vAlign w:val="center"/>
          </w:tcPr>
          <w:p w14:paraId="490C1AA1" w14:textId="2E7F5BFC" w:rsidR="00906D98" w:rsidRPr="007669E1" w:rsidRDefault="00503994" w:rsidP="00E90BA7">
            <w:pPr>
              <w:spacing w:before="20" w:after="20" w:line="240" w:lineRule="auto"/>
              <w:jc w:val="both"/>
              <w:rPr>
                <w:rFonts w:ascii="Segoe UI" w:hAnsi="Segoe UI" w:cs="Segoe UI"/>
                <w:color w:val="000000"/>
                <w:sz w:val="18"/>
                <w:szCs w:val="18"/>
              </w:rPr>
            </w:pPr>
            <w:r w:rsidRPr="007669E1">
              <w:rPr>
                <w:rFonts w:ascii="Segoe UI" w:hAnsi="Segoe UI" w:cs="Segoe UI"/>
                <w:color w:val="000000" w:themeColor="text1"/>
                <w:sz w:val="18"/>
                <w:szCs w:val="18"/>
              </w:rPr>
              <w:t>22</w:t>
            </w:r>
            <w:r w:rsidR="2AC4FE59" w:rsidRPr="007669E1">
              <w:rPr>
                <w:rFonts w:ascii="Segoe UI" w:hAnsi="Segoe UI" w:cs="Segoe UI"/>
                <w:color w:val="000000" w:themeColor="text1"/>
                <w:sz w:val="18"/>
                <w:szCs w:val="18"/>
              </w:rPr>
              <w:t>,</w:t>
            </w:r>
            <w:r w:rsidRPr="007669E1">
              <w:rPr>
                <w:rFonts w:ascii="Segoe UI" w:hAnsi="Segoe UI" w:cs="Segoe UI"/>
                <w:color w:val="000000" w:themeColor="text1"/>
                <w:sz w:val="18"/>
                <w:szCs w:val="18"/>
              </w:rPr>
              <w:t>899.9</w:t>
            </w:r>
          </w:p>
        </w:tc>
        <w:tc>
          <w:tcPr>
            <w:tcW w:w="1570" w:type="dxa"/>
            <w:shd w:val="clear" w:color="auto" w:fill="auto"/>
            <w:vAlign w:val="center"/>
          </w:tcPr>
          <w:p w14:paraId="70667F0F" w14:textId="2B47612F" w:rsidR="00906D98" w:rsidRPr="007669E1" w:rsidRDefault="00472A8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88,640.1</w:t>
            </w:r>
          </w:p>
        </w:tc>
        <w:tc>
          <w:tcPr>
            <w:tcW w:w="1384" w:type="dxa"/>
            <w:gridSpan w:val="2"/>
            <w:shd w:val="clear" w:color="auto" w:fill="auto"/>
            <w:vAlign w:val="center"/>
          </w:tcPr>
          <w:p w14:paraId="272543DC" w14:textId="14CFC5E0" w:rsidR="00906D98" w:rsidRPr="007669E1" w:rsidRDefault="00472A8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9,373.5</w:t>
            </w:r>
          </w:p>
        </w:tc>
        <w:tc>
          <w:tcPr>
            <w:tcW w:w="1337" w:type="dxa"/>
            <w:shd w:val="clear" w:color="auto" w:fill="auto"/>
            <w:vAlign w:val="center"/>
          </w:tcPr>
          <w:p w14:paraId="5BA9077E" w14:textId="01E6E9A3" w:rsidR="00906D98" w:rsidRPr="007669E1" w:rsidRDefault="00472A8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w:t>
            </w:r>
          </w:p>
        </w:tc>
        <w:tc>
          <w:tcPr>
            <w:tcW w:w="1594" w:type="dxa"/>
            <w:shd w:val="clear" w:color="auto" w:fill="auto"/>
            <w:vAlign w:val="center"/>
          </w:tcPr>
          <w:p w14:paraId="7E914BEE" w14:textId="129DBBBA" w:rsidR="00906D98" w:rsidRPr="007669E1" w:rsidRDefault="00472A8F" w:rsidP="00E90BA7">
            <w:pPr>
              <w:spacing w:before="20" w:after="20" w:line="240" w:lineRule="auto"/>
              <w:jc w:val="both"/>
              <w:rPr>
                <w:rFonts w:ascii="Segoe UI" w:hAnsi="Segoe UI" w:cs="Segoe UI"/>
                <w:sz w:val="18"/>
                <w:szCs w:val="18"/>
              </w:rPr>
            </w:pPr>
            <w:r w:rsidRPr="007669E1">
              <w:rPr>
                <w:rFonts w:ascii="Segoe UI" w:hAnsi="Segoe UI" w:cs="Segoe UI"/>
                <w:color w:val="000000"/>
                <w:sz w:val="18"/>
                <w:szCs w:val="18"/>
              </w:rPr>
              <w:t>—</w:t>
            </w:r>
          </w:p>
        </w:tc>
      </w:tr>
    </w:tbl>
    <w:p w14:paraId="4CB14574" w14:textId="5A94CA16" w:rsidR="00906D98" w:rsidRPr="007669E1" w:rsidRDefault="00906D98" w:rsidP="00E90BA7">
      <w:pPr>
        <w:spacing w:before="20" w:after="20" w:line="240" w:lineRule="auto"/>
        <w:jc w:val="both"/>
        <w:rPr>
          <w:rFonts w:ascii="Segoe UI" w:hAnsi="Segoe UI" w:cs="Segoe UI"/>
          <w:b/>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213ED0" w:rsidRPr="001B749E" w14:paraId="7384DD93" w14:textId="77777777" w:rsidTr="001B749E">
        <w:tc>
          <w:tcPr>
            <w:tcW w:w="9625" w:type="dxa"/>
            <w:gridSpan w:val="7"/>
          </w:tcPr>
          <w:p w14:paraId="12F2466F" w14:textId="28E3A6B7" w:rsidR="00213ED0" w:rsidRPr="001B749E" w:rsidRDefault="00213ED0" w:rsidP="00E90BA7">
            <w:pPr>
              <w:keepNext/>
              <w:keepLines/>
              <w:spacing w:before="20" w:after="20" w:line="240" w:lineRule="auto"/>
              <w:jc w:val="both"/>
              <w:rPr>
                <w:rFonts w:ascii="Segoe UI" w:hAnsi="Segoe UI" w:cs="Segoe UI"/>
                <w:b/>
                <w:bCs/>
                <w:sz w:val="18"/>
                <w:szCs w:val="18"/>
              </w:rPr>
            </w:pPr>
            <w:r w:rsidRPr="001B749E">
              <w:rPr>
                <w:rFonts w:ascii="Segoe UI" w:hAnsi="Segoe UI" w:cs="Segoe UI"/>
                <w:b/>
                <w:bCs/>
                <w:sz w:val="18"/>
                <w:szCs w:val="18"/>
              </w:rPr>
              <w:t>3</w:t>
            </w:r>
            <w:r w:rsidR="00322E13" w:rsidRPr="001B749E">
              <w:rPr>
                <w:rFonts w:ascii="Segoe UI" w:hAnsi="Segoe UI" w:cs="Segoe UI"/>
                <w:b/>
                <w:bCs/>
                <w:sz w:val="18"/>
                <w:szCs w:val="18"/>
              </w:rPr>
              <w:t>6</w:t>
            </w:r>
            <w:r w:rsidRPr="001B749E">
              <w:rPr>
                <w:rFonts w:ascii="Segoe UI" w:hAnsi="Segoe UI" w:cs="Segoe UI"/>
                <w:b/>
                <w:bCs/>
                <w:sz w:val="18"/>
                <w:szCs w:val="18"/>
              </w:rPr>
              <w:t>. Special tax regime for residents of IT park</w:t>
            </w:r>
          </w:p>
        </w:tc>
      </w:tr>
      <w:tr w:rsidR="00213ED0" w:rsidRPr="007669E1" w14:paraId="3D45BC19" w14:textId="77777777" w:rsidTr="001B749E">
        <w:tc>
          <w:tcPr>
            <w:tcW w:w="2425" w:type="dxa"/>
          </w:tcPr>
          <w:p w14:paraId="4B3534A8"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Description</w:t>
            </w:r>
          </w:p>
        </w:tc>
        <w:tc>
          <w:tcPr>
            <w:tcW w:w="7200" w:type="dxa"/>
            <w:gridSpan w:val="6"/>
          </w:tcPr>
          <w:p w14:paraId="5331EC5E" w14:textId="0E32745D" w:rsidR="00213ED0" w:rsidRPr="007669E1" w:rsidRDefault="00213ED0" w:rsidP="00E90BA7">
            <w:pPr>
              <w:keepNext/>
              <w:keepLines/>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 xml:space="preserve">For residents of IT park regime, tax liability is calculated as a single tax payment at a rate of 7 percent of turnover (to be not less than a minimum tax calculated as: 30 percent * average monthly salary in the economy * number of employees). </w:t>
            </w:r>
            <w:r w:rsidR="00692397" w:rsidRPr="007669E1">
              <w:rPr>
                <w:rFonts w:ascii="Segoe UI" w:hAnsi="Segoe UI" w:cs="Segoe UI"/>
                <w:sz w:val="18"/>
                <w:szCs w:val="18"/>
              </w:rPr>
              <w:t>0.1</w:t>
            </w:r>
            <w:r w:rsidRPr="007669E1">
              <w:rPr>
                <w:rFonts w:ascii="Segoe UI" w:hAnsi="Segoe UI" w:cs="Segoe UI"/>
                <w:sz w:val="18"/>
                <w:szCs w:val="18"/>
              </w:rPr>
              <w:t xml:space="preserve"> percent of the single unified tax payment substitutes</w:t>
            </w:r>
            <w:r w:rsidR="00692397" w:rsidRPr="007669E1">
              <w:rPr>
                <w:rFonts w:ascii="Segoe UI" w:hAnsi="Segoe UI" w:cs="Segoe UI"/>
                <w:sz w:val="18"/>
                <w:szCs w:val="18"/>
              </w:rPr>
              <w:t xml:space="preserve"> </w:t>
            </w:r>
            <w:r w:rsidR="00F758F4" w:rsidRPr="007669E1">
              <w:rPr>
                <w:rFonts w:ascii="Segoe UI" w:hAnsi="Segoe UI" w:cs="Segoe UI"/>
                <w:sz w:val="18"/>
                <w:szCs w:val="18"/>
              </w:rPr>
              <w:t>real estate taxes</w:t>
            </w:r>
            <w:r w:rsidRPr="007669E1">
              <w:rPr>
                <w:rFonts w:ascii="Segoe UI" w:hAnsi="Segoe UI" w:cs="Segoe UI"/>
                <w:sz w:val="18"/>
                <w:szCs w:val="18"/>
              </w:rPr>
              <w:t xml:space="preserve">. (See Box 1 for a detailed discussion of the IT Park regime). </w:t>
            </w:r>
          </w:p>
        </w:tc>
      </w:tr>
      <w:tr w:rsidR="00213ED0" w:rsidRPr="007669E1" w14:paraId="59859B23" w14:textId="77777777" w:rsidTr="001B749E">
        <w:tc>
          <w:tcPr>
            <w:tcW w:w="2425" w:type="dxa"/>
          </w:tcPr>
          <w:p w14:paraId="374DDEC7"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Type of Tax Affected</w:t>
            </w:r>
          </w:p>
        </w:tc>
        <w:tc>
          <w:tcPr>
            <w:tcW w:w="7200" w:type="dxa"/>
            <w:gridSpan w:val="6"/>
          </w:tcPr>
          <w:p w14:paraId="41684E03" w14:textId="05288777" w:rsidR="00213ED0" w:rsidRPr="007669E1" w:rsidRDefault="0044315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w:t>
            </w:r>
            <w:r w:rsidR="00213ED0" w:rsidRPr="007669E1">
              <w:rPr>
                <w:rFonts w:ascii="Segoe UI" w:hAnsi="Segoe UI" w:cs="Segoe UI"/>
                <w:sz w:val="18"/>
                <w:szCs w:val="18"/>
              </w:rPr>
              <w:t>T (among other taxes)</w:t>
            </w:r>
          </w:p>
        </w:tc>
      </w:tr>
      <w:tr w:rsidR="00213ED0" w:rsidRPr="007669E1" w14:paraId="183CC53D" w14:textId="77777777" w:rsidTr="001B749E">
        <w:tc>
          <w:tcPr>
            <w:tcW w:w="2425" w:type="dxa"/>
          </w:tcPr>
          <w:p w14:paraId="759D6394"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Beneficiaries</w:t>
            </w:r>
          </w:p>
        </w:tc>
        <w:tc>
          <w:tcPr>
            <w:tcW w:w="7200" w:type="dxa"/>
            <w:gridSpan w:val="6"/>
          </w:tcPr>
          <w:p w14:paraId="32022B1D" w14:textId="77777777" w:rsidR="00213ED0" w:rsidRPr="007669E1" w:rsidRDefault="00213ED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Residents of IT Parks</w:t>
            </w:r>
          </w:p>
        </w:tc>
      </w:tr>
      <w:tr w:rsidR="00213ED0" w:rsidRPr="007669E1" w14:paraId="4EC591B4" w14:textId="77777777" w:rsidTr="001B749E">
        <w:tc>
          <w:tcPr>
            <w:tcW w:w="2425" w:type="dxa"/>
          </w:tcPr>
          <w:p w14:paraId="6E67767F"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Type of Measure</w:t>
            </w:r>
          </w:p>
        </w:tc>
        <w:tc>
          <w:tcPr>
            <w:tcW w:w="7200" w:type="dxa"/>
            <w:gridSpan w:val="6"/>
          </w:tcPr>
          <w:p w14:paraId="1239CEF7" w14:textId="28212B2A" w:rsidR="00213ED0" w:rsidRPr="007669E1" w:rsidRDefault="00E14DA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Special preferential tax regime</w:t>
            </w:r>
          </w:p>
        </w:tc>
      </w:tr>
      <w:tr w:rsidR="00213ED0" w:rsidRPr="007669E1" w14:paraId="5AEC31CD" w14:textId="77777777" w:rsidTr="001B749E">
        <w:tc>
          <w:tcPr>
            <w:tcW w:w="2425" w:type="dxa"/>
          </w:tcPr>
          <w:p w14:paraId="0C73742B"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Reason why this Measure is not part of the Benchmark Tax System</w:t>
            </w:r>
          </w:p>
        </w:tc>
        <w:tc>
          <w:tcPr>
            <w:tcW w:w="7200" w:type="dxa"/>
            <w:gridSpan w:val="6"/>
          </w:tcPr>
          <w:p w14:paraId="443C5DED" w14:textId="0865824C" w:rsidR="00213ED0" w:rsidRPr="007669E1" w:rsidRDefault="00213ED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The unified tax regime replaces most other taxes levied by national and subnational level government in Moldova on the IT sector, translating into a sizable tax burden reduction across affected taxes. </w:t>
            </w:r>
            <w:r w:rsidR="00EA3D11" w:rsidRPr="007669E1">
              <w:rPr>
                <w:rFonts w:ascii="Segoe UI" w:hAnsi="Segoe UI" w:cs="Segoe UI"/>
                <w:sz w:val="18"/>
                <w:szCs w:val="18"/>
              </w:rPr>
              <w:t>This is a tax expenditure: the regime represents a departure from the statutory 12% standard PIT rate.</w:t>
            </w:r>
          </w:p>
        </w:tc>
      </w:tr>
      <w:tr w:rsidR="00213ED0" w:rsidRPr="007669E1" w14:paraId="513EEBB0" w14:textId="77777777" w:rsidTr="001B749E">
        <w:tc>
          <w:tcPr>
            <w:tcW w:w="2425" w:type="dxa"/>
          </w:tcPr>
          <w:p w14:paraId="323F641C"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Legal Reference</w:t>
            </w:r>
          </w:p>
        </w:tc>
        <w:tc>
          <w:tcPr>
            <w:tcW w:w="7200" w:type="dxa"/>
            <w:gridSpan w:val="6"/>
          </w:tcPr>
          <w:p w14:paraId="44F04975" w14:textId="77777777" w:rsidR="00213ED0" w:rsidRPr="007669E1" w:rsidRDefault="00213ED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Law no. 77 of 21.04.2016, Articles 367‐372</w:t>
            </w:r>
          </w:p>
        </w:tc>
      </w:tr>
      <w:tr w:rsidR="00213ED0" w:rsidRPr="007669E1" w14:paraId="1B3740D1" w14:textId="77777777" w:rsidTr="001B749E">
        <w:trPr>
          <w:trHeight w:val="182"/>
        </w:trPr>
        <w:tc>
          <w:tcPr>
            <w:tcW w:w="2425" w:type="dxa"/>
            <w:vMerge w:val="restart"/>
          </w:tcPr>
          <w:p w14:paraId="75E4A523"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Implementation, Objectives, and History</w:t>
            </w:r>
          </w:p>
        </w:tc>
        <w:tc>
          <w:tcPr>
            <w:tcW w:w="3462" w:type="dxa"/>
            <w:gridSpan w:val="3"/>
          </w:tcPr>
          <w:p w14:paraId="5FA026A0" w14:textId="77777777" w:rsidR="00213ED0" w:rsidRPr="007669E1" w:rsidRDefault="00213ED0" w:rsidP="00E90BA7">
            <w:pPr>
              <w:spacing w:before="20" w:after="20" w:line="240" w:lineRule="auto"/>
              <w:jc w:val="both"/>
              <w:rPr>
                <w:rFonts w:ascii="Segoe UI" w:hAnsi="Segoe UI" w:cs="Segoe UI"/>
                <w:sz w:val="18"/>
                <w:szCs w:val="18"/>
              </w:rPr>
            </w:pPr>
          </w:p>
        </w:tc>
        <w:tc>
          <w:tcPr>
            <w:tcW w:w="3738" w:type="dxa"/>
            <w:gridSpan w:val="3"/>
          </w:tcPr>
          <w:p w14:paraId="1DF6AC28" w14:textId="77777777" w:rsidR="00213ED0" w:rsidRPr="007669E1" w:rsidRDefault="00213ED0" w:rsidP="00E90BA7">
            <w:pPr>
              <w:spacing w:before="20" w:after="20" w:line="240" w:lineRule="auto"/>
              <w:jc w:val="both"/>
              <w:rPr>
                <w:rFonts w:ascii="Segoe UI" w:hAnsi="Segoe UI" w:cs="Segoe UI"/>
                <w:sz w:val="18"/>
                <w:szCs w:val="18"/>
              </w:rPr>
            </w:pPr>
          </w:p>
        </w:tc>
      </w:tr>
      <w:tr w:rsidR="00213ED0" w:rsidRPr="007669E1" w14:paraId="7CD6D605" w14:textId="77777777" w:rsidTr="001B749E">
        <w:trPr>
          <w:trHeight w:val="182"/>
        </w:trPr>
        <w:tc>
          <w:tcPr>
            <w:tcW w:w="2425" w:type="dxa"/>
            <w:vMerge/>
          </w:tcPr>
          <w:p w14:paraId="31BE53F0" w14:textId="77777777" w:rsidR="00213ED0" w:rsidRPr="001B749E" w:rsidRDefault="00213ED0" w:rsidP="00E90BA7">
            <w:pPr>
              <w:spacing w:before="20" w:after="20" w:line="240" w:lineRule="auto"/>
              <w:jc w:val="both"/>
              <w:rPr>
                <w:rFonts w:ascii="Segoe UI" w:hAnsi="Segoe UI" w:cs="Segoe UI"/>
                <w:b/>
                <w:bCs/>
                <w:sz w:val="18"/>
                <w:szCs w:val="18"/>
              </w:rPr>
            </w:pPr>
          </w:p>
        </w:tc>
        <w:tc>
          <w:tcPr>
            <w:tcW w:w="3462" w:type="dxa"/>
            <w:gridSpan w:val="3"/>
          </w:tcPr>
          <w:p w14:paraId="6DA6F900" w14:textId="77777777" w:rsidR="00213ED0" w:rsidRPr="007669E1" w:rsidRDefault="00213ED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 2017</w:t>
            </w:r>
          </w:p>
        </w:tc>
        <w:tc>
          <w:tcPr>
            <w:tcW w:w="3738" w:type="dxa"/>
            <w:gridSpan w:val="3"/>
          </w:tcPr>
          <w:p w14:paraId="39AB5489" w14:textId="77777777" w:rsidR="00213ED0" w:rsidRPr="007669E1" w:rsidRDefault="00213ED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 —</w:t>
            </w:r>
          </w:p>
        </w:tc>
      </w:tr>
      <w:tr w:rsidR="00213ED0" w:rsidRPr="007669E1" w14:paraId="0B5A2D37" w14:textId="77777777" w:rsidTr="001B749E">
        <w:tc>
          <w:tcPr>
            <w:tcW w:w="2425" w:type="dxa"/>
          </w:tcPr>
          <w:p w14:paraId="58DD7E3E"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Source of Data</w:t>
            </w:r>
          </w:p>
        </w:tc>
        <w:tc>
          <w:tcPr>
            <w:tcW w:w="7200" w:type="dxa"/>
            <w:gridSpan w:val="6"/>
          </w:tcPr>
          <w:p w14:paraId="4440F740" w14:textId="348CBD12" w:rsidR="00213ED0" w:rsidRPr="007669E1" w:rsidRDefault="00E14DA6"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213ED0" w:rsidRPr="007669E1" w14:paraId="1DCFC318" w14:textId="77777777" w:rsidTr="001B749E">
        <w:tc>
          <w:tcPr>
            <w:tcW w:w="2425" w:type="dxa"/>
          </w:tcPr>
          <w:p w14:paraId="1D855E17"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Estimation Method</w:t>
            </w:r>
          </w:p>
        </w:tc>
        <w:tc>
          <w:tcPr>
            <w:tcW w:w="7200" w:type="dxa"/>
            <w:gridSpan w:val="6"/>
          </w:tcPr>
          <w:p w14:paraId="20775A4B" w14:textId="5A6F9A38" w:rsidR="00213ED0" w:rsidRPr="007669E1" w:rsidRDefault="00213ED0" w:rsidP="00E90BA7">
            <w:pPr>
              <w:spacing w:before="20" w:after="20" w:line="240" w:lineRule="auto"/>
              <w:jc w:val="both"/>
              <w:rPr>
                <w:rFonts w:ascii="Segoe UI" w:hAnsi="Segoe UI" w:cs="Segoe UI"/>
                <w:sz w:val="18"/>
                <w:szCs w:val="18"/>
              </w:rPr>
            </w:pPr>
          </w:p>
        </w:tc>
      </w:tr>
      <w:tr w:rsidR="00213ED0" w:rsidRPr="007669E1" w14:paraId="7D9E48CE" w14:textId="77777777" w:rsidTr="001B749E">
        <w:tc>
          <w:tcPr>
            <w:tcW w:w="2425" w:type="dxa"/>
          </w:tcPr>
          <w:p w14:paraId="467C2D03"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Number of Beneficiaries</w:t>
            </w:r>
          </w:p>
        </w:tc>
        <w:tc>
          <w:tcPr>
            <w:tcW w:w="7200" w:type="dxa"/>
            <w:gridSpan w:val="6"/>
          </w:tcPr>
          <w:p w14:paraId="24D795E5" w14:textId="227CA54A" w:rsidR="00213ED0" w:rsidRPr="007669E1" w:rsidRDefault="00F651FD"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213ED0" w:rsidRPr="007669E1" w14:paraId="72745EE8" w14:textId="77777777" w:rsidTr="001B749E">
        <w:tc>
          <w:tcPr>
            <w:tcW w:w="2425" w:type="dxa"/>
          </w:tcPr>
          <w:p w14:paraId="3C5C0624"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Revenue Cost Reporting</w:t>
            </w:r>
          </w:p>
        </w:tc>
        <w:tc>
          <w:tcPr>
            <w:tcW w:w="7200" w:type="dxa"/>
            <w:gridSpan w:val="6"/>
          </w:tcPr>
          <w:p w14:paraId="31645DEF" w14:textId="65FF5594" w:rsidR="00213ED0" w:rsidRPr="007669E1" w:rsidRDefault="007D1B4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213ED0" w:rsidRPr="007669E1">
              <w:rPr>
                <w:rFonts w:ascii="Segoe UI" w:hAnsi="Segoe UI" w:cs="Segoe UI"/>
                <w:sz w:val="18"/>
                <w:szCs w:val="18"/>
              </w:rPr>
              <w:t xml:space="preserve"> MDL</w:t>
            </w:r>
          </w:p>
        </w:tc>
      </w:tr>
      <w:tr w:rsidR="00213ED0" w:rsidRPr="007669E1" w14:paraId="568C6F21" w14:textId="77777777" w:rsidTr="001B749E">
        <w:trPr>
          <w:trHeight w:val="91"/>
        </w:trPr>
        <w:tc>
          <w:tcPr>
            <w:tcW w:w="2425" w:type="dxa"/>
            <w:vMerge w:val="restart"/>
          </w:tcPr>
          <w:p w14:paraId="7569D640" w14:textId="77777777" w:rsidR="00213ED0" w:rsidRPr="007669E1" w:rsidRDefault="00213ED0" w:rsidP="00E90BA7">
            <w:pPr>
              <w:spacing w:before="20" w:after="20" w:line="240" w:lineRule="auto"/>
              <w:jc w:val="both"/>
              <w:rPr>
                <w:rFonts w:ascii="Segoe UI" w:hAnsi="Segoe UI" w:cs="Segoe UI"/>
                <w:sz w:val="18"/>
                <w:szCs w:val="18"/>
              </w:rPr>
            </w:pPr>
          </w:p>
        </w:tc>
        <w:tc>
          <w:tcPr>
            <w:tcW w:w="1385" w:type="dxa"/>
          </w:tcPr>
          <w:p w14:paraId="784D4BB5"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2018</w:t>
            </w:r>
          </w:p>
        </w:tc>
        <w:tc>
          <w:tcPr>
            <w:tcW w:w="1385" w:type="dxa"/>
          </w:tcPr>
          <w:p w14:paraId="485E65B3"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2019</w:t>
            </w:r>
          </w:p>
        </w:tc>
        <w:tc>
          <w:tcPr>
            <w:tcW w:w="1385" w:type="dxa"/>
            <w:gridSpan w:val="2"/>
          </w:tcPr>
          <w:p w14:paraId="6870631C"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2020</w:t>
            </w:r>
          </w:p>
        </w:tc>
        <w:tc>
          <w:tcPr>
            <w:tcW w:w="1385" w:type="dxa"/>
          </w:tcPr>
          <w:p w14:paraId="3A971645"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2021</w:t>
            </w:r>
          </w:p>
        </w:tc>
        <w:tc>
          <w:tcPr>
            <w:tcW w:w="1660" w:type="dxa"/>
          </w:tcPr>
          <w:p w14:paraId="513E1A86" w14:textId="77777777" w:rsidR="00213ED0" w:rsidRPr="001B749E" w:rsidRDefault="00213ED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2022</w:t>
            </w:r>
          </w:p>
        </w:tc>
      </w:tr>
      <w:tr w:rsidR="00D17FDD" w:rsidRPr="007669E1" w14:paraId="5E3AAF1A" w14:textId="77777777" w:rsidTr="001B749E">
        <w:trPr>
          <w:trHeight w:val="91"/>
        </w:trPr>
        <w:tc>
          <w:tcPr>
            <w:tcW w:w="2425" w:type="dxa"/>
            <w:vMerge/>
          </w:tcPr>
          <w:p w14:paraId="649026C5" w14:textId="77777777" w:rsidR="00213ED0" w:rsidRPr="007669E1" w:rsidRDefault="00213ED0" w:rsidP="00E90BA7">
            <w:pPr>
              <w:spacing w:before="20" w:after="20" w:line="240" w:lineRule="auto"/>
              <w:jc w:val="both"/>
              <w:rPr>
                <w:rFonts w:ascii="Segoe UI" w:hAnsi="Segoe UI" w:cs="Segoe UI"/>
                <w:sz w:val="18"/>
                <w:szCs w:val="18"/>
              </w:rPr>
            </w:pPr>
          </w:p>
        </w:tc>
        <w:tc>
          <w:tcPr>
            <w:tcW w:w="1385" w:type="dxa"/>
          </w:tcPr>
          <w:p w14:paraId="092C2EFC" w14:textId="77777777" w:rsidR="00213ED0" w:rsidRPr="007669E1" w:rsidRDefault="00213ED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tcPr>
          <w:p w14:paraId="7F131DBC" w14:textId="77777777" w:rsidR="00213ED0" w:rsidRPr="007669E1" w:rsidRDefault="00213ED0"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gridSpan w:val="2"/>
          </w:tcPr>
          <w:p w14:paraId="1B68AB3D" w14:textId="77777777" w:rsidR="00213ED0" w:rsidRPr="007669E1" w:rsidRDefault="00213ED0"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tcPr>
          <w:p w14:paraId="197DF30B" w14:textId="77777777" w:rsidR="00213ED0" w:rsidRPr="007669E1" w:rsidRDefault="00213ED0"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tcPr>
          <w:p w14:paraId="0FE1A319" w14:textId="77777777" w:rsidR="00213ED0" w:rsidRPr="007669E1" w:rsidRDefault="00213ED0"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63C2153" w14:textId="77777777" w:rsidR="00987D83" w:rsidRPr="007669E1" w:rsidRDefault="00987D83" w:rsidP="00E90BA7">
      <w:pPr>
        <w:spacing w:before="20" w:after="20" w:line="240" w:lineRule="auto"/>
        <w:jc w:val="both"/>
        <w:rPr>
          <w:rFonts w:ascii="Segoe UI" w:eastAsia="Century Gothic" w:hAnsi="Segoe UI" w:cs="Segoe UI"/>
          <w:b/>
          <w:caps/>
          <w:color w:val="009CDE"/>
          <w:sz w:val="18"/>
          <w:szCs w:val="18"/>
        </w:rPr>
      </w:pPr>
      <w:r w:rsidRPr="007669E1">
        <w:rPr>
          <w:rFonts w:ascii="Segoe UI" w:hAnsi="Segoe UI" w:cs="Segoe UI"/>
          <w:sz w:val="18"/>
          <w:szCs w:val="18"/>
        </w:rPr>
        <w:br w:type="page"/>
      </w:r>
    </w:p>
    <w:p w14:paraId="14F1BF3D" w14:textId="253FBA11" w:rsidR="00476D10" w:rsidRPr="007669E1" w:rsidRDefault="00476D10" w:rsidP="00E90BA7">
      <w:pPr>
        <w:pStyle w:val="Heading2"/>
        <w:spacing w:before="20" w:after="20" w:line="240" w:lineRule="auto"/>
        <w:jc w:val="both"/>
        <w:rPr>
          <w:rFonts w:ascii="Segoe UI" w:hAnsi="Segoe UI" w:cs="Segoe UI"/>
          <w:sz w:val="18"/>
          <w:szCs w:val="18"/>
        </w:rPr>
      </w:pPr>
      <w:bookmarkStart w:id="58" w:name="_Toc126555848"/>
      <w:r w:rsidRPr="007669E1">
        <w:rPr>
          <w:rFonts w:ascii="Segoe UI" w:hAnsi="Segoe UI" w:cs="Segoe UI"/>
          <w:sz w:val="18"/>
          <w:szCs w:val="18"/>
        </w:rPr>
        <w:lastRenderedPageBreak/>
        <w:t xml:space="preserve">Appendix </w:t>
      </w:r>
      <w:r w:rsidR="002B7C84" w:rsidRPr="007669E1">
        <w:rPr>
          <w:rFonts w:ascii="Segoe UI" w:hAnsi="Segoe UI" w:cs="Segoe UI"/>
          <w:sz w:val="18"/>
          <w:szCs w:val="18"/>
        </w:rPr>
        <w:t>8</w:t>
      </w:r>
      <w:r w:rsidRPr="007669E1">
        <w:rPr>
          <w:rFonts w:ascii="Segoe UI" w:hAnsi="Segoe UI" w:cs="Segoe UI"/>
          <w:sz w:val="18"/>
          <w:szCs w:val="18"/>
        </w:rPr>
        <w:t>:</w:t>
      </w:r>
      <w:r w:rsidRPr="007669E1">
        <w:rPr>
          <w:rFonts w:ascii="Segoe UI" w:hAnsi="Segoe UI" w:cs="Segoe UI"/>
          <w:sz w:val="18"/>
          <w:szCs w:val="18"/>
        </w:rPr>
        <w:tab/>
        <w:t>Natural resource fees—Tax Expenditures Summary Sheets</w:t>
      </w:r>
      <w:bookmarkEnd w:id="58"/>
    </w:p>
    <w:p w14:paraId="19424DF8" w14:textId="0F8B0C29" w:rsidR="00476D10" w:rsidRPr="007669E1" w:rsidRDefault="00476D10"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1B749E" w14:paraId="21B2A5A6" w14:textId="77777777" w:rsidTr="0060649C">
        <w:tc>
          <w:tcPr>
            <w:tcW w:w="9625" w:type="dxa"/>
            <w:gridSpan w:val="7"/>
            <w:shd w:val="clear" w:color="auto" w:fill="D9D9D9" w:themeFill="background1" w:themeFillShade="D9"/>
          </w:tcPr>
          <w:p w14:paraId="1FB5EF86" w14:textId="1283B5DD"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1. Fee exemption for extraction of underground water sources</w:t>
            </w:r>
          </w:p>
        </w:tc>
      </w:tr>
      <w:tr w:rsidR="007669E1" w:rsidRPr="007669E1" w14:paraId="17955FC5" w14:textId="77777777" w:rsidTr="0060649C">
        <w:tc>
          <w:tcPr>
            <w:tcW w:w="2425" w:type="dxa"/>
          </w:tcPr>
          <w:p w14:paraId="5D898D19"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Description</w:t>
            </w:r>
          </w:p>
        </w:tc>
        <w:tc>
          <w:tcPr>
            <w:tcW w:w="7200" w:type="dxa"/>
            <w:gridSpan w:val="6"/>
          </w:tcPr>
          <w:p w14:paraId="00F6CFFA" w14:textId="77777777" w:rsidR="00476D10" w:rsidRPr="007669E1" w:rsidRDefault="00476D10"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The water fee does not apply in cases where water is extracted from the subsoil together with the useful ores; or water is extracted to keep the water table below the mineralized or ore-bearing zone in order to prevent water contamination through contact with toxic or harmful minerals.</w:t>
            </w:r>
          </w:p>
        </w:tc>
      </w:tr>
      <w:tr w:rsidR="007669E1" w:rsidRPr="007669E1" w14:paraId="612F00E3" w14:textId="77777777" w:rsidTr="0060649C">
        <w:tc>
          <w:tcPr>
            <w:tcW w:w="2425" w:type="dxa"/>
          </w:tcPr>
          <w:p w14:paraId="5887DA03"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Type of Tax Affected</w:t>
            </w:r>
          </w:p>
        </w:tc>
        <w:tc>
          <w:tcPr>
            <w:tcW w:w="7200" w:type="dxa"/>
            <w:gridSpan w:val="6"/>
          </w:tcPr>
          <w:p w14:paraId="6EC39B7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fee</w:t>
            </w:r>
          </w:p>
        </w:tc>
      </w:tr>
      <w:tr w:rsidR="007669E1" w:rsidRPr="007669E1" w14:paraId="732AA4CD" w14:textId="77777777" w:rsidTr="0060649C">
        <w:tc>
          <w:tcPr>
            <w:tcW w:w="2425" w:type="dxa"/>
          </w:tcPr>
          <w:p w14:paraId="6341DF34"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Beneficiaries</w:t>
            </w:r>
          </w:p>
        </w:tc>
        <w:tc>
          <w:tcPr>
            <w:tcW w:w="7200" w:type="dxa"/>
            <w:gridSpan w:val="6"/>
          </w:tcPr>
          <w:p w14:paraId="711CA674"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mining or extraction firm and the community in proximity of the mineral extraction.</w:t>
            </w:r>
          </w:p>
        </w:tc>
      </w:tr>
      <w:tr w:rsidR="007669E1" w:rsidRPr="007669E1" w14:paraId="5AB077DA" w14:textId="77777777" w:rsidTr="0060649C">
        <w:tc>
          <w:tcPr>
            <w:tcW w:w="2425" w:type="dxa"/>
          </w:tcPr>
          <w:p w14:paraId="460145A2"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Type of Measure</w:t>
            </w:r>
          </w:p>
        </w:tc>
        <w:tc>
          <w:tcPr>
            <w:tcW w:w="7200" w:type="dxa"/>
            <w:gridSpan w:val="6"/>
          </w:tcPr>
          <w:p w14:paraId="39D926C0"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Legislated exemption </w:t>
            </w:r>
          </w:p>
        </w:tc>
      </w:tr>
      <w:tr w:rsidR="007669E1" w:rsidRPr="007669E1" w14:paraId="1C894355" w14:textId="77777777" w:rsidTr="0060649C">
        <w:tc>
          <w:tcPr>
            <w:tcW w:w="2425" w:type="dxa"/>
          </w:tcPr>
          <w:p w14:paraId="3EF2D9CF"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Reason why this Measure is not part of the Benchmark Tax System</w:t>
            </w:r>
          </w:p>
        </w:tc>
        <w:tc>
          <w:tcPr>
            <w:tcW w:w="7200" w:type="dxa"/>
            <w:gridSpan w:val="6"/>
          </w:tcPr>
          <w:p w14:paraId="059ABE75"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If not benchmark treatment (broader environmental consideration protecting the Moldovan society at large) it grants a fee exemption to a narrowly defined subgroup of society benefiting from the fee exemption.</w:t>
            </w:r>
          </w:p>
        </w:tc>
      </w:tr>
      <w:tr w:rsidR="007669E1" w:rsidRPr="007669E1" w14:paraId="01A64128" w14:textId="77777777" w:rsidTr="0060649C">
        <w:tc>
          <w:tcPr>
            <w:tcW w:w="2425" w:type="dxa"/>
          </w:tcPr>
          <w:p w14:paraId="58E8C987"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Legal Reference</w:t>
            </w:r>
          </w:p>
        </w:tc>
        <w:tc>
          <w:tcPr>
            <w:tcW w:w="7200" w:type="dxa"/>
            <w:gridSpan w:val="6"/>
          </w:tcPr>
          <w:p w14:paraId="75881BFA"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Chapter 2 of Title 8 of the TC, Art 306(a)</w:t>
            </w:r>
          </w:p>
        </w:tc>
      </w:tr>
      <w:tr w:rsidR="00136C8F" w:rsidRPr="007669E1" w14:paraId="4A3FCBC8" w14:textId="77777777" w:rsidTr="0060649C">
        <w:trPr>
          <w:trHeight w:val="182"/>
        </w:trPr>
        <w:tc>
          <w:tcPr>
            <w:tcW w:w="2425" w:type="dxa"/>
            <w:vMerge w:val="restart"/>
          </w:tcPr>
          <w:p w14:paraId="621E4E68"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Implementation Objectives, and History</w:t>
            </w:r>
          </w:p>
        </w:tc>
        <w:tc>
          <w:tcPr>
            <w:tcW w:w="7200" w:type="dxa"/>
            <w:gridSpan w:val="6"/>
          </w:tcPr>
          <w:p w14:paraId="3FB2D26F" w14:textId="77777777" w:rsidR="00476D10" w:rsidRPr="007669E1" w:rsidRDefault="00476D10" w:rsidP="00E90BA7">
            <w:pPr>
              <w:spacing w:before="20" w:after="20" w:line="240" w:lineRule="auto"/>
              <w:jc w:val="both"/>
              <w:rPr>
                <w:rFonts w:ascii="Segoe UI" w:hAnsi="Segoe UI" w:cs="Segoe UI"/>
                <w:sz w:val="18"/>
                <w:szCs w:val="18"/>
              </w:rPr>
            </w:pPr>
          </w:p>
        </w:tc>
      </w:tr>
      <w:tr w:rsidR="00136C8F" w:rsidRPr="007669E1" w14:paraId="227F15AA" w14:textId="77777777" w:rsidTr="0060649C">
        <w:trPr>
          <w:trHeight w:val="182"/>
        </w:trPr>
        <w:tc>
          <w:tcPr>
            <w:tcW w:w="2425" w:type="dxa"/>
            <w:vMerge/>
          </w:tcPr>
          <w:p w14:paraId="0C79A13C" w14:textId="77777777" w:rsidR="00476D10" w:rsidRPr="001B749E" w:rsidRDefault="00476D10" w:rsidP="00E90BA7">
            <w:pPr>
              <w:spacing w:before="20" w:after="20" w:line="240" w:lineRule="auto"/>
              <w:jc w:val="both"/>
              <w:rPr>
                <w:rFonts w:ascii="Segoe UI" w:hAnsi="Segoe UI" w:cs="Segoe UI"/>
                <w:b/>
                <w:bCs/>
                <w:sz w:val="18"/>
                <w:szCs w:val="18"/>
              </w:rPr>
            </w:pPr>
          </w:p>
        </w:tc>
        <w:tc>
          <w:tcPr>
            <w:tcW w:w="3462" w:type="dxa"/>
            <w:gridSpan w:val="3"/>
          </w:tcPr>
          <w:p w14:paraId="312B2BA7" w14:textId="02AC1B4B"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603669A0" w14:textId="11563DF0"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6BEA0E15" w14:textId="77777777" w:rsidTr="0060649C">
        <w:tc>
          <w:tcPr>
            <w:tcW w:w="2425" w:type="dxa"/>
          </w:tcPr>
          <w:p w14:paraId="006EDBE0"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Source of Data</w:t>
            </w:r>
          </w:p>
        </w:tc>
        <w:tc>
          <w:tcPr>
            <w:tcW w:w="7200" w:type="dxa"/>
            <w:gridSpan w:val="6"/>
          </w:tcPr>
          <w:p w14:paraId="37F5CDEF"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6CF8ACAA" w14:textId="77777777" w:rsidTr="0060649C">
        <w:tc>
          <w:tcPr>
            <w:tcW w:w="2425" w:type="dxa"/>
          </w:tcPr>
          <w:p w14:paraId="0D2B3325"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Estimation Method</w:t>
            </w:r>
          </w:p>
        </w:tc>
        <w:tc>
          <w:tcPr>
            <w:tcW w:w="7200" w:type="dxa"/>
            <w:gridSpan w:val="6"/>
          </w:tcPr>
          <w:p w14:paraId="4D55BB21" w14:textId="77777777" w:rsidR="00476D10" w:rsidRPr="007669E1" w:rsidRDefault="00476D1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E72E03" w:rsidRPr="007669E1" w14:paraId="58978AED" w14:textId="77777777" w:rsidTr="00ED72C4">
        <w:tc>
          <w:tcPr>
            <w:tcW w:w="2425" w:type="dxa"/>
          </w:tcPr>
          <w:p w14:paraId="1B04E122"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Number of Beneficiaries</w:t>
            </w:r>
          </w:p>
        </w:tc>
        <w:tc>
          <w:tcPr>
            <w:tcW w:w="7200" w:type="dxa"/>
            <w:gridSpan w:val="6"/>
            <w:shd w:val="clear" w:color="auto" w:fill="auto"/>
          </w:tcPr>
          <w:p w14:paraId="46662B4A" w14:textId="244B5449" w:rsidR="00476D10" w:rsidRPr="007669E1" w:rsidRDefault="0026387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7D2853C" w14:textId="77777777" w:rsidTr="0060649C">
        <w:tc>
          <w:tcPr>
            <w:tcW w:w="2425" w:type="dxa"/>
          </w:tcPr>
          <w:p w14:paraId="48B98628" w14:textId="77777777" w:rsidR="00476D10" w:rsidRPr="001B749E" w:rsidRDefault="00476D10" w:rsidP="00E90BA7">
            <w:pPr>
              <w:spacing w:before="20" w:after="20" w:line="240" w:lineRule="auto"/>
              <w:jc w:val="both"/>
              <w:rPr>
                <w:rFonts w:ascii="Segoe UI" w:hAnsi="Segoe UI" w:cs="Segoe UI"/>
                <w:b/>
                <w:bCs/>
                <w:sz w:val="18"/>
                <w:szCs w:val="18"/>
              </w:rPr>
            </w:pPr>
            <w:r w:rsidRPr="001B749E">
              <w:rPr>
                <w:rFonts w:ascii="Segoe UI" w:hAnsi="Segoe UI" w:cs="Segoe UI"/>
                <w:b/>
                <w:bCs/>
                <w:sz w:val="18"/>
                <w:szCs w:val="18"/>
              </w:rPr>
              <w:t>Revenue Cost Reporting</w:t>
            </w:r>
          </w:p>
        </w:tc>
        <w:tc>
          <w:tcPr>
            <w:tcW w:w="7200" w:type="dxa"/>
            <w:gridSpan w:val="6"/>
          </w:tcPr>
          <w:p w14:paraId="105C8121" w14:textId="685D6775" w:rsidR="00476D10" w:rsidRPr="007669E1" w:rsidRDefault="000B79A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Thousand </w:t>
            </w:r>
            <w:r w:rsidR="00476D10" w:rsidRPr="007669E1">
              <w:rPr>
                <w:rFonts w:ascii="Segoe UI" w:hAnsi="Segoe UI" w:cs="Segoe UI"/>
                <w:sz w:val="18"/>
                <w:szCs w:val="18"/>
              </w:rPr>
              <w:t>MDL</w:t>
            </w:r>
          </w:p>
        </w:tc>
      </w:tr>
      <w:tr w:rsidR="00136C8F" w:rsidRPr="007669E1" w14:paraId="657D470F" w14:textId="77777777" w:rsidTr="0060649C">
        <w:trPr>
          <w:trHeight w:val="91"/>
        </w:trPr>
        <w:tc>
          <w:tcPr>
            <w:tcW w:w="2425" w:type="dxa"/>
            <w:vMerge w:val="restart"/>
          </w:tcPr>
          <w:p w14:paraId="724E3C1D" w14:textId="77777777" w:rsidR="00476D10" w:rsidRPr="001B749E" w:rsidRDefault="00476D10" w:rsidP="00E90BA7">
            <w:pPr>
              <w:spacing w:before="20" w:after="20" w:line="240" w:lineRule="auto"/>
              <w:jc w:val="both"/>
              <w:rPr>
                <w:rFonts w:ascii="Segoe UI" w:hAnsi="Segoe UI" w:cs="Segoe UI"/>
                <w:b/>
                <w:bCs/>
                <w:sz w:val="18"/>
                <w:szCs w:val="18"/>
              </w:rPr>
            </w:pPr>
          </w:p>
        </w:tc>
        <w:tc>
          <w:tcPr>
            <w:tcW w:w="1385" w:type="dxa"/>
          </w:tcPr>
          <w:p w14:paraId="3E652543" w14:textId="77777777" w:rsidR="00476D10" w:rsidRPr="00316060" w:rsidRDefault="00476D10"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2018</w:t>
            </w:r>
          </w:p>
        </w:tc>
        <w:tc>
          <w:tcPr>
            <w:tcW w:w="1385" w:type="dxa"/>
          </w:tcPr>
          <w:p w14:paraId="49535794" w14:textId="77777777" w:rsidR="00476D10" w:rsidRPr="00316060" w:rsidRDefault="00476D10"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2019</w:t>
            </w:r>
          </w:p>
        </w:tc>
        <w:tc>
          <w:tcPr>
            <w:tcW w:w="1385" w:type="dxa"/>
            <w:gridSpan w:val="2"/>
          </w:tcPr>
          <w:p w14:paraId="1D53933F" w14:textId="77777777" w:rsidR="00476D10" w:rsidRPr="00316060" w:rsidRDefault="00476D10"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2020</w:t>
            </w:r>
          </w:p>
        </w:tc>
        <w:tc>
          <w:tcPr>
            <w:tcW w:w="1385" w:type="dxa"/>
          </w:tcPr>
          <w:p w14:paraId="2A44A07E" w14:textId="77777777" w:rsidR="00476D10" w:rsidRPr="00316060" w:rsidRDefault="00476D10"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2021</w:t>
            </w:r>
          </w:p>
        </w:tc>
        <w:tc>
          <w:tcPr>
            <w:tcW w:w="1660" w:type="dxa"/>
          </w:tcPr>
          <w:p w14:paraId="25CDDBFD" w14:textId="524AE737" w:rsidR="00476D10" w:rsidRPr="00316060" w:rsidRDefault="000C00AF"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2022</w:t>
            </w:r>
          </w:p>
        </w:tc>
      </w:tr>
      <w:tr w:rsidR="00775F01" w:rsidRPr="007669E1" w14:paraId="2A7A410B" w14:textId="77777777" w:rsidTr="00FC1DD3">
        <w:trPr>
          <w:trHeight w:val="305"/>
        </w:trPr>
        <w:tc>
          <w:tcPr>
            <w:tcW w:w="2425" w:type="dxa"/>
            <w:vMerge/>
          </w:tcPr>
          <w:p w14:paraId="121BF59A" w14:textId="77777777" w:rsidR="00476D10" w:rsidRPr="007669E1" w:rsidRDefault="00476D10" w:rsidP="00E90BA7">
            <w:pPr>
              <w:spacing w:before="20" w:after="20" w:line="240" w:lineRule="auto"/>
              <w:jc w:val="both"/>
              <w:rPr>
                <w:rFonts w:ascii="Segoe UI" w:hAnsi="Segoe UI" w:cs="Segoe UI"/>
                <w:sz w:val="18"/>
                <w:szCs w:val="18"/>
              </w:rPr>
            </w:pPr>
          </w:p>
        </w:tc>
        <w:tc>
          <w:tcPr>
            <w:tcW w:w="1385" w:type="dxa"/>
            <w:shd w:val="clear" w:color="auto" w:fill="auto"/>
          </w:tcPr>
          <w:p w14:paraId="55A9BEAE" w14:textId="6256D835" w:rsidR="00476D10"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6C04F9B7" w14:textId="07450AF1" w:rsidR="00476D10"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15ECDFE3" w14:textId="10941854" w:rsidR="00476D10"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B55CB6D" w14:textId="0234041C" w:rsidR="00476D10"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660" w:type="dxa"/>
            <w:shd w:val="clear" w:color="auto" w:fill="auto"/>
          </w:tcPr>
          <w:p w14:paraId="6569E4C5" w14:textId="6993BD39" w:rsidR="00476D10"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bl>
    <w:p w14:paraId="73ED874E" w14:textId="77777777" w:rsidR="005B4CB9" w:rsidRPr="007669E1" w:rsidRDefault="005B4CB9" w:rsidP="00E90BA7">
      <w:pPr>
        <w:spacing w:before="20" w:after="20" w:line="240" w:lineRule="auto"/>
        <w:jc w:val="both"/>
        <w:rPr>
          <w:rFonts w:ascii="Segoe UI" w:hAnsi="Segoe UI" w:cs="Segoe UI"/>
          <w: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316060" w14:paraId="137D2538" w14:textId="77777777" w:rsidTr="005A7B4B">
        <w:tc>
          <w:tcPr>
            <w:tcW w:w="9625" w:type="dxa"/>
            <w:gridSpan w:val="7"/>
            <w:shd w:val="clear" w:color="auto" w:fill="D9D9D9" w:themeFill="background1" w:themeFillShade="D9"/>
          </w:tcPr>
          <w:p w14:paraId="5D0B3F02" w14:textId="38B147E4"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 Fee exemption for extraction of underground water sources</w:t>
            </w:r>
          </w:p>
        </w:tc>
      </w:tr>
      <w:tr w:rsidR="007669E1" w:rsidRPr="007669E1" w14:paraId="569A4E40" w14:textId="77777777" w:rsidTr="005A7B4B">
        <w:tc>
          <w:tcPr>
            <w:tcW w:w="2425" w:type="dxa"/>
          </w:tcPr>
          <w:p w14:paraId="430981A0"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Description</w:t>
            </w:r>
          </w:p>
        </w:tc>
        <w:tc>
          <w:tcPr>
            <w:tcW w:w="7200" w:type="dxa"/>
            <w:gridSpan w:val="6"/>
          </w:tcPr>
          <w:p w14:paraId="5EBEBE60"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fee exemption applies for water extracted and delivered directly or through some economic agents to the public, public authorities and institutions financed from budgets at all levels i.e., public water supply services.</w:t>
            </w:r>
          </w:p>
        </w:tc>
      </w:tr>
      <w:tr w:rsidR="007669E1" w:rsidRPr="007669E1" w14:paraId="180CC07A" w14:textId="77777777" w:rsidTr="005A7B4B">
        <w:tc>
          <w:tcPr>
            <w:tcW w:w="2425" w:type="dxa"/>
          </w:tcPr>
          <w:p w14:paraId="78B8E43C"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Type of Tax Affected</w:t>
            </w:r>
          </w:p>
        </w:tc>
        <w:tc>
          <w:tcPr>
            <w:tcW w:w="7200" w:type="dxa"/>
            <w:gridSpan w:val="6"/>
          </w:tcPr>
          <w:p w14:paraId="6818BCB8"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fee</w:t>
            </w:r>
          </w:p>
        </w:tc>
      </w:tr>
      <w:tr w:rsidR="007669E1" w:rsidRPr="007669E1" w14:paraId="01F3241C" w14:textId="77777777" w:rsidTr="005A7B4B">
        <w:tc>
          <w:tcPr>
            <w:tcW w:w="2425" w:type="dxa"/>
          </w:tcPr>
          <w:p w14:paraId="3C40D5CC"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Beneficiaries</w:t>
            </w:r>
          </w:p>
        </w:tc>
        <w:tc>
          <w:tcPr>
            <w:tcW w:w="7200" w:type="dxa"/>
            <w:gridSpan w:val="6"/>
          </w:tcPr>
          <w:p w14:paraId="1E56C5E8"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Consumers connected to public water supply services</w:t>
            </w:r>
          </w:p>
        </w:tc>
      </w:tr>
      <w:tr w:rsidR="007669E1" w:rsidRPr="007669E1" w14:paraId="42786867" w14:textId="77777777" w:rsidTr="005A7B4B">
        <w:tc>
          <w:tcPr>
            <w:tcW w:w="2425" w:type="dxa"/>
          </w:tcPr>
          <w:p w14:paraId="67BCFCF1"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Type of Measure</w:t>
            </w:r>
          </w:p>
        </w:tc>
        <w:tc>
          <w:tcPr>
            <w:tcW w:w="7200" w:type="dxa"/>
            <w:gridSpan w:val="6"/>
          </w:tcPr>
          <w:p w14:paraId="5840A14A"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fee exemption</w:t>
            </w:r>
          </w:p>
        </w:tc>
      </w:tr>
      <w:tr w:rsidR="007669E1" w:rsidRPr="007669E1" w14:paraId="6990A9D1" w14:textId="77777777" w:rsidTr="005A7B4B">
        <w:tc>
          <w:tcPr>
            <w:tcW w:w="2425" w:type="dxa"/>
          </w:tcPr>
          <w:p w14:paraId="204A0D10"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Reason why this Measure is not part of the Benchmark Tax System</w:t>
            </w:r>
          </w:p>
        </w:tc>
        <w:tc>
          <w:tcPr>
            <w:tcW w:w="7200" w:type="dxa"/>
            <w:gridSpan w:val="6"/>
          </w:tcPr>
          <w:p w14:paraId="53E3E9E4"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If not benchmark treatment (broader public service delivery to Moldovan society at large), it grants a fee exemption to a subgroup of society benefiting from the fee exemption for their water supply.</w:t>
            </w:r>
          </w:p>
        </w:tc>
      </w:tr>
      <w:tr w:rsidR="007669E1" w:rsidRPr="007669E1" w14:paraId="4D17C46C" w14:textId="77777777" w:rsidTr="005A7B4B">
        <w:tc>
          <w:tcPr>
            <w:tcW w:w="2425" w:type="dxa"/>
          </w:tcPr>
          <w:p w14:paraId="6DCF9688"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Legal Reference</w:t>
            </w:r>
          </w:p>
        </w:tc>
        <w:tc>
          <w:tcPr>
            <w:tcW w:w="7200" w:type="dxa"/>
            <w:gridSpan w:val="6"/>
          </w:tcPr>
          <w:p w14:paraId="4FCED6EB"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Chapter 2 of Title 8 of the TC, Art 306(b)</w:t>
            </w:r>
          </w:p>
        </w:tc>
      </w:tr>
      <w:tr w:rsidR="00136C8F" w:rsidRPr="007669E1" w14:paraId="681B5A74" w14:textId="77777777" w:rsidTr="005A7B4B">
        <w:trPr>
          <w:trHeight w:val="182"/>
        </w:trPr>
        <w:tc>
          <w:tcPr>
            <w:tcW w:w="2425" w:type="dxa"/>
            <w:vMerge w:val="restart"/>
          </w:tcPr>
          <w:p w14:paraId="23D72EEA"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Implementation Objectives, and History</w:t>
            </w:r>
          </w:p>
        </w:tc>
        <w:tc>
          <w:tcPr>
            <w:tcW w:w="7200" w:type="dxa"/>
            <w:gridSpan w:val="6"/>
          </w:tcPr>
          <w:p w14:paraId="112F8C05" w14:textId="77777777" w:rsidR="00FF7C59" w:rsidRPr="007669E1" w:rsidRDefault="00FF7C59" w:rsidP="00E90BA7">
            <w:pPr>
              <w:spacing w:before="20" w:after="20" w:line="240" w:lineRule="auto"/>
              <w:jc w:val="both"/>
              <w:rPr>
                <w:rFonts w:ascii="Segoe UI" w:hAnsi="Segoe UI" w:cs="Segoe UI"/>
                <w:sz w:val="18"/>
                <w:szCs w:val="18"/>
              </w:rPr>
            </w:pPr>
          </w:p>
        </w:tc>
      </w:tr>
      <w:tr w:rsidR="00136C8F" w:rsidRPr="007669E1" w14:paraId="0E0A51A7" w14:textId="77777777" w:rsidTr="005A7B4B">
        <w:trPr>
          <w:trHeight w:val="182"/>
        </w:trPr>
        <w:tc>
          <w:tcPr>
            <w:tcW w:w="2425" w:type="dxa"/>
            <w:vMerge/>
          </w:tcPr>
          <w:p w14:paraId="7C6A0EA5" w14:textId="77777777" w:rsidR="00FF7C59" w:rsidRPr="00316060" w:rsidRDefault="00FF7C59" w:rsidP="00E90BA7">
            <w:pPr>
              <w:spacing w:before="20" w:after="20" w:line="240" w:lineRule="auto"/>
              <w:jc w:val="both"/>
              <w:rPr>
                <w:rFonts w:ascii="Segoe UI" w:hAnsi="Segoe UI" w:cs="Segoe UI"/>
                <w:b/>
                <w:bCs/>
                <w:sz w:val="18"/>
                <w:szCs w:val="18"/>
              </w:rPr>
            </w:pPr>
          </w:p>
        </w:tc>
        <w:tc>
          <w:tcPr>
            <w:tcW w:w="3462" w:type="dxa"/>
            <w:gridSpan w:val="3"/>
          </w:tcPr>
          <w:p w14:paraId="0BC0CF79" w14:textId="1F9FCA70"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7EE40E6C" w14:textId="3492DCBB"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1413FB9F" w14:textId="77777777" w:rsidTr="005A7B4B">
        <w:tc>
          <w:tcPr>
            <w:tcW w:w="2425" w:type="dxa"/>
          </w:tcPr>
          <w:p w14:paraId="3CEB366E"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Source of Data</w:t>
            </w:r>
          </w:p>
        </w:tc>
        <w:tc>
          <w:tcPr>
            <w:tcW w:w="7200" w:type="dxa"/>
            <w:gridSpan w:val="6"/>
          </w:tcPr>
          <w:p w14:paraId="2693EDBC"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2571AF2D" w14:textId="77777777" w:rsidTr="005A7B4B">
        <w:tc>
          <w:tcPr>
            <w:tcW w:w="2425" w:type="dxa"/>
          </w:tcPr>
          <w:p w14:paraId="5DA8D0B0"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Estimation Method</w:t>
            </w:r>
          </w:p>
        </w:tc>
        <w:tc>
          <w:tcPr>
            <w:tcW w:w="7200" w:type="dxa"/>
            <w:gridSpan w:val="6"/>
          </w:tcPr>
          <w:p w14:paraId="305AC62E"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66AC5AB9" w14:textId="77777777" w:rsidTr="005A7B4B">
        <w:tc>
          <w:tcPr>
            <w:tcW w:w="2425" w:type="dxa"/>
          </w:tcPr>
          <w:p w14:paraId="155A0A5F"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Number of Beneficiaries</w:t>
            </w:r>
          </w:p>
        </w:tc>
        <w:tc>
          <w:tcPr>
            <w:tcW w:w="7200" w:type="dxa"/>
            <w:gridSpan w:val="6"/>
          </w:tcPr>
          <w:p w14:paraId="27D9B974" w14:textId="1610915C" w:rsidR="00FF7C59" w:rsidRPr="007669E1" w:rsidRDefault="0026387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1F277C48" w14:textId="77777777" w:rsidTr="005A7B4B">
        <w:tc>
          <w:tcPr>
            <w:tcW w:w="2425" w:type="dxa"/>
          </w:tcPr>
          <w:p w14:paraId="7D216543"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Revenue Cost Reporting</w:t>
            </w:r>
          </w:p>
        </w:tc>
        <w:tc>
          <w:tcPr>
            <w:tcW w:w="7200" w:type="dxa"/>
            <w:gridSpan w:val="6"/>
          </w:tcPr>
          <w:p w14:paraId="0536B76D" w14:textId="041FB91E" w:rsidR="00FF7C59" w:rsidRPr="007669E1" w:rsidRDefault="000B79A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FF7C59" w:rsidRPr="007669E1">
              <w:rPr>
                <w:rFonts w:ascii="Segoe UI" w:hAnsi="Segoe UI" w:cs="Segoe UI"/>
                <w:sz w:val="18"/>
                <w:szCs w:val="18"/>
              </w:rPr>
              <w:t xml:space="preserve"> MDL</w:t>
            </w:r>
          </w:p>
        </w:tc>
      </w:tr>
      <w:tr w:rsidR="00136C8F" w:rsidRPr="007669E1" w14:paraId="30119FF7" w14:textId="77777777" w:rsidTr="005A7B4B">
        <w:trPr>
          <w:trHeight w:val="91"/>
        </w:trPr>
        <w:tc>
          <w:tcPr>
            <w:tcW w:w="2425" w:type="dxa"/>
            <w:vMerge w:val="restart"/>
          </w:tcPr>
          <w:p w14:paraId="48D7AC06"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tcPr>
          <w:p w14:paraId="14EF422A"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2018</w:t>
            </w:r>
          </w:p>
        </w:tc>
        <w:tc>
          <w:tcPr>
            <w:tcW w:w="1385" w:type="dxa"/>
          </w:tcPr>
          <w:p w14:paraId="39CA12E2"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2019</w:t>
            </w:r>
          </w:p>
        </w:tc>
        <w:tc>
          <w:tcPr>
            <w:tcW w:w="1385" w:type="dxa"/>
            <w:gridSpan w:val="2"/>
          </w:tcPr>
          <w:p w14:paraId="184348D6"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2020</w:t>
            </w:r>
          </w:p>
        </w:tc>
        <w:tc>
          <w:tcPr>
            <w:tcW w:w="1385" w:type="dxa"/>
          </w:tcPr>
          <w:p w14:paraId="684E0053"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2021</w:t>
            </w:r>
          </w:p>
        </w:tc>
        <w:tc>
          <w:tcPr>
            <w:tcW w:w="1660" w:type="dxa"/>
          </w:tcPr>
          <w:p w14:paraId="136F4E0A" w14:textId="542734A5" w:rsidR="00FF7C59" w:rsidRPr="00316060" w:rsidRDefault="000C00AF"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2022</w:t>
            </w:r>
          </w:p>
        </w:tc>
      </w:tr>
      <w:tr w:rsidR="00775F01" w:rsidRPr="007669E1" w14:paraId="2C5D1640" w14:textId="77777777" w:rsidTr="00FC1DD3">
        <w:trPr>
          <w:trHeight w:val="305"/>
        </w:trPr>
        <w:tc>
          <w:tcPr>
            <w:tcW w:w="2425" w:type="dxa"/>
            <w:vMerge/>
          </w:tcPr>
          <w:p w14:paraId="2F328167"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shd w:val="clear" w:color="auto" w:fill="auto"/>
          </w:tcPr>
          <w:p w14:paraId="3F9B0883" w14:textId="14A525DB" w:rsidR="00FF7C59"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39A256FE" w14:textId="688E201D" w:rsidR="00FF7C59"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23F01A1A" w14:textId="2F72E3C2"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4D262A64" w14:textId="6598608B"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4C351B17" w14:textId="21BC90E3"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A2B6760" w14:textId="77777777" w:rsidR="00FF7C59" w:rsidRPr="007669E1" w:rsidRDefault="00FF7C59"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F8111C" w14:paraId="59C72631" w14:textId="77777777" w:rsidTr="005A7B4B">
        <w:tc>
          <w:tcPr>
            <w:tcW w:w="9625" w:type="dxa"/>
            <w:gridSpan w:val="7"/>
            <w:shd w:val="clear" w:color="auto" w:fill="D9D9D9" w:themeFill="background1" w:themeFillShade="D9"/>
          </w:tcPr>
          <w:p w14:paraId="3E298459" w14:textId="1EA9F536" w:rsidR="00FF7C59" w:rsidRPr="00F8111C" w:rsidRDefault="00FF7C59" w:rsidP="00E90BA7">
            <w:pPr>
              <w:keepNext/>
              <w:spacing w:before="20" w:after="20" w:line="240" w:lineRule="auto"/>
              <w:jc w:val="both"/>
              <w:rPr>
                <w:rFonts w:ascii="Segoe UI" w:hAnsi="Segoe UI" w:cs="Segoe UI"/>
                <w:b/>
                <w:bCs/>
                <w:sz w:val="18"/>
                <w:szCs w:val="18"/>
              </w:rPr>
            </w:pPr>
            <w:r w:rsidRPr="00F8111C">
              <w:rPr>
                <w:rFonts w:ascii="Segoe UI" w:hAnsi="Segoe UI" w:cs="Segoe UI"/>
                <w:b/>
                <w:bCs/>
                <w:sz w:val="18"/>
                <w:szCs w:val="18"/>
              </w:rPr>
              <w:lastRenderedPageBreak/>
              <w:t>3. Water fee exemption for water used in firefighting</w:t>
            </w:r>
          </w:p>
        </w:tc>
      </w:tr>
      <w:tr w:rsidR="007669E1" w:rsidRPr="007669E1" w14:paraId="64A3C5EF" w14:textId="77777777" w:rsidTr="005A7B4B">
        <w:tc>
          <w:tcPr>
            <w:tcW w:w="2425" w:type="dxa"/>
          </w:tcPr>
          <w:p w14:paraId="48111A2A" w14:textId="77777777" w:rsidR="00FF7C59" w:rsidRPr="00F8111C" w:rsidRDefault="00FF7C59" w:rsidP="00E90BA7">
            <w:pPr>
              <w:keepNext/>
              <w:spacing w:before="20" w:after="20" w:line="240" w:lineRule="auto"/>
              <w:jc w:val="both"/>
              <w:rPr>
                <w:rFonts w:ascii="Segoe UI" w:hAnsi="Segoe UI" w:cs="Segoe UI"/>
                <w:b/>
                <w:bCs/>
                <w:sz w:val="18"/>
                <w:szCs w:val="18"/>
              </w:rPr>
            </w:pPr>
            <w:r w:rsidRPr="00F8111C">
              <w:rPr>
                <w:rFonts w:ascii="Segoe UI" w:hAnsi="Segoe UI" w:cs="Segoe UI"/>
                <w:b/>
                <w:bCs/>
                <w:sz w:val="18"/>
                <w:szCs w:val="18"/>
              </w:rPr>
              <w:t>Description</w:t>
            </w:r>
          </w:p>
        </w:tc>
        <w:tc>
          <w:tcPr>
            <w:tcW w:w="7200" w:type="dxa"/>
            <w:gridSpan w:val="6"/>
          </w:tcPr>
          <w:p w14:paraId="53259A78" w14:textId="77777777" w:rsidR="00FF7C59" w:rsidRPr="007669E1" w:rsidRDefault="00FF7C59" w:rsidP="00E90BA7">
            <w:pPr>
              <w:autoSpaceDE w:val="0"/>
              <w:autoSpaceDN w:val="0"/>
              <w:adjustRightInd w:val="0"/>
              <w:spacing w:before="20" w:after="20" w:line="240" w:lineRule="auto"/>
              <w:jc w:val="both"/>
              <w:rPr>
                <w:rFonts w:ascii="Segoe UI" w:hAnsi="Segoe UI" w:cs="Segoe UI"/>
                <w:sz w:val="18"/>
                <w:szCs w:val="18"/>
              </w:rPr>
            </w:pPr>
            <w:r w:rsidRPr="007669E1">
              <w:rPr>
                <w:rFonts w:ascii="Segoe UI" w:hAnsi="Segoe UI" w:cs="Segoe UI"/>
                <w:sz w:val="18"/>
                <w:szCs w:val="18"/>
              </w:rPr>
              <w:t>It is provided that water extracted for firefighting or delivered for these purposes directly or through some economic agents is exempt from the water fee.</w:t>
            </w:r>
          </w:p>
        </w:tc>
      </w:tr>
      <w:tr w:rsidR="007669E1" w:rsidRPr="007669E1" w14:paraId="13B594CA" w14:textId="77777777" w:rsidTr="005A7B4B">
        <w:tc>
          <w:tcPr>
            <w:tcW w:w="2425" w:type="dxa"/>
          </w:tcPr>
          <w:p w14:paraId="79ED4194"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Tax Affected</w:t>
            </w:r>
          </w:p>
        </w:tc>
        <w:tc>
          <w:tcPr>
            <w:tcW w:w="7200" w:type="dxa"/>
            <w:gridSpan w:val="6"/>
          </w:tcPr>
          <w:p w14:paraId="1DF9D037"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fee</w:t>
            </w:r>
          </w:p>
        </w:tc>
      </w:tr>
      <w:tr w:rsidR="007669E1" w:rsidRPr="007669E1" w14:paraId="0833FF34" w14:textId="77777777" w:rsidTr="005A7B4B">
        <w:tc>
          <w:tcPr>
            <w:tcW w:w="2425" w:type="dxa"/>
          </w:tcPr>
          <w:p w14:paraId="3819D5CF"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Beneficiaries</w:t>
            </w:r>
          </w:p>
        </w:tc>
        <w:tc>
          <w:tcPr>
            <w:tcW w:w="7200" w:type="dxa"/>
            <w:gridSpan w:val="6"/>
          </w:tcPr>
          <w:p w14:paraId="522C4A87"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Society at large benefiting from firefighting using water.</w:t>
            </w:r>
          </w:p>
        </w:tc>
      </w:tr>
      <w:tr w:rsidR="007669E1" w:rsidRPr="007669E1" w14:paraId="1A6E6486" w14:textId="77777777" w:rsidTr="005A7B4B">
        <w:tc>
          <w:tcPr>
            <w:tcW w:w="2425" w:type="dxa"/>
          </w:tcPr>
          <w:p w14:paraId="4DD21F6B"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Type of Measure</w:t>
            </w:r>
          </w:p>
        </w:tc>
        <w:tc>
          <w:tcPr>
            <w:tcW w:w="7200" w:type="dxa"/>
            <w:gridSpan w:val="6"/>
          </w:tcPr>
          <w:p w14:paraId="110C2830"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69E1" w:rsidRPr="007669E1" w14:paraId="6AE71575" w14:textId="77777777" w:rsidTr="005A7B4B">
        <w:tc>
          <w:tcPr>
            <w:tcW w:w="2425" w:type="dxa"/>
          </w:tcPr>
          <w:p w14:paraId="18132D2B"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Reason why this Measure is not part of the Benchmark Tax System</w:t>
            </w:r>
          </w:p>
        </w:tc>
        <w:tc>
          <w:tcPr>
            <w:tcW w:w="7200" w:type="dxa"/>
            <w:gridSpan w:val="6"/>
          </w:tcPr>
          <w:p w14:paraId="32B87ED9"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grants a fee exemption to a subgroup of society benefiting from firefighting with water.</w:t>
            </w:r>
          </w:p>
        </w:tc>
      </w:tr>
      <w:tr w:rsidR="007669E1" w:rsidRPr="007669E1" w14:paraId="2D9A99AC" w14:textId="77777777" w:rsidTr="005A7B4B">
        <w:tc>
          <w:tcPr>
            <w:tcW w:w="2425" w:type="dxa"/>
          </w:tcPr>
          <w:p w14:paraId="3E2F2669"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Legal Reference</w:t>
            </w:r>
          </w:p>
        </w:tc>
        <w:tc>
          <w:tcPr>
            <w:tcW w:w="7200" w:type="dxa"/>
            <w:gridSpan w:val="6"/>
          </w:tcPr>
          <w:p w14:paraId="31E15C31"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Chapter 2 of Title 8 of the TC, Art 306(c)</w:t>
            </w:r>
          </w:p>
        </w:tc>
      </w:tr>
      <w:tr w:rsidR="00136C8F" w:rsidRPr="007669E1" w14:paraId="74B9D50E" w14:textId="77777777" w:rsidTr="005A7B4B">
        <w:trPr>
          <w:trHeight w:val="182"/>
        </w:trPr>
        <w:tc>
          <w:tcPr>
            <w:tcW w:w="2425" w:type="dxa"/>
            <w:vMerge w:val="restart"/>
          </w:tcPr>
          <w:p w14:paraId="1F06151B"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Implementation Objectives, and History</w:t>
            </w:r>
          </w:p>
        </w:tc>
        <w:tc>
          <w:tcPr>
            <w:tcW w:w="7200" w:type="dxa"/>
            <w:gridSpan w:val="6"/>
          </w:tcPr>
          <w:p w14:paraId="47647A6F" w14:textId="77777777" w:rsidR="00FF7C59" w:rsidRPr="007669E1" w:rsidRDefault="00FF7C59" w:rsidP="00E90BA7">
            <w:pPr>
              <w:spacing w:before="20" w:after="20" w:line="240" w:lineRule="auto"/>
              <w:jc w:val="both"/>
              <w:rPr>
                <w:rFonts w:ascii="Segoe UI" w:hAnsi="Segoe UI" w:cs="Segoe UI"/>
                <w:sz w:val="18"/>
                <w:szCs w:val="18"/>
              </w:rPr>
            </w:pPr>
          </w:p>
        </w:tc>
      </w:tr>
      <w:tr w:rsidR="00136C8F" w:rsidRPr="007669E1" w14:paraId="3692BEDE" w14:textId="77777777" w:rsidTr="005A7B4B">
        <w:trPr>
          <w:trHeight w:val="182"/>
        </w:trPr>
        <w:tc>
          <w:tcPr>
            <w:tcW w:w="2425" w:type="dxa"/>
            <w:vMerge/>
          </w:tcPr>
          <w:p w14:paraId="182F6709" w14:textId="77777777" w:rsidR="00FF7C59" w:rsidRPr="00F8111C" w:rsidRDefault="00FF7C59" w:rsidP="00E90BA7">
            <w:pPr>
              <w:spacing w:before="20" w:after="20" w:line="240" w:lineRule="auto"/>
              <w:jc w:val="both"/>
              <w:rPr>
                <w:rFonts w:ascii="Segoe UI" w:hAnsi="Segoe UI" w:cs="Segoe UI"/>
                <w:b/>
                <w:bCs/>
                <w:sz w:val="18"/>
                <w:szCs w:val="18"/>
              </w:rPr>
            </w:pPr>
          </w:p>
        </w:tc>
        <w:tc>
          <w:tcPr>
            <w:tcW w:w="3462" w:type="dxa"/>
            <w:gridSpan w:val="3"/>
          </w:tcPr>
          <w:p w14:paraId="6D907BF0" w14:textId="56A18A95"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5AEFA4D1" w14:textId="012AC2C9"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r w:rsidRPr="007669E1">
              <w:rPr>
                <w:rFonts w:ascii="Segoe UI" w:hAnsi="Segoe UI" w:cs="Segoe UI"/>
                <w:sz w:val="18"/>
                <w:szCs w:val="18"/>
              </w:rPr>
              <w:t>:</w:t>
            </w:r>
          </w:p>
        </w:tc>
      </w:tr>
      <w:tr w:rsidR="007669E1" w:rsidRPr="007669E1" w14:paraId="23D457FF" w14:textId="77777777" w:rsidTr="005A7B4B">
        <w:tc>
          <w:tcPr>
            <w:tcW w:w="2425" w:type="dxa"/>
          </w:tcPr>
          <w:p w14:paraId="36B1156E"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Source of Data</w:t>
            </w:r>
          </w:p>
        </w:tc>
        <w:tc>
          <w:tcPr>
            <w:tcW w:w="7200" w:type="dxa"/>
            <w:gridSpan w:val="6"/>
          </w:tcPr>
          <w:p w14:paraId="428FDB14"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47D20088" w14:textId="77777777" w:rsidTr="005A7B4B">
        <w:tc>
          <w:tcPr>
            <w:tcW w:w="2425" w:type="dxa"/>
          </w:tcPr>
          <w:p w14:paraId="2440A14A"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Estimation Method</w:t>
            </w:r>
          </w:p>
        </w:tc>
        <w:tc>
          <w:tcPr>
            <w:tcW w:w="7200" w:type="dxa"/>
            <w:gridSpan w:val="6"/>
          </w:tcPr>
          <w:p w14:paraId="5E784A94"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2CD2D228" w14:textId="77777777" w:rsidTr="005A7B4B">
        <w:tc>
          <w:tcPr>
            <w:tcW w:w="2425" w:type="dxa"/>
          </w:tcPr>
          <w:p w14:paraId="5E6B4968"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Number of Beneficiaries</w:t>
            </w:r>
          </w:p>
        </w:tc>
        <w:tc>
          <w:tcPr>
            <w:tcW w:w="7200" w:type="dxa"/>
            <w:gridSpan w:val="6"/>
          </w:tcPr>
          <w:p w14:paraId="7BC0C1AC" w14:textId="649BD224" w:rsidR="00FF7C59" w:rsidRPr="007669E1" w:rsidRDefault="0026387F"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4CC2487B" w14:textId="77777777" w:rsidTr="005A7B4B">
        <w:tc>
          <w:tcPr>
            <w:tcW w:w="2425" w:type="dxa"/>
          </w:tcPr>
          <w:p w14:paraId="2ED506F3"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Revenue Cost Reporting</w:t>
            </w:r>
          </w:p>
        </w:tc>
        <w:tc>
          <w:tcPr>
            <w:tcW w:w="7200" w:type="dxa"/>
            <w:gridSpan w:val="6"/>
          </w:tcPr>
          <w:p w14:paraId="3D785784" w14:textId="76037620" w:rsidR="00FF7C59" w:rsidRPr="007669E1" w:rsidRDefault="00BA72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B23918" w:rsidRPr="007669E1">
              <w:rPr>
                <w:rFonts w:ascii="Segoe UI" w:hAnsi="Segoe UI" w:cs="Segoe UI"/>
                <w:sz w:val="18"/>
                <w:szCs w:val="18"/>
              </w:rPr>
              <w:t xml:space="preserve"> </w:t>
            </w:r>
            <w:r w:rsidR="00FF7C59" w:rsidRPr="007669E1">
              <w:rPr>
                <w:rFonts w:ascii="Segoe UI" w:hAnsi="Segoe UI" w:cs="Segoe UI"/>
                <w:sz w:val="18"/>
                <w:szCs w:val="18"/>
              </w:rPr>
              <w:t>MDL</w:t>
            </w:r>
          </w:p>
        </w:tc>
      </w:tr>
      <w:tr w:rsidR="00136C8F" w:rsidRPr="007669E1" w14:paraId="3CAF460E" w14:textId="77777777" w:rsidTr="005A7B4B">
        <w:trPr>
          <w:trHeight w:val="91"/>
        </w:trPr>
        <w:tc>
          <w:tcPr>
            <w:tcW w:w="2425" w:type="dxa"/>
            <w:vMerge w:val="restart"/>
          </w:tcPr>
          <w:p w14:paraId="5463753E"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tcPr>
          <w:p w14:paraId="0695AE35"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2018</w:t>
            </w:r>
          </w:p>
        </w:tc>
        <w:tc>
          <w:tcPr>
            <w:tcW w:w="1385" w:type="dxa"/>
          </w:tcPr>
          <w:p w14:paraId="3748E333"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2019</w:t>
            </w:r>
          </w:p>
        </w:tc>
        <w:tc>
          <w:tcPr>
            <w:tcW w:w="1385" w:type="dxa"/>
            <w:gridSpan w:val="2"/>
          </w:tcPr>
          <w:p w14:paraId="0240DAFF"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2020</w:t>
            </w:r>
          </w:p>
        </w:tc>
        <w:tc>
          <w:tcPr>
            <w:tcW w:w="1385" w:type="dxa"/>
          </w:tcPr>
          <w:p w14:paraId="0D1E1659" w14:textId="77777777" w:rsidR="00FF7C59" w:rsidRPr="00F8111C" w:rsidRDefault="00FF7C59"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2021</w:t>
            </w:r>
          </w:p>
        </w:tc>
        <w:tc>
          <w:tcPr>
            <w:tcW w:w="1660" w:type="dxa"/>
          </w:tcPr>
          <w:p w14:paraId="564C002B" w14:textId="7B1999C1" w:rsidR="00FF7C59" w:rsidRPr="00F8111C" w:rsidRDefault="000C00AF" w:rsidP="00E90BA7">
            <w:pPr>
              <w:spacing w:before="20" w:after="20" w:line="240" w:lineRule="auto"/>
              <w:jc w:val="both"/>
              <w:rPr>
                <w:rFonts w:ascii="Segoe UI" w:hAnsi="Segoe UI" w:cs="Segoe UI"/>
                <w:b/>
                <w:bCs/>
                <w:sz w:val="18"/>
                <w:szCs w:val="18"/>
              </w:rPr>
            </w:pPr>
            <w:r w:rsidRPr="00F8111C">
              <w:rPr>
                <w:rFonts w:ascii="Segoe UI" w:hAnsi="Segoe UI" w:cs="Segoe UI"/>
                <w:b/>
                <w:bCs/>
                <w:sz w:val="18"/>
                <w:szCs w:val="18"/>
              </w:rPr>
              <w:t>2022</w:t>
            </w:r>
          </w:p>
        </w:tc>
      </w:tr>
      <w:tr w:rsidR="00A2051E" w:rsidRPr="007669E1" w14:paraId="09A867F4" w14:textId="77777777" w:rsidTr="005369F4">
        <w:trPr>
          <w:trHeight w:val="305"/>
        </w:trPr>
        <w:tc>
          <w:tcPr>
            <w:tcW w:w="2425" w:type="dxa"/>
            <w:vMerge/>
          </w:tcPr>
          <w:p w14:paraId="2B1F6CD7"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shd w:val="clear" w:color="auto" w:fill="auto"/>
            <w:vAlign w:val="center"/>
          </w:tcPr>
          <w:p w14:paraId="6F9F4134" w14:textId="111EBD8F" w:rsidR="00FF7C59" w:rsidRPr="007669E1" w:rsidRDefault="00BA72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8,005.7</w:t>
            </w:r>
          </w:p>
        </w:tc>
        <w:tc>
          <w:tcPr>
            <w:tcW w:w="1385" w:type="dxa"/>
            <w:shd w:val="clear" w:color="auto" w:fill="auto"/>
            <w:vAlign w:val="center"/>
          </w:tcPr>
          <w:p w14:paraId="4B956492" w14:textId="4668F6FE" w:rsidR="00FF7C59" w:rsidRPr="007669E1" w:rsidRDefault="00BA72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18,502.8</w:t>
            </w:r>
          </w:p>
        </w:tc>
        <w:tc>
          <w:tcPr>
            <w:tcW w:w="1385" w:type="dxa"/>
            <w:gridSpan w:val="2"/>
            <w:shd w:val="clear" w:color="auto" w:fill="auto"/>
            <w:vAlign w:val="center"/>
          </w:tcPr>
          <w:p w14:paraId="3D401878" w14:textId="1CFB046D" w:rsidR="00FF7C59" w:rsidRPr="007669E1" w:rsidRDefault="00BA72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19,721.0</w:t>
            </w:r>
          </w:p>
        </w:tc>
        <w:tc>
          <w:tcPr>
            <w:tcW w:w="1385" w:type="dxa"/>
            <w:shd w:val="clear" w:color="auto" w:fill="auto"/>
            <w:vAlign w:val="center"/>
          </w:tcPr>
          <w:p w14:paraId="5EF78EDB" w14:textId="374C966B" w:rsidR="00FF7C59" w:rsidRPr="007669E1" w:rsidRDefault="00BA72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19,456.8</w:t>
            </w:r>
          </w:p>
        </w:tc>
        <w:tc>
          <w:tcPr>
            <w:tcW w:w="1660" w:type="dxa"/>
            <w:shd w:val="clear" w:color="auto" w:fill="auto"/>
            <w:vAlign w:val="center"/>
          </w:tcPr>
          <w:p w14:paraId="5A304A8A" w14:textId="449E36D5" w:rsidR="00FF7C59" w:rsidRPr="007669E1" w:rsidRDefault="00BA72AA"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bl>
    <w:p w14:paraId="1CA8AAA0" w14:textId="77777777" w:rsidR="00FF7C59" w:rsidRPr="007669E1" w:rsidRDefault="00FF7C59"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FF7C59" w:rsidRPr="00316060" w14:paraId="44705FFD" w14:textId="77777777" w:rsidTr="00316060">
        <w:tc>
          <w:tcPr>
            <w:tcW w:w="9625" w:type="dxa"/>
            <w:gridSpan w:val="7"/>
            <w:shd w:val="clear" w:color="auto" w:fill="D9D9D9" w:themeFill="background1" w:themeFillShade="D9"/>
          </w:tcPr>
          <w:p w14:paraId="0DA66B55" w14:textId="6F437A4C"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 xml:space="preserve">4. Water fee exemption for public benefit organizations caring for the blind, deaf, disables and </w:t>
            </w:r>
            <w:r w:rsidR="0DC404AE" w:rsidRPr="00316060">
              <w:rPr>
                <w:rFonts w:ascii="Segoe UI" w:hAnsi="Segoe UI" w:cs="Segoe UI"/>
                <w:b/>
                <w:bCs/>
                <w:sz w:val="18"/>
                <w:szCs w:val="18"/>
              </w:rPr>
              <w:t>pub</w:t>
            </w:r>
            <w:r w:rsidR="124A6365" w:rsidRPr="00316060">
              <w:rPr>
                <w:rFonts w:ascii="Segoe UI" w:hAnsi="Segoe UI" w:cs="Segoe UI"/>
                <w:b/>
                <w:bCs/>
                <w:sz w:val="18"/>
                <w:szCs w:val="18"/>
              </w:rPr>
              <w:t>l</w:t>
            </w:r>
            <w:r w:rsidR="0DC404AE" w:rsidRPr="00316060">
              <w:rPr>
                <w:rFonts w:ascii="Segoe UI" w:hAnsi="Segoe UI" w:cs="Segoe UI"/>
                <w:b/>
                <w:bCs/>
                <w:sz w:val="18"/>
                <w:szCs w:val="18"/>
              </w:rPr>
              <w:t>ic</w:t>
            </w:r>
            <w:r w:rsidRPr="00316060">
              <w:rPr>
                <w:rFonts w:ascii="Segoe UI" w:hAnsi="Segoe UI" w:cs="Segoe UI"/>
                <w:b/>
                <w:bCs/>
                <w:sz w:val="18"/>
                <w:szCs w:val="18"/>
              </w:rPr>
              <w:t xml:space="preserve"> health care institutions.</w:t>
            </w:r>
          </w:p>
        </w:tc>
      </w:tr>
      <w:tr w:rsidR="00FF7C59" w:rsidRPr="007669E1" w14:paraId="104D78E9" w14:textId="77777777" w:rsidTr="00316060">
        <w:tc>
          <w:tcPr>
            <w:tcW w:w="2425" w:type="dxa"/>
          </w:tcPr>
          <w:p w14:paraId="261F4B06"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Description</w:t>
            </w:r>
          </w:p>
        </w:tc>
        <w:tc>
          <w:tcPr>
            <w:tcW w:w="7200" w:type="dxa"/>
            <w:gridSpan w:val="6"/>
          </w:tcPr>
          <w:p w14:paraId="198DDE0E"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extracted by enterprises of the societies for the blind, deaf and disabled and public healthcare institutions or delivered directly to them or through some economic</w:t>
            </w:r>
          </w:p>
          <w:p w14:paraId="728C6D64"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agents is exempt from the water fee.</w:t>
            </w:r>
          </w:p>
        </w:tc>
      </w:tr>
      <w:tr w:rsidR="00FF7C59" w:rsidRPr="007669E1" w14:paraId="660223B0" w14:textId="77777777" w:rsidTr="00316060">
        <w:tc>
          <w:tcPr>
            <w:tcW w:w="2425" w:type="dxa"/>
          </w:tcPr>
          <w:p w14:paraId="0724458F"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Type of Tax Affected</w:t>
            </w:r>
          </w:p>
        </w:tc>
        <w:tc>
          <w:tcPr>
            <w:tcW w:w="7200" w:type="dxa"/>
            <w:gridSpan w:val="6"/>
          </w:tcPr>
          <w:p w14:paraId="158D3A4C"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fee</w:t>
            </w:r>
          </w:p>
        </w:tc>
      </w:tr>
      <w:tr w:rsidR="00FF7C59" w:rsidRPr="007669E1" w14:paraId="7BFCAA81" w14:textId="77777777" w:rsidTr="00316060">
        <w:tc>
          <w:tcPr>
            <w:tcW w:w="2425" w:type="dxa"/>
          </w:tcPr>
          <w:p w14:paraId="7B200BF9"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Beneficiaries</w:t>
            </w:r>
          </w:p>
        </w:tc>
        <w:tc>
          <w:tcPr>
            <w:tcW w:w="7200" w:type="dxa"/>
            <w:gridSpan w:val="6"/>
          </w:tcPr>
          <w:p w14:paraId="17784506"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The blind, deaf, disabled and patients of public healthcare institutions.</w:t>
            </w:r>
          </w:p>
        </w:tc>
      </w:tr>
      <w:tr w:rsidR="00FF7C59" w:rsidRPr="007669E1" w14:paraId="294F307A" w14:textId="77777777" w:rsidTr="00316060">
        <w:tc>
          <w:tcPr>
            <w:tcW w:w="2425" w:type="dxa"/>
          </w:tcPr>
          <w:p w14:paraId="272600F7"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Type of Measure</w:t>
            </w:r>
          </w:p>
        </w:tc>
        <w:tc>
          <w:tcPr>
            <w:tcW w:w="7200" w:type="dxa"/>
            <w:gridSpan w:val="6"/>
          </w:tcPr>
          <w:p w14:paraId="77FFBEFF"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FF7C59" w:rsidRPr="007669E1" w14:paraId="01D38621" w14:textId="77777777" w:rsidTr="00316060">
        <w:tc>
          <w:tcPr>
            <w:tcW w:w="2425" w:type="dxa"/>
          </w:tcPr>
          <w:p w14:paraId="5E038B44"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Reason why this Measure is not part of the Benchmark Tax System</w:t>
            </w:r>
          </w:p>
        </w:tc>
        <w:tc>
          <w:tcPr>
            <w:tcW w:w="7200" w:type="dxa"/>
            <w:gridSpan w:val="6"/>
          </w:tcPr>
          <w:p w14:paraId="49028C77"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grants a water fee exemption to a subgroup of society receiving health care services.</w:t>
            </w:r>
          </w:p>
        </w:tc>
      </w:tr>
      <w:tr w:rsidR="00FF7C59" w:rsidRPr="007669E1" w14:paraId="421E6C93" w14:textId="77777777" w:rsidTr="00316060">
        <w:tc>
          <w:tcPr>
            <w:tcW w:w="2425" w:type="dxa"/>
          </w:tcPr>
          <w:p w14:paraId="2ACD4BBF"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Legal Reference</w:t>
            </w:r>
          </w:p>
        </w:tc>
        <w:tc>
          <w:tcPr>
            <w:tcW w:w="7200" w:type="dxa"/>
            <w:gridSpan w:val="6"/>
          </w:tcPr>
          <w:p w14:paraId="20DFBB3A"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Chapter 2 of Title 8 of the TC, Art 306(d)</w:t>
            </w:r>
          </w:p>
        </w:tc>
      </w:tr>
      <w:tr w:rsidR="00FF7C59" w:rsidRPr="007669E1" w14:paraId="0BFEE110" w14:textId="77777777" w:rsidTr="00316060">
        <w:trPr>
          <w:trHeight w:val="182"/>
        </w:trPr>
        <w:tc>
          <w:tcPr>
            <w:tcW w:w="2425" w:type="dxa"/>
            <w:vMerge w:val="restart"/>
          </w:tcPr>
          <w:p w14:paraId="24380857"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Implementation Objectives, and History</w:t>
            </w:r>
          </w:p>
        </w:tc>
        <w:tc>
          <w:tcPr>
            <w:tcW w:w="7200" w:type="dxa"/>
            <w:gridSpan w:val="6"/>
          </w:tcPr>
          <w:p w14:paraId="14A4A948" w14:textId="77777777" w:rsidR="00FF7C59" w:rsidRPr="007669E1" w:rsidRDefault="00FF7C59" w:rsidP="00E90BA7">
            <w:pPr>
              <w:spacing w:before="20" w:after="20" w:line="240" w:lineRule="auto"/>
              <w:jc w:val="both"/>
              <w:rPr>
                <w:rFonts w:ascii="Segoe UI" w:hAnsi="Segoe UI" w:cs="Segoe UI"/>
                <w:sz w:val="18"/>
                <w:szCs w:val="18"/>
              </w:rPr>
            </w:pPr>
          </w:p>
        </w:tc>
      </w:tr>
      <w:tr w:rsidR="00FF7C59" w:rsidRPr="007669E1" w14:paraId="42A8D835" w14:textId="77777777" w:rsidTr="00316060">
        <w:trPr>
          <w:trHeight w:val="182"/>
        </w:trPr>
        <w:tc>
          <w:tcPr>
            <w:tcW w:w="2425" w:type="dxa"/>
            <w:vMerge/>
          </w:tcPr>
          <w:p w14:paraId="4C0CD53D" w14:textId="77777777" w:rsidR="00FF7C59" w:rsidRPr="00316060" w:rsidRDefault="00FF7C59" w:rsidP="00E90BA7">
            <w:pPr>
              <w:spacing w:before="20" w:after="20" w:line="240" w:lineRule="auto"/>
              <w:jc w:val="both"/>
              <w:rPr>
                <w:rFonts w:ascii="Segoe UI" w:hAnsi="Segoe UI" w:cs="Segoe UI"/>
                <w:b/>
                <w:bCs/>
                <w:sz w:val="18"/>
                <w:szCs w:val="18"/>
              </w:rPr>
            </w:pPr>
          </w:p>
        </w:tc>
        <w:tc>
          <w:tcPr>
            <w:tcW w:w="3462" w:type="dxa"/>
            <w:gridSpan w:val="3"/>
          </w:tcPr>
          <w:p w14:paraId="235D685E" w14:textId="0E4E67F3"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Introduced in year: </w:t>
            </w:r>
          </w:p>
        </w:tc>
        <w:tc>
          <w:tcPr>
            <w:tcW w:w="3738" w:type="dxa"/>
            <w:gridSpan w:val="3"/>
          </w:tcPr>
          <w:p w14:paraId="5179A481" w14:textId="607F4C1E"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FF7C59" w:rsidRPr="007669E1" w14:paraId="187F9350" w14:textId="77777777" w:rsidTr="00316060">
        <w:tc>
          <w:tcPr>
            <w:tcW w:w="2425" w:type="dxa"/>
          </w:tcPr>
          <w:p w14:paraId="627B3FF2"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Source of Data</w:t>
            </w:r>
          </w:p>
        </w:tc>
        <w:tc>
          <w:tcPr>
            <w:tcW w:w="7200" w:type="dxa"/>
            <w:gridSpan w:val="6"/>
          </w:tcPr>
          <w:p w14:paraId="2D5106D3"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FF7C59" w:rsidRPr="007669E1" w14:paraId="6047B83A" w14:textId="77777777" w:rsidTr="00316060">
        <w:tc>
          <w:tcPr>
            <w:tcW w:w="2425" w:type="dxa"/>
          </w:tcPr>
          <w:p w14:paraId="7143228D"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Estimation Method</w:t>
            </w:r>
          </w:p>
        </w:tc>
        <w:tc>
          <w:tcPr>
            <w:tcW w:w="7200" w:type="dxa"/>
            <w:gridSpan w:val="6"/>
          </w:tcPr>
          <w:p w14:paraId="379167CB"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FF7C59" w:rsidRPr="007669E1" w14:paraId="24BDA2F3" w14:textId="77777777" w:rsidTr="00316060">
        <w:tc>
          <w:tcPr>
            <w:tcW w:w="2425" w:type="dxa"/>
          </w:tcPr>
          <w:p w14:paraId="3A736EF9"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Number of Beneficiaries</w:t>
            </w:r>
          </w:p>
        </w:tc>
        <w:tc>
          <w:tcPr>
            <w:tcW w:w="7200" w:type="dxa"/>
            <w:gridSpan w:val="6"/>
          </w:tcPr>
          <w:p w14:paraId="1D92D337" w14:textId="5B7B37BD" w:rsidR="00FF7C59" w:rsidRPr="007669E1" w:rsidRDefault="00B758A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w:t>
            </w:r>
            <w:r w:rsidR="0026387F" w:rsidRPr="007669E1">
              <w:rPr>
                <w:rFonts w:ascii="Segoe UI" w:hAnsi="Segoe UI" w:cs="Segoe UI"/>
                <w:sz w:val="18"/>
                <w:szCs w:val="18"/>
              </w:rPr>
              <w:t>.a.</w:t>
            </w:r>
          </w:p>
        </w:tc>
      </w:tr>
      <w:tr w:rsidR="00FF7C59" w:rsidRPr="007669E1" w14:paraId="1F277A46" w14:textId="77777777" w:rsidTr="00316060">
        <w:tc>
          <w:tcPr>
            <w:tcW w:w="2425" w:type="dxa"/>
          </w:tcPr>
          <w:p w14:paraId="1A210013"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Revenue Cost Reporting</w:t>
            </w:r>
          </w:p>
        </w:tc>
        <w:tc>
          <w:tcPr>
            <w:tcW w:w="7200" w:type="dxa"/>
            <w:gridSpan w:val="6"/>
          </w:tcPr>
          <w:p w14:paraId="7F0C8A6D" w14:textId="21163C42" w:rsidR="00FF7C59" w:rsidRPr="007669E1" w:rsidRDefault="000B79A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FF7C59" w:rsidRPr="007669E1">
              <w:rPr>
                <w:rFonts w:ascii="Segoe UI" w:hAnsi="Segoe UI" w:cs="Segoe UI"/>
                <w:sz w:val="18"/>
                <w:szCs w:val="18"/>
              </w:rPr>
              <w:t xml:space="preserve"> MDL</w:t>
            </w:r>
          </w:p>
        </w:tc>
      </w:tr>
      <w:tr w:rsidR="00FF7C59" w:rsidRPr="007669E1" w14:paraId="7EAA8EAF" w14:textId="77777777" w:rsidTr="00316060">
        <w:trPr>
          <w:trHeight w:val="91"/>
        </w:trPr>
        <w:tc>
          <w:tcPr>
            <w:tcW w:w="2425" w:type="dxa"/>
            <w:vMerge w:val="restart"/>
          </w:tcPr>
          <w:p w14:paraId="488AA0E0"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tcPr>
          <w:p w14:paraId="094A9C3A"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2018</w:t>
            </w:r>
          </w:p>
        </w:tc>
        <w:tc>
          <w:tcPr>
            <w:tcW w:w="1385" w:type="dxa"/>
          </w:tcPr>
          <w:p w14:paraId="0E58114C"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2019</w:t>
            </w:r>
          </w:p>
        </w:tc>
        <w:tc>
          <w:tcPr>
            <w:tcW w:w="1385" w:type="dxa"/>
            <w:gridSpan w:val="2"/>
          </w:tcPr>
          <w:p w14:paraId="639C5B3C"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2020</w:t>
            </w:r>
          </w:p>
        </w:tc>
        <w:tc>
          <w:tcPr>
            <w:tcW w:w="1385" w:type="dxa"/>
          </w:tcPr>
          <w:p w14:paraId="006509B5" w14:textId="7777777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2021</w:t>
            </w:r>
          </w:p>
        </w:tc>
        <w:tc>
          <w:tcPr>
            <w:tcW w:w="1660" w:type="dxa"/>
          </w:tcPr>
          <w:p w14:paraId="3F32105D" w14:textId="376F0817" w:rsidR="00FF7C59" w:rsidRPr="00316060" w:rsidRDefault="00FF7C59" w:rsidP="00E90BA7">
            <w:pPr>
              <w:spacing w:before="20" w:after="20" w:line="240" w:lineRule="auto"/>
              <w:jc w:val="both"/>
              <w:rPr>
                <w:rFonts w:ascii="Segoe UI" w:hAnsi="Segoe UI" w:cs="Segoe UI"/>
                <w:b/>
                <w:bCs/>
                <w:sz w:val="18"/>
                <w:szCs w:val="18"/>
              </w:rPr>
            </w:pPr>
            <w:r w:rsidRPr="00316060">
              <w:rPr>
                <w:rFonts w:ascii="Segoe UI" w:hAnsi="Segoe UI" w:cs="Segoe UI"/>
                <w:b/>
                <w:bCs/>
                <w:sz w:val="18"/>
                <w:szCs w:val="18"/>
              </w:rPr>
              <w:t>2022</w:t>
            </w:r>
          </w:p>
        </w:tc>
      </w:tr>
      <w:tr w:rsidR="00FF7C59" w:rsidRPr="007669E1" w14:paraId="5A977DC8" w14:textId="77777777" w:rsidTr="00316060">
        <w:trPr>
          <w:trHeight w:val="305"/>
        </w:trPr>
        <w:tc>
          <w:tcPr>
            <w:tcW w:w="2425" w:type="dxa"/>
            <w:vMerge/>
          </w:tcPr>
          <w:p w14:paraId="7030C210"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tcPr>
          <w:p w14:paraId="1991CEA2" w14:textId="6D126759" w:rsidR="00FF7C59"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tcPr>
          <w:p w14:paraId="09B0E935" w14:textId="644ABC1C" w:rsidR="00FF7C59"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tcPr>
          <w:p w14:paraId="62EF4D40" w14:textId="221F6666"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tcPr>
          <w:p w14:paraId="11737688" w14:textId="29A823EF"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tcPr>
          <w:p w14:paraId="1596F090" w14:textId="3277493D"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00C147B6" w14:textId="77777777" w:rsidR="00FF7C59" w:rsidRPr="007669E1" w:rsidRDefault="00FF7C59" w:rsidP="00E90BA7">
      <w:pPr>
        <w:spacing w:before="20" w:after="20" w:line="240" w:lineRule="auto"/>
        <w:jc w:val="both"/>
        <w:rPr>
          <w:rFonts w:ascii="Segoe UI" w:hAnsi="Segoe UI" w:cs="Segoe UI"/>
          <w:sz w:val="18"/>
          <w:szCs w:val="18"/>
        </w:rPr>
      </w:pPr>
    </w:p>
    <w:tbl>
      <w:tblPr>
        <w:tblW w:w="9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5"/>
        <w:gridCol w:w="1385"/>
        <w:gridCol w:w="1385"/>
        <w:gridCol w:w="692"/>
        <w:gridCol w:w="693"/>
        <w:gridCol w:w="1385"/>
        <w:gridCol w:w="1660"/>
      </w:tblGrid>
      <w:tr w:rsidR="00A2051E" w:rsidRPr="007669E1" w14:paraId="2C0F72C5" w14:textId="77777777" w:rsidTr="005A7B4B">
        <w:tc>
          <w:tcPr>
            <w:tcW w:w="9625" w:type="dxa"/>
            <w:gridSpan w:val="7"/>
            <w:shd w:val="clear" w:color="auto" w:fill="D9D9D9" w:themeFill="background1" w:themeFillShade="D9"/>
          </w:tcPr>
          <w:p w14:paraId="11E8D3BB" w14:textId="7613A416" w:rsidR="00FF7C59" w:rsidRPr="007669E1" w:rsidRDefault="00FF7C59" w:rsidP="00E90BA7">
            <w:pPr>
              <w:keepNext/>
              <w:spacing w:before="20" w:after="20" w:line="240" w:lineRule="auto"/>
              <w:jc w:val="both"/>
              <w:rPr>
                <w:rFonts w:ascii="Segoe UI" w:hAnsi="Segoe UI" w:cs="Segoe UI"/>
                <w:b/>
                <w:bCs/>
                <w:sz w:val="18"/>
                <w:szCs w:val="18"/>
              </w:rPr>
            </w:pPr>
            <w:r w:rsidRPr="007669E1">
              <w:rPr>
                <w:rFonts w:ascii="Segoe UI" w:hAnsi="Segoe UI" w:cs="Segoe UI"/>
                <w:b/>
                <w:bCs/>
                <w:sz w:val="18"/>
                <w:szCs w:val="18"/>
              </w:rPr>
              <w:t>5. Water fee exemption for jail services.</w:t>
            </w:r>
          </w:p>
        </w:tc>
      </w:tr>
      <w:tr w:rsidR="007669E1" w:rsidRPr="007669E1" w14:paraId="747B0803" w14:textId="77777777" w:rsidTr="005A7B4B">
        <w:tc>
          <w:tcPr>
            <w:tcW w:w="2425" w:type="dxa"/>
          </w:tcPr>
          <w:p w14:paraId="67B2B9A2" w14:textId="77777777" w:rsidR="00FF7C59" w:rsidRPr="007669E1" w:rsidRDefault="00FF7C59" w:rsidP="00E90BA7">
            <w:pPr>
              <w:keepNext/>
              <w:spacing w:before="20" w:after="20" w:line="240" w:lineRule="auto"/>
              <w:jc w:val="both"/>
              <w:rPr>
                <w:rFonts w:ascii="Segoe UI" w:hAnsi="Segoe UI" w:cs="Segoe UI"/>
                <w:b/>
                <w:bCs/>
                <w:sz w:val="18"/>
                <w:szCs w:val="18"/>
              </w:rPr>
            </w:pPr>
            <w:r w:rsidRPr="007669E1">
              <w:rPr>
                <w:rFonts w:ascii="Segoe UI" w:hAnsi="Segoe UI" w:cs="Segoe UI"/>
                <w:b/>
                <w:bCs/>
                <w:sz w:val="18"/>
                <w:szCs w:val="18"/>
              </w:rPr>
              <w:t>Description</w:t>
            </w:r>
          </w:p>
        </w:tc>
        <w:tc>
          <w:tcPr>
            <w:tcW w:w="7200" w:type="dxa"/>
            <w:gridSpan w:val="6"/>
          </w:tcPr>
          <w:p w14:paraId="4E8857AD"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extracted by the enterprises operating the penitentiary system or delivered</w:t>
            </w:r>
          </w:p>
          <w:p w14:paraId="5F986582"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directly to them or through some economic agents is exempt from the water fee.</w:t>
            </w:r>
          </w:p>
        </w:tc>
      </w:tr>
      <w:tr w:rsidR="007669E1" w:rsidRPr="007669E1" w14:paraId="5B14C734" w14:textId="77777777" w:rsidTr="005A7B4B">
        <w:tc>
          <w:tcPr>
            <w:tcW w:w="2425" w:type="dxa"/>
          </w:tcPr>
          <w:p w14:paraId="2EEF487D"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Type of Tax Affected</w:t>
            </w:r>
          </w:p>
        </w:tc>
        <w:tc>
          <w:tcPr>
            <w:tcW w:w="7200" w:type="dxa"/>
            <w:gridSpan w:val="6"/>
          </w:tcPr>
          <w:p w14:paraId="2CBC9E61"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Water fee.</w:t>
            </w:r>
          </w:p>
        </w:tc>
      </w:tr>
      <w:tr w:rsidR="007669E1" w:rsidRPr="007669E1" w14:paraId="33B4F3EC" w14:textId="77777777" w:rsidTr="005A7B4B">
        <w:tc>
          <w:tcPr>
            <w:tcW w:w="2425" w:type="dxa"/>
          </w:tcPr>
          <w:p w14:paraId="472AF92C"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Beneficiaries</w:t>
            </w:r>
          </w:p>
        </w:tc>
        <w:tc>
          <w:tcPr>
            <w:tcW w:w="7200" w:type="dxa"/>
            <w:gridSpan w:val="6"/>
          </w:tcPr>
          <w:p w14:paraId="56A5DA4F"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Operators of prisons or detention centers</w:t>
            </w:r>
          </w:p>
        </w:tc>
      </w:tr>
      <w:tr w:rsidR="007669E1" w:rsidRPr="007669E1" w14:paraId="56982756" w14:textId="77777777" w:rsidTr="005A7B4B">
        <w:tc>
          <w:tcPr>
            <w:tcW w:w="2425" w:type="dxa"/>
          </w:tcPr>
          <w:p w14:paraId="3FFE7BCD"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lastRenderedPageBreak/>
              <w:t>Type of Measure</w:t>
            </w:r>
          </w:p>
        </w:tc>
        <w:tc>
          <w:tcPr>
            <w:tcW w:w="7200" w:type="dxa"/>
            <w:gridSpan w:val="6"/>
          </w:tcPr>
          <w:p w14:paraId="20E043DD"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Legislated exemption.</w:t>
            </w:r>
          </w:p>
        </w:tc>
      </w:tr>
      <w:tr w:rsidR="007669E1" w:rsidRPr="007669E1" w14:paraId="650D6B8E" w14:textId="77777777" w:rsidTr="005A7B4B">
        <w:tc>
          <w:tcPr>
            <w:tcW w:w="2425" w:type="dxa"/>
          </w:tcPr>
          <w:p w14:paraId="2629F4F9"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Reason why this Measure is not part of the Benchmark Tax System</w:t>
            </w:r>
          </w:p>
        </w:tc>
        <w:tc>
          <w:tcPr>
            <w:tcW w:w="7200" w:type="dxa"/>
            <w:gridSpan w:val="6"/>
          </w:tcPr>
          <w:p w14:paraId="32A7A90F" w14:textId="0CC3B67A"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It grants a water fee exemption to a subgroup of society operating prisons or detention centers.</w:t>
            </w:r>
          </w:p>
        </w:tc>
      </w:tr>
      <w:tr w:rsidR="007669E1" w:rsidRPr="007669E1" w14:paraId="3092305B" w14:textId="77777777" w:rsidTr="005A7B4B">
        <w:tc>
          <w:tcPr>
            <w:tcW w:w="2425" w:type="dxa"/>
          </w:tcPr>
          <w:p w14:paraId="4EE40EE3"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Legal Reference</w:t>
            </w:r>
          </w:p>
        </w:tc>
        <w:tc>
          <w:tcPr>
            <w:tcW w:w="7200" w:type="dxa"/>
            <w:gridSpan w:val="6"/>
          </w:tcPr>
          <w:p w14:paraId="1E1BEE50"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Chapter 2 of Title 8 of the TC, Art 306(e)</w:t>
            </w:r>
          </w:p>
        </w:tc>
      </w:tr>
      <w:tr w:rsidR="00BD3293" w:rsidRPr="007669E1" w14:paraId="62EED6DB" w14:textId="77777777" w:rsidTr="005A7B4B">
        <w:trPr>
          <w:trHeight w:val="182"/>
        </w:trPr>
        <w:tc>
          <w:tcPr>
            <w:tcW w:w="2425" w:type="dxa"/>
            <w:vMerge w:val="restart"/>
          </w:tcPr>
          <w:p w14:paraId="7355DCDC"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Implementation Objectives, and History</w:t>
            </w:r>
          </w:p>
        </w:tc>
        <w:tc>
          <w:tcPr>
            <w:tcW w:w="7200" w:type="dxa"/>
            <w:gridSpan w:val="6"/>
          </w:tcPr>
          <w:p w14:paraId="4006E0E7" w14:textId="77777777" w:rsidR="00FF7C59" w:rsidRPr="007669E1" w:rsidRDefault="00FF7C59" w:rsidP="00E90BA7">
            <w:pPr>
              <w:spacing w:before="20" w:after="20" w:line="240" w:lineRule="auto"/>
              <w:jc w:val="both"/>
              <w:rPr>
                <w:rFonts w:ascii="Segoe UI" w:hAnsi="Segoe UI" w:cs="Segoe UI"/>
                <w:sz w:val="18"/>
                <w:szCs w:val="18"/>
              </w:rPr>
            </w:pPr>
          </w:p>
        </w:tc>
      </w:tr>
      <w:tr w:rsidR="00BD3293" w:rsidRPr="007669E1" w14:paraId="37DA4999" w14:textId="77777777" w:rsidTr="005A7B4B">
        <w:trPr>
          <w:trHeight w:val="182"/>
        </w:trPr>
        <w:tc>
          <w:tcPr>
            <w:tcW w:w="2425" w:type="dxa"/>
            <w:vMerge/>
          </w:tcPr>
          <w:p w14:paraId="7FB580B2" w14:textId="77777777" w:rsidR="00FF7C59" w:rsidRPr="007669E1" w:rsidRDefault="00FF7C59" w:rsidP="00E90BA7">
            <w:pPr>
              <w:spacing w:before="20" w:after="20" w:line="240" w:lineRule="auto"/>
              <w:jc w:val="both"/>
              <w:rPr>
                <w:rFonts w:ascii="Segoe UI" w:hAnsi="Segoe UI" w:cs="Segoe UI"/>
                <w:b/>
                <w:bCs/>
                <w:sz w:val="18"/>
                <w:szCs w:val="18"/>
              </w:rPr>
            </w:pPr>
          </w:p>
        </w:tc>
        <w:tc>
          <w:tcPr>
            <w:tcW w:w="3462" w:type="dxa"/>
            <w:gridSpan w:val="3"/>
          </w:tcPr>
          <w:p w14:paraId="71173781" w14:textId="70F68561"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Introduced in year:</w:t>
            </w:r>
          </w:p>
        </w:tc>
        <w:tc>
          <w:tcPr>
            <w:tcW w:w="3738" w:type="dxa"/>
            <w:gridSpan w:val="3"/>
          </w:tcPr>
          <w:p w14:paraId="22B94008" w14:textId="0E981676"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Expiry date:</w:t>
            </w:r>
            <w:r w:rsidR="005D21F4" w:rsidRPr="007669E1">
              <w:rPr>
                <w:rFonts w:ascii="Segoe UI" w:hAnsi="Segoe UI" w:cs="Segoe UI"/>
                <w:sz w:val="18"/>
                <w:szCs w:val="18"/>
              </w:rPr>
              <w:t xml:space="preserve"> —</w:t>
            </w:r>
          </w:p>
        </w:tc>
      </w:tr>
      <w:tr w:rsidR="007669E1" w:rsidRPr="007669E1" w14:paraId="244DCAD1" w14:textId="77777777" w:rsidTr="005A7B4B">
        <w:tc>
          <w:tcPr>
            <w:tcW w:w="2425" w:type="dxa"/>
          </w:tcPr>
          <w:p w14:paraId="4C46527D"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Source of Data</w:t>
            </w:r>
          </w:p>
        </w:tc>
        <w:tc>
          <w:tcPr>
            <w:tcW w:w="7200" w:type="dxa"/>
            <w:gridSpan w:val="6"/>
          </w:tcPr>
          <w:p w14:paraId="40D7726E"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State Tax Service (STS)</w:t>
            </w:r>
          </w:p>
        </w:tc>
      </w:tr>
      <w:tr w:rsidR="007669E1" w:rsidRPr="007669E1" w14:paraId="60533069" w14:textId="77777777" w:rsidTr="005A7B4B">
        <w:tc>
          <w:tcPr>
            <w:tcW w:w="2425" w:type="dxa"/>
          </w:tcPr>
          <w:p w14:paraId="576A7A22"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Estimation Method</w:t>
            </w:r>
          </w:p>
        </w:tc>
        <w:tc>
          <w:tcPr>
            <w:tcW w:w="7200" w:type="dxa"/>
            <w:gridSpan w:val="6"/>
          </w:tcPr>
          <w:p w14:paraId="2ADC4BC3" w14:textId="77777777" w:rsidR="00FF7C59" w:rsidRPr="007669E1" w:rsidRDefault="00FF7C59"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 xml:space="preserve">Estimating budget expenditures </w:t>
            </w:r>
          </w:p>
        </w:tc>
      </w:tr>
      <w:tr w:rsidR="007669E1" w:rsidRPr="007669E1" w14:paraId="280457CA" w14:textId="77777777" w:rsidTr="005A7B4B">
        <w:tc>
          <w:tcPr>
            <w:tcW w:w="2425" w:type="dxa"/>
          </w:tcPr>
          <w:p w14:paraId="72750B4D"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Number of Beneficiaries</w:t>
            </w:r>
          </w:p>
        </w:tc>
        <w:tc>
          <w:tcPr>
            <w:tcW w:w="7200" w:type="dxa"/>
            <w:gridSpan w:val="6"/>
          </w:tcPr>
          <w:p w14:paraId="11ACAA0C" w14:textId="5F40298C" w:rsidR="00FF7C59" w:rsidRPr="007669E1" w:rsidRDefault="006236E0"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r>
      <w:tr w:rsidR="007669E1" w:rsidRPr="007669E1" w14:paraId="036B8032" w14:textId="77777777" w:rsidTr="005A7B4B">
        <w:tc>
          <w:tcPr>
            <w:tcW w:w="2425" w:type="dxa"/>
          </w:tcPr>
          <w:p w14:paraId="49A8BA85"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Revenue Cost Reporting</w:t>
            </w:r>
          </w:p>
        </w:tc>
        <w:tc>
          <w:tcPr>
            <w:tcW w:w="7200" w:type="dxa"/>
            <w:gridSpan w:val="6"/>
          </w:tcPr>
          <w:p w14:paraId="69086DDC" w14:textId="6A8AC96A" w:rsidR="00FF7C59" w:rsidRPr="007669E1" w:rsidRDefault="000B79AC"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Thousand</w:t>
            </w:r>
            <w:r w:rsidR="00FF7C59" w:rsidRPr="007669E1">
              <w:rPr>
                <w:rFonts w:ascii="Segoe UI" w:hAnsi="Segoe UI" w:cs="Segoe UI"/>
                <w:sz w:val="18"/>
                <w:szCs w:val="18"/>
              </w:rPr>
              <w:t xml:space="preserve"> MDL</w:t>
            </w:r>
          </w:p>
        </w:tc>
      </w:tr>
      <w:tr w:rsidR="00BD3293" w:rsidRPr="007669E1" w14:paraId="464DECD1" w14:textId="77777777" w:rsidTr="005A7B4B">
        <w:trPr>
          <w:trHeight w:val="91"/>
        </w:trPr>
        <w:tc>
          <w:tcPr>
            <w:tcW w:w="2425" w:type="dxa"/>
            <w:vMerge w:val="restart"/>
          </w:tcPr>
          <w:p w14:paraId="4E21A786"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tcPr>
          <w:p w14:paraId="7C24A3B5"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2018</w:t>
            </w:r>
          </w:p>
        </w:tc>
        <w:tc>
          <w:tcPr>
            <w:tcW w:w="1385" w:type="dxa"/>
          </w:tcPr>
          <w:p w14:paraId="24A94367"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2019</w:t>
            </w:r>
          </w:p>
        </w:tc>
        <w:tc>
          <w:tcPr>
            <w:tcW w:w="1385" w:type="dxa"/>
            <w:gridSpan w:val="2"/>
          </w:tcPr>
          <w:p w14:paraId="0C8B8895"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2020</w:t>
            </w:r>
          </w:p>
        </w:tc>
        <w:tc>
          <w:tcPr>
            <w:tcW w:w="1385" w:type="dxa"/>
          </w:tcPr>
          <w:p w14:paraId="60037E84" w14:textId="77777777"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2021</w:t>
            </w:r>
          </w:p>
        </w:tc>
        <w:tc>
          <w:tcPr>
            <w:tcW w:w="1660" w:type="dxa"/>
          </w:tcPr>
          <w:p w14:paraId="01196540" w14:textId="0247F443" w:rsidR="00FF7C59" w:rsidRPr="007669E1" w:rsidRDefault="00FF7C59" w:rsidP="00E90BA7">
            <w:pPr>
              <w:spacing w:before="20" w:after="20" w:line="240" w:lineRule="auto"/>
              <w:jc w:val="both"/>
              <w:rPr>
                <w:rFonts w:ascii="Segoe UI" w:hAnsi="Segoe UI" w:cs="Segoe UI"/>
                <w:b/>
                <w:bCs/>
                <w:sz w:val="18"/>
                <w:szCs w:val="18"/>
              </w:rPr>
            </w:pPr>
            <w:r w:rsidRPr="007669E1">
              <w:rPr>
                <w:rFonts w:ascii="Segoe UI" w:hAnsi="Segoe UI" w:cs="Segoe UI"/>
                <w:b/>
                <w:bCs/>
                <w:sz w:val="18"/>
                <w:szCs w:val="18"/>
              </w:rPr>
              <w:t>2022</w:t>
            </w:r>
          </w:p>
        </w:tc>
      </w:tr>
      <w:tr w:rsidR="00775F01" w:rsidRPr="007669E1" w14:paraId="41F2CAA7" w14:textId="77777777" w:rsidTr="00A63948">
        <w:trPr>
          <w:trHeight w:val="305"/>
        </w:trPr>
        <w:tc>
          <w:tcPr>
            <w:tcW w:w="2425" w:type="dxa"/>
            <w:vMerge/>
          </w:tcPr>
          <w:p w14:paraId="3682D9FB" w14:textId="77777777" w:rsidR="00FF7C59" w:rsidRPr="007669E1" w:rsidRDefault="00FF7C59" w:rsidP="00E90BA7">
            <w:pPr>
              <w:spacing w:before="20" w:after="20" w:line="240" w:lineRule="auto"/>
              <w:jc w:val="both"/>
              <w:rPr>
                <w:rFonts w:ascii="Segoe UI" w:hAnsi="Segoe UI" w:cs="Segoe UI"/>
                <w:sz w:val="18"/>
                <w:szCs w:val="18"/>
              </w:rPr>
            </w:pPr>
          </w:p>
        </w:tc>
        <w:tc>
          <w:tcPr>
            <w:tcW w:w="1385" w:type="dxa"/>
          </w:tcPr>
          <w:p w14:paraId="54F13F22" w14:textId="695DD739" w:rsidR="00FF7C59"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shd w:val="clear" w:color="auto" w:fill="auto"/>
          </w:tcPr>
          <w:p w14:paraId="460FEA18" w14:textId="53172780" w:rsidR="00FF7C59" w:rsidRPr="007669E1" w:rsidRDefault="00DF6F23" w:rsidP="00E90BA7">
            <w:pPr>
              <w:spacing w:before="20" w:after="20" w:line="240" w:lineRule="auto"/>
              <w:jc w:val="both"/>
              <w:rPr>
                <w:rFonts w:ascii="Segoe UI" w:hAnsi="Segoe UI" w:cs="Segoe UI"/>
                <w:sz w:val="18"/>
                <w:szCs w:val="18"/>
              </w:rPr>
            </w:pPr>
            <w:r w:rsidRPr="007669E1">
              <w:rPr>
                <w:rFonts w:ascii="Segoe UI" w:hAnsi="Segoe UI" w:cs="Segoe UI"/>
                <w:sz w:val="18"/>
                <w:szCs w:val="18"/>
              </w:rPr>
              <w:t>n.a.</w:t>
            </w:r>
          </w:p>
        </w:tc>
        <w:tc>
          <w:tcPr>
            <w:tcW w:w="1385" w:type="dxa"/>
            <w:gridSpan w:val="2"/>
            <w:shd w:val="clear" w:color="auto" w:fill="auto"/>
          </w:tcPr>
          <w:p w14:paraId="6B948663" w14:textId="3A5331B1"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385" w:type="dxa"/>
            <w:shd w:val="clear" w:color="auto" w:fill="auto"/>
          </w:tcPr>
          <w:p w14:paraId="3BF484D8" w14:textId="24A62520"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c>
          <w:tcPr>
            <w:tcW w:w="1660" w:type="dxa"/>
            <w:shd w:val="clear" w:color="auto" w:fill="auto"/>
          </w:tcPr>
          <w:p w14:paraId="2E991621" w14:textId="14EAFD97" w:rsidR="00FF7C59" w:rsidRPr="007669E1" w:rsidRDefault="00DF6F23" w:rsidP="00E90BA7">
            <w:pPr>
              <w:spacing w:before="20" w:after="20" w:line="240" w:lineRule="auto"/>
              <w:jc w:val="both"/>
              <w:rPr>
                <w:rFonts w:ascii="Segoe UI" w:hAnsi="Segoe UI" w:cs="Segoe UI"/>
                <w:i/>
                <w:sz w:val="18"/>
                <w:szCs w:val="18"/>
              </w:rPr>
            </w:pPr>
            <w:r w:rsidRPr="007669E1">
              <w:rPr>
                <w:rFonts w:ascii="Segoe UI" w:hAnsi="Segoe UI" w:cs="Segoe UI"/>
                <w:sz w:val="18"/>
                <w:szCs w:val="18"/>
              </w:rPr>
              <w:t>n.a.</w:t>
            </w:r>
          </w:p>
        </w:tc>
      </w:tr>
    </w:tbl>
    <w:p w14:paraId="36E9E6E1" w14:textId="77777777" w:rsidR="00FF7C59" w:rsidRPr="007669E1" w:rsidRDefault="00FF7C59" w:rsidP="00E90BA7">
      <w:pPr>
        <w:spacing w:before="20" w:after="20" w:line="240" w:lineRule="auto"/>
        <w:jc w:val="both"/>
        <w:rPr>
          <w:rFonts w:ascii="Segoe UI" w:hAnsi="Segoe UI" w:cs="Segoe UI"/>
          <w:i/>
          <w:sz w:val="18"/>
          <w:szCs w:val="18"/>
        </w:rPr>
      </w:pPr>
    </w:p>
    <w:sectPr w:rsidR="00FF7C59" w:rsidRPr="007669E1" w:rsidSect="00170414">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9D1F" w14:textId="77777777" w:rsidR="00185F2A" w:rsidRDefault="00185F2A" w:rsidP="000B7010">
      <w:pPr>
        <w:spacing w:line="240" w:lineRule="auto"/>
      </w:pPr>
      <w:r>
        <w:separator/>
      </w:r>
    </w:p>
  </w:endnote>
  <w:endnote w:type="continuationSeparator" w:id="0">
    <w:p w14:paraId="3756F479" w14:textId="77777777" w:rsidR="00185F2A" w:rsidRDefault="00185F2A" w:rsidP="000B7010">
      <w:pPr>
        <w:spacing w:line="240" w:lineRule="auto"/>
      </w:pPr>
      <w:r>
        <w:continuationSeparator/>
      </w:r>
    </w:p>
  </w:endnote>
  <w:endnote w:type="continuationNotice" w:id="1">
    <w:p w14:paraId="41995574" w14:textId="77777777" w:rsidR="00185F2A" w:rsidRDefault="00185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tisSemiSans">
    <w:altName w:val="Yu Gothic"/>
    <w:panose1 w:val="00000000000000000000"/>
    <w:charset w:val="80"/>
    <w:family w:val="swiss"/>
    <w:notTrueType/>
    <w:pitch w:val="default"/>
    <w:sig w:usb0="00000001" w:usb1="08070000" w:usb2="00000010" w:usb3="00000000" w:csb0="00020000" w:csb1="00000000"/>
  </w:font>
  <w:font w:name="RotisSemiSans-Italic">
    <w:altName w:val="Yu Gothic"/>
    <w:panose1 w:val="00000000000000000000"/>
    <w:charset w:val="80"/>
    <w:family w:val="swiss"/>
    <w:notTrueType/>
    <w:pitch w:val="default"/>
    <w:sig w:usb0="00000001" w:usb1="08070000" w:usb2="00000010" w:usb3="00000000" w:csb0="00020000" w:csb1="00000000"/>
  </w:font>
  <w:font w:name="ArialMT">
    <w:altName w:val="Klee On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AE59" w14:textId="336EABBC" w:rsidR="00396A9A" w:rsidRPr="006C2BDF" w:rsidRDefault="00396A9A" w:rsidP="00834E6F">
    <w:pPr>
      <w:pStyle w:val="Footer"/>
      <w:jc w:val="right"/>
      <w:rPr>
        <w:rFonts w:ascii="Segoe UI" w:hAnsi="Segoe UI" w:cs="Segoe UI"/>
        <w:sz w:val="18"/>
        <w:szCs w:val="18"/>
      </w:rPr>
    </w:pPr>
    <w:r w:rsidRPr="006C2BDF">
      <w:rPr>
        <w:rStyle w:val="PageNumber"/>
        <w:rFonts w:ascii="Segoe UI" w:hAnsi="Segoe UI" w:cs="Segoe UI"/>
        <w:sz w:val="18"/>
        <w:szCs w:val="18"/>
      </w:rPr>
      <w:fldChar w:fldCharType="begin"/>
    </w:r>
    <w:r w:rsidRPr="006C2BDF">
      <w:rPr>
        <w:rStyle w:val="PageNumber"/>
        <w:rFonts w:ascii="Segoe UI" w:hAnsi="Segoe UI" w:cs="Segoe UI"/>
        <w:sz w:val="18"/>
        <w:szCs w:val="18"/>
      </w:rPr>
      <w:instrText xml:space="preserve"> PAGE </w:instrText>
    </w:r>
    <w:r w:rsidRPr="006C2BDF">
      <w:rPr>
        <w:rStyle w:val="PageNumber"/>
        <w:rFonts w:ascii="Segoe UI" w:hAnsi="Segoe UI" w:cs="Segoe UI"/>
        <w:sz w:val="18"/>
        <w:szCs w:val="18"/>
      </w:rPr>
      <w:fldChar w:fldCharType="separate"/>
    </w:r>
    <w:r w:rsidR="00676C8F">
      <w:rPr>
        <w:rStyle w:val="PageNumber"/>
        <w:rFonts w:ascii="Segoe UI" w:hAnsi="Segoe UI" w:cs="Segoe UI"/>
        <w:noProof/>
        <w:sz w:val="18"/>
        <w:szCs w:val="18"/>
      </w:rPr>
      <w:t>2</w:t>
    </w:r>
    <w:r w:rsidRPr="006C2BDF">
      <w:rPr>
        <w:rStyle w:val="PageNumber"/>
        <w:rFonts w:ascii="Segoe UI" w:hAnsi="Segoe UI" w:cs="Segoe U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A498038" w14:paraId="3433C4B0" w14:textId="77777777" w:rsidTr="0059721A">
      <w:trPr>
        <w:trHeight w:val="300"/>
      </w:trPr>
      <w:tc>
        <w:tcPr>
          <w:tcW w:w="3120" w:type="dxa"/>
        </w:tcPr>
        <w:p w14:paraId="3EA9D992" w14:textId="6DA32FCE" w:rsidR="2A498038" w:rsidRDefault="2A498038" w:rsidP="00A82821">
          <w:pPr>
            <w:pStyle w:val="Header"/>
            <w:ind w:left="-115"/>
          </w:pPr>
        </w:p>
      </w:tc>
      <w:tc>
        <w:tcPr>
          <w:tcW w:w="3120" w:type="dxa"/>
        </w:tcPr>
        <w:p w14:paraId="6E1F84F4" w14:textId="3932295D" w:rsidR="2A498038" w:rsidRDefault="2A498038" w:rsidP="00A82821">
          <w:pPr>
            <w:pStyle w:val="Header"/>
            <w:jc w:val="center"/>
          </w:pPr>
        </w:p>
      </w:tc>
      <w:tc>
        <w:tcPr>
          <w:tcW w:w="3120" w:type="dxa"/>
        </w:tcPr>
        <w:p w14:paraId="067D79EA" w14:textId="53CFB03C" w:rsidR="2A498038" w:rsidRDefault="2A498038" w:rsidP="00A82821">
          <w:pPr>
            <w:pStyle w:val="Header"/>
            <w:ind w:right="-115"/>
            <w:jc w:val="right"/>
          </w:pPr>
        </w:p>
      </w:tc>
    </w:tr>
  </w:tbl>
  <w:p w14:paraId="5B94DC6F" w14:textId="4B9BB85F" w:rsidR="00593A3C" w:rsidRDefault="00593A3C" w:rsidP="0018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11B7" w14:textId="77777777" w:rsidR="00185F2A" w:rsidRDefault="00185F2A" w:rsidP="000B7010">
      <w:pPr>
        <w:spacing w:line="240" w:lineRule="auto"/>
      </w:pPr>
      <w:r>
        <w:separator/>
      </w:r>
    </w:p>
  </w:footnote>
  <w:footnote w:type="continuationSeparator" w:id="0">
    <w:p w14:paraId="33249AD9" w14:textId="77777777" w:rsidR="00185F2A" w:rsidRDefault="00185F2A" w:rsidP="000B7010">
      <w:pPr>
        <w:spacing w:line="240" w:lineRule="auto"/>
      </w:pPr>
      <w:r>
        <w:continuationSeparator/>
      </w:r>
    </w:p>
  </w:footnote>
  <w:footnote w:type="continuationNotice" w:id="1">
    <w:p w14:paraId="4907B389" w14:textId="77777777" w:rsidR="00185F2A" w:rsidRDefault="00185F2A">
      <w:pPr>
        <w:spacing w:after="0" w:line="240" w:lineRule="auto"/>
      </w:pPr>
    </w:p>
  </w:footnote>
  <w:footnote w:id="2">
    <w:p w14:paraId="03E293EB" w14:textId="2BA70662" w:rsidR="00396A9A" w:rsidRPr="005B044E" w:rsidRDefault="00396A9A" w:rsidP="008209C7">
      <w:pPr>
        <w:pStyle w:val="FootnoteText"/>
        <w:spacing w:after="120" w:line="240" w:lineRule="auto"/>
        <w:rPr>
          <w:rFonts w:ascii="Segoe UI" w:hAnsi="Segoe UI" w:cs="Segoe UI"/>
          <w:sz w:val="18"/>
          <w:szCs w:val="18"/>
        </w:rPr>
      </w:pPr>
      <w:r w:rsidRPr="005B044E">
        <w:rPr>
          <w:rStyle w:val="FootnoteReference"/>
          <w:rFonts w:ascii="Segoe UI" w:hAnsi="Segoe UI" w:cs="Segoe UI"/>
          <w:sz w:val="18"/>
          <w:szCs w:val="18"/>
        </w:rPr>
        <w:footnoteRef/>
      </w:r>
      <w:r w:rsidRPr="005B044E">
        <w:rPr>
          <w:rFonts w:ascii="Segoe UI" w:hAnsi="Segoe UI" w:cs="Segoe UI"/>
          <w:sz w:val="18"/>
          <w:szCs w:val="18"/>
        </w:rPr>
        <w:t xml:space="preserve"> </w:t>
      </w:r>
      <w:r>
        <w:rPr>
          <w:rFonts w:ascii="Segoe UI" w:hAnsi="Segoe UI" w:cs="Segoe UI"/>
          <w:sz w:val="18"/>
          <w:szCs w:val="18"/>
        </w:rPr>
        <w:t>The b</w:t>
      </w:r>
      <w:r w:rsidRPr="005B044E">
        <w:rPr>
          <w:rFonts w:ascii="Segoe UI" w:hAnsi="Segoe UI" w:cs="Segoe UI"/>
          <w:sz w:val="18"/>
          <w:szCs w:val="18"/>
        </w:rPr>
        <w:t xml:space="preserve">usiness </w:t>
      </w:r>
      <w:r>
        <w:rPr>
          <w:rFonts w:ascii="Segoe UI" w:hAnsi="Segoe UI" w:cs="Segoe UI"/>
          <w:sz w:val="18"/>
          <w:szCs w:val="18"/>
        </w:rPr>
        <w:t xml:space="preserve">income tax micro-simulation model </w:t>
      </w:r>
      <w:r w:rsidR="264129A9">
        <w:rPr>
          <w:rFonts w:ascii="Segoe UI" w:hAnsi="Segoe UI" w:cs="Segoe UI"/>
          <w:sz w:val="18"/>
          <w:szCs w:val="18"/>
        </w:rPr>
        <w:t>wa</w:t>
      </w:r>
      <w:r>
        <w:rPr>
          <w:rFonts w:ascii="Segoe UI" w:hAnsi="Segoe UI" w:cs="Segoe UI"/>
          <w:sz w:val="18"/>
          <w:szCs w:val="18"/>
        </w:rPr>
        <w:t>s developed with the IMF’s support.</w:t>
      </w:r>
    </w:p>
  </w:footnote>
  <w:footnote w:id="3">
    <w:p w14:paraId="59F3C2D9" w14:textId="2FC6F5D0" w:rsidR="00396A9A" w:rsidRPr="00514AA0" w:rsidRDefault="00396A9A" w:rsidP="00514AA0">
      <w:pPr>
        <w:pStyle w:val="FootnoteText"/>
        <w:spacing w:after="120" w:line="240" w:lineRule="auto"/>
        <w:rPr>
          <w:rFonts w:ascii="Segoe UI" w:hAnsi="Segoe UI" w:cs="Segoe UI"/>
          <w:sz w:val="18"/>
          <w:szCs w:val="18"/>
        </w:rPr>
      </w:pPr>
      <w:r w:rsidRPr="00514AA0">
        <w:rPr>
          <w:rStyle w:val="FootnoteReference"/>
          <w:rFonts w:ascii="Segoe UI" w:hAnsi="Segoe UI" w:cs="Segoe UI"/>
          <w:sz w:val="18"/>
          <w:szCs w:val="18"/>
        </w:rPr>
        <w:footnoteRef/>
      </w:r>
      <w:r w:rsidRPr="00514AA0">
        <w:rPr>
          <w:rFonts w:ascii="Segoe UI" w:hAnsi="Segoe UI" w:cs="Segoe UI"/>
          <w:sz w:val="18"/>
          <w:szCs w:val="18"/>
        </w:rPr>
        <w:t xml:space="preserve"> There can be cases when </w:t>
      </w:r>
      <w:r>
        <w:rPr>
          <w:rFonts w:ascii="Segoe UI" w:hAnsi="Segoe UI" w:cs="Segoe UI"/>
          <w:sz w:val="18"/>
          <w:szCs w:val="18"/>
        </w:rPr>
        <w:t xml:space="preserve">TEs </w:t>
      </w:r>
      <w:r w:rsidRPr="00514AA0">
        <w:rPr>
          <w:rFonts w:ascii="Segoe UI" w:hAnsi="Segoe UI" w:cs="Segoe UI"/>
          <w:sz w:val="18"/>
          <w:szCs w:val="18"/>
        </w:rPr>
        <w:t xml:space="preserve">increase revenue, for example a VAT exemption on the supply of an intermediate good that is used for a taxable supply. </w:t>
      </w:r>
    </w:p>
  </w:footnote>
  <w:footnote w:id="4">
    <w:p w14:paraId="7786E22F" w14:textId="77777777" w:rsidR="00396A9A" w:rsidRPr="00514AA0" w:rsidRDefault="00396A9A" w:rsidP="00514AA0">
      <w:pPr>
        <w:pStyle w:val="FootnoteText"/>
        <w:spacing w:after="120" w:line="240" w:lineRule="auto"/>
        <w:rPr>
          <w:rFonts w:ascii="Segoe UI" w:hAnsi="Segoe UI" w:cs="Segoe UI"/>
          <w:sz w:val="18"/>
          <w:szCs w:val="18"/>
        </w:rPr>
      </w:pPr>
      <w:r w:rsidRPr="00514AA0">
        <w:rPr>
          <w:rStyle w:val="FootnoteReference"/>
          <w:rFonts w:ascii="Segoe UI" w:hAnsi="Segoe UI" w:cs="Segoe UI"/>
          <w:sz w:val="18"/>
          <w:szCs w:val="18"/>
        </w:rPr>
        <w:footnoteRef/>
      </w:r>
      <w:r w:rsidRPr="00514AA0">
        <w:rPr>
          <w:rFonts w:ascii="Segoe UI" w:hAnsi="Segoe UI" w:cs="Segoe UI"/>
          <w:sz w:val="18"/>
          <w:szCs w:val="18"/>
        </w:rPr>
        <w:t xml:space="preserve"> See for example IMF (2015), Redonda and Neubig (2018), and EC (2014). </w:t>
      </w:r>
    </w:p>
  </w:footnote>
  <w:footnote w:id="5">
    <w:p w14:paraId="0CA01FBC" w14:textId="4B6241BD" w:rsidR="00396A9A" w:rsidRPr="00514AA0" w:rsidRDefault="00396A9A" w:rsidP="00514AA0">
      <w:pPr>
        <w:pStyle w:val="FootnoteText"/>
        <w:spacing w:after="120" w:line="240" w:lineRule="auto"/>
        <w:rPr>
          <w:rFonts w:ascii="Segoe UI" w:hAnsi="Segoe UI" w:cs="Segoe UI"/>
          <w:sz w:val="18"/>
          <w:szCs w:val="18"/>
        </w:rPr>
      </w:pPr>
      <w:r w:rsidRPr="00514AA0">
        <w:rPr>
          <w:rStyle w:val="FootnoteReference"/>
          <w:rFonts w:ascii="Segoe UI" w:hAnsi="Segoe UI" w:cs="Segoe UI"/>
          <w:sz w:val="18"/>
          <w:szCs w:val="18"/>
        </w:rPr>
        <w:footnoteRef/>
      </w:r>
      <w:r w:rsidRPr="00514AA0">
        <w:rPr>
          <w:rFonts w:ascii="Segoe UI" w:hAnsi="Segoe UI" w:cs="Segoe UI"/>
          <w:sz w:val="18"/>
          <w:szCs w:val="18"/>
        </w:rPr>
        <w:t xml:space="preserve"> This is the case when </w:t>
      </w:r>
      <w:r w:rsidR="0084275F">
        <w:rPr>
          <w:rFonts w:ascii="Segoe UI" w:hAnsi="Segoe UI" w:cs="Segoe UI"/>
          <w:sz w:val="18"/>
          <w:szCs w:val="18"/>
        </w:rPr>
        <w:t>TE</w:t>
      </w:r>
      <w:r w:rsidRPr="00514AA0">
        <w:rPr>
          <w:rFonts w:ascii="Segoe UI" w:hAnsi="Segoe UI" w:cs="Segoe UI"/>
          <w:sz w:val="18"/>
          <w:szCs w:val="18"/>
        </w:rPr>
        <w:t xml:space="preserve"> strengthen</w:t>
      </w:r>
      <w:r>
        <w:rPr>
          <w:rFonts w:ascii="Segoe UI" w:hAnsi="Segoe UI" w:cs="Segoe UI"/>
          <w:sz w:val="18"/>
          <w:szCs w:val="18"/>
        </w:rPr>
        <w:t>s</w:t>
      </w:r>
      <w:r w:rsidRPr="00514AA0">
        <w:rPr>
          <w:rFonts w:ascii="Segoe UI" w:hAnsi="Segoe UI" w:cs="Segoe UI"/>
          <w:sz w:val="18"/>
          <w:szCs w:val="18"/>
        </w:rPr>
        <w:t xml:space="preserve"> certain desired behaviors (e.g., making work pay type of measures), it is a modification of an existing tax provision (e.g., accelerated depreciation), or it allows administrative or compliance costs to be reduced.</w:t>
      </w:r>
    </w:p>
  </w:footnote>
  <w:footnote w:id="6">
    <w:p w14:paraId="3A29A8E0" w14:textId="75389362" w:rsidR="00396A9A" w:rsidRPr="00147A02" w:rsidRDefault="00396A9A" w:rsidP="00147A02">
      <w:pPr>
        <w:pStyle w:val="FootnoteText"/>
        <w:spacing w:after="120" w:line="240" w:lineRule="auto"/>
        <w:rPr>
          <w:rFonts w:ascii="Segoe UI" w:hAnsi="Segoe UI" w:cs="Segoe UI"/>
          <w:sz w:val="18"/>
          <w:szCs w:val="18"/>
        </w:rPr>
      </w:pPr>
      <w:r w:rsidRPr="00147A02">
        <w:rPr>
          <w:rStyle w:val="FootnoteReference"/>
          <w:rFonts w:ascii="Segoe UI" w:hAnsi="Segoe UI" w:cs="Segoe UI"/>
          <w:sz w:val="18"/>
          <w:szCs w:val="18"/>
        </w:rPr>
        <w:footnoteRef/>
      </w:r>
      <w:r w:rsidRPr="00147A02">
        <w:rPr>
          <w:rFonts w:ascii="Segoe UI" w:hAnsi="Segoe UI" w:cs="Segoe UI"/>
          <w:sz w:val="18"/>
          <w:szCs w:val="18"/>
        </w:rPr>
        <w:t xml:space="preserve"> </w:t>
      </w:r>
      <w:r>
        <w:rPr>
          <w:rFonts w:ascii="Segoe UI" w:hAnsi="Segoe UI" w:cs="Segoe UI"/>
          <w:sz w:val="18"/>
          <w:szCs w:val="18"/>
        </w:rPr>
        <w:t>Several</w:t>
      </w:r>
      <w:r w:rsidRPr="00147A02">
        <w:rPr>
          <w:rFonts w:ascii="Segoe UI" w:hAnsi="Segoe UI" w:cs="Segoe UI"/>
          <w:sz w:val="18"/>
          <w:szCs w:val="18"/>
        </w:rPr>
        <w:t xml:space="preserve"> IMF FAD </w:t>
      </w:r>
      <w:r>
        <w:rPr>
          <w:rFonts w:ascii="Segoe UI" w:hAnsi="Segoe UI" w:cs="Segoe UI"/>
          <w:sz w:val="18"/>
          <w:szCs w:val="18"/>
        </w:rPr>
        <w:t>capacity building</w:t>
      </w:r>
      <w:r w:rsidRPr="00147A02">
        <w:rPr>
          <w:rFonts w:ascii="Segoe UI" w:hAnsi="Segoe UI" w:cs="Segoe UI"/>
          <w:sz w:val="18"/>
          <w:szCs w:val="18"/>
        </w:rPr>
        <w:t xml:space="preserve"> mission</w:t>
      </w:r>
      <w:r>
        <w:rPr>
          <w:rFonts w:ascii="Segoe UI" w:hAnsi="Segoe UI" w:cs="Segoe UI"/>
          <w:sz w:val="18"/>
          <w:szCs w:val="18"/>
        </w:rPr>
        <w:t>s</w:t>
      </w:r>
      <w:r w:rsidRPr="00147A02">
        <w:rPr>
          <w:rFonts w:ascii="Segoe UI" w:hAnsi="Segoe UI" w:cs="Segoe UI"/>
          <w:sz w:val="18"/>
          <w:szCs w:val="18"/>
        </w:rPr>
        <w:t xml:space="preserve"> </w:t>
      </w:r>
      <w:r w:rsidRPr="00147A02">
        <w:rPr>
          <w:rFonts w:ascii="Segoe UI" w:hAnsi="Segoe UI" w:cs="Segoe UI"/>
          <w:sz w:val="18"/>
          <w:szCs w:val="18"/>
          <w:lang w:val="sr-Latn-ME"/>
        </w:rPr>
        <w:t>w</w:t>
      </w:r>
      <w:r>
        <w:rPr>
          <w:rFonts w:ascii="Segoe UI" w:hAnsi="Segoe UI" w:cs="Segoe UI"/>
          <w:sz w:val="18"/>
          <w:szCs w:val="18"/>
          <w:lang w:val="sr-Latn-ME"/>
        </w:rPr>
        <w:t xml:space="preserve">ere </w:t>
      </w:r>
      <w:r w:rsidRPr="00147A02">
        <w:rPr>
          <w:rFonts w:ascii="Segoe UI" w:hAnsi="Segoe UI" w:cs="Segoe UI"/>
          <w:sz w:val="18"/>
          <w:szCs w:val="18"/>
          <w:lang w:val="sr-Latn-ME"/>
        </w:rPr>
        <w:t>requested to assist the Tax and Customs Policy Unit</w:t>
      </w:r>
      <w:r>
        <w:rPr>
          <w:rFonts w:ascii="Segoe UI" w:hAnsi="Segoe UI" w:cs="Segoe UI"/>
          <w:sz w:val="18"/>
          <w:szCs w:val="18"/>
          <w:lang w:val="sr-Latn-ME"/>
        </w:rPr>
        <w:t xml:space="preserve"> to</w:t>
      </w:r>
      <w:r w:rsidRPr="00147A02">
        <w:rPr>
          <w:rFonts w:ascii="Segoe UI" w:hAnsi="Segoe UI" w:cs="Segoe UI"/>
          <w:sz w:val="18"/>
          <w:szCs w:val="18"/>
          <w:lang w:val="sr-Latn-ME"/>
        </w:rPr>
        <w:t xml:space="preserve"> complet</w:t>
      </w:r>
      <w:r>
        <w:rPr>
          <w:rFonts w:ascii="Segoe UI" w:hAnsi="Segoe UI" w:cs="Segoe UI"/>
          <w:sz w:val="18"/>
          <w:szCs w:val="18"/>
          <w:lang w:val="sr-Latn-ME"/>
        </w:rPr>
        <w:t>e</w:t>
      </w:r>
      <w:r w:rsidRPr="00147A02">
        <w:rPr>
          <w:rFonts w:ascii="Segoe UI" w:hAnsi="Segoe UI" w:cs="Segoe UI"/>
          <w:sz w:val="18"/>
          <w:szCs w:val="18"/>
          <w:lang w:val="sr-Latn-ME"/>
        </w:rPr>
        <w:t xml:space="preserve"> </w:t>
      </w:r>
      <w:r>
        <w:rPr>
          <w:rFonts w:ascii="Segoe UI" w:hAnsi="Segoe UI" w:cs="Segoe UI"/>
          <w:sz w:val="18"/>
          <w:szCs w:val="18"/>
          <w:lang w:val="sr-Latn-ME"/>
        </w:rPr>
        <w:t>the</w:t>
      </w:r>
      <w:r w:rsidRPr="00147A02">
        <w:rPr>
          <w:rFonts w:ascii="Segoe UI" w:hAnsi="Segoe UI" w:cs="Segoe UI"/>
          <w:sz w:val="18"/>
          <w:szCs w:val="18"/>
          <w:lang w:val="sr-Latn-ME"/>
        </w:rPr>
        <w:t xml:space="preserve"> TE</w:t>
      </w:r>
      <w:r>
        <w:rPr>
          <w:rFonts w:ascii="Segoe UI" w:hAnsi="Segoe UI" w:cs="Segoe UI"/>
          <w:sz w:val="18"/>
          <w:szCs w:val="18"/>
          <w:lang w:val="sr-Latn-ME"/>
        </w:rPr>
        <w:t>AR</w:t>
      </w:r>
      <w:r w:rsidRPr="00147A02">
        <w:rPr>
          <w:rFonts w:ascii="Segoe UI" w:hAnsi="Segoe UI" w:cs="Segoe UI"/>
          <w:sz w:val="18"/>
          <w:szCs w:val="18"/>
          <w:lang w:val="sr-Latn-ME"/>
        </w:rPr>
        <w:t xml:space="preserve"> and to help strenghten local technical capacities in this area.</w:t>
      </w:r>
    </w:p>
  </w:footnote>
  <w:footnote w:id="7">
    <w:p w14:paraId="1F521C08" w14:textId="11150B9C" w:rsidR="00396A9A" w:rsidRPr="005438E8" w:rsidRDefault="00396A9A" w:rsidP="00854256">
      <w:pPr>
        <w:spacing w:after="120" w:line="240" w:lineRule="auto"/>
        <w:rPr>
          <w:rFonts w:ascii="Segoe UI" w:eastAsia="Times New Roman" w:hAnsi="Segoe UI" w:cs="Segoe UI"/>
          <w:sz w:val="18"/>
          <w:szCs w:val="18"/>
        </w:rPr>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This section </w:t>
      </w:r>
      <w:r>
        <w:rPr>
          <w:rFonts w:ascii="Segoe UI" w:hAnsi="Segoe UI" w:cs="Segoe UI"/>
          <w:sz w:val="18"/>
          <w:szCs w:val="18"/>
        </w:rPr>
        <w:t xml:space="preserve">builds on </w:t>
      </w:r>
      <w:r w:rsidRPr="005438E8">
        <w:rPr>
          <w:rFonts w:ascii="Segoe UI" w:eastAsia="Times New Roman" w:hAnsi="Segoe UI" w:cs="Segoe UI"/>
          <w:sz w:val="18"/>
          <w:szCs w:val="18"/>
        </w:rPr>
        <w:t xml:space="preserve">Heady, C. and Mansour, M., </w:t>
      </w:r>
      <w:r>
        <w:rPr>
          <w:rFonts w:ascii="Segoe UI" w:eastAsia="Times New Roman" w:hAnsi="Segoe UI" w:cs="Segoe UI"/>
          <w:sz w:val="18"/>
          <w:szCs w:val="18"/>
        </w:rPr>
        <w:t>(</w:t>
      </w:r>
      <w:r w:rsidRPr="005438E8">
        <w:rPr>
          <w:rFonts w:ascii="Segoe UI" w:eastAsia="Times New Roman" w:hAnsi="Segoe UI" w:cs="Segoe UI"/>
          <w:sz w:val="18"/>
          <w:szCs w:val="18"/>
        </w:rPr>
        <w:t>2019</w:t>
      </w:r>
      <w:r>
        <w:rPr>
          <w:rFonts w:ascii="Segoe UI" w:eastAsia="Times New Roman" w:hAnsi="Segoe UI" w:cs="Segoe UI"/>
          <w:sz w:val="18"/>
          <w:szCs w:val="18"/>
        </w:rPr>
        <w:t>).</w:t>
      </w:r>
    </w:p>
  </w:footnote>
  <w:footnote w:id="8">
    <w:p w14:paraId="2C0A13BB" w14:textId="77777777" w:rsidR="00396A9A" w:rsidRPr="00635FC0" w:rsidRDefault="00396A9A" w:rsidP="00E46FD5">
      <w:pPr>
        <w:pStyle w:val="FootnoteText"/>
        <w:spacing w:after="120" w:line="240" w:lineRule="auto"/>
        <w:rPr>
          <w:rFonts w:ascii="Segoe UI" w:hAnsi="Segoe UI" w:cs="Segoe UI"/>
          <w:sz w:val="18"/>
          <w:szCs w:val="18"/>
        </w:rPr>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A comprehensive income tax is defined by a rate schedule that applies to an individual’s income from all sources (that is, wages, capital income and capital gains, rental income, business income, gifts, inheritances, and so o</w:t>
      </w:r>
      <w:r w:rsidRPr="00635FC0">
        <w:rPr>
          <w:rFonts w:ascii="Segoe UI" w:hAnsi="Segoe UI" w:cs="Segoe UI"/>
          <w:sz w:val="18"/>
          <w:szCs w:val="18"/>
        </w:rPr>
        <w:t>n).</w:t>
      </w:r>
    </w:p>
  </w:footnote>
  <w:footnote w:id="9">
    <w:p w14:paraId="19A3C8F3" w14:textId="2F0EEE5E" w:rsidR="00396A9A" w:rsidRPr="005438E8" w:rsidRDefault="00396A9A" w:rsidP="00E46FD5">
      <w:pPr>
        <w:pStyle w:val="FootnoteText"/>
        <w:spacing w:after="120" w:line="240" w:lineRule="auto"/>
        <w:rPr>
          <w:rFonts w:ascii="Segoe UI" w:hAnsi="Segoe UI" w:cs="Segoe UI"/>
          <w:sz w:val="18"/>
          <w:szCs w:val="18"/>
        </w:rPr>
      </w:pPr>
      <w:r w:rsidRPr="00635FC0">
        <w:rPr>
          <w:rStyle w:val="FootnoteReference"/>
          <w:rFonts w:ascii="Segoe UI" w:hAnsi="Segoe UI" w:cs="Segoe UI"/>
          <w:sz w:val="18"/>
          <w:szCs w:val="18"/>
        </w:rPr>
        <w:footnoteRef/>
      </w:r>
      <w:r w:rsidRPr="00635FC0">
        <w:rPr>
          <w:rFonts w:ascii="Segoe UI" w:hAnsi="Segoe UI" w:cs="Segoe UI"/>
          <w:sz w:val="18"/>
          <w:szCs w:val="18"/>
        </w:rPr>
        <w:t xml:space="preserve"> Note that when businesses in the middle of supply chains are exempt from VAT it can mean higher total VA</w:t>
      </w:r>
      <w:r w:rsidRPr="005438E8">
        <w:rPr>
          <w:rFonts w:ascii="Segoe UI" w:hAnsi="Segoe UI" w:cs="Segoe UI"/>
          <w:sz w:val="18"/>
          <w:szCs w:val="18"/>
        </w:rPr>
        <w:t xml:space="preserve">T revenue liability further along the supply chain. A negative </w:t>
      </w:r>
      <w:r w:rsidR="003B7462">
        <w:rPr>
          <w:rFonts w:ascii="Segoe UI" w:hAnsi="Segoe UI" w:cs="Segoe UI"/>
          <w:sz w:val="18"/>
          <w:szCs w:val="18"/>
        </w:rPr>
        <w:t>TE</w:t>
      </w:r>
      <w:r w:rsidRPr="005438E8">
        <w:rPr>
          <w:rFonts w:ascii="Segoe UI" w:hAnsi="Segoe UI" w:cs="Segoe UI"/>
          <w:sz w:val="18"/>
          <w:szCs w:val="18"/>
        </w:rPr>
        <w:t xml:space="preserve"> can result, because VAT on purchases of exempt items cannot generally end up as an input tax credit.</w:t>
      </w:r>
    </w:p>
  </w:footnote>
  <w:footnote w:id="10">
    <w:p w14:paraId="3B60C7DA" w14:textId="77777777" w:rsidR="00396A9A" w:rsidRPr="00BC7160" w:rsidRDefault="00396A9A" w:rsidP="00F77F6D">
      <w:pPr>
        <w:pStyle w:val="FootnoteText"/>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This is not a persuasive argument: high-income households end up reaping most of the benefits of such policies, because they consume more (in absolute terms) than low-income households.</w:t>
      </w:r>
      <w:r>
        <w:t xml:space="preserve"> </w:t>
      </w:r>
    </w:p>
  </w:footnote>
  <w:footnote w:id="11">
    <w:p w14:paraId="0ADFCB2B" w14:textId="77777777" w:rsidR="00396A9A" w:rsidRPr="005438E8" w:rsidRDefault="00396A9A" w:rsidP="00F77F6D">
      <w:pPr>
        <w:pStyle w:val="FootnoteText"/>
        <w:rPr>
          <w:rFonts w:ascii="Segoe UI" w:hAnsi="Segoe UI" w:cs="Segoe UI"/>
          <w:sz w:val="18"/>
          <w:szCs w:val="18"/>
        </w:rPr>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In practice, no country has a true comprehensive income tax, in that some incomes are exempt or taxed at lower rates than the normal schedule. The guidance here takes a pragmatic approach and defines the benchmark relative to what a PIT most closely resembles, or what it is intended to do as a policy objective. </w:t>
      </w:r>
    </w:p>
  </w:footnote>
  <w:footnote w:id="12">
    <w:p w14:paraId="51D79274" w14:textId="6252F917" w:rsidR="00396A9A" w:rsidRPr="00E5565E" w:rsidRDefault="00396A9A" w:rsidP="00E5565E">
      <w:pPr>
        <w:pStyle w:val="FootnoteText"/>
        <w:spacing w:after="120" w:line="240" w:lineRule="auto"/>
        <w:rPr>
          <w:rFonts w:ascii="Segoe UI" w:hAnsi="Segoe UI" w:cs="Segoe UI"/>
          <w:sz w:val="18"/>
          <w:szCs w:val="18"/>
        </w:rPr>
      </w:pPr>
      <w:r w:rsidRPr="00E5565E">
        <w:rPr>
          <w:rStyle w:val="FootnoteReference"/>
          <w:rFonts w:ascii="Segoe UI" w:hAnsi="Segoe UI" w:cs="Segoe UI"/>
          <w:sz w:val="18"/>
          <w:szCs w:val="18"/>
        </w:rPr>
        <w:footnoteRef/>
      </w:r>
      <w:r w:rsidRPr="00E5565E">
        <w:rPr>
          <w:rFonts w:ascii="Segoe UI" w:hAnsi="Segoe UI" w:cs="Segoe UI"/>
          <w:sz w:val="18"/>
          <w:szCs w:val="18"/>
        </w:rPr>
        <w:t xml:space="preserve"> If corporations are taxed in less standard ways—for example, through a cash-flow tax or if the CIT has an allowance for corporate equity, the issues above are handled differently. For instance, total expensing of capital input would be part of the benchmark under a cash-flow tax, and not a TE providing a timing advantage. The deduction for equity under an allowance for corporate equity would also be part of the benchmark, and not a TE for equity financing.</w:t>
      </w:r>
    </w:p>
  </w:footnote>
  <w:footnote w:id="13">
    <w:p w14:paraId="4681E359" w14:textId="77777777" w:rsidR="00396A9A" w:rsidRPr="00786DB6" w:rsidRDefault="00396A9A" w:rsidP="00F77F6D">
      <w:pPr>
        <w:pStyle w:val="FootnoteText"/>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Most high-income countries, and increasingly other countries, are introducing rules to limit interest expenses (i.e., thin capitalization rules) and other costs, such as management and service fees, particularly when such costs accrue to nonresident parties related to the payers.</w:t>
      </w:r>
      <w:r w:rsidRPr="005438E8">
        <w:rPr>
          <w:sz w:val="18"/>
          <w:szCs w:val="18"/>
        </w:rPr>
        <w:t xml:space="preserve">   </w:t>
      </w:r>
    </w:p>
  </w:footnote>
  <w:footnote w:id="14">
    <w:p w14:paraId="375BC4D8" w14:textId="3E00813C" w:rsidR="00396A9A" w:rsidRDefault="00396A9A">
      <w:pPr>
        <w:pStyle w:val="FootnoteText"/>
      </w:pPr>
      <w:r>
        <w:rPr>
          <w:rStyle w:val="FootnoteReference"/>
        </w:rPr>
        <w:footnoteRef/>
      </w:r>
      <w:r>
        <w:t xml:space="preserve"> </w:t>
      </w:r>
      <w:r w:rsidRPr="00ED15E6">
        <w:rPr>
          <w:rFonts w:ascii="Segoe UI" w:hAnsi="Segoe UI" w:cs="Segoe UI"/>
          <w:sz w:val="18"/>
          <w:szCs w:val="18"/>
        </w:rPr>
        <w:t>The design characteristics of a revenue-productive and neutral VAT include a comprehensive base that includes in principle all goods and services; using only a few and well-targeted exemptions; adopting a single positive rate; imposing no tax burden on capital goods and other business inputs; providing for an adequate threshold to exclude small and micro businesses; and maintaining effective credit and expeditious refund procedures to deal with excess net credits.</w:t>
      </w:r>
    </w:p>
  </w:footnote>
  <w:footnote w:id="15">
    <w:p w14:paraId="741DF698" w14:textId="77777777" w:rsidR="00396A9A" w:rsidRPr="00065DC7" w:rsidRDefault="00396A9A" w:rsidP="00F77F6D">
      <w:pPr>
        <w:pStyle w:val="FootnoteText"/>
        <w:rPr>
          <w:rFonts w:ascii="Segoe UI" w:hAnsi="Segoe UI" w:cs="Segoe UI"/>
          <w:sz w:val="18"/>
          <w:szCs w:val="18"/>
        </w:rPr>
      </w:pPr>
      <w:r w:rsidRPr="009429AE">
        <w:rPr>
          <w:rStyle w:val="FootnoteReference"/>
          <w:rFonts w:ascii="Segoe UI" w:hAnsi="Segoe UI" w:cs="Segoe UI"/>
          <w:sz w:val="18"/>
          <w:szCs w:val="18"/>
        </w:rPr>
        <w:footnoteRef/>
      </w:r>
      <w:r w:rsidRPr="009429AE">
        <w:rPr>
          <w:rFonts w:ascii="Segoe UI" w:hAnsi="Segoe UI" w:cs="Segoe UI"/>
          <w:sz w:val="18"/>
          <w:szCs w:val="18"/>
        </w:rPr>
        <w:t xml:space="preserve"> </w:t>
      </w:r>
      <w:r w:rsidRPr="00065DC7">
        <w:rPr>
          <w:rFonts w:ascii="Segoe UI" w:hAnsi="Segoe UI" w:cs="Segoe UI"/>
          <w:sz w:val="18"/>
          <w:szCs w:val="18"/>
        </w:rPr>
        <w:t>Countries who have adopted such modern broad-based VAT regimes are New Zealand, Australia, Singapore, and South Africa.</w:t>
      </w:r>
    </w:p>
  </w:footnote>
  <w:footnote w:id="16">
    <w:p w14:paraId="3C8A1623" w14:textId="77777777" w:rsidR="00396A9A" w:rsidRPr="00566CDA" w:rsidRDefault="00396A9A" w:rsidP="00F77F6D">
      <w:pPr>
        <w:pStyle w:val="FootnoteText"/>
        <w:rPr>
          <w:sz w:val="17"/>
          <w:szCs w:val="17"/>
        </w:rPr>
      </w:pPr>
      <w:r w:rsidRPr="00065DC7">
        <w:rPr>
          <w:rStyle w:val="FootnoteReference"/>
          <w:rFonts w:ascii="Segoe UI" w:hAnsi="Segoe UI" w:cs="Segoe UI"/>
          <w:sz w:val="18"/>
          <w:szCs w:val="18"/>
        </w:rPr>
        <w:footnoteRef/>
      </w:r>
      <w:r w:rsidRPr="00065DC7">
        <w:rPr>
          <w:rFonts w:ascii="Segoe UI" w:hAnsi="Segoe UI" w:cs="Segoe UI"/>
          <w:sz w:val="18"/>
          <w:szCs w:val="18"/>
        </w:rPr>
        <w:t xml:space="preserve"> A better option to provide tax relief to the poor is to have a few exemptions that are well-targeted at consumption items that are predominantly consumed by poor households.</w:t>
      </w:r>
    </w:p>
  </w:footnote>
  <w:footnote w:id="17">
    <w:p w14:paraId="036728DA" w14:textId="240E487A" w:rsidR="00396A9A" w:rsidRPr="00BE0F40" w:rsidRDefault="00396A9A" w:rsidP="00BE0F40">
      <w:pPr>
        <w:pStyle w:val="ParagraphNumbering"/>
        <w:numPr>
          <w:ilvl w:val="0"/>
          <w:numId w:val="0"/>
        </w:numPr>
        <w:tabs>
          <w:tab w:val="left" w:pos="720"/>
        </w:tabs>
        <w:spacing w:after="120" w:line="240" w:lineRule="auto"/>
        <w:rPr>
          <w:sz w:val="18"/>
          <w:szCs w:val="18"/>
        </w:rPr>
      </w:pPr>
      <w:r w:rsidRPr="00791030">
        <w:rPr>
          <w:rStyle w:val="FootnoteReference"/>
          <w:rFonts w:ascii="Segoe UI" w:hAnsi="Segoe UI" w:cs="Segoe UI"/>
          <w:sz w:val="18"/>
          <w:szCs w:val="18"/>
        </w:rPr>
        <w:footnoteRef/>
      </w:r>
      <w:r w:rsidRPr="00791030">
        <w:rPr>
          <w:rFonts w:ascii="Segoe UI" w:hAnsi="Segoe UI" w:cs="Segoe UI"/>
          <w:sz w:val="18"/>
          <w:szCs w:val="18"/>
        </w:rPr>
        <w:t xml:space="preserve"> Some modern VATs address the difficulty of taxing financial services under a VAT by taxing all fee-based financial services and limit the exemption to margin fees. Examples of services thus captured include: currency exchange </w:t>
      </w:r>
      <w:r w:rsidRPr="00BE0F40">
        <w:rPr>
          <w:rFonts w:ascii="Segoe UI" w:hAnsi="Segoe UI" w:cs="Segoe UI"/>
          <w:sz w:val="18"/>
          <w:szCs w:val="18"/>
        </w:rPr>
        <w:t>transactions; transactions involving checks, letters of credit, debt, equity or participatory securities; and some credit transactions. In support of this approach a government may work with institutions in the financial sector to develop lists of taxable, exempt</w:t>
      </w:r>
      <w:r>
        <w:rPr>
          <w:rFonts w:ascii="Segoe UI" w:hAnsi="Segoe UI" w:cs="Segoe UI"/>
          <w:sz w:val="18"/>
          <w:szCs w:val="18"/>
        </w:rPr>
        <w:t>,</w:t>
      </w:r>
      <w:r w:rsidRPr="00BE0F40">
        <w:rPr>
          <w:rFonts w:ascii="Segoe UI" w:hAnsi="Segoe UI" w:cs="Segoe UI"/>
          <w:sz w:val="18"/>
          <w:szCs w:val="18"/>
        </w:rPr>
        <w:t xml:space="preserve"> and zero-rated services rendered by banks. This way a country may raise more VAT revenue from financial services than the traditional EU exemption approach, although it necessitates apportioning input tax credits. Hiving off fee-based financial services into a separate entity may ease the compliance burden in this respect. New Zealand, on the other hand, zero-rates financial services supplied to VAT-registered entities and exempts such services when supplied to consumers and non-registered entities. However, this approach is likely to be too complex for most tax administrations.  Similar problems arise with respect to insurance companies. Value added of insurance companies is defined as the difference between premiums collected and benefits and claims paid out. Most modern VATs tax insurance companies on their value added or net margin by imposing VAT on all premiums and allowing input tax credits for claims paid out, while exempting life insurance which embodies a considerable savings element. A number of African countries have adopted the New Zealand approach to taxing property and casualty insurance. For similar reasons, reinsurance does not have to be exempted. However, an exemption from the VAT might be made for health-related and life insurance.</w:t>
      </w:r>
    </w:p>
  </w:footnote>
  <w:footnote w:id="18">
    <w:p w14:paraId="2796D73D" w14:textId="77777777" w:rsidR="00396A9A" w:rsidRPr="009801E1" w:rsidRDefault="00396A9A" w:rsidP="009801E1">
      <w:pPr>
        <w:spacing w:after="120" w:line="240" w:lineRule="auto"/>
        <w:rPr>
          <w:rFonts w:ascii="Segoe UI" w:hAnsi="Segoe UI" w:cs="Segoe UI"/>
          <w:sz w:val="18"/>
          <w:szCs w:val="18"/>
        </w:rPr>
      </w:pPr>
      <w:r w:rsidRPr="009801E1">
        <w:rPr>
          <w:rStyle w:val="FootnoteReference"/>
          <w:rFonts w:ascii="Segoe UI" w:hAnsi="Segoe UI" w:cs="Segoe UI"/>
          <w:sz w:val="18"/>
          <w:szCs w:val="18"/>
        </w:rPr>
        <w:footnoteRef/>
      </w:r>
      <w:r w:rsidRPr="009801E1">
        <w:rPr>
          <w:rFonts w:ascii="Segoe UI" w:hAnsi="Segoe UI" w:cs="Segoe UI"/>
          <w:sz w:val="18"/>
          <w:szCs w:val="18"/>
        </w:rPr>
        <w:t xml:space="preserve"> NGO activities may include religious or philosophical institutions; organizations with aims of a political, trade-union, religious, patriotic, philosophical, philanthropic, or civic nature; and cultural services.</w:t>
      </w:r>
    </w:p>
  </w:footnote>
  <w:footnote w:id="19">
    <w:p w14:paraId="4CEC3121" w14:textId="50169F3D" w:rsidR="00333258" w:rsidRPr="00C403EB" w:rsidRDefault="00333258" w:rsidP="008A12AA">
      <w:pPr>
        <w:pStyle w:val="FootnoteText"/>
        <w:spacing w:after="120" w:line="264" w:lineRule="auto"/>
        <w:rPr>
          <w:rFonts w:ascii="Segoe UI" w:hAnsi="Segoe UI" w:cs="Segoe UI"/>
          <w:sz w:val="18"/>
          <w:szCs w:val="18"/>
        </w:rPr>
      </w:pPr>
      <w:r w:rsidRPr="00C403EB">
        <w:rPr>
          <w:rStyle w:val="FootnoteReference"/>
          <w:rFonts w:ascii="Segoe UI" w:hAnsi="Segoe UI" w:cs="Segoe UI"/>
          <w:sz w:val="18"/>
          <w:szCs w:val="18"/>
        </w:rPr>
        <w:footnoteRef/>
      </w:r>
      <w:r w:rsidRPr="004A1A46">
        <w:rPr>
          <w:rFonts w:ascii="Segoe UI" w:hAnsi="Segoe UI" w:cs="Segoe UI"/>
          <w:sz w:val="18"/>
          <w:szCs w:val="18"/>
        </w:rPr>
        <w:t xml:space="preserve"> Applicable excise duty rates are set out in annexes 1 and 2 to Title IV of the Tax Code and summarize</w:t>
      </w:r>
      <w:r w:rsidR="00300A23">
        <w:rPr>
          <w:rFonts w:ascii="Segoe UI" w:hAnsi="Segoe UI" w:cs="Segoe UI"/>
          <w:sz w:val="18"/>
          <w:szCs w:val="18"/>
        </w:rPr>
        <w:t>d</w:t>
      </w:r>
      <w:r w:rsidRPr="004A1A46">
        <w:rPr>
          <w:rFonts w:ascii="Segoe UI" w:hAnsi="Segoe UI" w:cs="Segoe UI"/>
          <w:sz w:val="18"/>
          <w:szCs w:val="18"/>
        </w:rPr>
        <w:t xml:space="preserve"> in Table </w:t>
      </w:r>
      <w:r w:rsidR="003D7EC0" w:rsidRPr="0009358D">
        <w:rPr>
          <w:rFonts w:ascii="Segoe UI" w:hAnsi="Segoe UI" w:cs="Segoe UI"/>
          <w:sz w:val="18"/>
          <w:szCs w:val="18"/>
          <w:highlight w:val="yellow"/>
        </w:rPr>
        <w:t>4</w:t>
      </w:r>
      <w:r w:rsidRPr="004A1A46">
        <w:rPr>
          <w:rFonts w:ascii="Segoe UI" w:hAnsi="Segoe UI" w:cs="Segoe UI"/>
          <w:sz w:val="18"/>
          <w:szCs w:val="18"/>
        </w:rPr>
        <w:t>.</w:t>
      </w:r>
    </w:p>
  </w:footnote>
  <w:footnote w:id="20">
    <w:p w14:paraId="1C2598D4" w14:textId="2D4A657F" w:rsidR="00333258" w:rsidRPr="00C403EB" w:rsidRDefault="00333258" w:rsidP="008A12AA">
      <w:pPr>
        <w:pStyle w:val="FootnoteText"/>
        <w:spacing w:after="120" w:line="264" w:lineRule="auto"/>
        <w:rPr>
          <w:rFonts w:ascii="Segoe UI" w:hAnsi="Segoe UI" w:cs="Segoe UI"/>
          <w:sz w:val="18"/>
          <w:szCs w:val="18"/>
        </w:rPr>
      </w:pPr>
      <w:r w:rsidRPr="00C403EB">
        <w:rPr>
          <w:rStyle w:val="FootnoteReference"/>
          <w:rFonts w:ascii="Segoe UI" w:hAnsi="Segoe UI" w:cs="Segoe UI"/>
          <w:sz w:val="18"/>
          <w:szCs w:val="18"/>
        </w:rPr>
        <w:footnoteRef/>
      </w:r>
      <w:r w:rsidRPr="00C403EB">
        <w:rPr>
          <w:rFonts w:ascii="Segoe UI" w:hAnsi="Segoe UI" w:cs="Segoe UI"/>
          <w:sz w:val="18"/>
          <w:szCs w:val="18"/>
        </w:rPr>
        <w:t xml:space="preserve"> Most of the electricity being consumed in Moldova is produced by coal, oil or gas-fired power plants. The non-taxation of the fossil fuels used to produce electricity is treated as </w:t>
      </w:r>
      <w:r w:rsidR="003B7462">
        <w:rPr>
          <w:rFonts w:ascii="Segoe UI" w:hAnsi="Segoe UI" w:cs="Segoe UI"/>
          <w:sz w:val="18"/>
          <w:szCs w:val="18"/>
        </w:rPr>
        <w:t>TE</w:t>
      </w:r>
      <w:r w:rsidRPr="00C403EB">
        <w:rPr>
          <w:rFonts w:ascii="Segoe UI" w:hAnsi="Segoe UI" w:cs="Segoe UI"/>
          <w:sz w:val="18"/>
          <w:szCs w:val="18"/>
        </w:rPr>
        <w:t xml:space="preserve"> (to the extent the plants are located in Moldova)</w:t>
      </w:r>
      <w:r w:rsidR="00A766ED">
        <w:rPr>
          <w:rFonts w:ascii="Segoe UI" w:hAnsi="Segoe UI" w:cs="Segoe UI"/>
          <w:sz w:val="18"/>
          <w:szCs w:val="18"/>
        </w:rPr>
        <w:t>. A</w:t>
      </w:r>
      <w:r w:rsidRPr="00C403EB">
        <w:rPr>
          <w:rFonts w:ascii="Segoe UI" w:hAnsi="Segoe UI" w:cs="Segoe UI"/>
          <w:sz w:val="18"/>
          <w:szCs w:val="18"/>
        </w:rPr>
        <w:t xml:space="preserve">s such, treating the non-taxation of electricity as a </w:t>
      </w:r>
      <w:r w:rsidR="003B7462">
        <w:rPr>
          <w:rFonts w:ascii="Segoe UI" w:hAnsi="Segoe UI" w:cs="Segoe UI"/>
          <w:sz w:val="18"/>
          <w:szCs w:val="18"/>
        </w:rPr>
        <w:t>TE</w:t>
      </w:r>
      <w:r w:rsidRPr="00C403EB">
        <w:rPr>
          <w:rFonts w:ascii="Segoe UI" w:hAnsi="Segoe UI" w:cs="Segoe UI"/>
          <w:sz w:val="18"/>
          <w:szCs w:val="18"/>
        </w:rPr>
        <w:t xml:space="preserve"> would</w:t>
      </w:r>
      <w:r w:rsidR="00E9478A">
        <w:rPr>
          <w:rFonts w:ascii="Segoe UI" w:hAnsi="Segoe UI" w:cs="Segoe UI"/>
          <w:sz w:val="18"/>
          <w:szCs w:val="18"/>
        </w:rPr>
        <w:t>, to some extent,</w:t>
      </w:r>
      <w:r w:rsidRPr="00C403EB">
        <w:rPr>
          <w:rFonts w:ascii="Segoe UI" w:hAnsi="Segoe UI" w:cs="Segoe UI"/>
          <w:sz w:val="18"/>
          <w:szCs w:val="18"/>
        </w:rPr>
        <w:t xml:space="preserve"> result in double-counting.</w:t>
      </w:r>
    </w:p>
  </w:footnote>
  <w:footnote w:id="21">
    <w:p w14:paraId="6964CEAF" w14:textId="77777777" w:rsidR="00333258" w:rsidRPr="00C403EB" w:rsidRDefault="00333258" w:rsidP="00333258">
      <w:pPr>
        <w:pStyle w:val="FootnoteText"/>
        <w:rPr>
          <w:rFonts w:ascii="Segoe UI" w:hAnsi="Segoe UI" w:cs="Segoe UI"/>
          <w:sz w:val="18"/>
          <w:szCs w:val="18"/>
        </w:rPr>
      </w:pPr>
      <w:r w:rsidRPr="00C403EB">
        <w:rPr>
          <w:rStyle w:val="FootnoteReference"/>
          <w:rFonts w:ascii="Segoe UI" w:hAnsi="Segoe UI" w:cs="Segoe UI"/>
          <w:sz w:val="18"/>
          <w:szCs w:val="18"/>
        </w:rPr>
        <w:footnoteRef/>
      </w:r>
      <w:r w:rsidRPr="00C403EB">
        <w:rPr>
          <w:rFonts w:ascii="Segoe UI" w:hAnsi="Segoe UI" w:cs="Segoe UI"/>
          <w:sz w:val="18"/>
          <w:szCs w:val="18"/>
        </w:rPr>
        <w:t xml:space="preserve"> Most of the specific excise duty exemptions can be found in article 124 of the Tax Code and Title VI of the new Customs Code (law 95/2021).</w:t>
      </w:r>
    </w:p>
  </w:footnote>
  <w:footnote w:id="22">
    <w:p w14:paraId="5B5A0F53" w14:textId="77777777" w:rsidR="00333258" w:rsidRPr="00C403EB" w:rsidRDefault="00333258" w:rsidP="00333258">
      <w:pPr>
        <w:pStyle w:val="FootnoteText"/>
        <w:spacing w:after="120"/>
        <w:rPr>
          <w:rFonts w:ascii="Segoe UI" w:hAnsi="Segoe UI" w:cs="Segoe UI"/>
          <w:sz w:val="18"/>
          <w:szCs w:val="18"/>
        </w:rPr>
      </w:pPr>
      <w:r w:rsidRPr="00C403EB">
        <w:rPr>
          <w:rStyle w:val="FootnoteReference"/>
          <w:rFonts w:ascii="Segoe UI" w:hAnsi="Segoe UI" w:cs="Segoe UI"/>
          <w:sz w:val="18"/>
          <w:szCs w:val="18"/>
        </w:rPr>
        <w:footnoteRef/>
      </w:r>
      <w:r w:rsidRPr="00C403EB">
        <w:rPr>
          <w:rFonts w:ascii="Segoe UI" w:hAnsi="Segoe UI" w:cs="Segoe UI"/>
          <w:sz w:val="18"/>
          <w:szCs w:val="18"/>
        </w:rPr>
        <w:t xml:space="preserve"> Tax Code, article 125.</w:t>
      </w:r>
    </w:p>
  </w:footnote>
  <w:footnote w:id="23">
    <w:p w14:paraId="290AD7BE" w14:textId="77777777" w:rsidR="00333258" w:rsidRPr="00C403EB" w:rsidRDefault="00333258" w:rsidP="00333258">
      <w:pPr>
        <w:pStyle w:val="FootnoteText"/>
        <w:spacing w:after="120"/>
        <w:rPr>
          <w:rFonts w:ascii="Segoe UI" w:hAnsi="Segoe UI" w:cs="Segoe UI"/>
          <w:sz w:val="18"/>
          <w:szCs w:val="18"/>
        </w:rPr>
      </w:pPr>
      <w:r w:rsidRPr="00C403EB">
        <w:rPr>
          <w:rStyle w:val="FootnoteReference"/>
          <w:rFonts w:ascii="Segoe UI" w:hAnsi="Segoe UI" w:cs="Segoe UI"/>
          <w:sz w:val="18"/>
          <w:szCs w:val="18"/>
        </w:rPr>
        <w:footnoteRef/>
      </w:r>
      <w:r w:rsidRPr="00C403EB">
        <w:rPr>
          <w:rFonts w:ascii="Segoe UI" w:hAnsi="Segoe UI" w:cs="Segoe UI"/>
          <w:sz w:val="18"/>
          <w:szCs w:val="18"/>
        </w:rPr>
        <w:t xml:space="preserve"> Excisable goods imported in the rest of Moldova from a free economic zone are subject to excise duties (unless otherwise exempt pursuant to a specific exemption).</w:t>
      </w:r>
    </w:p>
  </w:footnote>
  <w:footnote w:id="24">
    <w:p w14:paraId="20035FC7" w14:textId="77777777" w:rsidR="00333258" w:rsidRPr="004A1A46" w:rsidRDefault="00333258" w:rsidP="00333258">
      <w:pPr>
        <w:pStyle w:val="FootnoteText"/>
        <w:rPr>
          <w:rFonts w:ascii="Segoe UI" w:hAnsi="Segoe UI" w:cs="Segoe UI"/>
          <w:sz w:val="18"/>
          <w:szCs w:val="18"/>
        </w:rPr>
      </w:pPr>
      <w:r w:rsidRPr="004A1A46">
        <w:rPr>
          <w:rStyle w:val="FootnoteReference"/>
          <w:rFonts w:ascii="Segoe UI" w:hAnsi="Segoe UI" w:cs="Segoe UI"/>
          <w:sz w:val="18"/>
          <w:szCs w:val="18"/>
        </w:rPr>
        <w:footnoteRef/>
      </w:r>
      <w:r w:rsidRPr="004A1A46">
        <w:rPr>
          <w:rFonts w:ascii="Segoe UI" w:hAnsi="Segoe UI" w:cs="Segoe UI"/>
          <w:sz w:val="18"/>
          <w:szCs w:val="18"/>
        </w:rPr>
        <w:t xml:space="preserve"> See chapters 2 and 3 of Title IX of the Tax Code. Fees imposed under other chapters of Title IX are not considered taxes for the present purpose and thus are not covered in this report.</w:t>
      </w:r>
    </w:p>
  </w:footnote>
  <w:footnote w:id="25">
    <w:p w14:paraId="30D03750" w14:textId="0299351F" w:rsidR="001F5117" w:rsidRPr="001F5117" w:rsidRDefault="001F5117" w:rsidP="00676FFA">
      <w:pPr>
        <w:pStyle w:val="FootnoteText"/>
        <w:spacing w:after="120"/>
        <w:rPr>
          <w:rFonts w:ascii="Segoe UI" w:hAnsi="Segoe UI" w:cs="Segoe UI"/>
          <w:sz w:val="18"/>
          <w:szCs w:val="18"/>
        </w:rPr>
      </w:pPr>
      <w:r w:rsidRPr="001F5117">
        <w:rPr>
          <w:rStyle w:val="FootnoteReference"/>
          <w:rFonts w:ascii="Segoe UI" w:hAnsi="Segoe UI" w:cs="Segoe UI"/>
          <w:sz w:val="18"/>
          <w:szCs w:val="18"/>
        </w:rPr>
        <w:footnoteRef/>
      </w:r>
      <w:r w:rsidRPr="001F5117">
        <w:rPr>
          <w:rFonts w:ascii="Segoe UI" w:hAnsi="Segoe UI" w:cs="Segoe UI"/>
          <w:sz w:val="18"/>
          <w:szCs w:val="18"/>
        </w:rPr>
        <w:t xml:space="preserve"> </w:t>
      </w:r>
      <w:r>
        <w:rPr>
          <w:rFonts w:ascii="Segoe UI" w:hAnsi="Segoe UI" w:cs="Segoe UI"/>
          <w:sz w:val="18"/>
          <w:szCs w:val="18"/>
        </w:rPr>
        <w:t>N</w:t>
      </w:r>
      <w:r w:rsidRPr="001F5117">
        <w:rPr>
          <w:rFonts w:ascii="Segoe UI" w:hAnsi="Segoe UI" w:cs="Segoe UI"/>
          <w:sz w:val="18"/>
          <w:szCs w:val="18"/>
        </w:rPr>
        <w:t xml:space="preserve">ew free trade agreements </w:t>
      </w:r>
      <w:r>
        <w:rPr>
          <w:rFonts w:ascii="Segoe UI" w:hAnsi="Segoe UI" w:cs="Segoe UI"/>
          <w:sz w:val="18"/>
          <w:szCs w:val="18"/>
        </w:rPr>
        <w:t xml:space="preserve">are </w:t>
      </w:r>
      <w:r w:rsidRPr="001F5117">
        <w:rPr>
          <w:rFonts w:ascii="Segoe UI" w:hAnsi="Segoe UI" w:cs="Segoe UI"/>
          <w:sz w:val="18"/>
          <w:szCs w:val="18"/>
        </w:rPr>
        <w:t>currently under negotiation with the European Free Trade Association and China</w:t>
      </w:r>
      <w:r>
        <w:rPr>
          <w:rFonts w:ascii="Segoe UI" w:hAnsi="Segoe UI" w:cs="Segoe UI"/>
          <w:sz w:val="18"/>
          <w:szCs w:val="18"/>
        </w:rPr>
        <w:t>.</w:t>
      </w:r>
    </w:p>
  </w:footnote>
  <w:footnote w:id="26">
    <w:p w14:paraId="3C7E2145" w14:textId="1C3E60C6" w:rsidR="00333258" w:rsidRPr="004A1A46" w:rsidRDefault="00333258" w:rsidP="005D0144">
      <w:pPr>
        <w:pStyle w:val="FootnoteText"/>
        <w:spacing w:after="120" w:line="240" w:lineRule="auto"/>
        <w:rPr>
          <w:rFonts w:ascii="Segoe UI" w:hAnsi="Segoe UI" w:cs="Segoe UI"/>
          <w:sz w:val="18"/>
          <w:szCs w:val="18"/>
        </w:rPr>
      </w:pPr>
      <w:r w:rsidRPr="004A1A46">
        <w:rPr>
          <w:rStyle w:val="FootnoteReference"/>
          <w:rFonts w:ascii="Segoe UI" w:hAnsi="Segoe UI" w:cs="Segoe UI"/>
          <w:sz w:val="18"/>
          <w:szCs w:val="18"/>
        </w:rPr>
        <w:footnoteRef/>
      </w:r>
      <w:r w:rsidRPr="004A1A46">
        <w:rPr>
          <w:rFonts w:ascii="Segoe UI" w:hAnsi="Segoe UI" w:cs="Segoe UI"/>
          <w:sz w:val="18"/>
          <w:szCs w:val="18"/>
        </w:rPr>
        <w:t xml:space="preserve"> Law no 172/25.07.2014. Moldova does not levy </w:t>
      </w:r>
      <w:r w:rsidR="008517B6">
        <w:rPr>
          <w:rFonts w:ascii="Segoe UI" w:hAnsi="Segoe UI" w:cs="Segoe UI"/>
          <w:sz w:val="18"/>
          <w:szCs w:val="18"/>
        </w:rPr>
        <w:t>import</w:t>
      </w:r>
      <w:r w:rsidR="008517B6" w:rsidRPr="004A1A46">
        <w:rPr>
          <w:rFonts w:ascii="Segoe UI" w:hAnsi="Segoe UI" w:cs="Segoe UI"/>
          <w:sz w:val="18"/>
          <w:szCs w:val="18"/>
        </w:rPr>
        <w:t xml:space="preserve"> </w:t>
      </w:r>
      <w:r w:rsidRPr="004A1A46">
        <w:rPr>
          <w:rFonts w:ascii="Segoe UI" w:hAnsi="Segoe UI" w:cs="Segoe UI"/>
          <w:sz w:val="18"/>
          <w:szCs w:val="18"/>
        </w:rPr>
        <w:t>duties on exports.</w:t>
      </w:r>
    </w:p>
  </w:footnote>
  <w:footnote w:id="27">
    <w:p w14:paraId="4DCF34F3" w14:textId="77777777" w:rsidR="00333258" w:rsidRPr="004A1A46" w:rsidRDefault="00333258" w:rsidP="005D0144">
      <w:pPr>
        <w:pStyle w:val="FootnoteText"/>
        <w:spacing w:after="120" w:line="240" w:lineRule="auto"/>
        <w:rPr>
          <w:rFonts w:ascii="Segoe UI" w:hAnsi="Segoe UI" w:cs="Segoe UI"/>
          <w:sz w:val="18"/>
          <w:szCs w:val="18"/>
        </w:rPr>
      </w:pPr>
      <w:r w:rsidRPr="004A1A46">
        <w:rPr>
          <w:rStyle w:val="FootnoteReference"/>
          <w:rFonts w:ascii="Segoe UI" w:hAnsi="Segoe UI" w:cs="Segoe UI"/>
          <w:sz w:val="18"/>
          <w:szCs w:val="18"/>
        </w:rPr>
        <w:footnoteRef/>
      </w:r>
      <w:r w:rsidRPr="004A1A46">
        <w:rPr>
          <w:rFonts w:ascii="Segoe UI" w:hAnsi="Segoe UI" w:cs="Segoe UI"/>
          <w:sz w:val="18"/>
          <w:szCs w:val="18"/>
        </w:rPr>
        <w:t xml:space="preserve"> For a more in-depth analysis of Moldova’s import tariff structure, see World Trade Organization, 2022 Trade Policy Review of Moldova (WTO document WT/TPR/S/428), at pages 39-42.</w:t>
      </w:r>
    </w:p>
  </w:footnote>
  <w:footnote w:id="28">
    <w:p w14:paraId="212F22CC" w14:textId="77777777" w:rsidR="00333258" w:rsidRPr="004A1A46" w:rsidRDefault="00333258" w:rsidP="005D0144">
      <w:pPr>
        <w:pStyle w:val="FootnoteText"/>
        <w:spacing w:after="120" w:line="240" w:lineRule="auto"/>
        <w:rPr>
          <w:rFonts w:ascii="Segoe UI" w:hAnsi="Segoe UI" w:cs="Segoe UI"/>
          <w:sz w:val="18"/>
          <w:szCs w:val="18"/>
        </w:rPr>
      </w:pPr>
      <w:r w:rsidRPr="004A1A46">
        <w:rPr>
          <w:rStyle w:val="FootnoteReference"/>
          <w:rFonts w:ascii="Segoe UI" w:hAnsi="Segoe UI" w:cs="Segoe UI"/>
          <w:sz w:val="18"/>
          <w:szCs w:val="18"/>
        </w:rPr>
        <w:footnoteRef/>
      </w:r>
      <w:r w:rsidRPr="004A1A46">
        <w:rPr>
          <w:rFonts w:ascii="Segoe UI" w:hAnsi="Segoe UI" w:cs="Segoe UI"/>
          <w:sz w:val="18"/>
          <w:szCs w:val="18"/>
        </w:rPr>
        <w:t xml:space="preserve"> See chapters 2 and 3 of Title VI of the new Customs Code, in particular article 277</w:t>
      </w:r>
      <w:r w:rsidRPr="004A1A46">
        <w:rPr>
          <w:rFonts w:ascii="Segoe UI" w:hAnsi="Segoe UI" w:cs="Segoe UI"/>
          <w:sz w:val="18"/>
          <w:szCs w:val="18"/>
          <w:vertAlign w:val="superscript"/>
        </w:rPr>
        <w:t>27</w:t>
      </w:r>
      <w:r w:rsidRPr="004A1A46">
        <w:rPr>
          <w:rFonts w:ascii="Segoe UI" w:hAnsi="Segoe UI" w:cs="Segoe UI"/>
          <w:sz w:val="18"/>
          <w:szCs w:val="18"/>
        </w:rPr>
        <w:t>.</w:t>
      </w:r>
    </w:p>
  </w:footnote>
  <w:footnote w:id="29">
    <w:p w14:paraId="12670ABD" w14:textId="77777777" w:rsidR="00C36E68" w:rsidRDefault="00C36E68" w:rsidP="005D0144">
      <w:pPr>
        <w:pStyle w:val="FootnoteText"/>
        <w:spacing w:after="120" w:line="240" w:lineRule="auto"/>
      </w:pPr>
      <w:r>
        <w:rPr>
          <w:rStyle w:val="FootnoteReference"/>
        </w:rPr>
        <w:footnoteRef/>
      </w:r>
      <w:r>
        <w:t xml:space="preserve"> </w:t>
      </w:r>
      <w:r w:rsidRPr="000F03AB">
        <w:rPr>
          <w:rFonts w:ascii="Segoe UI" w:hAnsi="Segoe UI" w:cs="Segoe UI"/>
          <w:sz w:val="18"/>
          <w:szCs w:val="16"/>
        </w:rPr>
        <w:t xml:space="preserve">It </w:t>
      </w:r>
      <w:r w:rsidRPr="000F03AB">
        <w:rPr>
          <w:rFonts w:ascii="Segoe UI" w:hAnsi="Segoe UI" w:cs="Segoe UI"/>
          <w:sz w:val="18"/>
          <w:szCs w:val="18"/>
        </w:rPr>
        <w:t>utilizes methods and techniques that rely on market transactions for the valuation of a property.</w:t>
      </w:r>
    </w:p>
  </w:footnote>
  <w:footnote w:id="30">
    <w:p w14:paraId="0E33F537" w14:textId="77777777" w:rsidR="00C36E68" w:rsidRPr="000F03AB" w:rsidRDefault="00C36E68" w:rsidP="00801CD9">
      <w:pPr>
        <w:spacing w:after="120"/>
        <w:rPr>
          <w:rFonts w:ascii="Segoe UI" w:hAnsi="Segoe UI" w:cs="Segoe UI"/>
          <w:sz w:val="18"/>
          <w:szCs w:val="18"/>
        </w:rPr>
      </w:pPr>
      <w:r w:rsidRPr="00801CD9">
        <w:rPr>
          <w:rStyle w:val="FootnoteReference"/>
          <w:rFonts w:ascii="Segoe UI" w:hAnsi="Segoe UI" w:cs="Segoe UI"/>
          <w:sz w:val="18"/>
          <w:szCs w:val="18"/>
        </w:rPr>
        <w:footnoteRef/>
      </w:r>
      <w:r w:rsidRPr="00801CD9">
        <w:rPr>
          <w:rFonts w:ascii="Segoe UI" w:hAnsi="Segoe UI" w:cs="Segoe UI"/>
          <w:sz w:val="18"/>
          <w:szCs w:val="18"/>
        </w:rPr>
        <w:t xml:space="preserve"> </w:t>
      </w:r>
      <w:r w:rsidRPr="000F03AB">
        <w:rPr>
          <w:rFonts w:ascii="Segoe UI" w:hAnsi="Segoe UI" w:cs="Segoe UI"/>
          <w:sz w:val="18"/>
          <w:szCs w:val="18"/>
          <w:lang w:val="en-ZA"/>
        </w:rPr>
        <w:t xml:space="preserve">McCluskey, W., Franzsen, R. and Bahl, R. </w:t>
      </w:r>
      <w:r w:rsidRPr="000F03AB">
        <w:rPr>
          <w:rFonts w:ascii="Segoe UI" w:hAnsi="Segoe UI" w:cs="Segoe UI"/>
          <w:sz w:val="18"/>
          <w:szCs w:val="18"/>
        </w:rPr>
        <w:t xml:space="preserve">2017. </w:t>
      </w:r>
      <w:r w:rsidRPr="000F03AB">
        <w:rPr>
          <w:rFonts w:ascii="Segoe UI" w:hAnsi="Segoe UI" w:cs="Segoe UI"/>
          <w:i/>
          <w:sz w:val="18"/>
          <w:szCs w:val="18"/>
        </w:rPr>
        <w:t>Property Tax in Africa – Status, Challenges and Prospects</w:t>
      </w:r>
      <w:r w:rsidRPr="000F03AB">
        <w:rPr>
          <w:rFonts w:ascii="Segoe UI" w:hAnsi="Segoe UI" w:cs="Segoe UI"/>
          <w:sz w:val="18"/>
          <w:szCs w:val="18"/>
        </w:rPr>
        <w:t>. Lincoln Institute of Land Policy: Cambridge, Massachusetts</w:t>
      </w:r>
      <w:r>
        <w:rPr>
          <w:rFonts w:ascii="Segoe UI" w:hAnsi="Segoe UI" w:cs="Segoe UI"/>
          <w:sz w:val="18"/>
          <w:szCs w:val="18"/>
        </w:rPr>
        <w:t>.</w:t>
      </w:r>
    </w:p>
    <w:p w14:paraId="7A52E99D" w14:textId="77777777" w:rsidR="00C36E68" w:rsidRDefault="00C36E68" w:rsidP="00C36E68">
      <w:pPr>
        <w:pStyle w:val="FootnoteText"/>
      </w:pPr>
    </w:p>
  </w:footnote>
  <w:footnote w:id="31">
    <w:p w14:paraId="59D9136F" w14:textId="77777777" w:rsidR="00C36E68" w:rsidRDefault="00C36E68" w:rsidP="00C36E68">
      <w:pPr>
        <w:pStyle w:val="FootnoteText"/>
        <w:spacing w:after="0"/>
      </w:pPr>
      <w:r>
        <w:rPr>
          <w:rStyle w:val="FootnoteReference"/>
        </w:rPr>
        <w:footnoteRef/>
      </w:r>
      <w:r>
        <w:t xml:space="preserve"> </w:t>
      </w:r>
      <w:r w:rsidRPr="000F03AB">
        <w:rPr>
          <w:rFonts w:ascii="Segoe UI" w:hAnsi="Segoe UI" w:cs="Segoe UI"/>
          <w:sz w:val="18"/>
          <w:szCs w:val="18"/>
        </w:rPr>
        <w:t xml:space="preserve">Art. 277, Title VI, Chapter 2 of </w:t>
      </w:r>
      <w:r w:rsidRPr="000F03AB">
        <w:rPr>
          <w:rFonts w:ascii="Segoe UI" w:hAnsi="Segoe UI" w:cs="Segoe UI"/>
          <w:color w:val="3264C9"/>
          <w:sz w:val="18"/>
          <w:szCs w:val="18"/>
        </w:rPr>
        <w:t>TC</w:t>
      </w:r>
      <w:r w:rsidRPr="000F03AB">
        <w:rPr>
          <w:rFonts w:ascii="Segoe UI" w:hAnsi="Segoe UI" w:cs="Segoe UI"/>
          <w:sz w:val="18"/>
          <w:szCs w:val="18"/>
        </w:rPr>
        <w:t>.</w:t>
      </w:r>
    </w:p>
  </w:footnote>
  <w:footnote w:id="32">
    <w:p w14:paraId="77CB7CA3" w14:textId="77777777" w:rsidR="00C36E68" w:rsidRDefault="00C36E68" w:rsidP="00C36E68">
      <w:pPr>
        <w:pStyle w:val="FootnoteText"/>
        <w:spacing w:after="0"/>
      </w:pPr>
      <w:r>
        <w:rPr>
          <w:rStyle w:val="FootnoteReference"/>
        </w:rPr>
        <w:footnoteRef/>
      </w:r>
      <w:r>
        <w:t xml:space="preserve"> </w:t>
      </w:r>
      <w:r w:rsidRPr="00A3597A">
        <w:rPr>
          <w:rFonts w:ascii="Segoe UI" w:hAnsi="Segoe UI" w:cs="Segoe UI"/>
          <w:sz w:val="18"/>
          <w:szCs w:val="18"/>
        </w:rPr>
        <w:t xml:space="preserve">Buzu, O., 2016. “Property Assessment and Taxation in the Republic of Moldova”, </w:t>
      </w:r>
      <w:r w:rsidRPr="00A3597A">
        <w:rPr>
          <w:rFonts w:ascii="Segoe UI" w:hAnsi="Segoe UI" w:cs="Segoe UI"/>
          <w:i/>
          <w:sz w:val="18"/>
          <w:szCs w:val="18"/>
        </w:rPr>
        <w:t>Land Tenure Journal</w:t>
      </w:r>
      <w:r w:rsidRPr="00A3597A">
        <w:rPr>
          <w:rFonts w:ascii="Segoe UI" w:hAnsi="Segoe UI" w:cs="Segoe UI"/>
          <w:sz w:val="18"/>
          <w:szCs w:val="18"/>
        </w:rPr>
        <w:t>, 2-15, February 2016, Food and Agricultural Organization of the UN and World Bank Group,</w:t>
      </w:r>
    </w:p>
  </w:footnote>
  <w:footnote w:id="33">
    <w:p w14:paraId="61BE71A1" w14:textId="79BF406A" w:rsidR="00396A9A" w:rsidRPr="00C95FA5" w:rsidRDefault="00396A9A" w:rsidP="00C95FA5">
      <w:pPr>
        <w:spacing w:after="120" w:line="240" w:lineRule="auto"/>
        <w:rPr>
          <w:rFonts w:ascii="Segoe UI" w:hAnsi="Segoe UI" w:cs="Segoe UI"/>
          <w:sz w:val="18"/>
          <w:szCs w:val="18"/>
          <w:lang w:val="en"/>
        </w:rPr>
      </w:pPr>
      <w:r w:rsidRPr="00C95FA5">
        <w:rPr>
          <w:rFonts w:ascii="Segoe UI" w:hAnsi="Segoe UI" w:cs="Segoe UI"/>
          <w:sz w:val="18"/>
          <w:szCs w:val="18"/>
          <w:vertAlign w:val="superscript"/>
        </w:rPr>
        <w:footnoteRef/>
      </w:r>
      <w:r w:rsidRPr="00C95FA5">
        <w:rPr>
          <w:rFonts w:ascii="Segoe UI" w:hAnsi="Segoe UI" w:cs="Segoe UI"/>
          <w:sz w:val="18"/>
          <w:szCs w:val="18"/>
        </w:rPr>
        <w:t xml:space="preserve"> Since the supply matrix is diagonal — i.e.</w:t>
      </w:r>
      <w:r>
        <w:rPr>
          <w:rFonts w:ascii="Segoe UI" w:hAnsi="Segoe UI" w:cs="Segoe UI"/>
          <w:sz w:val="18"/>
          <w:szCs w:val="18"/>
        </w:rPr>
        <w:t>,</w:t>
      </w:r>
      <w:r w:rsidRPr="00C95FA5">
        <w:rPr>
          <w:rFonts w:ascii="Segoe UI" w:hAnsi="Segoe UI" w:cs="Segoe UI"/>
          <w:sz w:val="18"/>
          <w:szCs w:val="18"/>
        </w:rPr>
        <w:t xml:space="preserve"> each industry produces only one commodity — this is equivalent to copying the shares of each commodity that is exempt and transposing it into activity space. </w:t>
      </w:r>
    </w:p>
  </w:footnote>
  <w:footnote w:id="34">
    <w:p w14:paraId="621A1423" w14:textId="5C888419" w:rsidR="00396A9A" w:rsidRPr="00C95FA5" w:rsidRDefault="00396A9A" w:rsidP="00C95FA5">
      <w:pPr>
        <w:spacing w:after="120" w:line="240" w:lineRule="auto"/>
        <w:rPr>
          <w:rFonts w:ascii="Segoe UI" w:hAnsi="Segoe UI" w:cs="Segoe UI"/>
          <w:sz w:val="18"/>
          <w:szCs w:val="18"/>
        </w:rPr>
      </w:pPr>
      <w:r w:rsidRPr="00C95FA5">
        <w:rPr>
          <w:rFonts w:ascii="Segoe UI" w:hAnsi="Segoe UI" w:cs="Segoe UI"/>
          <w:sz w:val="18"/>
          <w:szCs w:val="18"/>
          <w:vertAlign w:val="superscript"/>
        </w:rPr>
        <w:footnoteRef/>
      </w:r>
      <w:r w:rsidRPr="00C95FA5">
        <w:rPr>
          <w:rFonts w:ascii="Segoe UI" w:hAnsi="Segoe UI" w:cs="Segoe UI"/>
          <w:sz w:val="18"/>
          <w:szCs w:val="18"/>
        </w:rPr>
        <w:t xml:space="preserve"> It may seem counterintuitive to use the commodity’s taxable share rather than the exempt share, but it is the taxable share because it is on taxable intermediate inputs that tax is paid when producing an exempt commodity. There are no tax revenues from exempt or zero-rated intermediate inputs used in the production of exempt commodities as no direct tax is paid and so the deductibility of input tax credits is irrelevant. This is an example of interaction effects in VAT </w:t>
      </w:r>
      <w:r w:rsidR="003B7462">
        <w:rPr>
          <w:rFonts w:ascii="Segoe UI" w:hAnsi="Segoe UI" w:cs="Segoe UI"/>
          <w:sz w:val="18"/>
          <w:szCs w:val="18"/>
        </w:rPr>
        <w:t>TE</w:t>
      </w:r>
      <w:r w:rsidRPr="00C95FA5">
        <w:rPr>
          <w:rFonts w:ascii="Segoe UI" w:hAnsi="Segoe UI" w:cs="Segoe UI"/>
          <w:sz w:val="18"/>
          <w:szCs w:val="18"/>
        </w:rPr>
        <w:t>s. When more intermediate inputs into an exempt commodity are made exempt, less tax revenue is recovered through unrecoverable embedded VAT and the closer that commodity becomes to being effectively zero-rated.</w:t>
      </w:r>
    </w:p>
  </w:footnote>
  <w:footnote w:id="35">
    <w:p w14:paraId="79ADF00F" w14:textId="77777777" w:rsidR="001B1F90" w:rsidRPr="00A73261" w:rsidRDefault="001B1F90" w:rsidP="006606AD">
      <w:pPr>
        <w:pStyle w:val="Bodytext10"/>
        <w:spacing w:after="120" w:line="264" w:lineRule="auto"/>
        <w:ind w:firstLine="0"/>
        <w:rPr>
          <w:rFonts w:ascii="Segoe UI" w:hAnsi="Segoe UI" w:cs="Segoe UI"/>
          <w:sz w:val="18"/>
          <w:szCs w:val="18"/>
        </w:rPr>
      </w:pPr>
      <w:r w:rsidRPr="00A73261">
        <w:rPr>
          <w:rStyle w:val="FootnoteReference"/>
          <w:rFonts w:ascii="Segoe UI" w:hAnsi="Segoe UI" w:cs="Segoe UI"/>
          <w:sz w:val="18"/>
          <w:szCs w:val="18"/>
        </w:rPr>
        <w:footnoteRef/>
      </w:r>
      <w:r w:rsidRPr="00A73261">
        <w:rPr>
          <w:rFonts w:ascii="Segoe UI" w:hAnsi="Segoe UI" w:cs="Segoe UI"/>
          <w:sz w:val="18"/>
          <w:szCs w:val="18"/>
        </w:rPr>
        <w:t xml:space="preserve"> </w:t>
      </w:r>
      <w:r w:rsidRPr="00A73261">
        <w:rPr>
          <w:rStyle w:val="Bodytext1"/>
          <w:rFonts w:ascii="Segoe UI" w:hAnsi="Segoe UI" w:cs="Segoe UI"/>
          <w:sz w:val="18"/>
          <w:szCs w:val="18"/>
          <w:lang w:val="en"/>
        </w:rPr>
        <w:t xml:space="preserve">As to the administration of RET and land tax, it is carried out in line with the provisions of Title VI of the Tax Code; the Law for the implementation of Title VI of the Tax Code No. 1056/2000; and the Government Decree on Administrative Operations of Local Tax Administrations No. 998/2003. </w:t>
      </w:r>
    </w:p>
  </w:footnote>
  <w:footnote w:id="36">
    <w:p w14:paraId="34726685" w14:textId="7BC0C677" w:rsidR="001B1F90" w:rsidRPr="00B16CD2" w:rsidRDefault="001B1F90" w:rsidP="00C41AA9">
      <w:pPr>
        <w:pStyle w:val="Bodytext10"/>
        <w:spacing w:after="120" w:line="264" w:lineRule="auto"/>
        <w:ind w:firstLine="0"/>
        <w:rPr>
          <w:rFonts w:ascii="Segoe UI" w:hAnsi="Segoe UI" w:cs="Segoe UI"/>
          <w:sz w:val="18"/>
          <w:szCs w:val="18"/>
        </w:rPr>
      </w:pPr>
      <w:r w:rsidRPr="00A73261">
        <w:rPr>
          <w:rStyle w:val="FootnoteReference"/>
          <w:rFonts w:ascii="Segoe UI" w:hAnsi="Segoe UI" w:cs="Segoe UI"/>
          <w:sz w:val="18"/>
          <w:szCs w:val="18"/>
        </w:rPr>
        <w:footnoteRef/>
      </w:r>
      <w:r w:rsidRPr="00A73261">
        <w:rPr>
          <w:rFonts w:ascii="Segoe UI" w:hAnsi="Segoe UI" w:cs="Segoe UI"/>
          <w:sz w:val="18"/>
          <w:szCs w:val="18"/>
        </w:rPr>
        <w:t xml:space="preserve"> RET</w:t>
      </w:r>
      <w:r w:rsidRPr="00A73261">
        <w:rPr>
          <w:rStyle w:val="Bodytext1"/>
          <w:rFonts w:ascii="Segoe UI" w:hAnsi="Segoe UI" w:cs="Segoe UI"/>
          <w:sz w:val="18"/>
          <w:szCs w:val="18"/>
          <w:lang w:val="en" w:eastAsia="ro-RO" w:bidi="ro-RO"/>
        </w:rPr>
        <w:t xml:space="preserve"> liability records for Cadaster registered and appraised immovable properties are organized through the software program SIA” Tax Cadastre 2.0”, and for non–assessed property units through the software program SIA "LTTCS 2.0".</w:t>
      </w:r>
    </w:p>
  </w:footnote>
  <w:footnote w:id="37">
    <w:p w14:paraId="16F1209F" w14:textId="3E9DA3F3" w:rsidR="00F7324F" w:rsidRDefault="00F7324F">
      <w:pPr>
        <w:pStyle w:val="FootnoteText"/>
      </w:pPr>
      <w:r>
        <w:rPr>
          <w:rStyle w:val="FootnoteReference"/>
        </w:rPr>
        <w:footnoteRef/>
      </w:r>
      <w:r w:rsidRPr="00F7324F">
        <w:rPr>
          <w:rFonts w:ascii="Segoe UI" w:hAnsi="Segoe UI" w:cs="Segoe UI"/>
          <w:sz w:val="18"/>
          <w:szCs w:val="18"/>
        </w:rPr>
        <w:t xml:space="preserve"> </w:t>
      </w:r>
      <w:r>
        <w:rPr>
          <w:rFonts w:ascii="Segoe UI" w:hAnsi="Segoe UI" w:cs="Segoe UI"/>
          <w:sz w:val="18"/>
          <w:szCs w:val="18"/>
        </w:rPr>
        <w:t xml:space="preserve">i.e. the </w:t>
      </w:r>
      <w:r w:rsidRPr="00F7324F">
        <w:rPr>
          <w:rFonts w:ascii="Segoe UI" w:hAnsi="Segoe UI" w:cs="Segoe UI"/>
          <w:sz w:val="18"/>
          <w:szCs w:val="18"/>
        </w:rPr>
        <w:t>right of ownership over the constructed building or plantation located on another person's land and right of use over that 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4192" w14:textId="77777777" w:rsidR="00396A9A" w:rsidRDefault="00396A9A"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AFD4" w14:textId="77777777" w:rsidR="00396A9A" w:rsidRDefault="00396A9A"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4BC98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D4FD8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AB65A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391875"/>
    <w:multiLevelType w:val="hybridMultilevel"/>
    <w:tmpl w:val="EFC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097A73"/>
    <w:multiLevelType w:val="hybridMultilevel"/>
    <w:tmpl w:val="BB680A4A"/>
    <w:lvl w:ilvl="0" w:tplc="97FE8506">
      <w:start w:val="2022"/>
      <w:numFmt w:val="bullet"/>
      <w:lvlText w:val="-"/>
      <w:lvlJc w:val="left"/>
      <w:pPr>
        <w:ind w:left="720" w:hanging="360"/>
      </w:pPr>
      <w:rPr>
        <w:rFonts w:ascii="Segoe UI" w:eastAsiaTheme="minorHAns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EA642F"/>
    <w:multiLevelType w:val="hybridMultilevel"/>
    <w:tmpl w:val="3696A1AE"/>
    <w:lvl w:ilvl="0" w:tplc="5E94C1A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F7C29"/>
    <w:multiLevelType w:val="hybridMultilevel"/>
    <w:tmpl w:val="FFFFFFFF"/>
    <w:lvl w:ilvl="0" w:tplc="58B230BC">
      <w:start w:val="1"/>
      <w:numFmt w:val="bullet"/>
      <w:lvlText w:val=""/>
      <w:lvlJc w:val="left"/>
      <w:pPr>
        <w:ind w:left="720" w:hanging="360"/>
      </w:pPr>
      <w:rPr>
        <w:rFonts w:ascii="Symbol" w:hAnsi="Symbol" w:hint="default"/>
      </w:rPr>
    </w:lvl>
    <w:lvl w:ilvl="1" w:tplc="2196E584">
      <w:start w:val="1"/>
      <w:numFmt w:val="bullet"/>
      <w:lvlText w:val="o"/>
      <w:lvlJc w:val="left"/>
      <w:pPr>
        <w:ind w:left="1440" w:hanging="360"/>
      </w:pPr>
      <w:rPr>
        <w:rFonts w:ascii="Courier New" w:hAnsi="Courier New" w:hint="default"/>
      </w:rPr>
    </w:lvl>
    <w:lvl w:ilvl="2" w:tplc="7EF0247E">
      <w:start w:val="1"/>
      <w:numFmt w:val="bullet"/>
      <w:lvlText w:val=""/>
      <w:lvlJc w:val="left"/>
      <w:pPr>
        <w:ind w:left="2160" w:hanging="360"/>
      </w:pPr>
      <w:rPr>
        <w:rFonts w:ascii="Wingdings" w:hAnsi="Wingdings" w:hint="default"/>
      </w:rPr>
    </w:lvl>
    <w:lvl w:ilvl="3" w:tplc="45263096">
      <w:start w:val="1"/>
      <w:numFmt w:val="bullet"/>
      <w:lvlText w:val=""/>
      <w:lvlJc w:val="left"/>
      <w:pPr>
        <w:ind w:left="2880" w:hanging="360"/>
      </w:pPr>
      <w:rPr>
        <w:rFonts w:ascii="Symbol" w:hAnsi="Symbol" w:hint="default"/>
      </w:rPr>
    </w:lvl>
    <w:lvl w:ilvl="4" w:tplc="3E8CDEE0">
      <w:start w:val="1"/>
      <w:numFmt w:val="bullet"/>
      <w:lvlText w:val="o"/>
      <w:lvlJc w:val="left"/>
      <w:pPr>
        <w:ind w:left="3600" w:hanging="360"/>
      </w:pPr>
      <w:rPr>
        <w:rFonts w:ascii="Courier New" w:hAnsi="Courier New" w:hint="default"/>
      </w:rPr>
    </w:lvl>
    <w:lvl w:ilvl="5" w:tplc="EA0C608E">
      <w:start w:val="1"/>
      <w:numFmt w:val="bullet"/>
      <w:lvlText w:val=""/>
      <w:lvlJc w:val="left"/>
      <w:pPr>
        <w:ind w:left="4320" w:hanging="360"/>
      </w:pPr>
      <w:rPr>
        <w:rFonts w:ascii="Wingdings" w:hAnsi="Wingdings" w:hint="default"/>
      </w:rPr>
    </w:lvl>
    <w:lvl w:ilvl="6" w:tplc="9130819C">
      <w:start w:val="1"/>
      <w:numFmt w:val="bullet"/>
      <w:lvlText w:val=""/>
      <w:lvlJc w:val="left"/>
      <w:pPr>
        <w:ind w:left="5040" w:hanging="360"/>
      </w:pPr>
      <w:rPr>
        <w:rFonts w:ascii="Symbol" w:hAnsi="Symbol" w:hint="default"/>
      </w:rPr>
    </w:lvl>
    <w:lvl w:ilvl="7" w:tplc="B8AA001C">
      <w:start w:val="1"/>
      <w:numFmt w:val="bullet"/>
      <w:lvlText w:val="o"/>
      <w:lvlJc w:val="left"/>
      <w:pPr>
        <w:ind w:left="5760" w:hanging="360"/>
      </w:pPr>
      <w:rPr>
        <w:rFonts w:ascii="Courier New" w:hAnsi="Courier New" w:hint="default"/>
      </w:rPr>
    </w:lvl>
    <w:lvl w:ilvl="8" w:tplc="81AAF800">
      <w:start w:val="1"/>
      <w:numFmt w:val="bullet"/>
      <w:lvlText w:val=""/>
      <w:lvlJc w:val="left"/>
      <w:pPr>
        <w:ind w:left="6480" w:hanging="360"/>
      </w:pPr>
      <w:rPr>
        <w:rFonts w:ascii="Wingdings" w:hAnsi="Wingdings" w:hint="default"/>
      </w:rPr>
    </w:lvl>
  </w:abstractNum>
  <w:abstractNum w:abstractNumId="12"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482E97"/>
    <w:multiLevelType w:val="multilevel"/>
    <w:tmpl w:val="1C0078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1BFF3C5E"/>
    <w:multiLevelType w:val="hybridMultilevel"/>
    <w:tmpl w:val="4CBC2D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89117B"/>
    <w:multiLevelType w:val="hybridMultilevel"/>
    <w:tmpl w:val="F0C0B662"/>
    <w:lvl w:ilvl="0" w:tplc="25F45E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7" w15:restartNumberingAfterBreak="0">
    <w:nsid w:val="280508C6"/>
    <w:multiLevelType w:val="hybridMultilevel"/>
    <w:tmpl w:val="B2EEE054"/>
    <w:lvl w:ilvl="0" w:tplc="A3A6A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D6BF5"/>
    <w:multiLevelType w:val="hybridMultilevel"/>
    <w:tmpl w:val="90C2C728"/>
    <w:lvl w:ilvl="0" w:tplc="BFF838AE">
      <w:start w:val="1"/>
      <w:numFmt w:val="bullet"/>
      <w:pStyle w:val="BoxBullet"/>
      <w:lvlText w:val=""/>
      <w:lvlJc w:val="left"/>
      <w:pPr>
        <w:ind w:left="720" w:hanging="360"/>
      </w:pPr>
      <w:rPr>
        <w:rFonts w:ascii="Symbol" w:hAnsi="Symbol" w:hint="default"/>
        <w:color w:val="B57E00" w:themeColor="accent2" w:themeShade="BF"/>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A1607F"/>
    <w:multiLevelType w:val="hybridMultilevel"/>
    <w:tmpl w:val="E0F82306"/>
    <w:lvl w:ilvl="0" w:tplc="618CD150">
      <w:start w:val="1"/>
      <w:numFmt w:val="bullet"/>
      <w:lvlText w:val=""/>
      <w:lvlJc w:val="left"/>
      <w:pPr>
        <w:ind w:left="720" w:hanging="360"/>
      </w:pPr>
      <w:rPr>
        <w:rFonts w:ascii="Symbol" w:hAnsi="Symbol" w:hint="default"/>
        <w:color w:val="004C97"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15708"/>
    <w:multiLevelType w:val="hybridMultilevel"/>
    <w:tmpl w:val="38BE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26C5B"/>
    <w:multiLevelType w:val="hybridMultilevel"/>
    <w:tmpl w:val="5592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61E07"/>
    <w:multiLevelType w:val="hybridMultilevel"/>
    <w:tmpl w:val="4EF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4659"/>
    <w:multiLevelType w:val="hybridMultilevel"/>
    <w:tmpl w:val="21983F2C"/>
    <w:lvl w:ilvl="0" w:tplc="2F227164">
      <w:start w:val="9"/>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52275"/>
    <w:multiLevelType w:val="hybridMultilevel"/>
    <w:tmpl w:val="40F2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A3D53"/>
    <w:multiLevelType w:val="hybridMultilevel"/>
    <w:tmpl w:val="AF3C1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8C42FD"/>
    <w:multiLevelType w:val="multilevel"/>
    <w:tmpl w:val="84788A78"/>
    <w:lvl w:ilvl="0">
      <w:start w:val="1"/>
      <w:numFmt w:val="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2C80428"/>
    <w:multiLevelType w:val="multilevel"/>
    <w:tmpl w:val="3F7C0928"/>
    <w:lvl w:ilvl="0">
      <w:start w:val="1"/>
      <w:numFmt w:val="bullet"/>
      <w:lvlText w:val=""/>
      <w:lvlJc w:val="left"/>
      <w:pPr>
        <w:ind w:left="216" w:hanging="216"/>
      </w:pPr>
      <w:rPr>
        <w:rFonts w:ascii="Symbol" w:hAnsi="Symbol" w:hint="default"/>
        <w:color w:val="auto"/>
        <w:sz w:val="20"/>
        <w:u w:color="6FB7FF" w:themeColor="text2" w:themeTint="66"/>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DC3805"/>
    <w:multiLevelType w:val="hybridMultilevel"/>
    <w:tmpl w:val="CB9CBD70"/>
    <w:lvl w:ilvl="0" w:tplc="761ED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80194"/>
    <w:multiLevelType w:val="hybridMultilevel"/>
    <w:tmpl w:val="73A8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A7077"/>
    <w:multiLevelType w:val="hybridMultilevel"/>
    <w:tmpl w:val="8A2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7670A"/>
    <w:multiLevelType w:val="hybridMultilevel"/>
    <w:tmpl w:val="621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D0840"/>
    <w:multiLevelType w:val="hybridMultilevel"/>
    <w:tmpl w:val="BF4655BE"/>
    <w:lvl w:ilvl="0" w:tplc="4CDC0088">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44F0C"/>
    <w:multiLevelType w:val="hybridMultilevel"/>
    <w:tmpl w:val="09F2F3F8"/>
    <w:lvl w:ilvl="0" w:tplc="CE4240E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01268"/>
    <w:multiLevelType w:val="hybridMultilevel"/>
    <w:tmpl w:val="9CC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048FF"/>
    <w:multiLevelType w:val="hybridMultilevel"/>
    <w:tmpl w:val="B2C82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276B2A"/>
    <w:multiLevelType w:val="hybridMultilevel"/>
    <w:tmpl w:val="74FA170A"/>
    <w:lvl w:ilvl="0" w:tplc="0D6A1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2"/>
  </w:num>
  <w:num w:numId="7">
    <w:abstractNumId w:val="16"/>
  </w:num>
  <w:num w:numId="8">
    <w:abstractNumId w:val="26"/>
  </w:num>
  <w:num w:numId="9">
    <w:abstractNumId w:val="14"/>
  </w:num>
  <w:num w:numId="10">
    <w:abstractNumId w:val="9"/>
  </w:num>
  <w:num w:numId="11">
    <w:abstractNumId w:val="17"/>
  </w:num>
  <w:num w:numId="12">
    <w:abstractNumId w:val="10"/>
  </w:num>
  <w:num w:numId="13">
    <w:abstractNumId w:val="19"/>
  </w:num>
  <w:num w:numId="14">
    <w:abstractNumId w:val="28"/>
  </w:num>
  <w:num w:numId="15">
    <w:abstractNumId w:val="3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1"/>
  </w:num>
  <w:num w:numId="19">
    <w:abstractNumId w:val="20"/>
  </w:num>
  <w:num w:numId="20">
    <w:abstractNumId w:val="30"/>
  </w:num>
  <w:num w:numId="21">
    <w:abstractNumId w:val="21"/>
  </w:num>
  <w:num w:numId="22">
    <w:abstractNumId w:val="34"/>
  </w:num>
  <w:num w:numId="23">
    <w:abstractNumId w:val="8"/>
  </w:num>
  <w:num w:numId="24">
    <w:abstractNumId w:val="24"/>
  </w:num>
  <w:num w:numId="25">
    <w:abstractNumId w:val="25"/>
  </w:num>
  <w:num w:numId="26">
    <w:abstractNumId w:val="3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23"/>
  </w:num>
  <w:num w:numId="31">
    <w:abstractNumId w:val="12"/>
  </w:num>
  <w:num w:numId="32">
    <w:abstractNumId w:val="12"/>
  </w:num>
  <w:num w:numId="33">
    <w:abstractNumId w:val="29"/>
  </w:num>
  <w:num w:numId="34">
    <w:abstractNumId w:val="27"/>
  </w:num>
  <w:num w:numId="35">
    <w:abstractNumId w:val="0"/>
  </w:num>
  <w:num w:numId="36">
    <w:abstractNumId w:val="1"/>
  </w:num>
  <w:num w:numId="37">
    <w:abstractNumId w:val="22"/>
  </w:num>
  <w:num w:numId="38">
    <w:abstractNumId w:val="7"/>
  </w:num>
  <w:num w:numId="39">
    <w:abstractNumId w:val="18"/>
  </w:num>
  <w:num w:numId="40">
    <w:abstractNumId w:val="26"/>
  </w:num>
  <w:num w:numId="41">
    <w:abstractNumId w:val="18"/>
  </w:num>
  <w:num w:numId="42">
    <w:abstractNumId w:val="26"/>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6D"/>
    <w:rsid w:val="000000E8"/>
    <w:rsid w:val="00000E84"/>
    <w:rsid w:val="00001605"/>
    <w:rsid w:val="00001D02"/>
    <w:rsid w:val="00001DC4"/>
    <w:rsid w:val="00002F93"/>
    <w:rsid w:val="0000393D"/>
    <w:rsid w:val="00005AB4"/>
    <w:rsid w:val="000063E4"/>
    <w:rsid w:val="00006743"/>
    <w:rsid w:val="000077C8"/>
    <w:rsid w:val="00010394"/>
    <w:rsid w:val="00010896"/>
    <w:rsid w:val="00010A97"/>
    <w:rsid w:val="00010D33"/>
    <w:rsid w:val="000110B8"/>
    <w:rsid w:val="000111B0"/>
    <w:rsid w:val="000113A4"/>
    <w:rsid w:val="00011442"/>
    <w:rsid w:val="0001148D"/>
    <w:rsid w:val="00012DF5"/>
    <w:rsid w:val="00012F15"/>
    <w:rsid w:val="00013359"/>
    <w:rsid w:val="00014E20"/>
    <w:rsid w:val="00015589"/>
    <w:rsid w:val="00015AB3"/>
    <w:rsid w:val="00015B4F"/>
    <w:rsid w:val="00016E55"/>
    <w:rsid w:val="000177D4"/>
    <w:rsid w:val="000178F6"/>
    <w:rsid w:val="00020734"/>
    <w:rsid w:val="000207F4"/>
    <w:rsid w:val="00020B3B"/>
    <w:rsid w:val="00021AEC"/>
    <w:rsid w:val="00022420"/>
    <w:rsid w:val="000226B0"/>
    <w:rsid w:val="00022A0A"/>
    <w:rsid w:val="00022B4D"/>
    <w:rsid w:val="00022B9C"/>
    <w:rsid w:val="00022D6F"/>
    <w:rsid w:val="00023372"/>
    <w:rsid w:val="0002461D"/>
    <w:rsid w:val="000246C6"/>
    <w:rsid w:val="00024ADB"/>
    <w:rsid w:val="00024BCB"/>
    <w:rsid w:val="00024C3B"/>
    <w:rsid w:val="00025044"/>
    <w:rsid w:val="00025587"/>
    <w:rsid w:val="000264E9"/>
    <w:rsid w:val="00026573"/>
    <w:rsid w:val="000266C2"/>
    <w:rsid w:val="00027271"/>
    <w:rsid w:val="000277CC"/>
    <w:rsid w:val="00030059"/>
    <w:rsid w:val="00030108"/>
    <w:rsid w:val="0003012A"/>
    <w:rsid w:val="00030853"/>
    <w:rsid w:val="00030AB5"/>
    <w:rsid w:val="00030CFC"/>
    <w:rsid w:val="0003188D"/>
    <w:rsid w:val="00031A4A"/>
    <w:rsid w:val="00031CAA"/>
    <w:rsid w:val="00031EE1"/>
    <w:rsid w:val="00032927"/>
    <w:rsid w:val="00032EFA"/>
    <w:rsid w:val="00033167"/>
    <w:rsid w:val="0003385C"/>
    <w:rsid w:val="000338E8"/>
    <w:rsid w:val="00033B58"/>
    <w:rsid w:val="00033B5A"/>
    <w:rsid w:val="00034065"/>
    <w:rsid w:val="000340B7"/>
    <w:rsid w:val="00034B07"/>
    <w:rsid w:val="00034CD5"/>
    <w:rsid w:val="000351A5"/>
    <w:rsid w:val="00036039"/>
    <w:rsid w:val="00036319"/>
    <w:rsid w:val="00036B7B"/>
    <w:rsid w:val="000377C4"/>
    <w:rsid w:val="00037EE3"/>
    <w:rsid w:val="00040154"/>
    <w:rsid w:val="000403C8"/>
    <w:rsid w:val="00040D0B"/>
    <w:rsid w:val="000410BB"/>
    <w:rsid w:val="000411BA"/>
    <w:rsid w:val="00042782"/>
    <w:rsid w:val="00042A97"/>
    <w:rsid w:val="00042F6D"/>
    <w:rsid w:val="00043173"/>
    <w:rsid w:val="00043394"/>
    <w:rsid w:val="00044420"/>
    <w:rsid w:val="00044CE5"/>
    <w:rsid w:val="0004505B"/>
    <w:rsid w:val="0004545B"/>
    <w:rsid w:val="00045983"/>
    <w:rsid w:val="000459E2"/>
    <w:rsid w:val="000463B0"/>
    <w:rsid w:val="00046C87"/>
    <w:rsid w:val="00050C34"/>
    <w:rsid w:val="0005129F"/>
    <w:rsid w:val="000519A1"/>
    <w:rsid w:val="00052134"/>
    <w:rsid w:val="000529D9"/>
    <w:rsid w:val="00054586"/>
    <w:rsid w:val="000546D2"/>
    <w:rsid w:val="000551FF"/>
    <w:rsid w:val="0005529F"/>
    <w:rsid w:val="0005595F"/>
    <w:rsid w:val="00055B05"/>
    <w:rsid w:val="000563DB"/>
    <w:rsid w:val="0005666A"/>
    <w:rsid w:val="00056C45"/>
    <w:rsid w:val="000572AB"/>
    <w:rsid w:val="000574A5"/>
    <w:rsid w:val="00057DF1"/>
    <w:rsid w:val="00057F9D"/>
    <w:rsid w:val="000601DA"/>
    <w:rsid w:val="00061186"/>
    <w:rsid w:val="00063B4B"/>
    <w:rsid w:val="00064076"/>
    <w:rsid w:val="000641DC"/>
    <w:rsid w:val="0006448B"/>
    <w:rsid w:val="00064629"/>
    <w:rsid w:val="00064DC8"/>
    <w:rsid w:val="00066F6B"/>
    <w:rsid w:val="00067611"/>
    <w:rsid w:val="00070253"/>
    <w:rsid w:val="00070381"/>
    <w:rsid w:val="00070765"/>
    <w:rsid w:val="00071B29"/>
    <w:rsid w:val="000721D1"/>
    <w:rsid w:val="00072652"/>
    <w:rsid w:val="00072C6F"/>
    <w:rsid w:val="00073215"/>
    <w:rsid w:val="00073E0F"/>
    <w:rsid w:val="00073FE7"/>
    <w:rsid w:val="00074257"/>
    <w:rsid w:val="0007457E"/>
    <w:rsid w:val="000746BB"/>
    <w:rsid w:val="00074A89"/>
    <w:rsid w:val="000762A3"/>
    <w:rsid w:val="000767C1"/>
    <w:rsid w:val="00077326"/>
    <w:rsid w:val="00077B73"/>
    <w:rsid w:val="000809F4"/>
    <w:rsid w:val="00080B44"/>
    <w:rsid w:val="000816DC"/>
    <w:rsid w:val="00081A0C"/>
    <w:rsid w:val="00081C6C"/>
    <w:rsid w:val="00081D61"/>
    <w:rsid w:val="00083E94"/>
    <w:rsid w:val="00084274"/>
    <w:rsid w:val="00084C0E"/>
    <w:rsid w:val="00084D46"/>
    <w:rsid w:val="00084DD5"/>
    <w:rsid w:val="000857EB"/>
    <w:rsid w:val="00085A0A"/>
    <w:rsid w:val="00086AE8"/>
    <w:rsid w:val="00086D2B"/>
    <w:rsid w:val="00086DC5"/>
    <w:rsid w:val="000870C4"/>
    <w:rsid w:val="00090C17"/>
    <w:rsid w:val="0009176F"/>
    <w:rsid w:val="00093027"/>
    <w:rsid w:val="000930D6"/>
    <w:rsid w:val="0009358D"/>
    <w:rsid w:val="000938FC"/>
    <w:rsid w:val="00094CCC"/>
    <w:rsid w:val="000953F7"/>
    <w:rsid w:val="000956A7"/>
    <w:rsid w:val="000974BC"/>
    <w:rsid w:val="00097C9C"/>
    <w:rsid w:val="00097E71"/>
    <w:rsid w:val="000A0DF7"/>
    <w:rsid w:val="000A10AB"/>
    <w:rsid w:val="000A18CF"/>
    <w:rsid w:val="000A1AEE"/>
    <w:rsid w:val="000A2324"/>
    <w:rsid w:val="000A26E7"/>
    <w:rsid w:val="000A278B"/>
    <w:rsid w:val="000A31FD"/>
    <w:rsid w:val="000A3822"/>
    <w:rsid w:val="000A3BA3"/>
    <w:rsid w:val="000A420C"/>
    <w:rsid w:val="000A47C1"/>
    <w:rsid w:val="000A497E"/>
    <w:rsid w:val="000A4F79"/>
    <w:rsid w:val="000A65AE"/>
    <w:rsid w:val="000A7355"/>
    <w:rsid w:val="000A7B4B"/>
    <w:rsid w:val="000A7D6E"/>
    <w:rsid w:val="000A7DB8"/>
    <w:rsid w:val="000B0616"/>
    <w:rsid w:val="000B0A4F"/>
    <w:rsid w:val="000B1384"/>
    <w:rsid w:val="000B1B47"/>
    <w:rsid w:val="000B2954"/>
    <w:rsid w:val="000B2DBB"/>
    <w:rsid w:val="000B323C"/>
    <w:rsid w:val="000B327E"/>
    <w:rsid w:val="000B3FEB"/>
    <w:rsid w:val="000B4D11"/>
    <w:rsid w:val="000B5D36"/>
    <w:rsid w:val="000B624E"/>
    <w:rsid w:val="000B65D3"/>
    <w:rsid w:val="000B67A5"/>
    <w:rsid w:val="000B6AD7"/>
    <w:rsid w:val="000B6AEE"/>
    <w:rsid w:val="000B7010"/>
    <w:rsid w:val="000B771E"/>
    <w:rsid w:val="000B79AC"/>
    <w:rsid w:val="000C00AF"/>
    <w:rsid w:val="000C0737"/>
    <w:rsid w:val="000C2A7B"/>
    <w:rsid w:val="000C2B1D"/>
    <w:rsid w:val="000C39FD"/>
    <w:rsid w:val="000C550F"/>
    <w:rsid w:val="000C6C3D"/>
    <w:rsid w:val="000C708E"/>
    <w:rsid w:val="000D1478"/>
    <w:rsid w:val="000D1D07"/>
    <w:rsid w:val="000D2EC1"/>
    <w:rsid w:val="000D2F33"/>
    <w:rsid w:val="000D3DA6"/>
    <w:rsid w:val="000D63B2"/>
    <w:rsid w:val="000D6F98"/>
    <w:rsid w:val="000D72B5"/>
    <w:rsid w:val="000D76BF"/>
    <w:rsid w:val="000E0857"/>
    <w:rsid w:val="000E1912"/>
    <w:rsid w:val="000E1C00"/>
    <w:rsid w:val="000E2452"/>
    <w:rsid w:val="000E2C11"/>
    <w:rsid w:val="000E3464"/>
    <w:rsid w:val="000E3DA4"/>
    <w:rsid w:val="000E4575"/>
    <w:rsid w:val="000E4659"/>
    <w:rsid w:val="000E469F"/>
    <w:rsid w:val="000E4DF1"/>
    <w:rsid w:val="000E59EB"/>
    <w:rsid w:val="000E6244"/>
    <w:rsid w:val="000E6D0B"/>
    <w:rsid w:val="000E731D"/>
    <w:rsid w:val="000E78B4"/>
    <w:rsid w:val="000E7FA4"/>
    <w:rsid w:val="000F0693"/>
    <w:rsid w:val="000F0C95"/>
    <w:rsid w:val="000F1FA1"/>
    <w:rsid w:val="000F2241"/>
    <w:rsid w:val="000F2CA8"/>
    <w:rsid w:val="000F2DF0"/>
    <w:rsid w:val="000F2DF4"/>
    <w:rsid w:val="000F34B2"/>
    <w:rsid w:val="000F379A"/>
    <w:rsid w:val="000F3DA7"/>
    <w:rsid w:val="000F4F88"/>
    <w:rsid w:val="000F5251"/>
    <w:rsid w:val="000F52E4"/>
    <w:rsid w:val="000F56C8"/>
    <w:rsid w:val="000F5C76"/>
    <w:rsid w:val="000F5C7F"/>
    <w:rsid w:val="000F64EB"/>
    <w:rsid w:val="000F6D61"/>
    <w:rsid w:val="000F7191"/>
    <w:rsid w:val="000F7A1D"/>
    <w:rsid w:val="000F7C1B"/>
    <w:rsid w:val="000F7EB2"/>
    <w:rsid w:val="000F7FB4"/>
    <w:rsid w:val="00100D1B"/>
    <w:rsid w:val="00101514"/>
    <w:rsid w:val="001017FD"/>
    <w:rsid w:val="00101CBE"/>
    <w:rsid w:val="00101F37"/>
    <w:rsid w:val="0010217E"/>
    <w:rsid w:val="001039BA"/>
    <w:rsid w:val="00103EF3"/>
    <w:rsid w:val="001046CD"/>
    <w:rsid w:val="00104D49"/>
    <w:rsid w:val="00105178"/>
    <w:rsid w:val="00105588"/>
    <w:rsid w:val="001056A4"/>
    <w:rsid w:val="00106440"/>
    <w:rsid w:val="00106A55"/>
    <w:rsid w:val="00106CC5"/>
    <w:rsid w:val="001070B0"/>
    <w:rsid w:val="0010713B"/>
    <w:rsid w:val="00107213"/>
    <w:rsid w:val="0010787A"/>
    <w:rsid w:val="00107DD2"/>
    <w:rsid w:val="0011005F"/>
    <w:rsid w:val="0011044D"/>
    <w:rsid w:val="00110666"/>
    <w:rsid w:val="001108C4"/>
    <w:rsid w:val="00110920"/>
    <w:rsid w:val="00110E3A"/>
    <w:rsid w:val="00111A25"/>
    <w:rsid w:val="00111AEE"/>
    <w:rsid w:val="0011356A"/>
    <w:rsid w:val="00113703"/>
    <w:rsid w:val="001137DC"/>
    <w:rsid w:val="00113A1C"/>
    <w:rsid w:val="00113DB9"/>
    <w:rsid w:val="00114F9E"/>
    <w:rsid w:val="00115168"/>
    <w:rsid w:val="001151C3"/>
    <w:rsid w:val="001155ED"/>
    <w:rsid w:val="0011585C"/>
    <w:rsid w:val="00116877"/>
    <w:rsid w:val="00116D1D"/>
    <w:rsid w:val="00121280"/>
    <w:rsid w:val="00121BFA"/>
    <w:rsid w:val="001233E3"/>
    <w:rsid w:val="00123D4E"/>
    <w:rsid w:val="00123FEE"/>
    <w:rsid w:val="001242CB"/>
    <w:rsid w:val="00124561"/>
    <w:rsid w:val="00124800"/>
    <w:rsid w:val="00124A6A"/>
    <w:rsid w:val="00125CDB"/>
    <w:rsid w:val="00127B3A"/>
    <w:rsid w:val="00127BE3"/>
    <w:rsid w:val="00127FDE"/>
    <w:rsid w:val="00130701"/>
    <w:rsid w:val="001307B6"/>
    <w:rsid w:val="0013142A"/>
    <w:rsid w:val="00131712"/>
    <w:rsid w:val="00131ECB"/>
    <w:rsid w:val="001337C9"/>
    <w:rsid w:val="00133C26"/>
    <w:rsid w:val="00133D36"/>
    <w:rsid w:val="00134140"/>
    <w:rsid w:val="001341D1"/>
    <w:rsid w:val="00134C08"/>
    <w:rsid w:val="00135149"/>
    <w:rsid w:val="00135232"/>
    <w:rsid w:val="001353E9"/>
    <w:rsid w:val="00135E90"/>
    <w:rsid w:val="00136C8F"/>
    <w:rsid w:val="00140461"/>
    <w:rsid w:val="00140C3E"/>
    <w:rsid w:val="001413B7"/>
    <w:rsid w:val="00141492"/>
    <w:rsid w:val="00141E76"/>
    <w:rsid w:val="001425E5"/>
    <w:rsid w:val="0014260F"/>
    <w:rsid w:val="00142A5E"/>
    <w:rsid w:val="00142CE1"/>
    <w:rsid w:val="00142CE9"/>
    <w:rsid w:val="00142F11"/>
    <w:rsid w:val="00143319"/>
    <w:rsid w:val="0014369C"/>
    <w:rsid w:val="00143801"/>
    <w:rsid w:val="00143B57"/>
    <w:rsid w:val="001440BA"/>
    <w:rsid w:val="00144323"/>
    <w:rsid w:val="0014475B"/>
    <w:rsid w:val="00144A7B"/>
    <w:rsid w:val="001451A4"/>
    <w:rsid w:val="0014608A"/>
    <w:rsid w:val="00146133"/>
    <w:rsid w:val="001474C6"/>
    <w:rsid w:val="00147A02"/>
    <w:rsid w:val="001505AC"/>
    <w:rsid w:val="00150CA2"/>
    <w:rsid w:val="00151051"/>
    <w:rsid w:val="001512C1"/>
    <w:rsid w:val="001513BB"/>
    <w:rsid w:val="00151600"/>
    <w:rsid w:val="001530FE"/>
    <w:rsid w:val="0015341B"/>
    <w:rsid w:val="0015379A"/>
    <w:rsid w:val="00153F16"/>
    <w:rsid w:val="00154130"/>
    <w:rsid w:val="00155CEE"/>
    <w:rsid w:val="00156AA4"/>
    <w:rsid w:val="00160807"/>
    <w:rsid w:val="00161737"/>
    <w:rsid w:val="0016189A"/>
    <w:rsid w:val="00163013"/>
    <w:rsid w:val="00163626"/>
    <w:rsid w:val="00163829"/>
    <w:rsid w:val="00163A28"/>
    <w:rsid w:val="00165E97"/>
    <w:rsid w:val="001660FA"/>
    <w:rsid w:val="001664EE"/>
    <w:rsid w:val="001702E3"/>
    <w:rsid w:val="00170414"/>
    <w:rsid w:val="001708A8"/>
    <w:rsid w:val="00170E01"/>
    <w:rsid w:val="0017138E"/>
    <w:rsid w:val="001719CA"/>
    <w:rsid w:val="00171B2D"/>
    <w:rsid w:val="00172462"/>
    <w:rsid w:val="00172A25"/>
    <w:rsid w:val="00172A34"/>
    <w:rsid w:val="00172F03"/>
    <w:rsid w:val="0017305C"/>
    <w:rsid w:val="00173A9B"/>
    <w:rsid w:val="00173C82"/>
    <w:rsid w:val="001746C3"/>
    <w:rsid w:val="00175643"/>
    <w:rsid w:val="001761FA"/>
    <w:rsid w:val="00177428"/>
    <w:rsid w:val="00177D96"/>
    <w:rsid w:val="00180026"/>
    <w:rsid w:val="00180069"/>
    <w:rsid w:val="00181FA4"/>
    <w:rsid w:val="00182E78"/>
    <w:rsid w:val="00183392"/>
    <w:rsid w:val="001834F0"/>
    <w:rsid w:val="00183646"/>
    <w:rsid w:val="001841A1"/>
    <w:rsid w:val="001849C5"/>
    <w:rsid w:val="00184D05"/>
    <w:rsid w:val="00184E02"/>
    <w:rsid w:val="00184ED3"/>
    <w:rsid w:val="00185884"/>
    <w:rsid w:val="00185F2A"/>
    <w:rsid w:val="001867C9"/>
    <w:rsid w:val="0018721F"/>
    <w:rsid w:val="00187C54"/>
    <w:rsid w:val="001902B2"/>
    <w:rsid w:val="00190352"/>
    <w:rsid w:val="001907CF"/>
    <w:rsid w:val="00192802"/>
    <w:rsid w:val="00193488"/>
    <w:rsid w:val="00193DD6"/>
    <w:rsid w:val="0019468C"/>
    <w:rsid w:val="00194A6C"/>
    <w:rsid w:val="00194CE9"/>
    <w:rsid w:val="00194F55"/>
    <w:rsid w:val="0019525F"/>
    <w:rsid w:val="001957A9"/>
    <w:rsid w:val="00195FF6"/>
    <w:rsid w:val="0019601E"/>
    <w:rsid w:val="00196210"/>
    <w:rsid w:val="00196D97"/>
    <w:rsid w:val="001971E3"/>
    <w:rsid w:val="001971FB"/>
    <w:rsid w:val="001972E2"/>
    <w:rsid w:val="001973CB"/>
    <w:rsid w:val="00197762"/>
    <w:rsid w:val="001977DF"/>
    <w:rsid w:val="001977E6"/>
    <w:rsid w:val="00197C0F"/>
    <w:rsid w:val="00197F11"/>
    <w:rsid w:val="001A18BE"/>
    <w:rsid w:val="001A1FA3"/>
    <w:rsid w:val="001A4419"/>
    <w:rsid w:val="001A4528"/>
    <w:rsid w:val="001A49C9"/>
    <w:rsid w:val="001A5172"/>
    <w:rsid w:val="001A5D10"/>
    <w:rsid w:val="001A6397"/>
    <w:rsid w:val="001A6680"/>
    <w:rsid w:val="001A66E8"/>
    <w:rsid w:val="001A6997"/>
    <w:rsid w:val="001A6A09"/>
    <w:rsid w:val="001A6DA4"/>
    <w:rsid w:val="001A6FD3"/>
    <w:rsid w:val="001A77EF"/>
    <w:rsid w:val="001B0D00"/>
    <w:rsid w:val="001B0F55"/>
    <w:rsid w:val="001B12F8"/>
    <w:rsid w:val="001B1642"/>
    <w:rsid w:val="001B19F9"/>
    <w:rsid w:val="001B1F90"/>
    <w:rsid w:val="001B2C90"/>
    <w:rsid w:val="001B3193"/>
    <w:rsid w:val="001B398A"/>
    <w:rsid w:val="001B3A2B"/>
    <w:rsid w:val="001B4300"/>
    <w:rsid w:val="001B4A6C"/>
    <w:rsid w:val="001B5EC4"/>
    <w:rsid w:val="001B6741"/>
    <w:rsid w:val="001B749E"/>
    <w:rsid w:val="001C045C"/>
    <w:rsid w:val="001C139F"/>
    <w:rsid w:val="001C1850"/>
    <w:rsid w:val="001C1AFE"/>
    <w:rsid w:val="001C1F87"/>
    <w:rsid w:val="001C1FB9"/>
    <w:rsid w:val="001C25F2"/>
    <w:rsid w:val="001C27C2"/>
    <w:rsid w:val="001C35B3"/>
    <w:rsid w:val="001C4A8E"/>
    <w:rsid w:val="001C4D1B"/>
    <w:rsid w:val="001C50F8"/>
    <w:rsid w:val="001C556B"/>
    <w:rsid w:val="001C5875"/>
    <w:rsid w:val="001C6663"/>
    <w:rsid w:val="001C72C9"/>
    <w:rsid w:val="001C76E6"/>
    <w:rsid w:val="001D081E"/>
    <w:rsid w:val="001D1058"/>
    <w:rsid w:val="001D2062"/>
    <w:rsid w:val="001D20E0"/>
    <w:rsid w:val="001D25BF"/>
    <w:rsid w:val="001D2B14"/>
    <w:rsid w:val="001D3CBA"/>
    <w:rsid w:val="001D4420"/>
    <w:rsid w:val="001D487E"/>
    <w:rsid w:val="001D5220"/>
    <w:rsid w:val="001D6C26"/>
    <w:rsid w:val="001D70D9"/>
    <w:rsid w:val="001D7E00"/>
    <w:rsid w:val="001E05EA"/>
    <w:rsid w:val="001E0867"/>
    <w:rsid w:val="001E1285"/>
    <w:rsid w:val="001E2663"/>
    <w:rsid w:val="001E33BE"/>
    <w:rsid w:val="001E3618"/>
    <w:rsid w:val="001E3CFB"/>
    <w:rsid w:val="001E3EE7"/>
    <w:rsid w:val="001E417E"/>
    <w:rsid w:val="001E43D3"/>
    <w:rsid w:val="001E4514"/>
    <w:rsid w:val="001E5C95"/>
    <w:rsid w:val="001E683A"/>
    <w:rsid w:val="001E72A7"/>
    <w:rsid w:val="001E77B9"/>
    <w:rsid w:val="001F0567"/>
    <w:rsid w:val="001F08DF"/>
    <w:rsid w:val="001F091C"/>
    <w:rsid w:val="001F0EFE"/>
    <w:rsid w:val="001F0F6E"/>
    <w:rsid w:val="001F1A6E"/>
    <w:rsid w:val="001F1B4B"/>
    <w:rsid w:val="001F1D76"/>
    <w:rsid w:val="001F216A"/>
    <w:rsid w:val="001F2AD3"/>
    <w:rsid w:val="001F3189"/>
    <w:rsid w:val="001F3780"/>
    <w:rsid w:val="001F3C80"/>
    <w:rsid w:val="001F4151"/>
    <w:rsid w:val="001F4445"/>
    <w:rsid w:val="001F497F"/>
    <w:rsid w:val="001F4E2F"/>
    <w:rsid w:val="001F4FD0"/>
    <w:rsid w:val="001F5117"/>
    <w:rsid w:val="001F572E"/>
    <w:rsid w:val="001F61D7"/>
    <w:rsid w:val="001F6D1B"/>
    <w:rsid w:val="001F7424"/>
    <w:rsid w:val="001F74E4"/>
    <w:rsid w:val="002000DF"/>
    <w:rsid w:val="0020026E"/>
    <w:rsid w:val="0020029C"/>
    <w:rsid w:val="00200679"/>
    <w:rsid w:val="002015F2"/>
    <w:rsid w:val="00201F34"/>
    <w:rsid w:val="0020206D"/>
    <w:rsid w:val="00202086"/>
    <w:rsid w:val="002021AE"/>
    <w:rsid w:val="00202E63"/>
    <w:rsid w:val="00203471"/>
    <w:rsid w:val="002039E0"/>
    <w:rsid w:val="00203F76"/>
    <w:rsid w:val="002043D6"/>
    <w:rsid w:val="002045E5"/>
    <w:rsid w:val="0020495D"/>
    <w:rsid w:val="00206468"/>
    <w:rsid w:val="002066C7"/>
    <w:rsid w:val="00206C5F"/>
    <w:rsid w:val="002070B9"/>
    <w:rsid w:val="00207143"/>
    <w:rsid w:val="002079ED"/>
    <w:rsid w:val="0021032A"/>
    <w:rsid w:val="00211A90"/>
    <w:rsid w:val="00212C07"/>
    <w:rsid w:val="002131F1"/>
    <w:rsid w:val="00213226"/>
    <w:rsid w:val="002132D5"/>
    <w:rsid w:val="00213394"/>
    <w:rsid w:val="00213774"/>
    <w:rsid w:val="00213ED0"/>
    <w:rsid w:val="00213ED4"/>
    <w:rsid w:val="00214BF0"/>
    <w:rsid w:val="00214E75"/>
    <w:rsid w:val="00215014"/>
    <w:rsid w:val="00215057"/>
    <w:rsid w:val="002150B9"/>
    <w:rsid w:val="00215137"/>
    <w:rsid w:val="00215AE5"/>
    <w:rsid w:val="00215F5D"/>
    <w:rsid w:val="002160DF"/>
    <w:rsid w:val="00216270"/>
    <w:rsid w:val="00216901"/>
    <w:rsid w:val="00217133"/>
    <w:rsid w:val="00217A58"/>
    <w:rsid w:val="00217DE6"/>
    <w:rsid w:val="0021BEAA"/>
    <w:rsid w:val="00220533"/>
    <w:rsid w:val="002208C5"/>
    <w:rsid w:val="002210E8"/>
    <w:rsid w:val="002214D8"/>
    <w:rsid w:val="00221C83"/>
    <w:rsid w:val="002233D3"/>
    <w:rsid w:val="0022358B"/>
    <w:rsid w:val="00223978"/>
    <w:rsid w:val="00223A1A"/>
    <w:rsid w:val="00223D2A"/>
    <w:rsid w:val="00224B2A"/>
    <w:rsid w:val="00224B2D"/>
    <w:rsid w:val="00224DE9"/>
    <w:rsid w:val="00225306"/>
    <w:rsid w:val="00225591"/>
    <w:rsid w:val="00225AFA"/>
    <w:rsid w:val="002268CE"/>
    <w:rsid w:val="002268D4"/>
    <w:rsid w:val="00230101"/>
    <w:rsid w:val="0023028E"/>
    <w:rsid w:val="00231064"/>
    <w:rsid w:val="002315A4"/>
    <w:rsid w:val="00232F5B"/>
    <w:rsid w:val="00232FB2"/>
    <w:rsid w:val="00233126"/>
    <w:rsid w:val="0023315E"/>
    <w:rsid w:val="00234278"/>
    <w:rsid w:val="002344C6"/>
    <w:rsid w:val="0023483C"/>
    <w:rsid w:val="00234A47"/>
    <w:rsid w:val="002359EF"/>
    <w:rsid w:val="00235E4F"/>
    <w:rsid w:val="00236FB7"/>
    <w:rsid w:val="002405C5"/>
    <w:rsid w:val="002406BF"/>
    <w:rsid w:val="00241029"/>
    <w:rsid w:val="00241852"/>
    <w:rsid w:val="00241F6F"/>
    <w:rsid w:val="002421E7"/>
    <w:rsid w:val="00242464"/>
    <w:rsid w:val="00243515"/>
    <w:rsid w:val="00243CA0"/>
    <w:rsid w:val="0024453C"/>
    <w:rsid w:val="002446E3"/>
    <w:rsid w:val="00244768"/>
    <w:rsid w:val="00244A45"/>
    <w:rsid w:val="0024524D"/>
    <w:rsid w:val="0024580F"/>
    <w:rsid w:val="0024594C"/>
    <w:rsid w:val="002461F6"/>
    <w:rsid w:val="00247104"/>
    <w:rsid w:val="0024712C"/>
    <w:rsid w:val="00247E7A"/>
    <w:rsid w:val="002500AA"/>
    <w:rsid w:val="00250F62"/>
    <w:rsid w:val="0025139F"/>
    <w:rsid w:val="002516DD"/>
    <w:rsid w:val="0025218A"/>
    <w:rsid w:val="0025257F"/>
    <w:rsid w:val="00252F93"/>
    <w:rsid w:val="00253650"/>
    <w:rsid w:val="002539D2"/>
    <w:rsid w:val="00253BA5"/>
    <w:rsid w:val="00253DAC"/>
    <w:rsid w:val="00254360"/>
    <w:rsid w:val="002544F2"/>
    <w:rsid w:val="0025566D"/>
    <w:rsid w:val="002556CF"/>
    <w:rsid w:val="002558D2"/>
    <w:rsid w:val="00255CEB"/>
    <w:rsid w:val="00255D8D"/>
    <w:rsid w:val="00256D52"/>
    <w:rsid w:val="00256F34"/>
    <w:rsid w:val="00257888"/>
    <w:rsid w:val="00257928"/>
    <w:rsid w:val="00260BA8"/>
    <w:rsid w:val="0026102C"/>
    <w:rsid w:val="00261A5F"/>
    <w:rsid w:val="0026387F"/>
    <w:rsid w:val="00264147"/>
    <w:rsid w:val="002644A7"/>
    <w:rsid w:val="00264D6A"/>
    <w:rsid w:val="0026578E"/>
    <w:rsid w:val="002657E4"/>
    <w:rsid w:val="00265938"/>
    <w:rsid w:val="00266169"/>
    <w:rsid w:val="00266D9D"/>
    <w:rsid w:val="00267497"/>
    <w:rsid w:val="00267EEA"/>
    <w:rsid w:val="00270A46"/>
    <w:rsid w:val="002710BF"/>
    <w:rsid w:val="00271670"/>
    <w:rsid w:val="00271989"/>
    <w:rsid w:val="00272108"/>
    <w:rsid w:val="00272779"/>
    <w:rsid w:val="00272E47"/>
    <w:rsid w:val="00273041"/>
    <w:rsid w:val="002736DA"/>
    <w:rsid w:val="00273775"/>
    <w:rsid w:val="002744BE"/>
    <w:rsid w:val="0027462A"/>
    <w:rsid w:val="00274C13"/>
    <w:rsid w:val="00274C60"/>
    <w:rsid w:val="00275B70"/>
    <w:rsid w:val="002761EC"/>
    <w:rsid w:val="002771B1"/>
    <w:rsid w:val="002775D2"/>
    <w:rsid w:val="0027795E"/>
    <w:rsid w:val="00277AB2"/>
    <w:rsid w:val="00277AE4"/>
    <w:rsid w:val="00280008"/>
    <w:rsid w:val="00280068"/>
    <w:rsid w:val="00280158"/>
    <w:rsid w:val="00280E00"/>
    <w:rsid w:val="00280E3B"/>
    <w:rsid w:val="00281151"/>
    <w:rsid w:val="002814C0"/>
    <w:rsid w:val="00281646"/>
    <w:rsid w:val="00281CE8"/>
    <w:rsid w:val="002830E1"/>
    <w:rsid w:val="002831E6"/>
    <w:rsid w:val="0028332D"/>
    <w:rsid w:val="00283A76"/>
    <w:rsid w:val="00283C5B"/>
    <w:rsid w:val="002845B1"/>
    <w:rsid w:val="0028488C"/>
    <w:rsid w:val="00284C50"/>
    <w:rsid w:val="00284DC6"/>
    <w:rsid w:val="0028585E"/>
    <w:rsid w:val="00286A70"/>
    <w:rsid w:val="00286B36"/>
    <w:rsid w:val="00286CB8"/>
    <w:rsid w:val="00286E5A"/>
    <w:rsid w:val="00287DA3"/>
    <w:rsid w:val="002904CA"/>
    <w:rsid w:val="0029065E"/>
    <w:rsid w:val="00290AA2"/>
    <w:rsid w:val="002910A5"/>
    <w:rsid w:val="002911EA"/>
    <w:rsid w:val="00291500"/>
    <w:rsid w:val="002921C1"/>
    <w:rsid w:val="00292AD8"/>
    <w:rsid w:val="00292CA1"/>
    <w:rsid w:val="00293C0F"/>
    <w:rsid w:val="002947DD"/>
    <w:rsid w:val="002949D8"/>
    <w:rsid w:val="0029502A"/>
    <w:rsid w:val="002953E9"/>
    <w:rsid w:val="00295C2F"/>
    <w:rsid w:val="00295DCE"/>
    <w:rsid w:val="00296AD3"/>
    <w:rsid w:val="00296D4C"/>
    <w:rsid w:val="002A0E10"/>
    <w:rsid w:val="002A0EE6"/>
    <w:rsid w:val="002A1646"/>
    <w:rsid w:val="002A202B"/>
    <w:rsid w:val="002A2167"/>
    <w:rsid w:val="002A2476"/>
    <w:rsid w:val="002A3174"/>
    <w:rsid w:val="002A3727"/>
    <w:rsid w:val="002A449B"/>
    <w:rsid w:val="002A4FEB"/>
    <w:rsid w:val="002A506E"/>
    <w:rsid w:val="002A5838"/>
    <w:rsid w:val="002A665A"/>
    <w:rsid w:val="002A6CD1"/>
    <w:rsid w:val="002A7082"/>
    <w:rsid w:val="002A72B6"/>
    <w:rsid w:val="002A77A9"/>
    <w:rsid w:val="002B0197"/>
    <w:rsid w:val="002B0CE5"/>
    <w:rsid w:val="002B1226"/>
    <w:rsid w:val="002B2104"/>
    <w:rsid w:val="002B2236"/>
    <w:rsid w:val="002B262A"/>
    <w:rsid w:val="002B2ABE"/>
    <w:rsid w:val="002B30CF"/>
    <w:rsid w:val="002B3481"/>
    <w:rsid w:val="002B4587"/>
    <w:rsid w:val="002B4DCB"/>
    <w:rsid w:val="002B53F8"/>
    <w:rsid w:val="002B5809"/>
    <w:rsid w:val="002B5900"/>
    <w:rsid w:val="002B5A65"/>
    <w:rsid w:val="002B5F13"/>
    <w:rsid w:val="002B612F"/>
    <w:rsid w:val="002B733E"/>
    <w:rsid w:val="002B7540"/>
    <w:rsid w:val="002B7C84"/>
    <w:rsid w:val="002C0C6C"/>
    <w:rsid w:val="002C158D"/>
    <w:rsid w:val="002C159A"/>
    <w:rsid w:val="002C1BE7"/>
    <w:rsid w:val="002C2753"/>
    <w:rsid w:val="002C28D7"/>
    <w:rsid w:val="002C2DF3"/>
    <w:rsid w:val="002C2F6F"/>
    <w:rsid w:val="002C3662"/>
    <w:rsid w:val="002C37CB"/>
    <w:rsid w:val="002C412E"/>
    <w:rsid w:val="002C4643"/>
    <w:rsid w:val="002C467A"/>
    <w:rsid w:val="002C4AC4"/>
    <w:rsid w:val="002C5174"/>
    <w:rsid w:val="002C5273"/>
    <w:rsid w:val="002C543B"/>
    <w:rsid w:val="002C593A"/>
    <w:rsid w:val="002C69A5"/>
    <w:rsid w:val="002C7E02"/>
    <w:rsid w:val="002D0649"/>
    <w:rsid w:val="002D0689"/>
    <w:rsid w:val="002D17B9"/>
    <w:rsid w:val="002D18AE"/>
    <w:rsid w:val="002D217E"/>
    <w:rsid w:val="002D2EF7"/>
    <w:rsid w:val="002D316D"/>
    <w:rsid w:val="002D362A"/>
    <w:rsid w:val="002D37AD"/>
    <w:rsid w:val="002D3D61"/>
    <w:rsid w:val="002D3E9B"/>
    <w:rsid w:val="002D3FC3"/>
    <w:rsid w:val="002D4100"/>
    <w:rsid w:val="002D50F1"/>
    <w:rsid w:val="002D5341"/>
    <w:rsid w:val="002D5765"/>
    <w:rsid w:val="002D5D7F"/>
    <w:rsid w:val="002D6BAC"/>
    <w:rsid w:val="002D6E9D"/>
    <w:rsid w:val="002E0045"/>
    <w:rsid w:val="002E05E5"/>
    <w:rsid w:val="002E0ABC"/>
    <w:rsid w:val="002E0CF2"/>
    <w:rsid w:val="002E0D97"/>
    <w:rsid w:val="002E0F35"/>
    <w:rsid w:val="002E1024"/>
    <w:rsid w:val="002E142E"/>
    <w:rsid w:val="002E1CD1"/>
    <w:rsid w:val="002E2BB5"/>
    <w:rsid w:val="002E2D82"/>
    <w:rsid w:val="002E2F72"/>
    <w:rsid w:val="002E3529"/>
    <w:rsid w:val="002E385F"/>
    <w:rsid w:val="002E3B50"/>
    <w:rsid w:val="002E3CC2"/>
    <w:rsid w:val="002E3F86"/>
    <w:rsid w:val="002E47DA"/>
    <w:rsid w:val="002E4953"/>
    <w:rsid w:val="002E5D4D"/>
    <w:rsid w:val="002E5FFD"/>
    <w:rsid w:val="002E7E01"/>
    <w:rsid w:val="002E7EB6"/>
    <w:rsid w:val="002E7F90"/>
    <w:rsid w:val="002F1018"/>
    <w:rsid w:val="002F1227"/>
    <w:rsid w:val="002F2301"/>
    <w:rsid w:val="002F24B2"/>
    <w:rsid w:val="002F27D1"/>
    <w:rsid w:val="002F2CC6"/>
    <w:rsid w:val="002F2FA9"/>
    <w:rsid w:val="002F3109"/>
    <w:rsid w:val="002F32A0"/>
    <w:rsid w:val="002F3418"/>
    <w:rsid w:val="002F349F"/>
    <w:rsid w:val="002F4B19"/>
    <w:rsid w:val="002F54CF"/>
    <w:rsid w:val="002F676C"/>
    <w:rsid w:val="002F7153"/>
    <w:rsid w:val="002F7C98"/>
    <w:rsid w:val="002F7F27"/>
    <w:rsid w:val="00300A23"/>
    <w:rsid w:val="00300B67"/>
    <w:rsid w:val="003011EC"/>
    <w:rsid w:val="00301572"/>
    <w:rsid w:val="003020C0"/>
    <w:rsid w:val="003025C5"/>
    <w:rsid w:val="00302DE9"/>
    <w:rsid w:val="00303BA9"/>
    <w:rsid w:val="003040A0"/>
    <w:rsid w:val="0030449E"/>
    <w:rsid w:val="003048C4"/>
    <w:rsid w:val="00305739"/>
    <w:rsid w:val="00305D23"/>
    <w:rsid w:val="00306396"/>
    <w:rsid w:val="00306D22"/>
    <w:rsid w:val="00307AEF"/>
    <w:rsid w:val="00310ABB"/>
    <w:rsid w:val="00311B38"/>
    <w:rsid w:val="00311EB3"/>
    <w:rsid w:val="0031201A"/>
    <w:rsid w:val="00312185"/>
    <w:rsid w:val="0031265F"/>
    <w:rsid w:val="00312885"/>
    <w:rsid w:val="00312BF3"/>
    <w:rsid w:val="003140C3"/>
    <w:rsid w:val="003145D4"/>
    <w:rsid w:val="0031479D"/>
    <w:rsid w:val="0031510B"/>
    <w:rsid w:val="0031590A"/>
    <w:rsid w:val="00315B85"/>
    <w:rsid w:val="00315E50"/>
    <w:rsid w:val="00316060"/>
    <w:rsid w:val="00316993"/>
    <w:rsid w:val="0031765F"/>
    <w:rsid w:val="00317790"/>
    <w:rsid w:val="003201CB"/>
    <w:rsid w:val="00320DD5"/>
    <w:rsid w:val="00321680"/>
    <w:rsid w:val="00321726"/>
    <w:rsid w:val="0032190C"/>
    <w:rsid w:val="00321917"/>
    <w:rsid w:val="00322E13"/>
    <w:rsid w:val="00322FDF"/>
    <w:rsid w:val="00323882"/>
    <w:rsid w:val="00323945"/>
    <w:rsid w:val="00323E74"/>
    <w:rsid w:val="0032478C"/>
    <w:rsid w:val="0032496B"/>
    <w:rsid w:val="0032497C"/>
    <w:rsid w:val="0032505E"/>
    <w:rsid w:val="00325118"/>
    <w:rsid w:val="00325C04"/>
    <w:rsid w:val="00325E95"/>
    <w:rsid w:val="003268A6"/>
    <w:rsid w:val="003272B4"/>
    <w:rsid w:val="003279C9"/>
    <w:rsid w:val="003279DF"/>
    <w:rsid w:val="003304B6"/>
    <w:rsid w:val="00330AAE"/>
    <w:rsid w:val="00331756"/>
    <w:rsid w:val="0033201B"/>
    <w:rsid w:val="00333258"/>
    <w:rsid w:val="00333A60"/>
    <w:rsid w:val="00334A5D"/>
    <w:rsid w:val="00335185"/>
    <w:rsid w:val="0033521C"/>
    <w:rsid w:val="003353BE"/>
    <w:rsid w:val="003370A2"/>
    <w:rsid w:val="0033723D"/>
    <w:rsid w:val="00337461"/>
    <w:rsid w:val="00340204"/>
    <w:rsid w:val="003406D8"/>
    <w:rsid w:val="00340BDF"/>
    <w:rsid w:val="00341002"/>
    <w:rsid w:val="00341406"/>
    <w:rsid w:val="00341446"/>
    <w:rsid w:val="0034212E"/>
    <w:rsid w:val="0034275F"/>
    <w:rsid w:val="00342CFE"/>
    <w:rsid w:val="0034342C"/>
    <w:rsid w:val="003444B6"/>
    <w:rsid w:val="003446C2"/>
    <w:rsid w:val="00345452"/>
    <w:rsid w:val="003458A7"/>
    <w:rsid w:val="00345C24"/>
    <w:rsid w:val="00345E28"/>
    <w:rsid w:val="00345E8B"/>
    <w:rsid w:val="00346661"/>
    <w:rsid w:val="00346CE0"/>
    <w:rsid w:val="003470BF"/>
    <w:rsid w:val="003501CB"/>
    <w:rsid w:val="0035095C"/>
    <w:rsid w:val="00351792"/>
    <w:rsid w:val="00351C9B"/>
    <w:rsid w:val="00351EFD"/>
    <w:rsid w:val="0035207F"/>
    <w:rsid w:val="00352912"/>
    <w:rsid w:val="00352FDA"/>
    <w:rsid w:val="00352FF9"/>
    <w:rsid w:val="00353007"/>
    <w:rsid w:val="003532E2"/>
    <w:rsid w:val="00354095"/>
    <w:rsid w:val="00354925"/>
    <w:rsid w:val="003549B4"/>
    <w:rsid w:val="0035534A"/>
    <w:rsid w:val="00355EBD"/>
    <w:rsid w:val="0035634B"/>
    <w:rsid w:val="0035665A"/>
    <w:rsid w:val="0035767F"/>
    <w:rsid w:val="00360FE5"/>
    <w:rsid w:val="0036133F"/>
    <w:rsid w:val="003616E3"/>
    <w:rsid w:val="00361AE3"/>
    <w:rsid w:val="00361F82"/>
    <w:rsid w:val="00362400"/>
    <w:rsid w:val="00363C72"/>
    <w:rsid w:val="00363FBF"/>
    <w:rsid w:val="003642A1"/>
    <w:rsid w:val="00364323"/>
    <w:rsid w:val="0036467C"/>
    <w:rsid w:val="00364E38"/>
    <w:rsid w:val="0036626E"/>
    <w:rsid w:val="003675E2"/>
    <w:rsid w:val="00367924"/>
    <w:rsid w:val="00370165"/>
    <w:rsid w:val="003712A7"/>
    <w:rsid w:val="00371AE3"/>
    <w:rsid w:val="00371D63"/>
    <w:rsid w:val="00372B82"/>
    <w:rsid w:val="00372EE6"/>
    <w:rsid w:val="00373696"/>
    <w:rsid w:val="0037385E"/>
    <w:rsid w:val="00374465"/>
    <w:rsid w:val="00375598"/>
    <w:rsid w:val="00376C10"/>
    <w:rsid w:val="00376CED"/>
    <w:rsid w:val="00377461"/>
    <w:rsid w:val="00377BF5"/>
    <w:rsid w:val="00377DA0"/>
    <w:rsid w:val="00377E54"/>
    <w:rsid w:val="00377F01"/>
    <w:rsid w:val="00377F6C"/>
    <w:rsid w:val="003804BB"/>
    <w:rsid w:val="00380680"/>
    <w:rsid w:val="00380694"/>
    <w:rsid w:val="00380AE2"/>
    <w:rsid w:val="00380B73"/>
    <w:rsid w:val="00380DEB"/>
    <w:rsid w:val="003815DC"/>
    <w:rsid w:val="00381B4C"/>
    <w:rsid w:val="00381E75"/>
    <w:rsid w:val="00382077"/>
    <w:rsid w:val="003821A4"/>
    <w:rsid w:val="00382632"/>
    <w:rsid w:val="00382A7F"/>
    <w:rsid w:val="00382BDA"/>
    <w:rsid w:val="00382DA8"/>
    <w:rsid w:val="00383472"/>
    <w:rsid w:val="00384F90"/>
    <w:rsid w:val="003859AE"/>
    <w:rsid w:val="00385CBA"/>
    <w:rsid w:val="00385D79"/>
    <w:rsid w:val="00385E5C"/>
    <w:rsid w:val="003874B2"/>
    <w:rsid w:val="00387591"/>
    <w:rsid w:val="003877D5"/>
    <w:rsid w:val="00387842"/>
    <w:rsid w:val="00387B0E"/>
    <w:rsid w:val="00390F53"/>
    <w:rsid w:val="0039175E"/>
    <w:rsid w:val="00391E30"/>
    <w:rsid w:val="00392220"/>
    <w:rsid w:val="00392678"/>
    <w:rsid w:val="00392760"/>
    <w:rsid w:val="00393424"/>
    <w:rsid w:val="00393DB2"/>
    <w:rsid w:val="00393E59"/>
    <w:rsid w:val="00394915"/>
    <w:rsid w:val="003959C0"/>
    <w:rsid w:val="00395FEC"/>
    <w:rsid w:val="00396A9A"/>
    <w:rsid w:val="00396B2D"/>
    <w:rsid w:val="00397404"/>
    <w:rsid w:val="00397984"/>
    <w:rsid w:val="00397E03"/>
    <w:rsid w:val="003A0061"/>
    <w:rsid w:val="003A1597"/>
    <w:rsid w:val="003A1895"/>
    <w:rsid w:val="003A217F"/>
    <w:rsid w:val="003A25CB"/>
    <w:rsid w:val="003A27BD"/>
    <w:rsid w:val="003A3021"/>
    <w:rsid w:val="003A31D5"/>
    <w:rsid w:val="003A3C68"/>
    <w:rsid w:val="003A3FFD"/>
    <w:rsid w:val="003A669D"/>
    <w:rsid w:val="003A6D6A"/>
    <w:rsid w:val="003A78DB"/>
    <w:rsid w:val="003B05A3"/>
    <w:rsid w:val="003B068F"/>
    <w:rsid w:val="003B094E"/>
    <w:rsid w:val="003B0B63"/>
    <w:rsid w:val="003B1E3A"/>
    <w:rsid w:val="003B22D0"/>
    <w:rsid w:val="003B2A8D"/>
    <w:rsid w:val="003B2D26"/>
    <w:rsid w:val="003B2E3A"/>
    <w:rsid w:val="003B3C27"/>
    <w:rsid w:val="003B3CCB"/>
    <w:rsid w:val="003B5101"/>
    <w:rsid w:val="003B54F3"/>
    <w:rsid w:val="003B59FE"/>
    <w:rsid w:val="003B5CCF"/>
    <w:rsid w:val="003B62DA"/>
    <w:rsid w:val="003B68C7"/>
    <w:rsid w:val="003B68E4"/>
    <w:rsid w:val="003B6E28"/>
    <w:rsid w:val="003B7462"/>
    <w:rsid w:val="003C0B2A"/>
    <w:rsid w:val="003C1817"/>
    <w:rsid w:val="003C1BCD"/>
    <w:rsid w:val="003C1BD7"/>
    <w:rsid w:val="003C2218"/>
    <w:rsid w:val="003C2A77"/>
    <w:rsid w:val="003C35C3"/>
    <w:rsid w:val="003C41B7"/>
    <w:rsid w:val="003C56C5"/>
    <w:rsid w:val="003C59F3"/>
    <w:rsid w:val="003C5BF0"/>
    <w:rsid w:val="003C6DC2"/>
    <w:rsid w:val="003C7165"/>
    <w:rsid w:val="003C753C"/>
    <w:rsid w:val="003C780E"/>
    <w:rsid w:val="003C7B9F"/>
    <w:rsid w:val="003C7F09"/>
    <w:rsid w:val="003D0762"/>
    <w:rsid w:val="003D08E0"/>
    <w:rsid w:val="003D0FD8"/>
    <w:rsid w:val="003D14AD"/>
    <w:rsid w:val="003D1C4B"/>
    <w:rsid w:val="003D2443"/>
    <w:rsid w:val="003D28EA"/>
    <w:rsid w:val="003D2B15"/>
    <w:rsid w:val="003D2B61"/>
    <w:rsid w:val="003D3550"/>
    <w:rsid w:val="003D397B"/>
    <w:rsid w:val="003D452F"/>
    <w:rsid w:val="003D48FC"/>
    <w:rsid w:val="003D509A"/>
    <w:rsid w:val="003D7C65"/>
    <w:rsid w:val="003D7EC0"/>
    <w:rsid w:val="003D7F75"/>
    <w:rsid w:val="003E093E"/>
    <w:rsid w:val="003E0CE4"/>
    <w:rsid w:val="003E14DD"/>
    <w:rsid w:val="003E1B4F"/>
    <w:rsid w:val="003E245D"/>
    <w:rsid w:val="003E2B56"/>
    <w:rsid w:val="003E2C31"/>
    <w:rsid w:val="003E3BA0"/>
    <w:rsid w:val="003E40E0"/>
    <w:rsid w:val="003E4C06"/>
    <w:rsid w:val="003E53F1"/>
    <w:rsid w:val="003E55D2"/>
    <w:rsid w:val="003E6229"/>
    <w:rsid w:val="003E64CC"/>
    <w:rsid w:val="003E6718"/>
    <w:rsid w:val="003E675A"/>
    <w:rsid w:val="003E75F2"/>
    <w:rsid w:val="003F013E"/>
    <w:rsid w:val="003F0201"/>
    <w:rsid w:val="003F0F57"/>
    <w:rsid w:val="003F1281"/>
    <w:rsid w:val="003F14CB"/>
    <w:rsid w:val="003F1812"/>
    <w:rsid w:val="003F21E3"/>
    <w:rsid w:val="003F31FB"/>
    <w:rsid w:val="003F3881"/>
    <w:rsid w:val="003F3A0B"/>
    <w:rsid w:val="003F4FF6"/>
    <w:rsid w:val="003F53FA"/>
    <w:rsid w:val="003F5951"/>
    <w:rsid w:val="003F68AC"/>
    <w:rsid w:val="003F69B0"/>
    <w:rsid w:val="003F77AA"/>
    <w:rsid w:val="003F77F9"/>
    <w:rsid w:val="003F7FAF"/>
    <w:rsid w:val="004001EF"/>
    <w:rsid w:val="004006ED"/>
    <w:rsid w:val="004011AF"/>
    <w:rsid w:val="00401376"/>
    <w:rsid w:val="004015C8"/>
    <w:rsid w:val="004016A1"/>
    <w:rsid w:val="004018DE"/>
    <w:rsid w:val="00401B18"/>
    <w:rsid w:val="0040251A"/>
    <w:rsid w:val="00403BFA"/>
    <w:rsid w:val="00404875"/>
    <w:rsid w:val="00404B6F"/>
    <w:rsid w:val="00404D48"/>
    <w:rsid w:val="00404F12"/>
    <w:rsid w:val="004072ED"/>
    <w:rsid w:val="004073D2"/>
    <w:rsid w:val="00407D56"/>
    <w:rsid w:val="00407F92"/>
    <w:rsid w:val="0041005B"/>
    <w:rsid w:val="004100FA"/>
    <w:rsid w:val="004106EF"/>
    <w:rsid w:val="00410810"/>
    <w:rsid w:val="00411708"/>
    <w:rsid w:val="0041197E"/>
    <w:rsid w:val="00412170"/>
    <w:rsid w:val="00412DA3"/>
    <w:rsid w:val="00413242"/>
    <w:rsid w:val="004142D8"/>
    <w:rsid w:val="004146E1"/>
    <w:rsid w:val="00414E5F"/>
    <w:rsid w:val="004159C0"/>
    <w:rsid w:val="0041692D"/>
    <w:rsid w:val="00416A8A"/>
    <w:rsid w:val="00416DA2"/>
    <w:rsid w:val="004176F1"/>
    <w:rsid w:val="0042002E"/>
    <w:rsid w:val="00420468"/>
    <w:rsid w:val="00420DC3"/>
    <w:rsid w:val="00421322"/>
    <w:rsid w:val="004219D2"/>
    <w:rsid w:val="00422112"/>
    <w:rsid w:val="0042216D"/>
    <w:rsid w:val="004224B7"/>
    <w:rsid w:val="00422842"/>
    <w:rsid w:val="00422CBD"/>
    <w:rsid w:val="0042387D"/>
    <w:rsid w:val="00423A43"/>
    <w:rsid w:val="00423B32"/>
    <w:rsid w:val="00424945"/>
    <w:rsid w:val="004251C7"/>
    <w:rsid w:val="004258A7"/>
    <w:rsid w:val="004259B7"/>
    <w:rsid w:val="0042662F"/>
    <w:rsid w:val="00427EB9"/>
    <w:rsid w:val="00427ECE"/>
    <w:rsid w:val="0043054D"/>
    <w:rsid w:val="00430D74"/>
    <w:rsid w:val="00430DA4"/>
    <w:rsid w:val="00430ED5"/>
    <w:rsid w:val="00431112"/>
    <w:rsid w:val="004314E5"/>
    <w:rsid w:val="004319B5"/>
    <w:rsid w:val="00432FC7"/>
    <w:rsid w:val="00433B72"/>
    <w:rsid w:val="00433EBC"/>
    <w:rsid w:val="00434107"/>
    <w:rsid w:val="004344AD"/>
    <w:rsid w:val="004345AD"/>
    <w:rsid w:val="004349FD"/>
    <w:rsid w:val="00434D9A"/>
    <w:rsid w:val="00434E80"/>
    <w:rsid w:val="00435594"/>
    <w:rsid w:val="00435C77"/>
    <w:rsid w:val="00435DAC"/>
    <w:rsid w:val="00436AC1"/>
    <w:rsid w:val="00436B6A"/>
    <w:rsid w:val="00436C58"/>
    <w:rsid w:val="004371CB"/>
    <w:rsid w:val="00437B44"/>
    <w:rsid w:val="00437EDD"/>
    <w:rsid w:val="00440493"/>
    <w:rsid w:val="004406B0"/>
    <w:rsid w:val="004408AA"/>
    <w:rsid w:val="00441368"/>
    <w:rsid w:val="00441888"/>
    <w:rsid w:val="00442745"/>
    <w:rsid w:val="00443150"/>
    <w:rsid w:val="0044434F"/>
    <w:rsid w:val="004449F3"/>
    <w:rsid w:val="00444F41"/>
    <w:rsid w:val="00444F71"/>
    <w:rsid w:val="0044562A"/>
    <w:rsid w:val="00445767"/>
    <w:rsid w:val="00445C1B"/>
    <w:rsid w:val="00445E0C"/>
    <w:rsid w:val="004463CA"/>
    <w:rsid w:val="004468F6"/>
    <w:rsid w:val="004474B9"/>
    <w:rsid w:val="00447D7E"/>
    <w:rsid w:val="00450A03"/>
    <w:rsid w:val="00450A47"/>
    <w:rsid w:val="004518E4"/>
    <w:rsid w:val="00451C7E"/>
    <w:rsid w:val="00451CD8"/>
    <w:rsid w:val="00452554"/>
    <w:rsid w:val="00453095"/>
    <w:rsid w:val="0045312E"/>
    <w:rsid w:val="00453210"/>
    <w:rsid w:val="00453710"/>
    <w:rsid w:val="004540B7"/>
    <w:rsid w:val="0045461A"/>
    <w:rsid w:val="00454770"/>
    <w:rsid w:val="004572ED"/>
    <w:rsid w:val="004575C8"/>
    <w:rsid w:val="00460B84"/>
    <w:rsid w:val="00460E09"/>
    <w:rsid w:val="00461046"/>
    <w:rsid w:val="004612C0"/>
    <w:rsid w:val="00461D88"/>
    <w:rsid w:val="0046209F"/>
    <w:rsid w:val="004627FC"/>
    <w:rsid w:val="00462E56"/>
    <w:rsid w:val="00462EA2"/>
    <w:rsid w:val="00465494"/>
    <w:rsid w:val="00465B25"/>
    <w:rsid w:val="0046641A"/>
    <w:rsid w:val="00466661"/>
    <w:rsid w:val="00466ABD"/>
    <w:rsid w:val="00467252"/>
    <w:rsid w:val="0046730A"/>
    <w:rsid w:val="00467703"/>
    <w:rsid w:val="0046779E"/>
    <w:rsid w:val="00471043"/>
    <w:rsid w:val="00471715"/>
    <w:rsid w:val="00471719"/>
    <w:rsid w:val="00471C68"/>
    <w:rsid w:val="00472A8F"/>
    <w:rsid w:val="0047397D"/>
    <w:rsid w:val="004744C1"/>
    <w:rsid w:val="00474787"/>
    <w:rsid w:val="00475C08"/>
    <w:rsid w:val="00476BA2"/>
    <w:rsid w:val="00476D10"/>
    <w:rsid w:val="004772E2"/>
    <w:rsid w:val="0047738F"/>
    <w:rsid w:val="0047792E"/>
    <w:rsid w:val="00477A07"/>
    <w:rsid w:val="00477FFB"/>
    <w:rsid w:val="00480484"/>
    <w:rsid w:val="004804B3"/>
    <w:rsid w:val="004804F7"/>
    <w:rsid w:val="00481A52"/>
    <w:rsid w:val="00481D88"/>
    <w:rsid w:val="00481E59"/>
    <w:rsid w:val="00482047"/>
    <w:rsid w:val="00483047"/>
    <w:rsid w:val="0048334B"/>
    <w:rsid w:val="00483434"/>
    <w:rsid w:val="0048399D"/>
    <w:rsid w:val="0048423C"/>
    <w:rsid w:val="00485E93"/>
    <w:rsid w:val="00487428"/>
    <w:rsid w:val="004878D0"/>
    <w:rsid w:val="00487D23"/>
    <w:rsid w:val="00490CB9"/>
    <w:rsid w:val="00491201"/>
    <w:rsid w:val="00491973"/>
    <w:rsid w:val="00491E1C"/>
    <w:rsid w:val="0049232C"/>
    <w:rsid w:val="004927E2"/>
    <w:rsid w:val="0049294F"/>
    <w:rsid w:val="00492EE8"/>
    <w:rsid w:val="0049306E"/>
    <w:rsid w:val="0049332E"/>
    <w:rsid w:val="00493829"/>
    <w:rsid w:val="00493D1C"/>
    <w:rsid w:val="00494311"/>
    <w:rsid w:val="004943B2"/>
    <w:rsid w:val="00495033"/>
    <w:rsid w:val="004950CD"/>
    <w:rsid w:val="0049573C"/>
    <w:rsid w:val="00495B46"/>
    <w:rsid w:val="00495C61"/>
    <w:rsid w:val="00496124"/>
    <w:rsid w:val="004961AA"/>
    <w:rsid w:val="00496496"/>
    <w:rsid w:val="0049669C"/>
    <w:rsid w:val="004972EF"/>
    <w:rsid w:val="00497C21"/>
    <w:rsid w:val="004A07CC"/>
    <w:rsid w:val="004A0E83"/>
    <w:rsid w:val="004A16D0"/>
    <w:rsid w:val="004A3453"/>
    <w:rsid w:val="004A3B8C"/>
    <w:rsid w:val="004A3CBB"/>
    <w:rsid w:val="004A40B4"/>
    <w:rsid w:val="004A4588"/>
    <w:rsid w:val="004A5379"/>
    <w:rsid w:val="004A5F23"/>
    <w:rsid w:val="004A6189"/>
    <w:rsid w:val="004A618B"/>
    <w:rsid w:val="004A6798"/>
    <w:rsid w:val="004A68E1"/>
    <w:rsid w:val="004A6D76"/>
    <w:rsid w:val="004A708E"/>
    <w:rsid w:val="004A715E"/>
    <w:rsid w:val="004A7794"/>
    <w:rsid w:val="004A783D"/>
    <w:rsid w:val="004A7E57"/>
    <w:rsid w:val="004B0260"/>
    <w:rsid w:val="004B0908"/>
    <w:rsid w:val="004B0A90"/>
    <w:rsid w:val="004B1B42"/>
    <w:rsid w:val="004B24E0"/>
    <w:rsid w:val="004B2E26"/>
    <w:rsid w:val="004B3076"/>
    <w:rsid w:val="004B33DA"/>
    <w:rsid w:val="004B37A4"/>
    <w:rsid w:val="004B39D4"/>
    <w:rsid w:val="004B3C52"/>
    <w:rsid w:val="004B3ECE"/>
    <w:rsid w:val="004B43A8"/>
    <w:rsid w:val="004B51D7"/>
    <w:rsid w:val="004B52F8"/>
    <w:rsid w:val="004B54A7"/>
    <w:rsid w:val="004B5D0B"/>
    <w:rsid w:val="004B60AE"/>
    <w:rsid w:val="004B6FB6"/>
    <w:rsid w:val="004B6FEC"/>
    <w:rsid w:val="004B793D"/>
    <w:rsid w:val="004C0FFF"/>
    <w:rsid w:val="004C156C"/>
    <w:rsid w:val="004C1A3C"/>
    <w:rsid w:val="004C1D5C"/>
    <w:rsid w:val="004C2253"/>
    <w:rsid w:val="004C2BFD"/>
    <w:rsid w:val="004C395C"/>
    <w:rsid w:val="004C3B40"/>
    <w:rsid w:val="004C3E40"/>
    <w:rsid w:val="004C40C7"/>
    <w:rsid w:val="004C45D3"/>
    <w:rsid w:val="004C48FA"/>
    <w:rsid w:val="004C5BB2"/>
    <w:rsid w:val="004C5E83"/>
    <w:rsid w:val="004C650E"/>
    <w:rsid w:val="004C769E"/>
    <w:rsid w:val="004C7E11"/>
    <w:rsid w:val="004D06E5"/>
    <w:rsid w:val="004D071D"/>
    <w:rsid w:val="004D0ACD"/>
    <w:rsid w:val="004D1216"/>
    <w:rsid w:val="004D1FFF"/>
    <w:rsid w:val="004D321C"/>
    <w:rsid w:val="004D399A"/>
    <w:rsid w:val="004D3C06"/>
    <w:rsid w:val="004D4830"/>
    <w:rsid w:val="004D5CAB"/>
    <w:rsid w:val="004D6E5E"/>
    <w:rsid w:val="004D7BE0"/>
    <w:rsid w:val="004E04F7"/>
    <w:rsid w:val="004E06CE"/>
    <w:rsid w:val="004E13B3"/>
    <w:rsid w:val="004E1485"/>
    <w:rsid w:val="004E1552"/>
    <w:rsid w:val="004E1A26"/>
    <w:rsid w:val="004E20B5"/>
    <w:rsid w:val="004E2DB8"/>
    <w:rsid w:val="004E4EEF"/>
    <w:rsid w:val="004E57E3"/>
    <w:rsid w:val="004E5C2D"/>
    <w:rsid w:val="004E5C94"/>
    <w:rsid w:val="004E62D5"/>
    <w:rsid w:val="004E7306"/>
    <w:rsid w:val="004E7498"/>
    <w:rsid w:val="004E797D"/>
    <w:rsid w:val="004E7EC9"/>
    <w:rsid w:val="004F0A29"/>
    <w:rsid w:val="004F0EB4"/>
    <w:rsid w:val="004F0FCC"/>
    <w:rsid w:val="004F1738"/>
    <w:rsid w:val="004F1900"/>
    <w:rsid w:val="004F1E6F"/>
    <w:rsid w:val="004F2053"/>
    <w:rsid w:val="004F2E28"/>
    <w:rsid w:val="004F2EA5"/>
    <w:rsid w:val="004F2EF5"/>
    <w:rsid w:val="004F32AC"/>
    <w:rsid w:val="004F3669"/>
    <w:rsid w:val="004F3885"/>
    <w:rsid w:val="004F3CA3"/>
    <w:rsid w:val="004F3DA7"/>
    <w:rsid w:val="004F40E2"/>
    <w:rsid w:val="004F4488"/>
    <w:rsid w:val="004F461A"/>
    <w:rsid w:val="004F4970"/>
    <w:rsid w:val="004F4CE1"/>
    <w:rsid w:val="004F563A"/>
    <w:rsid w:val="004F5899"/>
    <w:rsid w:val="004F5FD2"/>
    <w:rsid w:val="004F6010"/>
    <w:rsid w:val="004F7158"/>
    <w:rsid w:val="004F740C"/>
    <w:rsid w:val="004F7560"/>
    <w:rsid w:val="004F78AD"/>
    <w:rsid w:val="004F7D97"/>
    <w:rsid w:val="00500530"/>
    <w:rsid w:val="00500758"/>
    <w:rsid w:val="00500EB4"/>
    <w:rsid w:val="0050103B"/>
    <w:rsid w:val="00501C9B"/>
    <w:rsid w:val="00502439"/>
    <w:rsid w:val="00502671"/>
    <w:rsid w:val="00503121"/>
    <w:rsid w:val="0050377D"/>
    <w:rsid w:val="00503994"/>
    <w:rsid w:val="00503E5D"/>
    <w:rsid w:val="00504BBB"/>
    <w:rsid w:val="00504ED3"/>
    <w:rsid w:val="00505009"/>
    <w:rsid w:val="00505543"/>
    <w:rsid w:val="00507413"/>
    <w:rsid w:val="0050746D"/>
    <w:rsid w:val="005079DB"/>
    <w:rsid w:val="00510995"/>
    <w:rsid w:val="00511DBB"/>
    <w:rsid w:val="005122F5"/>
    <w:rsid w:val="00512EB1"/>
    <w:rsid w:val="00513130"/>
    <w:rsid w:val="0051351E"/>
    <w:rsid w:val="00513C17"/>
    <w:rsid w:val="00513F6B"/>
    <w:rsid w:val="0051416A"/>
    <w:rsid w:val="005144E6"/>
    <w:rsid w:val="00514AA0"/>
    <w:rsid w:val="00515243"/>
    <w:rsid w:val="00515767"/>
    <w:rsid w:val="00515D43"/>
    <w:rsid w:val="00516E04"/>
    <w:rsid w:val="00517362"/>
    <w:rsid w:val="0051766E"/>
    <w:rsid w:val="00522E17"/>
    <w:rsid w:val="00522E33"/>
    <w:rsid w:val="00524373"/>
    <w:rsid w:val="00524F4B"/>
    <w:rsid w:val="00525C2B"/>
    <w:rsid w:val="00525D70"/>
    <w:rsid w:val="0052652F"/>
    <w:rsid w:val="00526950"/>
    <w:rsid w:val="005272DF"/>
    <w:rsid w:val="0052766A"/>
    <w:rsid w:val="00527B01"/>
    <w:rsid w:val="00531040"/>
    <w:rsid w:val="005317C1"/>
    <w:rsid w:val="0053189D"/>
    <w:rsid w:val="00531AC0"/>
    <w:rsid w:val="00531AEC"/>
    <w:rsid w:val="00532827"/>
    <w:rsid w:val="00532BE0"/>
    <w:rsid w:val="00532F24"/>
    <w:rsid w:val="0053308F"/>
    <w:rsid w:val="00533110"/>
    <w:rsid w:val="005331C9"/>
    <w:rsid w:val="00533B21"/>
    <w:rsid w:val="00534A8C"/>
    <w:rsid w:val="0053600D"/>
    <w:rsid w:val="0053613D"/>
    <w:rsid w:val="005369F4"/>
    <w:rsid w:val="00536A46"/>
    <w:rsid w:val="0053721D"/>
    <w:rsid w:val="00537A7A"/>
    <w:rsid w:val="00537DBC"/>
    <w:rsid w:val="00540CF8"/>
    <w:rsid w:val="00541367"/>
    <w:rsid w:val="00541623"/>
    <w:rsid w:val="00541CC4"/>
    <w:rsid w:val="00542850"/>
    <w:rsid w:val="00542C46"/>
    <w:rsid w:val="00542D7B"/>
    <w:rsid w:val="00542E59"/>
    <w:rsid w:val="00543458"/>
    <w:rsid w:val="005435B3"/>
    <w:rsid w:val="00543CDC"/>
    <w:rsid w:val="0054438A"/>
    <w:rsid w:val="005448A3"/>
    <w:rsid w:val="0054491B"/>
    <w:rsid w:val="00544F1B"/>
    <w:rsid w:val="005459DC"/>
    <w:rsid w:val="00545BC5"/>
    <w:rsid w:val="00545F07"/>
    <w:rsid w:val="00546E5B"/>
    <w:rsid w:val="00547B55"/>
    <w:rsid w:val="00550750"/>
    <w:rsid w:val="0055238D"/>
    <w:rsid w:val="00552405"/>
    <w:rsid w:val="00552469"/>
    <w:rsid w:val="005524A8"/>
    <w:rsid w:val="0055296A"/>
    <w:rsid w:val="005529C6"/>
    <w:rsid w:val="00552DCD"/>
    <w:rsid w:val="005540D1"/>
    <w:rsid w:val="005542DF"/>
    <w:rsid w:val="005542F6"/>
    <w:rsid w:val="0055478A"/>
    <w:rsid w:val="00554BAE"/>
    <w:rsid w:val="00555240"/>
    <w:rsid w:val="0055544F"/>
    <w:rsid w:val="0055569C"/>
    <w:rsid w:val="0055631A"/>
    <w:rsid w:val="0055651E"/>
    <w:rsid w:val="005567B9"/>
    <w:rsid w:val="00556D5C"/>
    <w:rsid w:val="00557276"/>
    <w:rsid w:val="0055755F"/>
    <w:rsid w:val="005576C1"/>
    <w:rsid w:val="00557AA5"/>
    <w:rsid w:val="00557B0F"/>
    <w:rsid w:val="00560FF0"/>
    <w:rsid w:val="00561F8E"/>
    <w:rsid w:val="0056221A"/>
    <w:rsid w:val="0056246C"/>
    <w:rsid w:val="00562B4D"/>
    <w:rsid w:val="00562EA7"/>
    <w:rsid w:val="0056358C"/>
    <w:rsid w:val="00564A9E"/>
    <w:rsid w:val="00564B94"/>
    <w:rsid w:val="005652A7"/>
    <w:rsid w:val="005656EE"/>
    <w:rsid w:val="005657FE"/>
    <w:rsid w:val="00565CBD"/>
    <w:rsid w:val="0056687B"/>
    <w:rsid w:val="00566C58"/>
    <w:rsid w:val="00566D36"/>
    <w:rsid w:val="00567074"/>
    <w:rsid w:val="005670BD"/>
    <w:rsid w:val="00567332"/>
    <w:rsid w:val="005677FB"/>
    <w:rsid w:val="00567F08"/>
    <w:rsid w:val="0057065B"/>
    <w:rsid w:val="00571CAC"/>
    <w:rsid w:val="00571D84"/>
    <w:rsid w:val="00572188"/>
    <w:rsid w:val="005724E6"/>
    <w:rsid w:val="00573CBD"/>
    <w:rsid w:val="005741A5"/>
    <w:rsid w:val="0057461F"/>
    <w:rsid w:val="00575724"/>
    <w:rsid w:val="0057699A"/>
    <w:rsid w:val="00576B58"/>
    <w:rsid w:val="00576BB9"/>
    <w:rsid w:val="00576D17"/>
    <w:rsid w:val="0057733A"/>
    <w:rsid w:val="005778EA"/>
    <w:rsid w:val="00577E1C"/>
    <w:rsid w:val="00580CA0"/>
    <w:rsid w:val="00580D5C"/>
    <w:rsid w:val="00581D5D"/>
    <w:rsid w:val="00581DAD"/>
    <w:rsid w:val="005826C6"/>
    <w:rsid w:val="00582C30"/>
    <w:rsid w:val="00583578"/>
    <w:rsid w:val="0058444D"/>
    <w:rsid w:val="005844C6"/>
    <w:rsid w:val="00584DFE"/>
    <w:rsid w:val="0058507A"/>
    <w:rsid w:val="00586C5E"/>
    <w:rsid w:val="005879F8"/>
    <w:rsid w:val="00587DD8"/>
    <w:rsid w:val="005909DF"/>
    <w:rsid w:val="00591308"/>
    <w:rsid w:val="00591487"/>
    <w:rsid w:val="00592F00"/>
    <w:rsid w:val="0059373B"/>
    <w:rsid w:val="00593A3C"/>
    <w:rsid w:val="00593D5B"/>
    <w:rsid w:val="005940B2"/>
    <w:rsid w:val="005944D6"/>
    <w:rsid w:val="005947AB"/>
    <w:rsid w:val="005953AE"/>
    <w:rsid w:val="005963F6"/>
    <w:rsid w:val="00596CAC"/>
    <w:rsid w:val="005971A5"/>
    <w:rsid w:val="0059721A"/>
    <w:rsid w:val="00597E1E"/>
    <w:rsid w:val="00597F61"/>
    <w:rsid w:val="005A0332"/>
    <w:rsid w:val="005A0D17"/>
    <w:rsid w:val="005A105D"/>
    <w:rsid w:val="005A175F"/>
    <w:rsid w:val="005A177B"/>
    <w:rsid w:val="005A1984"/>
    <w:rsid w:val="005A1EE3"/>
    <w:rsid w:val="005A2D3A"/>
    <w:rsid w:val="005A2D9E"/>
    <w:rsid w:val="005A405E"/>
    <w:rsid w:val="005A43ED"/>
    <w:rsid w:val="005A4B39"/>
    <w:rsid w:val="005A4B76"/>
    <w:rsid w:val="005A4EFB"/>
    <w:rsid w:val="005A508E"/>
    <w:rsid w:val="005A5098"/>
    <w:rsid w:val="005A52BF"/>
    <w:rsid w:val="005A59E4"/>
    <w:rsid w:val="005A5F79"/>
    <w:rsid w:val="005A64E4"/>
    <w:rsid w:val="005A6DC4"/>
    <w:rsid w:val="005A6E8F"/>
    <w:rsid w:val="005A74A2"/>
    <w:rsid w:val="005A78A3"/>
    <w:rsid w:val="005A7A2A"/>
    <w:rsid w:val="005A7B4B"/>
    <w:rsid w:val="005A7ECD"/>
    <w:rsid w:val="005B044E"/>
    <w:rsid w:val="005B0A10"/>
    <w:rsid w:val="005B0BDA"/>
    <w:rsid w:val="005B0FB2"/>
    <w:rsid w:val="005B162E"/>
    <w:rsid w:val="005B1C38"/>
    <w:rsid w:val="005B1EED"/>
    <w:rsid w:val="005B2016"/>
    <w:rsid w:val="005B213B"/>
    <w:rsid w:val="005B2189"/>
    <w:rsid w:val="005B2A17"/>
    <w:rsid w:val="005B2DBE"/>
    <w:rsid w:val="005B2E61"/>
    <w:rsid w:val="005B2F21"/>
    <w:rsid w:val="005B3985"/>
    <w:rsid w:val="005B3AD4"/>
    <w:rsid w:val="005B416B"/>
    <w:rsid w:val="005B4CB9"/>
    <w:rsid w:val="005B4E33"/>
    <w:rsid w:val="005B593C"/>
    <w:rsid w:val="005B6103"/>
    <w:rsid w:val="005B66C6"/>
    <w:rsid w:val="005B6B06"/>
    <w:rsid w:val="005B7A26"/>
    <w:rsid w:val="005B7C56"/>
    <w:rsid w:val="005C0093"/>
    <w:rsid w:val="005C0460"/>
    <w:rsid w:val="005C0711"/>
    <w:rsid w:val="005C079C"/>
    <w:rsid w:val="005C0986"/>
    <w:rsid w:val="005C0E5B"/>
    <w:rsid w:val="005C107D"/>
    <w:rsid w:val="005C2124"/>
    <w:rsid w:val="005C43FB"/>
    <w:rsid w:val="005C469B"/>
    <w:rsid w:val="005C4E54"/>
    <w:rsid w:val="005C4EB3"/>
    <w:rsid w:val="005C4EB6"/>
    <w:rsid w:val="005C4F1E"/>
    <w:rsid w:val="005C4FEB"/>
    <w:rsid w:val="005C50AB"/>
    <w:rsid w:val="005C529B"/>
    <w:rsid w:val="005C5392"/>
    <w:rsid w:val="005C5489"/>
    <w:rsid w:val="005C5B85"/>
    <w:rsid w:val="005C71C5"/>
    <w:rsid w:val="005C766E"/>
    <w:rsid w:val="005D0144"/>
    <w:rsid w:val="005D06B8"/>
    <w:rsid w:val="005D1A82"/>
    <w:rsid w:val="005D21F4"/>
    <w:rsid w:val="005D28F8"/>
    <w:rsid w:val="005D331F"/>
    <w:rsid w:val="005D45BA"/>
    <w:rsid w:val="005D45F2"/>
    <w:rsid w:val="005D48AA"/>
    <w:rsid w:val="005D4AF1"/>
    <w:rsid w:val="005D5071"/>
    <w:rsid w:val="005D5417"/>
    <w:rsid w:val="005D6764"/>
    <w:rsid w:val="005D682D"/>
    <w:rsid w:val="005D6F5E"/>
    <w:rsid w:val="005D7049"/>
    <w:rsid w:val="005D7427"/>
    <w:rsid w:val="005D75F6"/>
    <w:rsid w:val="005D7811"/>
    <w:rsid w:val="005D7CC8"/>
    <w:rsid w:val="005D7DAB"/>
    <w:rsid w:val="005E030E"/>
    <w:rsid w:val="005E1087"/>
    <w:rsid w:val="005E1240"/>
    <w:rsid w:val="005E1864"/>
    <w:rsid w:val="005E1892"/>
    <w:rsid w:val="005E1BAB"/>
    <w:rsid w:val="005E214C"/>
    <w:rsid w:val="005E267A"/>
    <w:rsid w:val="005E2B42"/>
    <w:rsid w:val="005E4177"/>
    <w:rsid w:val="005E41F8"/>
    <w:rsid w:val="005E6849"/>
    <w:rsid w:val="005E6E57"/>
    <w:rsid w:val="005E713B"/>
    <w:rsid w:val="005E7B86"/>
    <w:rsid w:val="005F04B5"/>
    <w:rsid w:val="005F0B56"/>
    <w:rsid w:val="005F1662"/>
    <w:rsid w:val="005F1E94"/>
    <w:rsid w:val="005F2537"/>
    <w:rsid w:val="005F2E89"/>
    <w:rsid w:val="005F3455"/>
    <w:rsid w:val="005F3CD7"/>
    <w:rsid w:val="005F3F45"/>
    <w:rsid w:val="005F435A"/>
    <w:rsid w:val="005F4A26"/>
    <w:rsid w:val="005F4CAD"/>
    <w:rsid w:val="005F55F0"/>
    <w:rsid w:val="005F5797"/>
    <w:rsid w:val="005F616F"/>
    <w:rsid w:val="005F66B3"/>
    <w:rsid w:val="005F722E"/>
    <w:rsid w:val="006002A8"/>
    <w:rsid w:val="00600408"/>
    <w:rsid w:val="00600AD0"/>
    <w:rsid w:val="00602193"/>
    <w:rsid w:val="00602F91"/>
    <w:rsid w:val="0060302E"/>
    <w:rsid w:val="00603108"/>
    <w:rsid w:val="00603729"/>
    <w:rsid w:val="0060374F"/>
    <w:rsid w:val="00603F75"/>
    <w:rsid w:val="00604B45"/>
    <w:rsid w:val="006054BF"/>
    <w:rsid w:val="00606145"/>
    <w:rsid w:val="0060649C"/>
    <w:rsid w:val="006070E9"/>
    <w:rsid w:val="00607A85"/>
    <w:rsid w:val="00610436"/>
    <w:rsid w:val="00610583"/>
    <w:rsid w:val="0061073C"/>
    <w:rsid w:val="00610F30"/>
    <w:rsid w:val="00611BC4"/>
    <w:rsid w:val="00612207"/>
    <w:rsid w:val="00612679"/>
    <w:rsid w:val="00612902"/>
    <w:rsid w:val="006139C5"/>
    <w:rsid w:val="00613DD6"/>
    <w:rsid w:val="006149ED"/>
    <w:rsid w:val="006151EC"/>
    <w:rsid w:val="0061550F"/>
    <w:rsid w:val="00615B74"/>
    <w:rsid w:val="00615D7E"/>
    <w:rsid w:val="00616E1E"/>
    <w:rsid w:val="006177AB"/>
    <w:rsid w:val="00617D01"/>
    <w:rsid w:val="00620004"/>
    <w:rsid w:val="00620146"/>
    <w:rsid w:val="0062031E"/>
    <w:rsid w:val="00620B0E"/>
    <w:rsid w:val="00620F5C"/>
    <w:rsid w:val="006213CD"/>
    <w:rsid w:val="0062178F"/>
    <w:rsid w:val="006219D0"/>
    <w:rsid w:val="006221B7"/>
    <w:rsid w:val="00622391"/>
    <w:rsid w:val="006231D3"/>
    <w:rsid w:val="006236E0"/>
    <w:rsid w:val="0062383A"/>
    <w:rsid w:val="00624E9D"/>
    <w:rsid w:val="006262D3"/>
    <w:rsid w:val="006263A5"/>
    <w:rsid w:val="00627388"/>
    <w:rsid w:val="0062742B"/>
    <w:rsid w:val="0063024C"/>
    <w:rsid w:val="006302C8"/>
    <w:rsid w:val="006306FB"/>
    <w:rsid w:val="0063078A"/>
    <w:rsid w:val="0063209A"/>
    <w:rsid w:val="006321AC"/>
    <w:rsid w:val="00632D5F"/>
    <w:rsid w:val="0063418C"/>
    <w:rsid w:val="00634C42"/>
    <w:rsid w:val="00634CB2"/>
    <w:rsid w:val="0063532E"/>
    <w:rsid w:val="00635753"/>
    <w:rsid w:val="006357B5"/>
    <w:rsid w:val="00635B01"/>
    <w:rsid w:val="00635FC0"/>
    <w:rsid w:val="00636929"/>
    <w:rsid w:val="00636B2B"/>
    <w:rsid w:val="00637D5B"/>
    <w:rsid w:val="006428F6"/>
    <w:rsid w:val="0064294D"/>
    <w:rsid w:val="00642A69"/>
    <w:rsid w:val="00642F2D"/>
    <w:rsid w:val="0064364B"/>
    <w:rsid w:val="00643766"/>
    <w:rsid w:val="00643E33"/>
    <w:rsid w:val="0064412A"/>
    <w:rsid w:val="00644BD6"/>
    <w:rsid w:val="00644E64"/>
    <w:rsid w:val="0064770F"/>
    <w:rsid w:val="006477B4"/>
    <w:rsid w:val="00647F12"/>
    <w:rsid w:val="00650078"/>
    <w:rsid w:val="006504F6"/>
    <w:rsid w:val="00650D06"/>
    <w:rsid w:val="00650FE6"/>
    <w:rsid w:val="006513F7"/>
    <w:rsid w:val="00651900"/>
    <w:rsid w:val="006520BC"/>
    <w:rsid w:val="00652577"/>
    <w:rsid w:val="0065378F"/>
    <w:rsid w:val="00653833"/>
    <w:rsid w:val="00653D7A"/>
    <w:rsid w:val="00654A96"/>
    <w:rsid w:val="00654BB3"/>
    <w:rsid w:val="006558BA"/>
    <w:rsid w:val="00655B30"/>
    <w:rsid w:val="00656844"/>
    <w:rsid w:val="006570E3"/>
    <w:rsid w:val="00657242"/>
    <w:rsid w:val="006576D1"/>
    <w:rsid w:val="00657D26"/>
    <w:rsid w:val="00657E12"/>
    <w:rsid w:val="006606AD"/>
    <w:rsid w:val="00661FEC"/>
    <w:rsid w:val="00662041"/>
    <w:rsid w:val="00662CEA"/>
    <w:rsid w:val="00663322"/>
    <w:rsid w:val="00663D3C"/>
    <w:rsid w:val="006645DD"/>
    <w:rsid w:val="00664BDD"/>
    <w:rsid w:val="00664EC4"/>
    <w:rsid w:val="006658D2"/>
    <w:rsid w:val="00665F00"/>
    <w:rsid w:val="00666855"/>
    <w:rsid w:val="00666F11"/>
    <w:rsid w:val="00667144"/>
    <w:rsid w:val="0066720C"/>
    <w:rsid w:val="0066762A"/>
    <w:rsid w:val="006704DC"/>
    <w:rsid w:val="0067052A"/>
    <w:rsid w:val="0067089D"/>
    <w:rsid w:val="00670F47"/>
    <w:rsid w:val="006715DD"/>
    <w:rsid w:val="006718F5"/>
    <w:rsid w:val="00672911"/>
    <w:rsid w:val="00672AB0"/>
    <w:rsid w:val="00672B7E"/>
    <w:rsid w:val="00673218"/>
    <w:rsid w:val="006735C7"/>
    <w:rsid w:val="00673AAB"/>
    <w:rsid w:val="0067478B"/>
    <w:rsid w:val="006747AF"/>
    <w:rsid w:val="00674AF5"/>
    <w:rsid w:val="0067502B"/>
    <w:rsid w:val="00675299"/>
    <w:rsid w:val="006752DE"/>
    <w:rsid w:val="00675381"/>
    <w:rsid w:val="00675891"/>
    <w:rsid w:val="00676448"/>
    <w:rsid w:val="006765FB"/>
    <w:rsid w:val="00676629"/>
    <w:rsid w:val="0067688D"/>
    <w:rsid w:val="006768CC"/>
    <w:rsid w:val="00676C8F"/>
    <w:rsid w:val="00676FBE"/>
    <w:rsid w:val="00676FFA"/>
    <w:rsid w:val="00677249"/>
    <w:rsid w:val="006802DB"/>
    <w:rsid w:val="00680640"/>
    <w:rsid w:val="00680667"/>
    <w:rsid w:val="00680700"/>
    <w:rsid w:val="006808FF"/>
    <w:rsid w:val="00681105"/>
    <w:rsid w:val="00681E49"/>
    <w:rsid w:val="00683D1E"/>
    <w:rsid w:val="00683E51"/>
    <w:rsid w:val="00683EA5"/>
    <w:rsid w:val="00683F02"/>
    <w:rsid w:val="0068481F"/>
    <w:rsid w:val="006848BC"/>
    <w:rsid w:val="00684EB5"/>
    <w:rsid w:val="00685845"/>
    <w:rsid w:val="00685ED9"/>
    <w:rsid w:val="00686264"/>
    <w:rsid w:val="00686AE1"/>
    <w:rsid w:val="00686B7E"/>
    <w:rsid w:val="00686D99"/>
    <w:rsid w:val="0068784E"/>
    <w:rsid w:val="006878CE"/>
    <w:rsid w:val="00690197"/>
    <w:rsid w:val="006903AB"/>
    <w:rsid w:val="00690442"/>
    <w:rsid w:val="00690618"/>
    <w:rsid w:val="00690B63"/>
    <w:rsid w:val="0069111B"/>
    <w:rsid w:val="00691173"/>
    <w:rsid w:val="00691220"/>
    <w:rsid w:val="00691478"/>
    <w:rsid w:val="00691785"/>
    <w:rsid w:val="00691962"/>
    <w:rsid w:val="00691DDB"/>
    <w:rsid w:val="006921F2"/>
    <w:rsid w:val="0069230E"/>
    <w:rsid w:val="00692397"/>
    <w:rsid w:val="00692B72"/>
    <w:rsid w:val="00693562"/>
    <w:rsid w:val="0069359E"/>
    <w:rsid w:val="00695700"/>
    <w:rsid w:val="00696640"/>
    <w:rsid w:val="00696CB9"/>
    <w:rsid w:val="00696CC0"/>
    <w:rsid w:val="00696D49"/>
    <w:rsid w:val="00696E42"/>
    <w:rsid w:val="0069791B"/>
    <w:rsid w:val="00697C01"/>
    <w:rsid w:val="00697C46"/>
    <w:rsid w:val="00697C5F"/>
    <w:rsid w:val="006A11A0"/>
    <w:rsid w:val="006A11F0"/>
    <w:rsid w:val="006A131E"/>
    <w:rsid w:val="006A3033"/>
    <w:rsid w:val="006A310E"/>
    <w:rsid w:val="006A3535"/>
    <w:rsid w:val="006A365F"/>
    <w:rsid w:val="006A488C"/>
    <w:rsid w:val="006A4973"/>
    <w:rsid w:val="006A4ACC"/>
    <w:rsid w:val="006A4F57"/>
    <w:rsid w:val="006A5407"/>
    <w:rsid w:val="006A5950"/>
    <w:rsid w:val="006A6468"/>
    <w:rsid w:val="006A6C5B"/>
    <w:rsid w:val="006A6C70"/>
    <w:rsid w:val="006A6FB8"/>
    <w:rsid w:val="006A752D"/>
    <w:rsid w:val="006A7748"/>
    <w:rsid w:val="006B0C8E"/>
    <w:rsid w:val="006B0EB5"/>
    <w:rsid w:val="006B0F54"/>
    <w:rsid w:val="006B1119"/>
    <w:rsid w:val="006B117D"/>
    <w:rsid w:val="006B13EB"/>
    <w:rsid w:val="006B195D"/>
    <w:rsid w:val="006B2219"/>
    <w:rsid w:val="006B289E"/>
    <w:rsid w:val="006B2C78"/>
    <w:rsid w:val="006B2EA0"/>
    <w:rsid w:val="006B3377"/>
    <w:rsid w:val="006B35BB"/>
    <w:rsid w:val="006B4503"/>
    <w:rsid w:val="006B4AF1"/>
    <w:rsid w:val="006B4C1A"/>
    <w:rsid w:val="006B510B"/>
    <w:rsid w:val="006B57A1"/>
    <w:rsid w:val="006B61A3"/>
    <w:rsid w:val="006B63BA"/>
    <w:rsid w:val="006B6B23"/>
    <w:rsid w:val="006B70DB"/>
    <w:rsid w:val="006B71F9"/>
    <w:rsid w:val="006C0391"/>
    <w:rsid w:val="006C0847"/>
    <w:rsid w:val="006C0AAE"/>
    <w:rsid w:val="006C1A07"/>
    <w:rsid w:val="006C1E2D"/>
    <w:rsid w:val="006C2303"/>
    <w:rsid w:val="006C24F9"/>
    <w:rsid w:val="006C28EA"/>
    <w:rsid w:val="006C2B30"/>
    <w:rsid w:val="006C2BDF"/>
    <w:rsid w:val="006C2CF8"/>
    <w:rsid w:val="006C3176"/>
    <w:rsid w:val="006C336C"/>
    <w:rsid w:val="006C375B"/>
    <w:rsid w:val="006C41BB"/>
    <w:rsid w:val="006C4A46"/>
    <w:rsid w:val="006C5378"/>
    <w:rsid w:val="006C5480"/>
    <w:rsid w:val="006C577C"/>
    <w:rsid w:val="006C5ADB"/>
    <w:rsid w:val="006C5EF4"/>
    <w:rsid w:val="006C6038"/>
    <w:rsid w:val="006C60F8"/>
    <w:rsid w:val="006C6486"/>
    <w:rsid w:val="006C65CC"/>
    <w:rsid w:val="006C6D45"/>
    <w:rsid w:val="006C755D"/>
    <w:rsid w:val="006C7AF7"/>
    <w:rsid w:val="006D04E9"/>
    <w:rsid w:val="006D0CEA"/>
    <w:rsid w:val="006D11DD"/>
    <w:rsid w:val="006D1461"/>
    <w:rsid w:val="006D14C4"/>
    <w:rsid w:val="006D205B"/>
    <w:rsid w:val="006D21F7"/>
    <w:rsid w:val="006D255E"/>
    <w:rsid w:val="006D38C6"/>
    <w:rsid w:val="006D39B4"/>
    <w:rsid w:val="006D412D"/>
    <w:rsid w:val="006D48C9"/>
    <w:rsid w:val="006D4A0F"/>
    <w:rsid w:val="006D4E0E"/>
    <w:rsid w:val="006D5B72"/>
    <w:rsid w:val="006D5B95"/>
    <w:rsid w:val="006D658E"/>
    <w:rsid w:val="006D6772"/>
    <w:rsid w:val="006D6D51"/>
    <w:rsid w:val="006D753E"/>
    <w:rsid w:val="006D7964"/>
    <w:rsid w:val="006D7D35"/>
    <w:rsid w:val="006E05D1"/>
    <w:rsid w:val="006E070F"/>
    <w:rsid w:val="006E086A"/>
    <w:rsid w:val="006E09AB"/>
    <w:rsid w:val="006E0E02"/>
    <w:rsid w:val="006E10A0"/>
    <w:rsid w:val="006E120A"/>
    <w:rsid w:val="006E1242"/>
    <w:rsid w:val="006E1638"/>
    <w:rsid w:val="006E19AC"/>
    <w:rsid w:val="006E1B9D"/>
    <w:rsid w:val="006E23AC"/>
    <w:rsid w:val="006E38E4"/>
    <w:rsid w:val="006E3CF9"/>
    <w:rsid w:val="006E3E19"/>
    <w:rsid w:val="006E4312"/>
    <w:rsid w:val="006E454F"/>
    <w:rsid w:val="006E51C5"/>
    <w:rsid w:val="006E51EB"/>
    <w:rsid w:val="006E5374"/>
    <w:rsid w:val="006E6148"/>
    <w:rsid w:val="006E626F"/>
    <w:rsid w:val="006E653B"/>
    <w:rsid w:val="006E6EAE"/>
    <w:rsid w:val="006E71DE"/>
    <w:rsid w:val="006E72E1"/>
    <w:rsid w:val="006E7850"/>
    <w:rsid w:val="006E7873"/>
    <w:rsid w:val="006F100A"/>
    <w:rsid w:val="006F1E98"/>
    <w:rsid w:val="006F2CE6"/>
    <w:rsid w:val="006F31BC"/>
    <w:rsid w:val="006F3B2A"/>
    <w:rsid w:val="006F3F7F"/>
    <w:rsid w:val="006F3FBB"/>
    <w:rsid w:val="006F4146"/>
    <w:rsid w:val="006F42ED"/>
    <w:rsid w:val="006F43D7"/>
    <w:rsid w:val="006F59A9"/>
    <w:rsid w:val="006F5DF2"/>
    <w:rsid w:val="006F658C"/>
    <w:rsid w:val="006F677A"/>
    <w:rsid w:val="006F6E89"/>
    <w:rsid w:val="006F735A"/>
    <w:rsid w:val="006F780C"/>
    <w:rsid w:val="007005E3"/>
    <w:rsid w:val="00700D5B"/>
    <w:rsid w:val="0070181C"/>
    <w:rsid w:val="00701C0F"/>
    <w:rsid w:val="00702195"/>
    <w:rsid w:val="00703941"/>
    <w:rsid w:val="00704167"/>
    <w:rsid w:val="00705168"/>
    <w:rsid w:val="00705515"/>
    <w:rsid w:val="007057E9"/>
    <w:rsid w:val="007060DD"/>
    <w:rsid w:val="0070612B"/>
    <w:rsid w:val="00706208"/>
    <w:rsid w:val="00706219"/>
    <w:rsid w:val="0070678F"/>
    <w:rsid w:val="00706824"/>
    <w:rsid w:val="0070683D"/>
    <w:rsid w:val="007068B8"/>
    <w:rsid w:val="00706F15"/>
    <w:rsid w:val="0070745D"/>
    <w:rsid w:val="00707477"/>
    <w:rsid w:val="007079B3"/>
    <w:rsid w:val="007102A5"/>
    <w:rsid w:val="007108FB"/>
    <w:rsid w:val="00710C48"/>
    <w:rsid w:val="00711113"/>
    <w:rsid w:val="00711482"/>
    <w:rsid w:val="0071176D"/>
    <w:rsid w:val="00711C46"/>
    <w:rsid w:val="0071221F"/>
    <w:rsid w:val="00712BD4"/>
    <w:rsid w:val="00712FE5"/>
    <w:rsid w:val="00712FEA"/>
    <w:rsid w:val="00713A43"/>
    <w:rsid w:val="00713D4F"/>
    <w:rsid w:val="00713FA2"/>
    <w:rsid w:val="007140AB"/>
    <w:rsid w:val="00714397"/>
    <w:rsid w:val="00714678"/>
    <w:rsid w:val="0071551C"/>
    <w:rsid w:val="00715FB1"/>
    <w:rsid w:val="007176E1"/>
    <w:rsid w:val="00717D33"/>
    <w:rsid w:val="00717DE5"/>
    <w:rsid w:val="00720079"/>
    <w:rsid w:val="00720139"/>
    <w:rsid w:val="00720229"/>
    <w:rsid w:val="0072031A"/>
    <w:rsid w:val="00720411"/>
    <w:rsid w:val="00720525"/>
    <w:rsid w:val="00720A2B"/>
    <w:rsid w:val="00720D07"/>
    <w:rsid w:val="00721028"/>
    <w:rsid w:val="00721154"/>
    <w:rsid w:val="00721D6F"/>
    <w:rsid w:val="0072252A"/>
    <w:rsid w:val="00723331"/>
    <w:rsid w:val="00725366"/>
    <w:rsid w:val="00725B27"/>
    <w:rsid w:val="00725B8F"/>
    <w:rsid w:val="0072656A"/>
    <w:rsid w:val="007271DE"/>
    <w:rsid w:val="00727E05"/>
    <w:rsid w:val="00730093"/>
    <w:rsid w:val="0073049C"/>
    <w:rsid w:val="00731C91"/>
    <w:rsid w:val="00732F2F"/>
    <w:rsid w:val="007342B7"/>
    <w:rsid w:val="00734BD0"/>
    <w:rsid w:val="00735271"/>
    <w:rsid w:val="0073579B"/>
    <w:rsid w:val="00735B34"/>
    <w:rsid w:val="00736B1A"/>
    <w:rsid w:val="00736B8B"/>
    <w:rsid w:val="00736C2E"/>
    <w:rsid w:val="00736EEA"/>
    <w:rsid w:val="007371C1"/>
    <w:rsid w:val="00737B1A"/>
    <w:rsid w:val="00737B3A"/>
    <w:rsid w:val="00737C8D"/>
    <w:rsid w:val="00737F87"/>
    <w:rsid w:val="007401AA"/>
    <w:rsid w:val="007401E8"/>
    <w:rsid w:val="00741A6E"/>
    <w:rsid w:val="00741C6D"/>
    <w:rsid w:val="00741F4A"/>
    <w:rsid w:val="00742134"/>
    <w:rsid w:val="00742DDB"/>
    <w:rsid w:val="007444B0"/>
    <w:rsid w:val="0074502F"/>
    <w:rsid w:val="00745639"/>
    <w:rsid w:val="00745EBD"/>
    <w:rsid w:val="0074689B"/>
    <w:rsid w:val="00746ED4"/>
    <w:rsid w:val="007474A0"/>
    <w:rsid w:val="0074764F"/>
    <w:rsid w:val="007478FC"/>
    <w:rsid w:val="00747C06"/>
    <w:rsid w:val="0075075C"/>
    <w:rsid w:val="00751379"/>
    <w:rsid w:val="00751B21"/>
    <w:rsid w:val="00751E3F"/>
    <w:rsid w:val="0075275D"/>
    <w:rsid w:val="00753528"/>
    <w:rsid w:val="00753531"/>
    <w:rsid w:val="00754259"/>
    <w:rsid w:val="00754948"/>
    <w:rsid w:val="00754A23"/>
    <w:rsid w:val="00755424"/>
    <w:rsid w:val="00756B90"/>
    <w:rsid w:val="00756C79"/>
    <w:rsid w:val="00756F01"/>
    <w:rsid w:val="00756F1E"/>
    <w:rsid w:val="007575C3"/>
    <w:rsid w:val="007607F2"/>
    <w:rsid w:val="00761553"/>
    <w:rsid w:val="007619A8"/>
    <w:rsid w:val="007636E7"/>
    <w:rsid w:val="0076370F"/>
    <w:rsid w:val="007638B2"/>
    <w:rsid w:val="00764106"/>
    <w:rsid w:val="0076437B"/>
    <w:rsid w:val="007650DF"/>
    <w:rsid w:val="0076640B"/>
    <w:rsid w:val="007669E1"/>
    <w:rsid w:val="00766A87"/>
    <w:rsid w:val="007671D3"/>
    <w:rsid w:val="007678AE"/>
    <w:rsid w:val="007678BF"/>
    <w:rsid w:val="00767905"/>
    <w:rsid w:val="00767AD4"/>
    <w:rsid w:val="00767ED6"/>
    <w:rsid w:val="00770413"/>
    <w:rsid w:val="00770485"/>
    <w:rsid w:val="007709EB"/>
    <w:rsid w:val="0077134A"/>
    <w:rsid w:val="00771386"/>
    <w:rsid w:val="00772204"/>
    <w:rsid w:val="00772411"/>
    <w:rsid w:val="0077336C"/>
    <w:rsid w:val="00773DCF"/>
    <w:rsid w:val="0077467C"/>
    <w:rsid w:val="00774F17"/>
    <w:rsid w:val="0077545B"/>
    <w:rsid w:val="00775CD9"/>
    <w:rsid w:val="00775F01"/>
    <w:rsid w:val="00776896"/>
    <w:rsid w:val="00776B33"/>
    <w:rsid w:val="0077740D"/>
    <w:rsid w:val="00777E3A"/>
    <w:rsid w:val="00777E84"/>
    <w:rsid w:val="0078011C"/>
    <w:rsid w:val="00780464"/>
    <w:rsid w:val="007804B5"/>
    <w:rsid w:val="007810C0"/>
    <w:rsid w:val="0078192C"/>
    <w:rsid w:val="00782126"/>
    <w:rsid w:val="00782539"/>
    <w:rsid w:val="00783284"/>
    <w:rsid w:val="00783333"/>
    <w:rsid w:val="00783BCE"/>
    <w:rsid w:val="00784847"/>
    <w:rsid w:val="007852E1"/>
    <w:rsid w:val="00785402"/>
    <w:rsid w:val="00786168"/>
    <w:rsid w:val="007865EB"/>
    <w:rsid w:val="0078737F"/>
    <w:rsid w:val="0078749D"/>
    <w:rsid w:val="00787507"/>
    <w:rsid w:val="00787879"/>
    <w:rsid w:val="00787DC7"/>
    <w:rsid w:val="0079056E"/>
    <w:rsid w:val="00791030"/>
    <w:rsid w:val="00791F68"/>
    <w:rsid w:val="007930F8"/>
    <w:rsid w:val="0079436C"/>
    <w:rsid w:val="00794622"/>
    <w:rsid w:val="007950DD"/>
    <w:rsid w:val="00795140"/>
    <w:rsid w:val="00795B63"/>
    <w:rsid w:val="00796A89"/>
    <w:rsid w:val="007971B3"/>
    <w:rsid w:val="007971D1"/>
    <w:rsid w:val="00797AC1"/>
    <w:rsid w:val="007A0391"/>
    <w:rsid w:val="007A0FBA"/>
    <w:rsid w:val="007A15AC"/>
    <w:rsid w:val="007A199E"/>
    <w:rsid w:val="007A21FF"/>
    <w:rsid w:val="007A2890"/>
    <w:rsid w:val="007A291E"/>
    <w:rsid w:val="007A2985"/>
    <w:rsid w:val="007A2D4C"/>
    <w:rsid w:val="007A2DDE"/>
    <w:rsid w:val="007A2E01"/>
    <w:rsid w:val="007A395D"/>
    <w:rsid w:val="007A3A69"/>
    <w:rsid w:val="007A41FE"/>
    <w:rsid w:val="007A4B66"/>
    <w:rsid w:val="007A5160"/>
    <w:rsid w:val="007A5301"/>
    <w:rsid w:val="007A58B2"/>
    <w:rsid w:val="007A65C1"/>
    <w:rsid w:val="007A6AD1"/>
    <w:rsid w:val="007A6DCA"/>
    <w:rsid w:val="007A6F6F"/>
    <w:rsid w:val="007A7A96"/>
    <w:rsid w:val="007A7B4B"/>
    <w:rsid w:val="007B0BA9"/>
    <w:rsid w:val="007B0FC5"/>
    <w:rsid w:val="007B12E4"/>
    <w:rsid w:val="007B1890"/>
    <w:rsid w:val="007B1DBF"/>
    <w:rsid w:val="007B203A"/>
    <w:rsid w:val="007B2663"/>
    <w:rsid w:val="007B2701"/>
    <w:rsid w:val="007B27B9"/>
    <w:rsid w:val="007B2A2E"/>
    <w:rsid w:val="007B2A3D"/>
    <w:rsid w:val="007B2C5D"/>
    <w:rsid w:val="007B2E9A"/>
    <w:rsid w:val="007B38FB"/>
    <w:rsid w:val="007B38FF"/>
    <w:rsid w:val="007B3A0E"/>
    <w:rsid w:val="007B45FD"/>
    <w:rsid w:val="007B5211"/>
    <w:rsid w:val="007B605D"/>
    <w:rsid w:val="007B6386"/>
    <w:rsid w:val="007C0CFE"/>
    <w:rsid w:val="007C1410"/>
    <w:rsid w:val="007C2273"/>
    <w:rsid w:val="007C251C"/>
    <w:rsid w:val="007C2B38"/>
    <w:rsid w:val="007C2B84"/>
    <w:rsid w:val="007C2F46"/>
    <w:rsid w:val="007C30CB"/>
    <w:rsid w:val="007C4190"/>
    <w:rsid w:val="007C479D"/>
    <w:rsid w:val="007C4993"/>
    <w:rsid w:val="007C4B39"/>
    <w:rsid w:val="007C4D7A"/>
    <w:rsid w:val="007C66B4"/>
    <w:rsid w:val="007C68CD"/>
    <w:rsid w:val="007C69C2"/>
    <w:rsid w:val="007C7B35"/>
    <w:rsid w:val="007D03F5"/>
    <w:rsid w:val="007D07B3"/>
    <w:rsid w:val="007D0B3D"/>
    <w:rsid w:val="007D17BA"/>
    <w:rsid w:val="007D19B7"/>
    <w:rsid w:val="007D1B4F"/>
    <w:rsid w:val="007D1F17"/>
    <w:rsid w:val="007D2E37"/>
    <w:rsid w:val="007D2FF3"/>
    <w:rsid w:val="007D35EE"/>
    <w:rsid w:val="007D4994"/>
    <w:rsid w:val="007D4A46"/>
    <w:rsid w:val="007D5159"/>
    <w:rsid w:val="007D5211"/>
    <w:rsid w:val="007D56D7"/>
    <w:rsid w:val="007D57C9"/>
    <w:rsid w:val="007D6F7E"/>
    <w:rsid w:val="007D7305"/>
    <w:rsid w:val="007D795A"/>
    <w:rsid w:val="007E02B3"/>
    <w:rsid w:val="007E0711"/>
    <w:rsid w:val="007E0F9D"/>
    <w:rsid w:val="007E105D"/>
    <w:rsid w:val="007E1294"/>
    <w:rsid w:val="007E17D6"/>
    <w:rsid w:val="007E1C79"/>
    <w:rsid w:val="007E267A"/>
    <w:rsid w:val="007E2F93"/>
    <w:rsid w:val="007E3070"/>
    <w:rsid w:val="007E36EC"/>
    <w:rsid w:val="007E3C04"/>
    <w:rsid w:val="007E4199"/>
    <w:rsid w:val="007E477E"/>
    <w:rsid w:val="007E636A"/>
    <w:rsid w:val="007E7005"/>
    <w:rsid w:val="007E7377"/>
    <w:rsid w:val="007E783D"/>
    <w:rsid w:val="007E7A62"/>
    <w:rsid w:val="007E7FA6"/>
    <w:rsid w:val="007F02D0"/>
    <w:rsid w:val="007F074C"/>
    <w:rsid w:val="007F0E22"/>
    <w:rsid w:val="007F1382"/>
    <w:rsid w:val="007F1670"/>
    <w:rsid w:val="007F19A2"/>
    <w:rsid w:val="007F19FF"/>
    <w:rsid w:val="007F1E7C"/>
    <w:rsid w:val="007F2118"/>
    <w:rsid w:val="007F2858"/>
    <w:rsid w:val="007F28B2"/>
    <w:rsid w:val="007F2ABC"/>
    <w:rsid w:val="007F2D63"/>
    <w:rsid w:val="007F3317"/>
    <w:rsid w:val="007F3634"/>
    <w:rsid w:val="007F425F"/>
    <w:rsid w:val="007F44CC"/>
    <w:rsid w:val="007F46F9"/>
    <w:rsid w:val="007F47DE"/>
    <w:rsid w:val="007F4DFF"/>
    <w:rsid w:val="007F5A6F"/>
    <w:rsid w:val="007F69C6"/>
    <w:rsid w:val="007F6E67"/>
    <w:rsid w:val="007F702A"/>
    <w:rsid w:val="007F7106"/>
    <w:rsid w:val="007F789D"/>
    <w:rsid w:val="007F7B5C"/>
    <w:rsid w:val="007F7BFB"/>
    <w:rsid w:val="00800877"/>
    <w:rsid w:val="00800E3D"/>
    <w:rsid w:val="00801056"/>
    <w:rsid w:val="00801CD9"/>
    <w:rsid w:val="00801EFF"/>
    <w:rsid w:val="00801F34"/>
    <w:rsid w:val="008026BB"/>
    <w:rsid w:val="00802E8A"/>
    <w:rsid w:val="00803C77"/>
    <w:rsid w:val="00804525"/>
    <w:rsid w:val="008047C0"/>
    <w:rsid w:val="008052A9"/>
    <w:rsid w:val="008055D3"/>
    <w:rsid w:val="00805ADE"/>
    <w:rsid w:val="0080625E"/>
    <w:rsid w:val="0080711E"/>
    <w:rsid w:val="00807E50"/>
    <w:rsid w:val="00810185"/>
    <w:rsid w:val="008104F5"/>
    <w:rsid w:val="00810C40"/>
    <w:rsid w:val="00811E5C"/>
    <w:rsid w:val="00812416"/>
    <w:rsid w:val="00812483"/>
    <w:rsid w:val="0081296C"/>
    <w:rsid w:val="00813A44"/>
    <w:rsid w:val="00813DC2"/>
    <w:rsid w:val="00814D67"/>
    <w:rsid w:val="0081502D"/>
    <w:rsid w:val="00815477"/>
    <w:rsid w:val="008161EA"/>
    <w:rsid w:val="00816357"/>
    <w:rsid w:val="008167EB"/>
    <w:rsid w:val="00816B2A"/>
    <w:rsid w:val="00816DE2"/>
    <w:rsid w:val="00817223"/>
    <w:rsid w:val="00817A3D"/>
    <w:rsid w:val="00817DDC"/>
    <w:rsid w:val="00820321"/>
    <w:rsid w:val="008209C7"/>
    <w:rsid w:val="00820ECA"/>
    <w:rsid w:val="00820FDD"/>
    <w:rsid w:val="008213D6"/>
    <w:rsid w:val="008216E8"/>
    <w:rsid w:val="00821839"/>
    <w:rsid w:val="0082296E"/>
    <w:rsid w:val="008235BF"/>
    <w:rsid w:val="008244D9"/>
    <w:rsid w:val="00824F0D"/>
    <w:rsid w:val="008259B6"/>
    <w:rsid w:val="00825A87"/>
    <w:rsid w:val="00825E38"/>
    <w:rsid w:val="0082692F"/>
    <w:rsid w:val="00826DE7"/>
    <w:rsid w:val="00827004"/>
    <w:rsid w:val="00827A64"/>
    <w:rsid w:val="00827CD0"/>
    <w:rsid w:val="00827EFE"/>
    <w:rsid w:val="00830005"/>
    <w:rsid w:val="008300D0"/>
    <w:rsid w:val="008302BC"/>
    <w:rsid w:val="0083060E"/>
    <w:rsid w:val="00832838"/>
    <w:rsid w:val="008335ED"/>
    <w:rsid w:val="00833A2B"/>
    <w:rsid w:val="008344D3"/>
    <w:rsid w:val="00834546"/>
    <w:rsid w:val="00834703"/>
    <w:rsid w:val="0083498A"/>
    <w:rsid w:val="00834C04"/>
    <w:rsid w:val="00834E6F"/>
    <w:rsid w:val="00835216"/>
    <w:rsid w:val="0083538B"/>
    <w:rsid w:val="008353FC"/>
    <w:rsid w:val="00835AB1"/>
    <w:rsid w:val="00835F61"/>
    <w:rsid w:val="00836AE0"/>
    <w:rsid w:val="008375F7"/>
    <w:rsid w:val="00837927"/>
    <w:rsid w:val="008401C5"/>
    <w:rsid w:val="00840F28"/>
    <w:rsid w:val="008414C0"/>
    <w:rsid w:val="00841AE5"/>
    <w:rsid w:val="00841CE9"/>
    <w:rsid w:val="00842463"/>
    <w:rsid w:val="0084275F"/>
    <w:rsid w:val="008431E9"/>
    <w:rsid w:val="008434EE"/>
    <w:rsid w:val="00843A50"/>
    <w:rsid w:val="00844228"/>
    <w:rsid w:val="0084479D"/>
    <w:rsid w:val="00845144"/>
    <w:rsid w:val="0084536F"/>
    <w:rsid w:val="00845ECD"/>
    <w:rsid w:val="008468EF"/>
    <w:rsid w:val="00846DA2"/>
    <w:rsid w:val="008471CD"/>
    <w:rsid w:val="0085040A"/>
    <w:rsid w:val="00851564"/>
    <w:rsid w:val="008517B6"/>
    <w:rsid w:val="0085182B"/>
    <w:rsid w:val="00851A19"/>
    <w:rsid w:val="00851BC7"/>
    <w:rsid w:val="00851CF2"/>
    <w:rsid w:val="008534D6"/>
    <w:rsid w:val="008538CA"/>
    <w:rsid w:val="008540C5"/>
    <w:rsid w:val="00854256"/>
    <w:rsid w:val="0085426D"/>
    <w:rsid w:val="00854A4A"/>
    <w:rsid w:val="00855451"/>
    <w:rsid w:val="00855621"/>
    <w:rsid w:val="008559A5"/>
    <w:rsid w:val="008567F4"/>
    <w:rsid w:val="00857750"/>
    <w:rsid w:val="00857B30"/>
    <w:rsid w:val="00860125"/>
    <w:rsid w:val="00860577"/>
    <w:rsid w:val="0086064C"/>
    <w:rsid w:val="00860845"/>
    <w:rsid w:val="00860A1D"/>
    <w:rsid w:val="00860D9A"/>
    <w:rsid w:val="00860EB4"/>
    <w:rsid w:val="00861430"/>
    <w:rsid w:val="00861BD2"/>
    <w:rsid w:val="00861FB3"/>
    <w:rsid w:val="00864C2A"/>
    <w:rsid w:val="008656AE"/>
    <w:rsid w:val="00865FCD"/>
    <w:rsid w:val="008676C2"/>
    <w:rsid w:val="00870068"/>
    <w:rsid w:val="00870872"/>
    <w:rsid w:val="0087091B"/>
    <w:rsid w:val="00870CFB"/>
    <w:rsid w:val="008714D9"/>
    <w:rsid w:val="00871A71"/>
    <w:rsid w:val="00871DB9"/>
    <w:rsid w:val="0087216E"/>
    <w:rsid w:val="00872576"/>
    <w:rsid w:val="008730C8"/>
    <w:rsid w:val="0087599C"/>
    <w:rsid w:val="00875C00"/>
    <w:rsid w:val="00875F0A"/>
    <w:rsid w:val="008768F5"/>
    <w:rsid w:val="00876CC8"/>
    <w:rsid w:val="008770C6"/>
    <w:rsid w:val="00877205"/>
    <w:rsid w:val="00877A36"/>
    <w:rsid w:val="00880832"/>
    <w:rsid w:val="00881400"/>
    <w:rsid w:val="008817C7"/>
    <w:rsid w:val="00881999"/>
    <w:rsid w:val="00881CD3"/>
    <w:rsid w:val="00881E8D"/>
    <w:rsid w:val="00882058"/>
    <w:rsid w:val="00882219"/>
    <w:rsid w:val="008831C9"/>
    <w:rsid w:val="00884684"/>
    <w:rsid w:val="008847B5"/>
    <w:rsid w:val="00885540"/>
    <w:rsid w:val="008857C2"/>
    <w:rsid w:val="00885A14"/>
    <w:rsid w:val="00885CFB"/>
    <w:rsid w:val="00886248"/>
    <w:rsid w:val="008862E5"/>
    <w:rsid w:val="008866C0"/>
    <w:rsid w:val="00887D6E"/>
    <w:rsid w:val="008907E5"/>
    <w:rsid w:val="00891586"/>
    <w:rsid w:val="00891713"/>
    <w:rsid w:val="008917CF"/>
    <w:rsid w:val="00892254"/>
    <w:rsid w:val="008940A8"/>
    <w:rsid w:val="008946B8"/>
    <w:rsid w:val="00894CD2"/>
    <w:rsid w:val="00894E3F"/>
    <w:rsid w:val="008953B1"/>
    <w:rsid w:val="008954BB"/>
    <w:rsid w:val="00895B14"/>
    <w:rsid w:val="00897549"/>
    <w:rsid w:val="00897948"/>
    <w:rsid w:val="00897CC2"/>
    <w:rsid w:val="008A096C"/>
    <w:rsid w:val="008A12AA"/>
    <w:rsid w:val="008A2689"/>
    <w:rsid w:val="008A2D6C"/>
    <w:rsid w:val="008A3074"/>
    <w:rsid w:val="008A30ED"/>
    <w:rsid w:val="008A33BB"/>
    <w:rsid w:val="008A3758"/>
    <w:rsid w:val="008A3DEB"/>
    <w:rsid w:val="008A3F5D"/>
    <w:rsid w:val="008A490F"/>
    <w:rsid w:val="008A4DC7"/>
    <w:rsid w:val="008A5E59"/>
    <w:rsid w:val="008A5ED3"/>
    <w:rsid w:val="008A6541"/>
    <w:rsid w:val="008A67CD"/>
    <w:rsid w:val="008A71EE"/>
    <w:rsid w:val="008A7D5E"/>
    <w:rsid w:val="008B0187"/>
    <w:rsid w:val="008B0BC5"/>
    <w:rsid w:val="008B1346"/>
    <w:rsid w:val="008B1A1B"/>
    <w:rsid w:val="008B2BBA"/>
    <w:rsid w:val="008B2E3C"/>
    <w:rsid w:val="008B3964"/>
    <w:rsid w:val="008B4320"/>
    <w:rsid w:val="008B5C12"/>
    <w:rsid w:val="008B655F"/>
    <w:rsid w:val="008B7719"/>
    <w:rsid w:val="008B7AB7"/>
    <w:rsid w:val="008B7EAD"/>
    <w:rsid w:val="008B7FF5"/>
    <w:rsid w:val="008C00FD"/>
    <w:rsid w:val="008C0197"/>
    <w:rsid w:val="008C0CD6"/>
    <w:rsid w:val="008C0E73"/>
    <w:rsid w:val="008C112A"/>
    <w:rsid w:val="008C18EE"/>
    <w:rsid w:val="008C3AA8"/>
    <w:rsid w:val="008C3C6D"/>
    <w:rsid w:val="008C3F72"/>
    <w:rsid w:val="008C5816"/>
    <w:rsid w:val="008C5879"/>
    <w:rsid w:val="008C591D"/>
    <w:rsid w:val="008C5F50"/>
    <w:rsid w:val="008C6987"/>
    <w:rsid w:val="008C6A66"/>
    <w:rsid w:val="008C6F84"/>
    <w:rsid w:val="008C722A"/>
    <w:rsid w:val="008C72AC"/>
    <w:rsid w:val="008C7385"/>
    <w:rsid w:val="008C76F5"/>
    <w:rsid w:val="008C790C"/>
    <w:rsid w:val="008D0943"/>
    <w:rsid w:val="008D17ED"/>
    <w:rsid w:val="008D18B8"/>
    <w:rsid w:val="008D4EDE"/>
    <w:rsid w:val="008D5022"/>
    <w:rsid w:val="008D5755"/>
    <w:rsid w:val="008D5A1A"/>
    <w:rsid w:val="008D641B"/>
    <w:rsid w:val="008D64AD"/>
    <w:rsid w:val="008D663E"/>
    <w:rsid w:val="008D6D1D"/>
    <w:rsid w:val="008D7422"/>
    <w:rsid w:val="008D78EB"/>
    <w:rsid w:val="008D7A99"/>
    <w:rsid w:val="008D7B40"/>
    <w:rsid w:val="008D7DE8"/>
    <w:rsid w:val="008D7E6B"/>
    <w:rsid w:val="008E1AFE"/>
    <w:rsid w:val="008E2190"/>
    <w:rsid w:val="008E22DA"/>
    <w:rsid w:val="008E2637"/>
    <w:rsid w:val="008E2797"/>
    <w:rsid w:val="008E2EE9"/>
    <w:rsid w:val="008E2F1D"/>
    <w:rsid w:val="008E3F43"/>
    <w:rsid w:val="008E44CC"/>
    <w:rsid w:val="008E49DD"/>
    <w:rsid w:val="008E5209"/>
    <w:rsid w:val="008E5B12"/>
    <w:rsid w:val="008E5FBB"/>
    <w:rsid w:val="008E60F9"/>
    <w:rsid w:val="008E65FE"/>
    <w:rsid w:val="008E6D27"/>
    <w:rsid w:val="008E6F95"/>
    <w:rsid w:val="008E730F"/>
    <w:rsid w:val="008E7512"/>
    <w:rsid w:val="008E76A1"/>
    <w:rsid w:val="008F0AAD"/>
    <w:rsid w:val="008F0B62"/>
    <w:rsid w:val="008F18C6"/>
    <w:rsid w:val="008F1BD3"/>
    <w:rsid w:val="008F2046"/>
    <w:rsid w:val="008F2994"/>
    <w:rsid w:val="008F2C59"/>
    <w:rsid w:val="008F303D"/>
    <w:rsid w:val="008F36A0"/>
    <w:rsid w:val="008F3B9E"/>
    <w:rsid w:val="008F3BC1"/>
    <w:rsid w:val="008F3D78"/>
    <w:rsid w:val="008F4B2E"/>
    <w:rsid w:val="008F50D3"/>
    <w:rsid w:val="008F531F"/>
    <w:rsid w:val="008F6443"/>
    <w:rsid w:val="008F6CAA"/>
    <w:rsid w:val="008F6E3D"/>
    <w:rsid w:val="008F6F65"/>
    <w:rsid w:val="008F7449"/>
    <w:rsid w:val="008F75F1"/>
    <w:rsid w:val="00900B59"/>
    <w:rsid w:val="0090151A"/>
    <w:rsid w:val="00901900"/>
    <w:rsid w:val="00901B39"/>
    <w:rsid w:val="00901DC3"/>
    <w:rsid w:val="00901FA0"/>
    <w:rsid w:val="00902471"/>
    <w:rsid w:val="00902551"/>
    <w:rsid w:val="00902D6A"/>
    <w:rsid w:val="0090326B"/>
    <w:rsid w:val="009043A1"/>
    <w:rsid w:val="0090450D"/>
    <w:rsid w:val="009047A6"/>
    <w:rsid w:val="00905911"/>
    <w:rsid w:val="00905A9D"/>
    <w:rsid w:val="00905C40"/>
    <w:rsid w:val="00905F63"/>
    <w:rsid w:val="00906194"/>
    <w:rsid w:val="00906376"/>
    <w:rsid w:val="00906B25"/>
    <w:rsid w:val="00906D98"/>
    <w:rsid w:val="00907032"/>
    <w:rsid w:val="0090737D"/>
    <w:rsid w:val="00907F79"/>
    <w:rsid w:val="0091092F"/>
    <w:rsid w:val="0091127D"/>
    <w:rsid w:val="00911718"/>
    <w:rsid w:val="00911961"/>
    <w:rsid w:val="00911A1F"/>
    <w:rsid w:val="00912A42"/>
    <w:rsid w:val="009130EE"/>
    <w:rsid w:val="00914C46"/>
    <w:rsid w:val="009153C8"/>
    <w:rsid w:val="009157F4"/>
    <w:rsid w:val="00915B24"/>
    <w:rsid w:val="00915D51"/>
    <w:rsid w:val="00915EBE"/>
    <w:rsid w:val="0091600B"/>
    <w:rsid w:val="00916DFD"/>
    <w:rsid w:val="00920E80"/>
    <w:rsid w:val="009214EE"/>
    <w:rsid w:val="009216EF"/>
    <w:rsid w:val="0092216F"/>
    <w:rsid w:val="009227DC"/>
    <w:rsid w:val="0092285E"/>
    <w:rsid w:val="00923B25"/>
    <w:rsid w:val="00924A3A"/>
    <w:rsid w:val="009255E2"/>
    <w:rsid w:val="00926067"/>
    <w:rsid w:val="009265EE"/>
    <w:rsid w:val="00926CA2"/>
    <w:rsid w:val="0092711F"/>
    <w:rsid w:val="00927DF9"/>
    <w:rsid w:val="009309D1"/>
    <w:rsid w:val="009316B3"/>
    <w:rsid w:val="00932387"/>
    <w:rsid w:val="00932D9C"/>
    <w:rsid w:val="00933064"/>
    <w:rsid w:val="00933755"/>
    <w:rsid w:val="0093417B"/>
    <w:rsid w:val="009347AB"/>
    <w:rsid w:val="009350A2"/>
    <w:rsid w:val="00935628"/>
    <w:rsid w:val="00936599"/>
    <w:rsid w:val="0094048F"/>
    <w:rsid w:val="00940947"/>
    <w:rsid w:val="00940A39"/>
    <w:rsid w:val="00940CB6"/>
    <w:rsid w:val="00940DF1"/>
    <w:rsid w:val="0094108D"/>
    <w:rsid w:val="009410B8"/>
    <w:rsid w:val="009416ED"/>
    <w:rsid w:val="009419CB"/>
    <w:rsid w:val="00941B0D"/>
    <w:rsid w:val="00941C0F"/>
    <w:rsid w:val="00942330"/>
    <w:rsid w:val="009430CA"/>
    <w:rsid w:val="00943F2E"/>
    <w:rsid w:val="0094406E"/>
    <w:rsid w:val="009448A9"/>
    <w:rsid w:val="00944A3B"/>
    <w:rsid w:val="00944DB8"/>
    <w:rsid w:val="0094551A"/>
    <w:rsid w:val="00950587"/>
    <w:rsid w:val="00950633"/>
    <w:rsid w:val="00950BB3"/>
    <w:rsid w:val="00950DCF"/>
    <w:rsid w:val="00951FDF"/>
    <w:rsid w:val="00952040"/>
    <w:rsid w:val="00952CE6"/>
    <w:rsid w:val="00953C14"/>
    <w:rsid w:val="009548B9"/>
    <w:rsid w:val="00954B67"/>
    <w:rsid w:val="009553A5"/>
    <w:rsid w:val="00956FDC"/>
    <w:rsid w:val="0095713A"/>
    <w:rsid w:val="00957188"/>
    <w:rsid w:val="00957346"/>
    <w:rsid w:val="0095739D"/>
    <w:rsid w:val="00957BDE"/>
    <w:rsid w:val="00957E99"/>
    <w:rsid w:val="00957EC6"/>
    <w:rsid w:val="00960241"/>
    <w:rsid w:val="00960FE5"/>
    <w:rsid w:val="009610D5"/>
    <w:rsid w:val="00961351"/>
    <w:rsid w:val="00963582"/>
    <w:rsid w:val="00963901"/>
    <w:rsid w:val="00963A41"/>
    <w:rsid w:val="00963E9F"/>
    <w:rsid w:val="0096418C"/>
    <w:rsid w:val="009642D5"/>
    <w:rsid w:val="009649F8"/>
    <w:rsid w:val="00964B22"/>
    <w:rsid w:val="00964E9B"/>
    <w:rsid w:val="00966222"/>
    <w:rsid w:val="00966AD9"/>
    <w:rsid w:val="00967360"/>
    <w:rsid w:val="009678DF"/>
    <w:rsid w:val="00967A63"/>
    <w:rsid w:val="0097066D"/>
    <w:rsid w:val="009706D0"/>
    <w:rsid w:val="009708E8"/>
    <w:rsid w:val="009711C7"/>
    <w:rsid w:val="0097166F"/>
    <w:rsid w:val="009716AF"/>
    <w:rsid w:val="00972B57"/>
    <w:rsid w:val="00972C3F"/>
    <w:rsid w:val="0097348B"/>
    <w:rsid w:val="00973821"/>
    <w:rsid w:val="0097459C"/>
    <w:rsid w:val="00974B3A"/>
    <w:rsid w:val="00974F62"/>
    <w:rsid w:val="00974FB7"/>
    <w:rsid w:val="009753D2"/>
    <w:rsid w:val="009755A3"/>
    <w:rsid w:val="00975823"/>
    <w:rsid w:val="00975826"/>
    <w:rsid w:val="009765C0"/>
    <w:rsid w:val="009766E7"/>
    <w:rsid w:val="00977228"/>
    <w:rsid w:val="009778F7"/>
    <w:rsid w:val="00977A3A"/>
    <w:rsid w:val="00977F87"/>
    <w:rsid w:val="009801E1"/>
    <w:rsid w:val="00980227"/>
    <w:rsid w:val="0098066D"/>
    <w:rsid w:val="00981538"/>
    <w:rsid w:val="009829A4"/>
    <w:rsid w:val="00983038"/>
    <w:rsid w:val="00983585"/>
    <w:rsid w:val="00983697"/>
    <w:rsid w:val="009839A2"/>
    <w:rsid w:val="00983CE6"/>
    <w:rsid w:val="00984866"/>
    <w:rsid w:val="009850C1"/>
    <w:rsid w:val="00985320"/>
    <w:rsid w:val="009853CE"/>
    <w:rsid w:val="00985810"/>
    <w:rsid w:val="00985978"/>
    <w:rsid w:val="00985B9B"/>
    <w:rsid w:val="009867AD"/>
    <w:rsid w:val="0098711A"/>
    <w:rsid w:val="009871A9"/>
    <w:rsid w:val="009876A4"/>
    <w:rsid w:val="00987CAC"/>
    <w:rsid w:val="00987D83"/>
    <w:rsid w:val="0099024A"/>
    <w:rsid w:val="009910D4"/>
    <w:rsid w:val="00991112"/>
    <w:rsid w:val="009920CF"/>
    <w:rsid w:val="0099307B"/>
    <w:rsid w:val="009936A5"/>
    <w:rsid w:val="009945DE"/>
    <w:rsid w:val="009948AD"/>
    <w:rsid w:val="00995A62"/>
    <w:rsid w:val="009960D0"/>
    <w:rsid w:val="00996695"/>
    <w:rsid w:val="009A00FE"/>
    <w:rsid w:val="009A02F9"/>
    <w:rsid w:val="009A0A12"/>
    <w:rsid w:val="009A0ACA"/>
    <w:rsid w:val="009A108F"/>
    <w:rsid w:val="009A127B"/>
    <w:rsid w:val="009A1366"/>
    <w:rsid w:val="009A1873"/>
    <w:rsid w:val="009A2941"/>
    <w:rsid w:val="009A3686"/>
    <w:rsid w:val="009A3F02"/>
    <w:rsid w:val="009A4992"/>
    <w:rsid w:val="009A549F"/>
    <w:rsid w:val="009A6460"/>
    <w:rsid w:val="009A686F"/>
    <w:rsid w:val="009A6B20"/>
    <w:rsid w:val="009A6E42"/>
    <w:rsid w:val="009A6FA1"/>
    <w:rsid w:val="009A7225"/>
    <w:rsid w:val="009A7542"/>
    <w:rsid w:val="009B071B"/>
    <w:rsid w:val="009B0873"/>
    <w:rsid w:val="009B0CC4"/>
    <w:rsid w:val="009B1287"/>
    <w:rsid w:val="009B1699"/>
    <w:rsid w:val="009B23D4"/>
    <w:rsid w:val="009B2CE9"/>
    <w:rsid w:val="009B429F"/>
    <w:rsid w:val="009B49A3"/>
    <w:rsid w:val="009B4B83"/>
    <w:rsid w:val="009B58C2"/>
    <w:rsid w:val="009B5E7E"/>
    <w:rsid w:val="009B6451"/>
    <w:rsid w:val="009B65D6"/>
    <w:rsid w:val="009B65E0"/>
    <w:rsid w:val="009B6945"/>
    <w:rsid w:val="009B75F0"/>
    <w:rsid w:val="009C0090"/>
    <w:rsid w:val="009C0A6A"/>
    <w:rsid w:val="009C0A8D"/>
    <w:rsid w:val="009C0FB7"/>
    <w:rsid w:val="009C101B"/>
    <w:rsid w:val="009C144B"/>
    <w:rsid w:val="009C16B8"/>
    <w:rsid w:val="009C1897"/>
    <w:rsid w:val="009C1C4A"/>
    <w:rsid w:val="009C364E"/>
    <w:rsid w:val="009C36E0"/>
    <w:rsid w:val="009C37F9"/>
    <w:rsid w:val="009C3C37"/>
    <w:rsid w:val="009C402F"/>
    <w:rsid w:val="009C4317"/>
    <w:rsid w:val="009C4402"/>
    <w:rsid w:val="009C4E96"/>
    <w:rsid w:val="009C52AA"/>
    <w:rsid w:val="009C5706"/>
    <w:rsid w:val="009C64ED"/>
    <w:rsid w:val="009C65A5"/>
    <w:rsid w:val="009C6812"/>
    <w:rsid w:val="009C6C06"/>
    <w:rsid w:val="009C6C9F"/>
    <w:rsid w:val="009C6CCA"/>
    <w:rsid w:val="009C6E4B"/>
    <w:rsid w:val="009C6ED3"/>
    <w:rsid w:val="009C7688"/>
    <w:rsid w:val="009C7B25"/>
    <w:rsid w:val="009C7CB5"/>
    <w:rsid w:val="009D0BB8"/>
    <w:rsid w:val="009D1859"/>
    <w:rsid w:val="009D212C"/>
    <w:rsid w:val="009D2682"/>
    <w:rsid w:val="009D28E7"/>
    <w:rsid w:val="009D2D59"/>
    <w:rsid w:val="009D2E21"/>
    <w:rsid w:val="009D3158"/>
    <w:rsid w:val="009D31C3"/>
    <w:rsid w:val="009D3A8D"/>
    <w:rsid w:val="009D4350"/>
    <w:rsid w:val="009D479B"/>
    <w:rsid w:val="009D4C29"/>
    <w:rsid w:val="009D54CE"/>
    <w:rsid w:val="009D590B"/>
    <w:rsid w:val="009D60B1"/>
    <w:rsid w:val="009D6153"/>
    <w:rsid w:val="009D6E81"/>
    <w:rsid w:val="009D6EC5"/>
    <w:rsid w:val="009D7430"/>
    <w:rsid w:val="009D77E0"/>
    <w:rsid w:val="009D7C9F"/>
    <w:rsid w:val="009E0BB4"/>
    <w:rsid w:val="009E0C7E"/>
    <w:rsid w:val="009E0F99"/>
    <w:rsid w:val="009E1147"/>
    <w:rsid w:val="009E16F9"/>
    <w:rsid w:val="009E183E"/>
    <w:rsid w:val="009E1B96"/>
    <w:rsid w:val="009E27E6"/>
    <w:rsid w:val="009E2D7F"/>
    <w:rsid w:val="009E2FB0"/>
    <w:rsid w:val="009E32CD"/>
    <w:rsid w:val="009E349C"/>
    <w:rsid w:val="009E35F8"/>
    <w:rsid w:val="009E3C8F"/>
    <w:rsid w:val="009E50E4"/>
    <w:rsid w:val="009E5C1E"/>
    <w:rsid w:val="009E624E"/>
    <w:rsid w:val="009E6D99"/>
    <w:rsid w:val="009E6E33"/>
    <w:rsid w:val="009E71AA"/>
    <w:rsid w:val="009E77CF"/>
    <w:rsid w:val="009F0F45"/>
    <w:rsid w:val="009F15B1"/>
    <w:rsid w:val="009F1B50"/>
    <w:rsid w:val="009F3E71"/>
    <w:rsid w:val="009F476E"/>
    <w:rsid w:val="009F5689"/>
    <w:rsid w:val="009F5E26"/>
    <w:rsid w:val="009F699A"/>
    <w:rsid w:val="009F6F35"/>
    <w:rsid w:val="009F7278"/>
    <w:rsid w:val="009F7472"/>
    <w:rsid w:val="00A0062D"/>
    <w:rsid w:val="00A00AF2"/>
    <w:rsid w:val="00A00CFD"/>
    <w:rsid w:val="00A00EAE"/>
    <w:rsid w:val="00A0160D"/>
    <w:rsid w:val="00A019F4"/>
    <w:rsid w:val="00A037EB"/>
    <w:rsid w:val="00A03A54"/>
    <w:rsid w:val="00A03BB7"/>
    <w:rsid w:val="00A042F6"/>
    <w:rsid w:val="00A043F1"/>
    <w:rsid w:val="00A055B8"/>
    <w:rsid w:val="00A05C90"/>
    <w:rsid w:val="00A05DCB"/>
    <w:rsid w:val="00A06561"/>
    <w:rsid w:val="00A06B2A"/>
    <w:rsid w:val="00A07411"/>
    <w:rsid w:val="00A07592"/>
    <w:rsid w:val="00A07E40"/>
    <w:rsid w:val="00A101D8"/>
    <w:rsid w:val="00A10543"/>
    <w:rsid w:val="00A105A6"/>
    <w:rsid w:val="00A107A9"/>
    <w:rsid w:val="00A11387"/>
    <w:rsid w:val="00A11A5B"/>
    <w:rsid w:val="00A11E53"/>
    <w:rsid w:val="00A122A9"/>
    <w:rsid w:val="00A12B77"/>
    <w:rsid w:val="00A12B9C"/>
    <w:rsid w:val="00A1303F"/>
    <w:rsid w:val="00A136E8"/>
    <w:rsid w:val="00A13A95"/>
    <w:rsid w:val="00A13AD9"/>
    <w:rsid w:val="00A1449D"/>
    <w:rsid w:val="00A14A85"/>
    <w:rsid w:val="00A14BEF"/>
    <w:rsid w:val="00A15675"/>
    <w:rsid w:val="00A158CA"/>
    <w:rsid w:val="00A15921"/>
    <w:rsid w:val="00A2051E"/>
    <w:rsid w:val="00A214E7"/>
    <w:rsid w:val="00A22231"/>
    <w:rsid w:val="00A2245C"/>
    <w:rsid w:val="00A22A2D"/>
    <w:rsid w:val="00A22CA2"/>
    <w:rsid w:val="00A2344C"/>
    <w:rsid w:val="00A2419C"/>
    <w:rsid w:val="00A24793"/>
    <w:rsid w:val="00A24AF4"/>
    <w:rsid w:val="00A24BF8"/>
    <w:rsid w:val="00A24C09"/>
    <w:rsid w:val="00A24E60"/>
    <w:rsid w:val="00A25009"/>
    <w:rsid w:val="00A2548A"/>
    <w:rsid w:val="00A25680"/>
    <w:rsid w:val="00A26436"/>
    <w:rsid w:val="00A27B3E"/>
    <w:rsid w:val="00A27BB7"/>
    <w:rsid w:val="00A30612"/>
    <w:rsid w:val="00A309E9"/>
    <w:rsid w:val="00A31098"/>
    <w:rsid w:val="00A3131F"/>
    <w:rsid w:val="00A31776"/>
    <w:rsid w:val="00A31E12"/>
    <w:rsid w:val="00A3231A"/>
    <w:rsid w:val="00A32483"/>
    <w:rsid w:val="00A32625"/>
    <w:rsid w:val="00A335F6"/>
    <w:rsid w:val="00A33945"/>
    <w:rsid w:val="00A35124"/>
    <w:rsid w:val="00A36C7B"/>
    <w:rsid w:val="00A36CA0"/>
    <w:rsid w:val="00A36CD5"/>
    <w:rsid w:val="00A378EE"/>
    <w:rsid w:val="00A37A11"/>
    <w:rsid w:val="00A37CA3"/>
    <w:rsid w:val="00A40A8D"/>
    <w:rsid w:val="00A410A3"/>
    <w:rsid w:val="00A4196D"/>
    <w:rsid w:val="00A423E3"/>
    <w:rsid w:val="00A427A2"/>
    <w:rsid w:val="00A42827"/>
    <w:rsid w:val="00A431B8"/>
    <w:rsid w:val="00A43550"/>
    <w:rsid w:val="00A44D0A"/>
    <w:rsid w:val="00A4521C"/>
    <w:rsid w:val="00A45258"/>
    <w:rsid w:val="00A452CD"/>
    <w:rsid w:val="00A4566B"/>
    <w:rsid w:val="00A468C8"/>
    <w:rsid w:val="00A46CAE"/>
    <w:rsid w:val="00A477B1"/>
    <w:rsid w:val="00A47A74"/>
    <w:rsid w:val="00A47ACB"/>
    <w:rsid w:val="00A47BB8"/>
    <w:rsid w:val="00A504CE"/>
    <w:rsid w:val="00A50938"/>
    <w:rsid w:val="00A51D8E"/>
    <w:rsid w:val="00A52DCD"/>
    <w:rsid w:val="00A5324D"/>
    <w:rsid w:val="00A53411"/>
    <w:rsid w:val="00A53413"/>
    <w:rsid w:val="00A536CC"/>
    <w:rsid w:val="00A546AC"/>
    <w:rsid w:val="00A551D9"/>
    <w:rsid w:val="00A554FD"/>
    <w:rsid w:val="00A559AF"/>
    <w:rsid w:val="00A559D2"/>
    <w:rsid w:val="00A55BF8"/>
    <w:rsid w:val="00A55F78"/>
    <w:rsid w:val="00A56099"/>
    <w:rsid w:val="00A5640A"/>
    <w:rsid w:val="00A569CF"/>
    <w:rsid w:val="00A56D4A"/>
    <w:rsid w:val="00A56FA2"/>
    <w:rsid w:val="00A600AE"/>
    <w:rsid w:val="00A6192F"/>
    <w:rsid w:val="00A61A2F"/>
    <w:rsid w:val="00A61A9C"/>
    <w:rsid w:val="00A620CE"/>
    <w:rsid w:val="00A622BC"/>
    <w:rsid w:val="00A62B43"/>
    <w:rsid w:val="00A62ED9"/>
    <w:rsid w:val="00A62F27"/>
    <w:rsid w:val="00A63948"/>
    <w:rsid w:val="00A63A50"/>
    <w:rsid w:val="00A6467D"/>
    <w:rsid w:val="00A6502B"/>
    <w:rsid w:val="00A654CC"/>
    <w:rsid w:val="00A6598D"/>
    <w:rsid w:val="00A65C8E"/>
    <w:rsid w:val="00A65EC7"/>
    <w:rsid w:val="00A65F45"/>
    <w:rsid w:val="00A66A80"/>
    <w:rsid w:val="00A66AA9"/>
    <w:rsid w:val="00A67683"/>
    <w:rsid w:val="00A67C84"/>
    <w:rsid w:val="00A67EBF"/>
    <w:rsid w:val="00A70259"/>
    <w:rsid w:val="00A7028F"/>
    <w:rsid w:val="00A70E79"/>
    <w:rsid w:val="00A71042"/>
    <w:rsid w:val="00A7205F"/>
    <w:rsid w:val="00A72799"/>
    <w:rsid w:val="00A73261"/>
    <w:rsid w:val="00A7350A"/>
    <w:rsid w:val="00A73FA0"/>
    <w:rsid w:val="00A748B4"/>
    <w:rsid w:val="00A751EA"/>
    <w:rsid w:val="00A758A6"/>
    <w:rsid w:val="00A75BC2"/>
    <w:rsid w:val="00A75CE6"/>
    <w:rsid w:val="00A76593"/>
    <w:rsid w:val="00A766ED"/>
    <w:rsid w:val="00A766FF"/>
    <w:rsid w:val="00A76FF4"/>
    <w:rsid w:val="00A7714A"/>
    <w:rsid w:val="00A77508"/>
    <w:rsid w:val="00A779B2"/>
    <w:rsid w:val="00A77E1B"/>
    <w:rsid w:val="00A8078F"/>
    <w:rsid w:val="00A80A86"/>
    <w:rsid w:val="00A80D47"/>
    <w:rsid w:val="00A80F6E"/>
    <w:rsid w:val="00A821B9"/>
    <w:rsid w:val="00A82332"/>
    <w:rsid w:val="00A8278F"/>
    <w:rsid w:val="00A82821"/>
    <w:rsid w:val="00A82C34"/>
    <w:rsid w:val="00A82F7B"/>
    <w:rsid w:val="00A83476"/>
    <w:rsid w:val="00A83734"/>
    <w:rsid w:val="00A84ABA"/>
    <w:rsid w:val="00A85286"/>
    <w:rsid w:val="00A85305"/>
    <w:rsid w:val="00A855BF"/>
    <w:rsid w:val="00A85F53"/>
    <w:rsid w:val="00A85FFB"/>
    <w:rsid w:val="00A86012"/>
    <w:rsid w:val="00A86672"/>
    <w:rsid w:val="00A8668F"/>
    <w:rsid w:val="00A86B26"/>
    <w:rsid w:val="00A86D11"/>
    <w:rsid w:val="00A86FA4"/>
    <w:rsid w:val="00A87658"/>
    <w:rsid w:val="00A87917"/>
    <w:rsid w:val="00A8796D"/>
    <w:rsid w:val="00A87B93"/>
    <w:rsid w:val="00A87FA2"/>
    <w:rsid w:val="00A90EF0"/>
    <w:rsid w:val="00A911DF"/>
    <w:rsid w:val="00A9142A"/>
    <w:rsid w:val="00A91CC5"/>
    <w:rsid w:val="00A91F3B"/>
    <w:rsid w:val="00A92892"/>
    <w:rsid w:val="00A92E80"/>
    <w:rsid w:val="00A93031"/>
    <w:rsid w:val="00A9372F"/>
    <w:rsid w:val="00A93D66"/>
    <w:rsid w:val="00A9415F"/>
    <w:rsid w:val="00A94D8A"/>
    <w:rsid w:val="00A95429"/>
    <w:rsid w:val="00A95D0E"/>
    <w:rsid w:val="00A96085"/>
    <w:rsid w:val="00A961AE"/>
    <w:rsid w:val="00A9642D"/>
    <w:rsid w:val="00A9671F"/>
    <w:rsid w:val="00A96F8B"/>
    <w:rsid w:val="00A9763C"/>
    <w:rsid w:val="00A977E3"/>
    <w:rsid w:val="00AA015B"/>
    <w:rsid w:val="00AA0500"/>
    <w:rsid w:val="00AA08E9"/>
    <w:rsid w:val="00AA1212"/>
    <w:rsid w:val="00AA1580"/>
    <w:rsid w:val="00AA17BA"/>
    <w:rsid w:val="00AA1EB6"/>
    <w:rsid w:val="00AA26EB"/>
    <w:rsid w:val="00AA28A7"/>
    <w:rsid w:val="00AA2B05"/>
    <w:rsid w:val="00AA3A4F"/>
    <w:rsid w:val="00AA3A82"/>
    <w:rsid w:val="00AA3E62"/>
    <w:rsid w:val="00AA40C6"/>
    <w:rsid w:val="00AA4293"/>
    <w:rsid w:val="00AA498D"/>
    <w:rsid w:val="00AA4C7B"/>
    <w:rsid w:val="00AA52C7"/>
    <w:rsid w:val="00AA5DB6"/>
    <w:rsid w:val="00AA60B0"/>
    <w:rsid w:val="00AA68AB"/>
    <w:rsid w:val="00AA6969"/>
    <w:rsid w:val="00AA69BF"/>
    <w:rsid w:val="00AA6D2C"/>
    <w:rsid w:val="00AA701A"/>
    <w:rsid w:val="00AA72B9"/>
    <w:rsid w:val="00AA7CD9"/>
    <w:rsid w:val="00AB02F6"/>
    <w:rsid w:val="00AB043F"/>
    <w:rsid w:val="00AB1167"/>
    <w:rsid w:val="00AB1B3C"/>
    <w:rsid w:val="00AB1DA5"/>
    <w:rsid w:val="00AB2A7C"/>
    <w:rsid w:val="00AB2AF8"/>
    <w:rsid w:val="00AB3969"/>
    <w:rsid w:val="00AB3D93"/>
    <w:rsid w:val="00AB3F82"/>
    <w:rsid w:val="00AB40F8"/>
    <w:rsid w:val="00AB55A9"/>
    <w:rsid w:val="00AB5635"/>
    <w:rsid w:val="00AB59FF"/>
    <w:rsid w:val="00AB5C51"/>
    <w:rsid w:val="00AB5C71"/>
    <w:rsid w:val="00AB62DF"/>
    <w:rsid w:val="00AB666C"/>
    <w:rsid w:val="00AB6676"/>
    <w:rsid w:val="00AB6D46"/>
    <w:rsid w:val="00AB7911"/>
    <w:rsid w:val="00AB7DD8"/>
    <w:rsid w:val="00AB7F2C"/>
    <w:rsid w:val="00AC013B"/>
    <w:rsid w:val="00AC042F"/>
    <w:rsid w:val="00AC0A18"/>
    <w:rsid w:val="00AC0E44"/>
    <w:rsid w:val="00AC17B5"/>
    <w:rsid w:val="00AC1B4D"/>
    <w:rsid w:val="00AC2E81"/>
    <w:rsid w:val="00AC3C9A"/>
    <w:rsid w:val="00AC458A"/>
    <w:rsid w:val="00AC4C5A"/>
    <w:rsid w:val="00AC4C9C"/>
    <w:rsid w:val="00AC5135"/>
    <w:rsid w:val="00AC6B24"/>
    <w:rsid w:val="00AC6B78"/>
    <w:rsid w:val="00AC6F0E"/>
    <w:rsid w:val="00AC72B8"/>
    <w:rsid w:val="00AC76EB"/>
    <w:rsid w:val="00AC7A1F"/>
    <w:rsid w:val="00AC7CD1"/>
    <w:rsid w:val="00AD0260"/>
    <w:rsid w:val="00AD0267"/>
    <w:rsid w:val="00AD05BF"/>
    <w:rsid w:val="00AD14C5"/>
    <w:rsid w:val="00AD18E3"/>
    <w:rsid w:val="00AD19F3"/>
    <w:rsid w:val="00AD1DC8"/>
    <w:rsid w:val="00AD2BA4"/>
    <w:rsid w:val="00AD2E81"/>
    <w:rsid w:val="00AD3738"/>
    <w:rsid w:val="00AD44CA"/>
    <w:rsid w:val="00AD4991"/>
    <w:rsid w:val="00AD52A3"/>
    <w:rsid w:val="00AD54CC"/>
    <w:rsid w:val="00AD5A21"/>
    <w:rsid w:val="00AD5FCD"/>
    <w:rsid w:val="00AD62E2"/>
    <w:rsid w:val="00AD63BF"/>
    <w:rsid w:val="00AD6416"/>
    <w:rsid w:val="00AD6B59"/>
    <w:rsid w:val="00AD6F26"/>
    <w:rsid w:val="00AD78C7"/>
    <w:rsid w:val="00AD7EAB"/>
    <w:rsid w:val="00AE065E"/>
    <w:rsid w:val="00AE12F0"/>
    <w:rsid w:val="00AE140A"/>
    <w:rsid w:val="00AE142E"/>
    <w:rsid w:val="00AE17C6"/>
    <w:rsid w:val="00AE191A"/>
    <w:rsid w:val="00AE21DE"/>
    <w:rsid w:val="00AE227A"/>
    <w:rsid w:val="00AE2E08"/>
    <w:rsid w:val="00AE3297"/>
    <w:rsid w:val="00AE41F5"/>
    <w:rsid w:val="00AE461A"/>
    <w:rsid w:val="00AE4BFD"/>
    <w:rsid w:val="00AE57CC"/>
    <w:rsid w:val="00AE6378"/>
    <w:rsid w:val="00AE660D"/>
    <w:rsid w:val="00AE7279"/>
    <w:rsid w:val="00AE7390"/>
    <w:rsid w:val="00AE7620"/>
    <w:rsid w:val="00AE76A0"/>
    <w:rsid w:val="00AF0A00"/>
    <w:rsid w:val="00AF0B47"/>
    <w:rsid w:val="00AF0BA9"/>
    <w:rsid w:val="00AF0E4A"/>
    <w:rsid w:val="00AF1016"/>
    <w:rsid w:val="00AF18B5"/>
    <w:rsid w:val="00AF2051"/>
    <w:rsid w:val="00AF2202"/>
    <w:rsid w:val="00AF302B"/>
    <w:rsid w:val="00AF34FC"/>
    <w:rsid w:val="00AF4526"/>
    <w:rsid w:val="00AF55A5"/>
    <w:rsid w:val="00AF5751"/>
    <w:rsid w:val="00AF5D88"/>
    <w:rsid w:val="00AF5E0F"/>
    <w:rsid w:val="00AF5E73"/>
    <w:rsid w:val="00AF7895"/>
    <w:rsid w:val="00AF7C2D"/>
    <w:rsid w:val="00B0063A"/>
    <w:rsid w:val="00B00700"/>
    <w:rsid w:val="00B010B6"/>
    <w:rsid w:val="00B017AB"/>
    <w:rsid w:val="00B01D91"/>
    <w:rsid w:val="00B02BC1"/>
    <w:rsid w:val="00B02FB8"/>
    <w:rsid w:val="00B031F0"/>
    <w:rsid w:val="00B03A64"/>
    <w:rsid w:val="00B03F29"/>
    <w:rsid w:val="00B0432B"/>
    <w:rsid w:val="00B04428"/>
    <w:rsid w:val="00B045A3"/>
    <w:rsid w:val="00B04CEF"/>
    <w:rsid w:val="00B051F6"/>
    <w:rsid w:val="00B0560C"/>
    <w:rsid w:val="00B06459"/>
    <w:rsid w:val="00B065DD"/>
    <w:rsid w:val="00B06620"/>
    <w:rsid w:val="00B068F1"/>
    <w:rsid w:val="00B070BE"/>
    <w:rsid w:val="00B07358"/>
    <w:rsid w:val="00B079F9"/>
    <w:rsid w:val="00B07D7D"/>
    <w:rsid w:val="00B10103"/>
    <w:rsid w:val="00B10852"/>
    <w:rsid w:val="00B10DFC"/>
    <w:rsid w:val="00B10E82"/>
    <w:rsid w:val="00B11244"/>
    <w:rsid w:val="00B11694"/>
    <w:rsid w:val="00B11E16"/>
    <w:rsid w:val="00B11FB4"/>
    <w:rsid w:val="00B12603"/>
    <w:rsid w:val="00B12C83"/>
    <w:rsid w:val="00B13544"/>
    <w:rsid w:val="00B13AE1"/>
    <w:rsid w:val="00B14870"/>
    <w:rsid w:val="00B14B75"/>
    <w:rsid w:val="00B14F03"/>
    <w:rsid w:val="00B15279"/>
    <w:rsid w:val="00B154C2"/>
    <w:rsid w:val="00B1557B"/>
    <w:rsid w:val="00B15790"/>
    <w:rsid w:val="00B15A25"/>
    <w:rsid w:val="00B15CFB"/>
    <w:rsid w:val="00B16AA3"/>
    <w:rsid w:val="00B16CD2"/>
    <w:rsid w:val="00B17F20"/>
    <w:rsid w:val="00B209FE"/>
    <w:rsid w:val="00B21AE4"/>
    <w:rsid w:val="00B21B17"/>
    <w:rsid w:val="00B21F7D"/>
    <w:rsid w:val="00B224F4"/>
    <w:rsid w:val="00B227B5"/>
    <w:rsid w:val="00B22EBC"/>
    <w:rsid w:val="00B232EC"/>
    <w:rsid w:val="00B236F1"/>
    <w:rsid w:val="00B23918"/>
    <w:rsid w:val="00B239F6"/>
    <w:rsid w:val="00B23C79"/>
    <w:rsid w:val="00B23D4B"/>
    <w:rsid w:val="00B24B43"/>
    <w:rsid w:val="00B253ED"/>
    <w:rsid w:val="00B2682E"/>
    <w:rsid w:val="00B26CC9"/>
    <w:rsid w:val="00B27302"/>
    <w:rsid w:val="00B27C8F"/>
    <w:rsid w:val="00B27EF0"/>
    <w:rsid w:val="00B321CF"/>
    <w:rsid w:val="00B32B35"/>
    <w:rsid w:val="00B32DE0"/>
    <w:rsid w:val="00B32DFC"/>
    <w:rsid w:val="00B334BA"/>
    <w:rsid w:val="00B33803"/>
    <w:rsid w:val="00B33A56"/>
    <w:rsid w:val="00B33BDD"/>
    <w:rsid w:val="00B33E93"/>
    <w:rsid w:val="00B33EF0"/>
    <w:rsid w:val="00B34103"/>
    <w:rsid w:val="00B34E27"/>
    <w:rsid w:val="00B3507C"/>
    <w:rsid w:val="00B355FF"/>
    <w:rsid w:val="00B35A8B"/>
    <w:rsid w:val="00B4030B"/>
    <w:rsid w:val="00B4060F"/>
    <w:rsid w:val="00B409EC"/>
    <w:rsid w:val="00B40D5E"/>
    <w:rsid w:val="00B4128C"/>
    <w:rsid w:val="00B41399"/>
    <w:rsid w:val="00B41883"/>
    <w:rsid w:val="00B44AA0"/>
    <w:rsid w:val="00B44BD7"/>
    <w:rsid w:val="00B4531A"/>
    <w:rsid w:val="00B45544"/>
    <w:rsid w:val="00B45A0F"/>
    <w:rsid w:val="00B45C31"/>
    <w:rsid w:val="00B45EC4"/>
    <w:rsid w:val="00B467F5"/>
    <w:rsid w:val="00B47118"/>
    <w:rsid w:val="00B4798B"/>
    <w:rsid w:val="00B500AA"/>
    <w:rsid w:val="00B50465"/>
    <w:rsid w:val="00B508AC"/>
    <w:rsid w:val="00B5091C"/>
    <w:rsid w:val="00B50928"/>
    <w:rsid w:val="00B50B4B"/>
    <w:rsid w:val="00B51CA5"/>
    <w:rsid w:val="00B52048"/>
    <w:rsid w:val="00B52B10"/>
    <w:rsid w:val="00B53847"/>
    <w:rsid w:val="00B53F71"/>
    <w:rsid w:val="00B54087"/>
    <w:rsid w:val="00B54332"/>
    <w:rsid w:val="00B547A9"/>
    <w:rsid w:val="00B55215"/>
    <w:rsid w:val="00B55C2D"/>
    <w:rsid w:val="00B56420"/>
    <w:rsid w:val="00B56E94"/>
    <w:rsid w:val="00B57685"/>
    <w:rsid w:val="00B5785F"/>
    <w:rsid w:val="00B57B65"/>
    <w:rsid w:val="00B57BD4"/>
    <w:rsid w:val="00B612AC"/>
    <w:rsid w:val="00B61DA3"/>
    <w:rsid w:val="00B61E49"/>
    <w:rsid w:val="00B62121"/>
    <w:rsid w:val="00B6293F"/>
    <w:rsid w:val="00B635C2"/>
    <w:rsid w:val="00B63AAF"/>
    <w:rsid w:val="00B645B7"/>
    <w:rsid w:val="00B64D97"/>
    <w:rsid w:val="00B65F27"/>
    <w:rsid w:val="00B665AF"/>
    <w:rsid w:val="00B666D2"/>
    <w:rsid w:val="00B6681E"/>
    <w:rsid w:val="00B6686B"/>
    <w:rsid w:val="00B670A1"/>
    <w:rsid w:val="00B67885"/>
    <w:rsid w:val="00B703ED"/>
    <w:rsid w:val="00B71006"/>
    <w:rsid w:val="00B711B4"/>
    <w:rsid w:val="00B71240"/>
    <w:rsid w:val="00B7174C"/>
    <w:rsid w:val="00B71CA9"/>
    <w:rsid w:val="00B7232C"/>
    <w:rsid w:val="00B72890"/>
    <w:rsid w:val="00B72A6B"/>
    <w:rsid w:val="00B742E4"/>
    <w:rsid w:val="00B7453E"/>
    <w:rsid w:val="00B7472F"/>
    <w:rsid w:val="00B758A3"/>
    <w:rsid w:val="00B7661D"/>
    <w:rsid w:val="00B76B28"/>
    <w:rsid w:val="00B76EE2"/>
    <w:rsid w:val="00B77287"/>
    <w:rsid w:val="00B772FF"/>
    <w:rsid w:val="00B77453"/>
    <w:rsid w:val="00B7796E"/>
    <w:rsid w:val="00B77B24"/>
    <w:rsid w:val="00B819DE"/>
    <w:rsid w:val="00B82153"/>
    <w:rsid w:val="00B825DF"/>
    <w:rsid w:val="00B82A64"/>
    <w:rsid w:val="00B82C2E"/>
    <w:rsid w:val="00B82F09"/>
    <w:rsid w:val="00B82FDB"/>
    <w:rsid w:val="00B832B2"/>
    <w:rsid w:val="00B833A9"/>
    <w:rsid w:val="00B839FF"/>
    <w:rsid w:val="00B83C12"/>
    <w:rsid w:val="00B83CEB"/>
    <w:rsid w:val="00B83DC9"/>
    <w:rsid w:val="00B84EE2"/>
    <w:rsid w:val="00B85276"/>
    <w:rsid w:val="00B85969"/>
    <w:rsid w:val="00B85A92"/>
    <w:rsid w:val="00B85FDE"/>
    <w:rsid w:val="00B90885"/>
    <w:rsid w:val="00B9155A"/>
    <w:rsid w:val="00B9208F"/>
    <w:rsid w:val="00B92AE1"/>
    <w:rsid w:val="00B935CC"/>
    <w:rsid w:val="00B93B3C"/>
    <w:rsid w:val="00B9475C"/>
    <w:rsid w:val="00B94B00"/>
    <w:rsid w:val="00B95A67"/>
    <w:rsid w:val="00B95A76"/>
    <w:rsid w:val="00B966C2"/>
    <w:rsid w:val="00B96D95"/>
    <w:rsid w:val="00B96EDE"/>
    <w:rsid w:val="00B9786F"/>
    <w:rsid w:val="00B97E01"/>
    <w:rsid w:val="00BA0B72"/>
    <w:rsid w:val="00BA10B0"/>
    <w:rsid w:val="00BA135C"/>
    <w:rsid w:val="00BA1DEF"/>
    <w:rsid w:val="00BA2449"/>
    <w:rsid w:val="00BA2814"/>
    <w:rsid w:val="00BA359E"/>
    <w:rsid w:val="00BA3A26"/>
    <w:rsid w:val="00BA3EC9"/>
    <w:rsid w:val="00BA4084"/>
    <w:rsid w:val="00BA42BE"/>
    <w:rsid w:val="00BA46B2"/>
    <w:rsid w:val="00BA4ED0"/>
    <w:rsid w:val="00BA51CD"/>
    <w:rsid w:val="00BA556B"/>
    <w:rsid w:val="00BA5E74"/>
    <w:rsid w:val="00BA5FE5"/>
    <w:rsid w:val="00BA65FB"/>
    <w:rsid w:val="00BA72AA"/>
    <w:rsid w:val="00BA75A1"/>
    <w:rsid w:val="00BA788B"/>
    <w:rsid w:val="00BA7D32"/>
    <w:rsid w:val="00BB1505"/>
    <w:rsid w:val="00BB1B88"/>
    <w:rsid w:val="00BB2D1D"/>
    <w:rsid w:val="00BB3103"/>
    <w:rsid w:val="00BB45B2"/>
    <w:rsid w:val="00BB53E5"/>
    <w:rsid w:val="00BB5477"/>
    <w:rsid w:val="00BB5C0E"/>
    <w:rsid w:val="00BB6154"/>
    <w:rsid w:val="00BB6245"/>
    <w:rsid w:val="00BB63AF"/>
    <w:rsid w:val="00BB63C3"/>
    <w:rsid w:val="00BB6A3B"/>
    <w:rsid w:val="00BB770D"/>
    <w:rsid w:val="00BC061B"/>
    <w:rsid w:val="00BC096F"/>
    <w:rsid w:val="00BC104A"/>
    <w:rsid w:val="00BC13BE"/>
    <w:rsid w:val="00BC2150"/>
    <w:rsid w:val="00BC2228"/>
    <w:rsid w:val="00BC2324"/>
    <w:rsid w:val="00BC26DF"/>
    <w:rsid w:val="00BC295C"/>
    <w:rsid w:val="00BC4B00"/>
    <w:rsid w:val="00BC4BF7"/>
    <w:rsid w:val="00BC5D9F"/>
    <w:rsid w:val="00BC60F3"/>
    <w:rsid w:val="00BC67CB"/>
    <w:rsid w:val="00BC7956"/>
    <w:rsid w:val="00BC7BBA"/>
    <w:rsid w:val="00BD0CAE"/>
    <w:rsid w:val="00BD12BD"/>
    <w:rsid w:val="00BD1601"/>
    <w:rsid w:val="00BD2375"/>
    <w:rsid w:val="00BD29B9"/>
    <w:rsid w:val="00BD30D9"/>
    <w:rsid w:val="00BD3259"/>
    <w:rsid w:val="00BD3293"/>
    <w:rsid w:val="00BD45A7"/>
    <w:rsid w:val="00BD5892"/>
    <w:rsid w:val="00BD605D"/>
    <w:rsid w:val="00BD674D"/>
    <w:rsid w:val="00BD6B6C"/>
    <w:rsid w:val="00BD6BB4"/>
    <w:rsid w:val="00BD72D6"/>
    <w:rsid w:val="00BD7A8C"/>
    <w:rsid w:val="00BE0060"/>
    <w:rsid w:val="00BE02D7"/>
    <w:rsid w:val="00BE0D2A"/>
    <w:rsid w:val="00BE0E03"/>
    <w:rsid w:val="00BE0F40"/>
    <w:rsid w:val="00BE1443"/>
    <w:rsid w:val="00BE1A46"/>
    <w:rsid w:val="00BE20A7"/>
    <w:rsid w:val="00BE2787"/>
    <w:rsid w:val="00BE2792"/>
    <w:rsid w:val="00BE2874"/>
    <w:rsid w:val="00BE2E3E"/>
    <w:rsid w:val="00BE3C60"/>
    <w:rsid w:val="00BE3C8E"/>
    <w:rsid w:val="00BE5072"/>
    <w:rsid w:val="00BE53F6"/>
    <w:rsid w:val="00BE54B7"/>
    <w:rsid w:val="00BE5883"/>
    <w:rsid w:val="00BE5A5F"/>
    <w:rsid w:val="00BE61BE"/>
    <w:rsid w:val="00BE62FE"/>
    <w:rsid w:val="00BE69F8"/>
    <w:rsid w:val="00BE6E40"/>
    <w:rsid w:val="00BE7AB0"/>
    <w:rsid w:val="00BE7D3A"/>
    <w:rsid w:val="00BF07FD"/>
    <w:rsid w:val="00BF10B3"/>
    <w:rsid w:val="00BF25A2"/>
    <w:rsid w:val="00BF31E6"/>
    <w:rsid w:val="00BF33D1"/>
    <w:rsid w:val="00BF38F1"/>
    <w:rsid w:val="00BF3E66"/>
    <w:rsid w:val="00BF41D6"/>
    <w:rsid w:val="00BF4A31"/>
    <w:rsid w:val="00BF4D28"/>
    <w:rsid w:val="00BF5263"/>
    <w:rsid w:val="00BF57F4"/>
    <w:rsid w:val="00BF6538"/>
    <w:rsid w:val="00BF6CEE"/>
    <w:rsid w:val="00BF6EE9"/>
    <w:rsid w:val="00BF7541"/>
    <w:rsid w:val="00BF78EF"/>
    <w:rsid w:val="00C0009A"/>
    <w:rsid w:val="00C025B5"/>
    <w:rsid w:val="00C0261D"/>
    <w:rsid w:val="00C02916"/>
    <w:rsid w:val="00C0325A"/>
    <w:rsid w:val="00C032B5"/>
    <w:rsid w:val="00C03373"/>
    <w:rsid w:val="00C033D9"/>
    <w:rsid w:val="00C034CA"/>
    <w:rsid w:val="00C04068"/>
    <w:rsid w:val="00C0458D"/>
    <w:rsid w:val="00C05063"/>
    <w:rsid w:val="00C0566E"/>
    <w:rsid w:val="00C05940"/>
    <w:rsid w:val="00C05AE0"/>
    <w:rsid w:val="00C05FB5"/>
    <w:rsid w:val="00C06134"/>
    <w:rsid w:val="00C06887"/>
    <w:rsid w:val="00C111DF"/>
    <w:rsid w:val="00C13184"/>
    <w:rsid w:val="00C151BF"/>
    <w:rsid w:val="00C15CEE"/>
    <w:rsid w:val="00C16048"/>
    <w:rsid w:val="00C17B45"/>
    <w:rsid w:val="00C20398"/>
    <w:rsid w:val="00C207D9"/>
    <w:rsid w:val="00C209E2"/>
    <w:rsid w:val="00C209F9"/>
    <w:rsid w:val="00C21760"/>
    <w:rsid w:val="00C22214"/>
    <w:rsid w:val="00C2298C"/>
    <w:rsid w:val="00C22F0B"/>
    <w:rsid w:val="00C23B75"/>
    <w:rsid w:val="00C24892"/>
    <w:rsid w:val="00C260AA"/>
    <w:rsid w:val="00C26898"/>
    <w:rsid w:val="00C26DB3"/>
    <w:rsid w:val="00C2737E"/>
    <w:rsid w:val="00C278E1"/>
    <w:rsid w:val="00C27FF3"/>
    <w:rsid w:val="00C30219"/>
    <w:rsid w:val="00C30350"/>
    <w:rsid w:val="00C306C6"/>
    <w:rsid w:val="00C308FC"/>
    <w:rsid w:val="00C30CE3"/>
    <w:rsid w:val="00C3132F"/>
    <w:rsid w:val="00C31720"/>
    <w:rsid w:val="00C31E45"/>
    <w:rsid w:val="00C33485"/>
    <w:rsid w:val="00C336BD"/>
    <w:rsid w:val="00C33B3F"/>
    <w:rsid w:val="00C34121"/>
    <w:rsid w:val="00C341F0"/>
    <w:rsid w:val="00C34410"/>
    <w:rsid w:val="00C34AA9"/>
    <w:rsid w:val="00C35445"/>
    <w:rsid w:val="00C357C0"/>
    <w:rsid w:val="00C35AE6"/>
    <w:rsid w:val="00C36674"/>
    <w:rsid w:val="00C36AF5"/>
    <w:rsid w:val="00C36E68"/>
    <w:rsid w:val="00C3763D"/>
    <w:rsid w:val="00C37B7E"/>
    <w:rsid w:val="00C37C1D"/>
    <w:rsid w:val="00C37D29"/>
    <w:rsid w:val="00C40116"/>
    <w:rsid w:val="00C403EB"/>
    <w:rsid w:val="00C40982"/>
    <w:rsid w:val="00C41AA9"/>
    <w:rsid w:val="00C41EA0"/>
    <w:rsid w:val="00C4235A"/>
    <w:rsid w:val="00C43E8F"/>
    <w:rsid w:val="00C44926"/>
    <w:rsid w:val="00C44F06"/>
    <w:rsid w:val="00C45A57"/>
    <w:rsid w:val="00C46004"/>
    <w:rsid w:val="00C462B1"/>
    <w:rsid w:val="00C46A41"/>
    <w:rsid w:val="00C4731A"/>
    <w:rsid w:val="00C4784D"/>
    <w:rsid w:val="00C4B12F"/>
    <w:rsid w:val="00C50C79"/>
    <w:rsid w:val="00C515B8"/>
    <w:rsid w:val="00C51C37"/>
    <w:rsid w:val="00C52EF5"/>
    <w:rsid w:val="00C53464"/>
    <w:rsid w:val="00C53998"/>
    <w:rsid w:val="00C54A60"/>
    <w:rsid w:val="00C54B3D"/>
    <w:rsid w:val="00C5521A"/>
    <w:rsid w:val="00C5629F"/>
    <w:rsid w:val="00C56479"/>
    <w:rsid w:val="00C57DF6"/>
    <w:rsid w:val="00C6048C"/>
    <w:rsid w:val="00C60822"/>
    <w:rsid w:val="00C60E60"/>
    <w:rsid w:val="00C6106F"/>
    <w:rsid w:val="00C612E0"/>
    <w:rsid w:val="00C6179E"/>
    <w:rsid w:val="00C61B49"/>
    <w:rsid w:val="00C62598"/>
    <w:rsid w:val="00C62A24"/>
    <w:rsid w:val="00C6313E"/>
    <w:rsid w:val="00C6348F"/>
    <w:rsid w:val="00C63F96"/>
    <w:rsid w:val="00C65027"/>
    <w:rsid w:val="00C65081"/>
    <w:rsid w:val="00C65438"/>
    <w:rsid w:val="00C65451"/>
    <w:rsid w:val="00C65A2F"/>
    <w:rsid w:val="00C65AB8"/>
    <w:rsid w:val="00C65C18"/>
    <w:rsid w:val="00C66290"/>
    <w:rsid w:val="00C6639A"/>
    <w:rsid w:val="00C66CA4"/>
    <w:rsid w:val="00C700EF"/>
    <w:rsid w:val="00C70524"/>
    <w:rsid w:val="00C70E42"/>
    <w:rsid w:val="00C7153E"/>
    <w:rsid w:val="00C71760"/>
    <w:rsid w:val="00C718A3"/>
    <w:rsid w:val="00C71957"/>
    <w:rsid w:val="00C71B0D"/>
    <w:rsid w:val="00C72302"/>
    <w:rsid w:val="00C7249C"/>
    <w:rsid w:val="00C72580"/>
    <w:rsid w:val="00C72B1A"/>
    <w:rsid w:val="00C730AB"/>
    <w:rsid w:val="00C73B58"/>
    <w:rsid w:val="00C747ED"/>
    <w:rsid w:val="00C75161"/>
    <w:rsid w:val="00C76048"/>
    <w:rsid w:val="00C76544"/>
    <w:rsid w:val="00C776DC"/>
    <w:rsid w:val="00C808BB"/>
    <w:rsid w:val="00C80E99"/>
    <w:rsid w:val="00C814AB"/>
    <w:rsid w:val="00C81ADB"/>
    <w:rsid w:val="00C81EF6"/>
    <w:rsid w:val="00C823B8"/>
    <w:rsid w:val="00C82556"/>
    <w:rsid w:val="00C826E7"/>
    <w:rsid w:val="00C830FB"/>
    <w:rsid w:val="00C8317E"/>
    <w:rsid w:val="00C8383B"/>
    <w:rsid w:val="00C839F1"/>
    <w:rsid w:val="00C84320"/>
    <w:rsid w:val="00C84591"/>
    <w:rsid w:val="00C84AAD"/>
    <w:rsid w:val="00C8522A"/>
    <w:rsid w:val="00C85B9C"/>
    <w:rsid w:val="00C85BF9"/>
    <w:rsid w:val="00C870D7"/>
    <w:rsid w:val="00C90AF1"/>
    <w:rsid w:val="00C910E5"/>
    <w:rsid w:val="00C9174B"/>
    <w:rsid w:val="00C92181"/>
    <w:rsid w:val="00C92382"/>
    <w:rsid w:val="00C92824"/>
    <w:rsid w:val="00C9304E"/>
    <w:rsid w:val="00C93681"/>
    <w:rsid w:val="00C93EDA"/>
    <w:rsid w:val="00C943A7"/>
    <w:rsid w:val="00C9472B"/>
    <w:rsid w:val="00C94D43"/>
    <w:rsid w:val="00C95A60"/>
    <w:rsid w:val="00C95FA5"/>
    <w:rsid w:val="00C97686"/>
    <w:rsid w:val="00CA044F"/>
    <w:rsid w:val="00CA0BF9"/>
    <w:rsid w:val="00CA0C19"/>
    <w:rsid w:val="00CA13FC"/>
    <w:rsid w:val="00CA17C6"/>
    <w:rsid w:val="00CA1A76"/>
    <w:rsid w:val="00CA23FD"/>
    <w:rsid w:val="00CA28F2"/>
    <w:rsid w:val="00CA2DF7"/>
    <w:rsid w:val="00CA2E6C"/>
    <w:rsid w:val="00CA2E9F"/>
    <w:rsid w:val="00CA3446"/>
    <w:rsid w:val="00CA36EF"/>
    <w:rsid w:val="00CA3EC1"/>
    <w:rsid w:val="00CA56A6"/>
    <w:rsid w:val="00CA5EA6"/>
    <w:rsid w:val="00CA6736"/>
    <w:rsid w:val="00CA6A03"/>
    <w:rsid w:val="00CA6EDE"/>
    <w:rsid w:val="00CA7906"/>
    <w:rsid w:val="00CB017D"/>
    <w:rsid w:val="00CB0DB3"/>
    <w:rsid w:val="00CB14E1"/>
    <w:rsid w:val="00CB17E5"/>
    <w:rsid w:val="00CB1E53"/>
    <w:rsid w:val="00CB2884"/>
    <w:rsid w:val="00CB2B47"/>
    <w:rsid w:val="00CB2B95"/>
    <w:rsid w:val="00CB3971"/>
    <w:rsid w:val="00CB4BEC"/>
    <w:rsid w:val="00CB4CB8"/>
    <w:rsid w:val="00CB539D"/>
    <w:rsid w:val="00CB5465"/>
    <w:rsid w:val="00CB55BD"/>
    <w:rsid w:val="00CB5FCE"/>
    <w:rsid w:val="00CB6366"/>
    <w:rsid w:val="00CB6657"/>
    <w:rsid w:val="00CB6F67"/>
    <w:rsid w:val="00CC0054"/>
    <w:rsid w:val="00CC0A90"/>
    <w:rsid w:val="00CC1F07"/>
    <w:rsid w:val="00CC263A"/>
    <w:rsid w:val="00CC2FF5"/>
    <w:rsid w:val="00CC3484"/>
    <w:rsid w:val="00CC3FB8"/>
    <w:rsid w:val="00CC4084"/>
    <w:rsid w:val="00CC45F7"/>
    <w:rsid w:val="00CC5A8C"/>
    <w:rsid w:val="00CC5C96"/>
    <w:rsid w:val="00CC5E04"/>
    <w:rsid w:val="00CC663A"/>
    <w:rsid w:val="00CC67CF"/>
    <w:rsid w:val="00CC75A3"/>
    <w:rsid w:val="00CC79DD"/>
    <w:rsid w:val="00CC7D16"/>
    <w:rsid w:val="00CD07E6"/>
    <w:rsid w:val="00CD28DB"/>
    <w:rsid w:val="00CD2B1C"/>
    <w:rsid w:val="00CD33D6"/>
    <w:rsid w:val="00CD4BE4"/>
    <w:rsid w:val="00CD4BF4"/>
    <w:rsid w:val="00CD581C"/>
    <w:rsid w:val="00CD6285"/>
    <w:rsid w:val="00CD70E1"/>
    <w:rsid w:val="00CE004D"/>
    <w:rsid w:val="00CE0D44"/>
    <w:rsid w:val="00CE23B9"/>
    <w:rsid w:val="00CE2D63"/>
    <w:rsid w:val="00CE32B8"/>
    <w:rsid w:val="00CE441B"/>
    <w:rsid w:val="00CE4567"/>
    <w:rsid w:val="00CE48B1"/>
    <w:rsid w:val="00CE48C8"/>
    <w:rsid w:val="00CE4A41"/>
    <w:rsid w:val="00CE4A79"/>
    <w:rsid w:val="00CE4C69"/>
    <w:rsid w:val="00CE4D11"/>
    <w:rsid w:val="00CE4E12"/>
    <w:rsid w:val="00CE6288"/>
    <w:rsid w:val="00CE744E"/>
    <w:rsid w:val="00CE789C"/>
    <w:rsid w:val="00CE7A16"/>
    <w:rsid w:val="00CE7DE7"/>
    <w:rsid w:val="00CF129B"/>
    <w:rsid w:val="00CF1378"/>
    <w:rsid w:val="00CF2AB8"/>
    <w:rsid w:val="00CF35D9"/>
    <w:rsid w:val="00CF3A5E"/>
    <w:rsid w:val="00CF442F"/>
    <w:rsid w:val="00CF45D1"/>
    <w:rsid w:val="00CF59AA"/>
    <w:rsid w:val="00CF5EE0"/>
    <w:rsid w:val="00CF6A18"/>
    <w:rsid w:val="00CF7DFE"/>
    <w:rsid w:val="00D0098B"/>
    <w:rsid w:val="00D01F73"/>
    <w:rsid w:val="00D022AD"/>
    <w:rsid w:val="00D02AD9"/>
    <w:rsid w:val="00D04E98"/>
    <w:rsid w:val="00D05883"/>
    <w:rsid w:val="00D05949"/>
    <w:rsid w:val="00D05C60"/>
    <w:rsid w:val="00D05C75"/>
    <w:rsid w:val="00D064B9"/>
    <w:rsid w:val="00D06ED1"/>
    <w:rsid w:val="00D071B2"/>
    <w:rsid w:val="00D07BC0"/>
    <w:rsid w:val="00D07C06"/>
    <w:rsid w:val="00D07D56"/>
    <w:rsid w:val="00D1037B"/>
    <w:rsid w:val="00D10B64"/>
    <w:rsid w:val="00D10D5B"/>
    <w:rsid w:val="00D11429"/>
    <w:rsid w:val="00D1150B"/>
    <w:rsid w:val="00D1177B"/>
    <w:rsid w:val="00D12243"/>
    <w:rsid w:val="00D12526"/>
    <w:rsid w:val="00D13B23"/>
    <w:rsid w:val="00D1441B"/>
    <w:rsid w:val="00D14F80"/>
    <w:rsid w:val="00D15707"/>
    <w:rsid w:val="00D15936"/>
    <w:rsid w:val="00D16510"/>
    <w:rsid w:val="00D16AF5"/>
    <w:rsid w:val="00D16BDB"/>
    <w:rsid w:val="00D17184"/>
    <w:rsid w:val="00D175C8"/>
    <w:rsid w:val="00D1797C"/>
    <w:rsid w:val="00D17A7C"/>
    <w:rsid w:val="00D17FDD"/>
    <w:rsid w:val="00D205B0"/>
    <w:rsid w:val="00D20729"/>
    <w:rsid w:val="00D20787"/>
    <w:rsid w:val="00D2086A"/>
    <w:rsid w:val="00D21175"/>
    <w:rsid w:val="00D221B1"/>
    <w:rsid w:val="00D22958"/>
    <w:rsid w:val="00D236D3"/>
    <w:rsid w:val="00D23B71"/>
    <w:rsid w:val="00D23DC0"/>
    <w:rsid w:val="00D245B1"/>
    <w:rsid w:val="00D24912"/>
    <w:rsid w:val="00D24EA2"/>
    <w:rsid w:val="00D24ECB"/>
    <w:rsid w:val="00D25834"/>
    <w:rsid w:val="00D25C90"/>
    <w:rsid w:val="00D2616E"/>
    <w:rsid w:val="00D26D79"/>
    <w:rsid w:val="00D27420"/>
    <w:rsid w:val="00D2767B"/>
    <w:rsid w:val="00D278EF"/>
    <w:rsid w:val="00D27C63"/>
    <w:rsid w:val="00D310B5"/>
    <w:rsid w:val="00D3119D"/>
    <w:rsid w:val="00D3164E"/>
    <w:rsid w:val="00D3169D"/>
    <w:rsid w:val="00D316FE"/>
    <w:rsid w:val="00D31979"/>
    <w:rsid w:val="00D32B9A"/>
    <w:rsid w:val="00D33030"/>
    <w:rsid w:val="00D33A05"/>
    <w:rsid w:val="00D34425"/>
    <w:rsid w:val="00D34F6C"/>
    <w:rsid w:val="00D35523"/>
    <w:rsid w:val="00D35854"/>
    <w:rsid w:val="00D359A3"/>
    <w:rsid w:val="00D35DBA"/>
    <w:rsid w:val="00D35E0D"/>
    <w:rsid w:val="00D37EAD"/>
    <w:rsid w:val="00D40A8C"/>
    <w:rsid w:val="00D41652"/>
    <w:rsid w:val="00D41A2B"/>
    <w:rsid w:val="00D41B50"/>
    <w:rsid w:val="00D41CF1"/>
    <w:rsid w:val="00D41D69"/>
    <w:rsid w:val="00D41D7C"/>
    <w:rsid w:val="00D42B1C"/>
    <w:rsid w:val="00D42F53"/>
    <w:rsid w:val="00D43032"/>
    <w:rsid w:val="00D43DB5"/>
    <w:rsid w:val="00D43E75"/>
    <w:rsid w:val="00D4511A"/>
    <w:rsid w:val="00D45F45"/>
    <w:rsid w:val="00D46146"/>
    <w:rsid w:val="00D46EE3"/>
    <w:rsid w:val="00D471FF"/>
    <w:rsid w:val="00D47595"/>
    <w:rsid w:val="00D50649"/>
    <w:rsid w:val="00D50B8C"/>
    <w:rsid w:val="00D50FC0"/>
    <w:rsid w:val="00D510C3"/>
    <w:rsid w:val="00D51B11"/>
    <w:rsid w:val="00D51E9B"/>
    <w:rsid w:val="00D522C0"/>
    <w:rsid w:val="00D5299C"/>
    <w:rsid w:val="00D52CF3"/>
    <w:rsid w:val="00D52DC8"/>
    <w:rsid w:val="00D531F1"/>
    <w:rsid w:val="00D53408"/>
    <w:rsid w:val="00D53B36"/>
    <w:rsid w:val="00D5401E"/>
    <w:rsid w:val="00D549FA"/>
    <w:rsid w:val="00D54E56"/>
    <w:rsid w:val="00D55DA0"/>
    <w:rsid w:val="00D566B3"/>
    <w:rsid w:val="00D57411"/>
    <w:rsid w:val="00D57564"/>
    <w:rsid w:val="00D57771"/>
    <w:rsid w:val="00D57CC4"/>
    <w:rsid w:val="00D6037B"/>
    <w:rsid w:val="00D607DF"/>
    <w:rsid w:val="00D61071"/>
    <w:rsid w:val="00D61419"/>
    <w:rsid w:val="00D6173B"/>
    <w:rsid w:val="00D61EE8"/>
    <w:rsid w:val="00D62BD6"/>
    <w:rsid w:val="00D62C2F"/>
    <w:rsid w:val="00D63768"/>
    <w:rsid w:val="00D63882"/>
    <w:rsid w:val="00D642B1"/>
    <w:rsid w:val="00D64723"/>
    <w:rsid w:val="00D65CBA"/>
    <w:rsid w:val="00D661D5"/>
    <w:rsid w:val="00D66D3E"/>
    <w:rsid w:val="00D67339"/>
    <w:rsid w:val="00D70453"/>
    <w:rsid w:val="00D70C06"/>
    <w:rsid w:val="00D71635"/>
    <w:rsid w:val="00D7220C"/>
    <w:rsid w:val="00D729FC"/>
    <w:rsid w:val="00D72CFB"/>
    <w:rsid w:val="00D73036"/>
    <w:rsid w:val="00D73918"/>
    <w:rsid w:val="00D740CA"/>
    <w:rsid w:val="00D74FE3"/>
    <w:rsid w:val="00D75745"/>
    <w:rsid w:val="00D75D26"/>
    <w:rsid w:val="00D76400"/>
    <w:rsid w:val="00D76DDD"/>
    <w:rsid w:val="00D8150C"/>
    <w:rsid w:val="00D82225"/>
    <w:rsid w:val="00D829BC"/>
    <w:rsid w:val="00D82F06"/>
    <w:rsid w:val="00D839C1"/>
    <w:rsid w:val="00D83E71"/>
    <w:rsid w:val="00D83EF5"/>
    <w:rsid w:val="00D84142"/>
    <w:rsid w:val="00D843A6"/>
    <w:rsid w:val="00D843C3"/>
    <w:rsid w:val="00D844BE"/>
    <w:rsid w:val="00D845D8"/>
    <w:rsid w:val="00D8473E"/>
    <w:rsid w:val="00D8474A"/>
    <w:rsid w:val="00D855B3"/>
    <w:rsid w:val="00D858FD"/>
    <w:rsid w:val="00D85D1A"/>
    <w:rsid w:val="00D85F86"/>
    <w:rsid w:val="00D86119"/>
    <w:rsid w:val="00D8698E"/>
    <w:rsid w:val="00D87880"/>
    <w:rsid w:val="00D87C5D"/>
    <w:rsid w:val="00D87E53"/>
    <w:rsid w:val="00D9059F"/>
    <w:rsid w:val="00D90AC3"/>
    <w:rsid w:val="00D90FC5"/>
    <w:rsid w:val="00D92294"/>
    <w:rsid w:val="00D92550"/>
    <w:rsid w:val="00D93068"/>
    <w:rsid w:val="00D93944"/>
    <w:rsid w:val="00D944AA"/>
    <w:rsid w:val="00D945DD"/>
    <w:rsid w:val="00D9498B"/>
    <w:rsid w:val="00D94ED7"/>
    <w:rsid w:val="00D94F47"/>
    <w:rsid w:val="00D964F3"/>
    <w:rsid w:val="00D96566"/>
    <w:rsid w:val="00D96E9E"/>
    <w:rsid w:val="00D97BED"/>
    <w:rsid w:val="00D97E25"/>
    <w:rsid w:val="00DA054C"/>
    <w:rsid w:val="00DA0B85"/>
    <w:rsid w:val="00DA11EB"/>
    <w:rsid w:val="00DA1A5D"/>
    <w:rsid w:val="00DA240A"/>
    <w:rsid w:val="00DA292A"/>
    <w:rsid w:val="00DA299D"/>
    <w:rsid w:val="00DA3F13"/>
    <w:rsid w:val="00DA4CF9"/>
    <w:rsid w:val="00DA57CA"/>
    <w:rsid w:val="00DA588A"/>
    <w:rsid w:val="00DA61FE"/>
    <w:rsid w:val="00DA6766"/>
    <w:rsid w:val="00DB05A4"/>
    <w:rsid w:val="00DB05AE"/>
    <w:rsid w:val="00DB15AC"/>
    <w:rsid w:val="00DB1CB6"/>
    <w:rsid w:val="00DB250B"/>
    <w:rsid w:val="00DB266A"/>
    <w:rsid w:val="00DB2AAE"/>
    <w:rsid w:val="00DB3E9F"/>
    <w:rsid w:val="00DB401D"/>
    <w:rsid w:val="00DB42E2"/>
    <w:rsid w:val="00DB44D2"/>
    <w:rsid w:val="00DB48BD"/>
    <w:rsid w:val="00DB4BB2"/>
    <w:rsid w:val="00DB4CC5"/>
    <w:rsid w:val="00DB52FE"/>
    <w:rsid w:val="00DB56F4"/>
    <w:rsid w:val="00DB59EF"/>
    <w:rsid w:val="00DB6ADF"/>
    <w:rsid w:val="00DB6F41"/>
    <w:rsid w:val="00DB7C80"/>
    <w:rsid w:val="00DB7CC6"/>
    <w:rsid w:val="00DC02CA"/>
    <w:rsid w:val="00DC02FF"/>
    <w:rsid w:val="00DC0F13"/>
    <w:rsid w:val="00DC151C"/>
    <w:rsid w:val="00DC15AD"/>
    <w:rsid w:val="00DC1DCB"/>
    <w:rsid w:val="00DC253D"/>
    <w:rsid w:val="00DC3865"/>
    <w:rsid w:val="00DC3AE2"/>
    <w:rsid w:val="00DC417A"/>
    <w:rsid w:val="00DC44BD"/>
    <w:rsid w:val="00DC58C8"/>
    <w:rsid w:val="00DC5CC9"/>
    <w:rsid w:val="00DC643E"/>
    <w:rsid w:val="00DC71E5"/>
    <w:rsid w:val="00DC7A11"/>
    <w:rsid w:val="00DC7A63"/>
    <w:rsid w:val="00DC7CD3"/>
    <w:rsid w:val="00DD065E"/>
    <w:rsid w:val="00DD076D"/>
    <w:rsid w:val="00DD0DD7"/>
    <w:rsid w:val="00DD1500"/>
    <w:rsid w:val="00DD1C78"/>
    <w:rsid w:val="00DD2415"/>
    <w:rsid w:val="00DD2F3C"/>
    <w:rsid w:val="00DD34B7"/>
    <w:rsid w:val="00DD34BE"/>
    <w:rsid w:val="00DD3E45"/>
    <w:rsid w:val="00DD4D8B"/>
    <w:rsid w:val="00DD4DEB"/>
    <w:rsid w:val="00DD636B"/>
    <w:rsid w:val="00DD63DC"/>
    <w:rsid w:val="00DD6BAD"/>
    <w:rsid w:val="00DD7C4B"/>
    <w:rsid w:val="00DE06E8"/>
    <w:rsid w:val="00DE0803"/>
    <w:rsid w:val="00DE1153"/>
    <w:rsid w:val="00DE13A9"/>
    <w:rsid w:val="00DE1C6E"/>
    <w:rsid w:val="00DE2979"/>
    <w:rsid w:val="00DE35EA"/>
    <w:rsid w:val="00DE4DCF"/>
    <w:rsid w:val="00DE4F9E"/>
    <w:rsid w:val="00DE5033"/>
    <w:rsid w:val="00DE50EE"/>
    <w:rsid w:val="00DF0BD0"/>
    <w:rsid w:val="00DF1C96"/>
    <w:rsid w:val="00DF29D9"/>
    <w:rsid w:val="00DF2E08"/>
    <w:rsid w:val="00DF2F59"/>
    <w:rsid w:val="00DF3E1C"/>
    <w:rsid w:val="00DF3F24"/>
    <w:rsid w:val="00DF4D50"/>
    <w:rsid w:val="00DF552F"/>
    <w:rsid w:val="00DF5BFD"/>
    <w:rsid w:val="00DF6F23"/>
    <w:rsid w:val="00E009DA"/>
    <w:rsid w:val="00E00CB6"/>
    <w:rsid w:val="00E011D9"/>
    <w:rsid w:val="00E01D4B"/>
    <w:rsid w:val="00E02549"/>
    <w:rsid w:val="00E03498"/>
    <w:rsid w:val="00E03777"/>
    <w:rsid w:val="00E04171"/>
    <w:rsid w:val="00E043A1"/>
    <w:rsid w:val="00E047B6"/>
    <w:rsid w:val="00E047C2"/>
    <w:rsid w:val="00E04ED8"/>
    <w:rsid w:val="00E0509D"/>
    <w:rsid w:val="00E05468"/>
    <w:rsid w:val="00E06071"/>
    <w:rsid w:val="00E061FB"/>
    <w:rsid w:val="00E06613"/>
    <w:rsid w:val="00E06B69"/>
    <w:rsid w:val="00E07597"/>
    <w:rsid w:val="00E07783"/>
    <w:rsid w:val="00E079EF"/>
    <w:rsid w:val="00E10849"/>
    <w:rsid w:val="00E109BB"/>
    <w:rsid w:val="00E10E87"/>
    <w:rsid w:val="00E10E8F"/>
    <w:rsid w:val="00E11592"/>
    <w:rsid w:val="00E1210A"/>
    <w:rsid w:val="00E1229A"/>
    <w:rsid w:val="00E12448"/>
    <w:rsid w:val="00E125C3"/>
    <w:rsid w:val="00E13376"/>
    <w:rsid w:val="00E135C0"/>
    <w:rsid w:val="00E13699"/>
    <w:rsid w:val="00E1383A"/>
    <w:rsid w:val="00E13A62"/>
    <w:rsid w:val="00E13A85"/>
    <w:rsid w:val="00E147D6"/>
    <w:rsid w:val="00E14CAB"/>
    <w:rsid w:val="00E14DA6"/>
    <w:rsid w:val="00E153C9"/>
    <w:rsid w:val="00E15475"/>
    <w:rsid w:val="00E159C5"/>
    <w:rsid w:val="00E164D5"/>
    <w:rsid w:val="00E16618"/>
    <w:rsid w:val="00E170B7"/>
    <w:rsid w:val="00E20193"/>
    <w:rsid w:val="00E202BB"/>
    <w:rsid w:val="00E21B1A"/>
    <w:rsid w:val="00E21BDE"/>
    <w:rsid w:val="00E23DC8"/>
    <w:rsid w:val="00E24658"/>
    <w:rsid w:val="00E24777"/>
    <w:rsid w:val="00E24870"/>
    <w:rsid w:val="00E2516A"/>
    <w:rsid w:val="00E25375"/>
    <w:rsid w:val="00E25FE1"/>
    <w:rsid w:val="00E26436"/>
    <w:rsid w:val="00E26999"/>
    <w:rsid w:val="00E26A8C"/>
    <w:rsid w:val="00E27DC0"/>
    <w:rsid w:val="00E30B25"/>
    <w:rsid w:val="00E30C24"/>
    <w:rsid w:val="00E31325"/>
    <w:rsid w:val="00E31782"/>
    <w:rsid w:val="00E31A25"/>
    <w:rsid w:val="00E31ACD"/>
    <w:rsid w:val="00E31D06"/>
    <w:rsid w:val="00E31E46"/>
    <w:rsid w:val="00E328AE"/>
    <w:rsid w:val="00E32AEB"/>
    <w:rsid w:val="00E33A23"/>
    <w:rsid w:val="00E34607"/>
    <w:rsid w:val="00E34B86"/>
    <w:rsid w:val="00E354B1"/>
    <w:rsid w:val="00E3598A"/>
    <w:rsid w:val="00E359A8"/>
    <w:rsid w:val="00E36013"/>
    <w:rsid w:val="00E369A8"/>
    <w:rsid w:val="00E36F82"/>
    <w:rsid w:val="00E37312"/>
    <w:rsid w:val="00E37CA7"/>
    <w:rsid w:val="00E4033F"/>
    <w:rsid w:val="00E41936"/>
    <w:rsid w:val="00E419EF"/>
    <w:rsid w:val="00E41E41"/>
    <w:rsid w:val="00E42604"/>
    <w:rsid w:val="00E428B5"/>
    <w:rsid w:val="00E42F76"/>
    <w:rsid w:val="00E4354C"/>
    <w:rsid w:val="00E44145"/>
    <w:rsid w:val="00E45051"/>
    <w:rsid w:val="00E4602C"/>
    <w:rsid w:val="00E46FD5"/>
    <w:rsid w:val="00E473A4"/>
    <w:rsid w:val="00E4756B"/>
    <w:rsid w:val="00E51483"/>
    <w:rsid w:val="00E51646"/>
    <w:rsid w:val="00E51E17"/>
    <w:rsid w:val="00E51E47"/>
    <w:rsid w:val="00E52A42"/>
    <w:rsid w:val="00E52EEF"/>
    <w:rsid w:val="00E5305A"/>
    <w:rsid w:val="00E537E2"/>
    <w:rsid w:val="00E53954"/>
    <w:rsid w:val="00E54CA5"/>
    <w:rsid w:val="00E5565E"/>
    <w:rsid w:val="00E557AF"/>
    <w:rsid w:val="00E56380"/>
    <w:rsid w:val="00E56A9C"/>
    <w:rsid w:val="00E56E30"/>
    <w:rsid w:val="00E56E92"/>
    <w:rsid w:val="00E604AE"/>
    <w:rsid w:val="00E60766"/>
    <w:rsid w:val="00E61127"/>
    <w:rsid w:val="00E61688"/>
    <w:rsid w:val="00E619C5"/>
    <w:rsid w:val="00E61B09"/>
    <w:rsid w:val="00E61BC3"/>
    <w:rsid w:val="00E62C6E"/>
    <w:rsid w:val="00E6349A"/>
    <w:rsid w:val="00E64B37"/>
    <w:rsid w:val="00E65555"/>
    <w:rsid w:val="00E6644A"/>
    <w:rsid w:val="00E667AB"/>
    <w:rsid w:val="00E672A2"/>
    <w:rsid w:val="00E673E4"/>
    <w:rsid w:val="00E72370"/>
    <w:rsid w:val="00E727E1"/>
    <w:rsid w:val="00E72E03"/>
    <w:rsid w:val="00E73B84"/>
    <w:rsid w:val="00E73EAA"/>
    <w:rsid w:val="00E751E7"/>
    <w:rsid w:val="00E75BAD"/>
    <w:rsid w:val="00E75F82"/>
    <w:rsid w:val="00E76A3A"/>
    <w:rsid w:val="00E775E0"/>
    <w:rsid w:val="00E77D7F"/>
    <w:rsid w:val="00E801A1"/>
    <w:rsid w:val="00E80709"/>
    <w:rsid w:val="00E81091"/>
    <w:rsid w:val="00E810C6"/>
    <w:rsid w:val="00E81388"/>
    <w:rsid w:val="00E81D0C"/>
    <w:rsid w:val="00E82F87"/>
    <w:rsid w:val="00E83373"/>
    <w:rsid w:val="00E8389F"/>
    <w:rsid w:val="00E846BD"/>
    <w:rsid w:val="00E84C61"/>
    <w:rsid w:val="00E85AEE"/>
    <w:rsid w:val="00E85BB1"/>
    <w:rsid w:val="00E8604E"/>
    <w:rsid w:val="00E87AF9"/>
    <w:rsid w:val="00E90121"/>
    <w:rsid w:val="00E90583"/>
    <w:rsid w:val="00E90BA7"/>
    <w:rsid w:val="00E915B7"/>
    <w:rsid w:val="00E91BFC"/>
    <w:rsid w:val="00E91DBC"/>
    <w:rsid w:val="00E91F40"/>
    <w:rsid w:val="00E92940"/>
    <w:rsid w:val="00E9349F"/>
    <w:rsid w:val="00E9456C"/>
    <w:rsid w:val="00E9478A"/>
    <w:rsid w:val="00E9499E"/>
    <w:rsid w:val="00E94EA0"/>
    <w:rsid w:val="00E950E4"/>
    <w:rsid w:val="00E954A5"/>
    <w:rsid w:val="00E95575"/>
    <w:rsid w:val="00E95888"/>
    <w:rsid w:val="00E95A0E"/>
    <w:rsid w:val="00E95F47"/>
    <w:rsid w:val="00E9688B"/>
    <w:rsid w:val="00E97E95"/>
    <w:rsid w:val="00E97ECC"/>
    <w:rsid w:val="00EA02BD"/>
    <w:rsid w:val="00EA06B9"/>
    <w:rsid w:val="00EA10C2"/>
    <w:rsid w:val="00EA133B"/>
    <w:rsid w:val="00EA1D67"/>
    <w:rsid w:val="00EA21D3"/>
    <w:rsid w:val="00EA3D11"/>
    <w:rsid w:val="00EA4274"/>
    <w:rsid w:val="00EA4D73"/>
    <w:rsid w:val="00EA69DE"/>
    <w:rsid w:val="00EA7504"/>
    <w:rsid w:val="00EA7812"/>
    <w:rsid w:val="00EA7926"/>
    <w:rsid w:val="00EA7C27"/>
    <w:rsid w:val="00EB0AE1"/>
    <w:rsid w:val="00EB1401"/>
    <w:rsid w:val="00EB208D"/>
    <w:rsid w:val="00EB2258"/>
    <w:rsid w:val="00EB22A2"/>
    <w:rsid w:val="00EB26DB"/>
    <w:rsid w:val="00EB2B92"/>
    <w:rsid w:val="00EB3285"/>
    <w:rsid w:val="00EB49C3"/>
    <w:rsid w:val="00EB4F4D"/>
    <w:rsid w:val="00EB75B8"/>
    <w:rsid w:val="00EB767A"/>
    <w:rsid w:val="00EC0A42"/>
    <w:rsid w:val="00EC0B39"/>
    <w:rsid w:val="00EC0CC1"/>
    <w:rsid w:val="00EC16CF"/>
    <w:rsid w:val="00EC18A3"/>
    <w:rsid w:val="00EC1A41"/>
    <w:rsid w:val="00EC1B48"/>
    <w:rsid w:val="00EC1DA2"/>
    <w:rsid w:val="00EC250C"/>
    <w:rsid w:val="00EC276F"/>
    <w:rsid w:val="00EC3232"/>
    <w:rsid w:val="00EC3529"/>
    <w:rsid w:val="00EC40FD"/>
    <w:rsid w:val="00EC5F37"/>
    <w:rsid w:val="00EC62B2"/>
    <w:rsid w:val="00EC63E6"/>
    <w:rsid w:val="00EC650C"/>
    <w:rsid w:val="00EC6A78"/>
    <w:rsid w:val="00EC7055"/>
    <w:rsid w:val="00EC7E13"/>
    <w:rsid w:val="00ED19E1"/>
    <w:rsid w:val="00ED217B"/>
    <w:rsid w:val="00ED2401"/>
    <w:rsid w:val="00ED26A9"/>
    <w:rsid w:val="00ED38C6"/>
    <w:rsid w:val="00ED38DA"/>
    <w:rsid w:val="00ED4014"/>
    <w:rsid w:val="00ED4134"/>
    <w:rsid w:val="00ED4901"/>
    <w:rsid w:val="00ED4BAC"/>
    <w:rsid w:val="00ED4F02"/>
    <w:rsid w:val="00ED6686"/>
    <w:rsid w:val="00ED6DD6"/>
    <w:rsid w:val="00ED6EC1"/>
    <w:rsid w:val="00ED72C4"/>
    <w:rsid w:val="00ED73E4"/>
    <w:rsid w:val="00EE030F"/>
    <w:rsid w:val="00EE04D3"/>
    <w:rsid w:val="00EE0E54"/>
    <w:rsid w:val="00EE1212"/>
    <w:rsid w:val="00EE14A9"/>
    <w:rsid w:val="00EE51D4"/>
    <w:rsid w:val="00EE54AD"/>
    <w:rsid w:val="00EE616A"/>
    <w:rsid w:val="00EE6255"/>
    <w:rsid w:val="00EE6A9B"/>
    <w:rsid w:val="00EE73E4"/>
    <w:rsid w:val="00EE73EF"/>
    <w:rsid w:val="00EE7B22"/>
    <w:rsid w:val="00EF155E"/>
    <w:rsid w:val="00EF1745"/>
    <w:rsid w:val="00EF1782"/>
    <w:rsid w:val="00EF17DF"/>
    <w:rsid w:val="00EF18EB"/>
    <w:rsid w:val="00EF2099"/>
    <w:rsid w:val="00EF2B0E"/>
    <w:rsid w:val="00EF2F12"/>
    <w:rsid w:val="00EF3B10"/>
    <w:rsid w:val="00EF3D52"/>
    <w:rsid w:val="00EF424D"/>
    <w:rsid w:val="00EF43FE"/>
    <w:rsid w:val="00EF4FE7"/>
    <w:rsid w:val="00EF5589"/>
    <w:rsid w:val="00EF5F02"/>
    <w:rsid w:val="00EF5F73"/>
    <w:rsid w:val="00EF6351"/>
    <w:rsid w:val="00EF6458"/>
    <w:rsid w:val="00EF6EC9"/>
    <w:rsid w:val="00EF7204"/>
    <w:rsid w:val="00EF7583"/>
    <w:rsid w:val="00EF7CD0"/>
    <w:rsid w:val="00EF7EA7"/>
    <w:rsid w:val="00F00132"/>
    <w:rsid w:val="00F0165D"/>
    <w:rsid w:val="00F01BD7"/>
    <w:rsid w:val="00F02B6B"/>
    <w:rsid w:val="00F02D85"/>
    <w:rsid w:val="00F030B0"/>
    <w:rsid w:val="00F03443"/>
    <w:rsid w:val="00F03472"/>
    <w:rsid w:val="00F03567"/>
    <w:rsid w:val="00F03AB0"/>
    <w:rsid w:val="00F03C64"/>
    <w:rsid w:val="00F03EA8"/>
    <w:rsid w:val="00F04731"/>
    <w:rsid w:val="00F04754"/>
    <w:rsid w:val="00F0476F"/>
    <w:rsid w:val="00F04C77"/>
    <w:rsid w:val="00F05BD8"/>
    <w:rsid w:val="00F066C6"/>
    <w:rsid w:val="00F06AAE"/>
    <w:rsid w:val="00F06B3A"/>
    <w:rsid w:val="00F07241"/>
    <w:rsid w:val="00F07315"/>
    <w:rsid w:val="00F076F8"/>
    <w:rsid w:val="00F078E4"/>
    <w:rsid w:val="00F106C8"/>
    <w:rsid w:val="00F108D4"/>
    <w:rsid w:val="00F10AE7"/>
    <w:rsid w:val="00F10C29"/>
    <w:rsid w:val="00F1115A"/>
    <w:rsid w:val="00F1263F"/>
    <w:rsid w:val="00F12AB3"/>
    <w:rsid w:val="00F12F58"/>
    <w:rsid w:val="00F130A7"/>
    <w:rsid w:val="00F13255"/>
    <w:rsid w:val="00F13594"/>
    <w:rsid w:val="00F139E2"/>
    <w:rsid w:val="00F14586"/>
    <w:rsid w:val="00F15374"/>
    <w:rsid w:val="00F15A2A"/>
    <w:rsid w:val="00F15B57"/>
    <w:rsid w:val="00F166A5"/>
    <w:rsid w:val="00F16F75"/>
    <w:rsid w:val="00F178CF"/>
    <w:rsid w:val="00F17A72"/>
    <w:rsid w:val="00F20C3B"/>
    <w:rsid w:val="00F20EDC"/>
    <w:rsid w:val="00F214C8"/>
    <w:rsid w:val="00F21EAC"/>
    <w:rsid w:val="00F21F7B"/>
    <w:rsid w:val="00F21FBA"/>
    <w:rsid w:val="00F232D5"/>
    <w:rsid w:val="00F2377E"/>
    <w:rsid w:val="00F24780"/>
    <w:rsid w:val="00F2486B"/>
    <w:rsid w:val="00F24CAC"/>
    <w:rsid w:val="00F2553F"/>
    <w:rsid w:val="00F25AF5"/>
    <w:rsid w:val="00F25B13"/>
    <w:rsid w:val="00F26A1A"/>
    <w:rsid w:val="00F26CA5"/>
    <w:rsid w:val="00F27811"/>
    <w:rsid w:val="00F27F64"/>
    <w:rsid w:val="00F30013"/>
    <w:rsid w:val="00F3041B"/>
    <w:rsid w:val="00F30FCF"/>
    <w:rsid w:val="00F310A8"/>
    <w:rsid w:val="00F31C88"/>
    <w:rsid w:val="00F323A1"/>
    <w:rsid w:val="00F32C15"/>
    <w:rsid w:val="00F331A4"/>
    <w:rsid w:val="00F33323"/>
    <w:rsid w:val="00F33A1D"/>
    <w:rsid w:val="00F33E02"/>
    <w:rsid w:val="00F3458C"/>
    <w:rsid w:val="00F3485F"/>
    <w:rsid w:val="00F34AC6"/>
    <w:rsid w:val="00F34BFD"/>
    <w:rsid w:val="00F34D0D"/>
    <w:rsid w:val="00F34ED8"/>
    <w:rsid w:val="00F356CB"/>
    <w:rsid w:val="00F35A56"/>
    <w:rsid w:val="00F360F6"/>
    <w:rsid w:val="00F3680A"/>
    <w:rsid w:val="00F36C48"/>
    <w:rsid w:val="00F36C8D"/>
    <w:rsid w:val="00F36F15"/>
    <w:rsid w:val="00F3733E"/>
    <w:rsid w:val="00F37458"/>
    <w:rsid w:val="00F3763E"/>
    <w:rsid w:val="00F40156"/>
    <w:rsid w:val="00F41589"/>
    <w:rsid w:val="00F42168"/>
    <w:rsid w:val="00F429D2"/>
    <w:rsid w:val="00F42D97"/>
    <w:rsid w:val="00F446FF"/>
    <w:rsid w:val="00F44FB3"/>
    <w:rsid w:val="00F4546F"/>
    <w:rsid w:val="00F45F9C"/>
    <w:rsid w:val="00F46715"/>
    <w:rsid w:val="00F46FE9"/>
    <w:rsid w:val="00F476CC"/>
    <w:rsid w:val="00F47A10"/>
    <w:rsid w:val="00F47BA9"/>
    <w:rsid w:val="00F5097B"/>
    <w:rsid w:val="00F50A4E"/>
    <w:rsid w:val="00F51804"/>
    <w:rsid w:val="00F522FD"/>
    <w:rsid w:val="00F529EB"/>
    <w:rsid w:val="00F52EC5"/>
    <w:rsid w:val="00F530E7"/>
    <w:rsid w:val="00F53442"/>
    <w:rsid w:val="00F53AD0"/>
    <w:rsid w:val="00F53B19"/>
    <w:rsid w:val="00F53F6E"/>
    <w:rsid w:val="00F54BB7"/>
    <w:rsid w:val="00F54DDA"/>
    <w:rsid w:val="00F550CA"/>
    <w:rsid w:val="00F555CC"/>
    <w:rsid w:val="00F55F22"/>
    <w:rsid w:val="00F56192"/>
    <w:rsid w:val="00F56265"/>
    <w:rsid w:val="00F56E61"/>
    <w:rsid w:val="00F57030"/>
    <w:rsid w:val="00F60684"/>
    <w:rsid w:val="00F60A4C"/>
    <w:rsid w:val="00F60D02"/>
    <w:rsid w:val="00F6105E"/>
    <w:rsid w:val="00F61680"/>
    <w:rsid w:val="00F61B45"/>
    <w:rsid w:val="00F61CCE"/>
    <w:rsid w:val="00F63767"/>
    <w:rsid w:val="00F6378C"/>
    <w:rsid w:val="00F637BD"/>
    <w:rsid w:val="00F639D0"/>
    <w:rsid w:val="00F63BDE"/>
    <w:rsid w:val="00F63DD2"/>
    <w:rsid w:val="00F64170"/>
    <w:rsid w:val="00F6457B"/>
    <w:rsid w:val="00F645E4"/>
    <w:rsid w:val="00F64FD5"/>
    <w:rsid w:val="00F651FD"/>
    <w:rsid w:val="00F655FC"/>
    <w:rsid w:val="00F65D29"/>
    <w:rsid w:val="00F66861"/>
    <w:rsid w:val="00F67C96"/>
    <w:rsid w:val="00F67ED0"/>
    <w:rsid w:val="00F70108"/>
    <w:rsid w:val="00F70111"/>
    <w:rsid w:val="00F70AF4"/>
    <w:rsid w:val="00F71073"/>
    <w:rsid w:val="00F71272"/>
    <w:rsid w:val="00F714C2"/>
    <w:rsid w:val="00F71C92"/>
    <w:rsid w:val="00F71D3E"/>
    <w:rsid w:val="00F72685"/>
    <w:rsid w:val="00F7324F"/>
    <w:rsid w:val="00F733B6"/>
    <w:rsid w:val="00F734EB"/>
    <w:rsid w:val="00F736F7"/>
    <w:rsid w:val="00F739B3"/>
    <w:rsid w:val="00F73A68"/>
    <w:rsid w:val="00F73F4A"/>
    <w:rsid w:val="00F758F4"/>
    <w:rsid w:val="00F75947"/>
    <w:rsid w:val="00F7610D"/>
    <w:rsid w:val="00F764E2"/>
    <w:rsid w:val="00F76EDC"/>
    <w:rsid w:val="00F77F6D"/>
    <w:rsid w:val="00F80880"/>
    <w:rsid w:val="00F80B2F"/>
    <w:rsid w:val="00F80E98"/>
    <w:rsid w:val="00F8111C"/>
    <w:rsid w:val="00F818D7"/>
    <w:rsid w:val="00F819CA"/>
    <w:rsid w:val="00F828D1"/>
    <w:rsid w:val="00F83030"/>
    <w:rsid w:val="00F83D17"/>
    <w:rsid w:val="00F84012"/>
    <w:rsid w:val="00F84A1B"/>
    <w:rsid w:val="00F85997"/>
    <w:rsid w:val="00F85E67"/>
    <w:rsid w:val="00F86C75"/>
    <w:rsid w:val="00F87125"/>
    <w:rsid w:val="00F8713E"/>
    <w:rsid w:val="00F9069D"/>
    <w:rsid w:val="00F91365"/>
    <w:rsid w:val="00F9169D"/>
    <w:rsid w:val="00F922A9"/>
    <w:rsid w:val="00F92549"/>
    <w:rsid w:val="00F92B12"/>
    <w:rsid w:val="00F93435"/>
    <w:rsid w:val="00F946CD"/>
    <w:rsid w:val="00F948F3"/>
    <w:rsid w:val="00F94BE4"/>
    <w:rsid w:val="00F9557A"/>
    <w:rsid w:val="00F95B1F"/>
    <w:rsid w:val="00F96293"/>
    <w:rsid w:val="00F962BA"/>
    <w:rsid w:val="00F9632F"/>
    <w:rsid w:val="00F9670D"/>
    <w:rsid w:val="00F97365"/>
    <w:rsid w:val="00F97DCA"/>
    <w:rsid w:val="00FA0901"/>
    <w:rsid w:val="00FA0CA2"/>
    <w:rsid w:val="00FA16C7"/>
    <w:rsid w:val="00FA1B8C"/>
    <w:rsid w:val="00FA1FF9"/>
    <w:rsid w:val="00FA3164"/>
    <w:rsid w:val="00FA331C"/>
    <w:rsid w:val="00FA33E4"/>
    <w:rsid w:val="00FA3D00"/>
    <w:rsid w:val="00FA405E"/>
    <w:rsid w:val="00FA5575"/>
    <w:rsid w:val="00FA579A"/>
    <w:rsid w:val="00FA60C1"/>
    <w:rsid w:val="00FA6463"/>
    <w:rsid w:val="00FA6E43"/>
    <w:rsid w:val="00FA6F1A"/>
    <w:rsid w:val="00FA7045"/>
    <w:rsid w:val="00FA7D9B"/>
    <w:rsid w:val="00FB087B"/>
    <w:rsid w:val="00FB0BF7"/>
    <w:rsid w:val="00FB0C40"/>
    <w:rsid w:val="00FB153E"/>
    <w:rsid w:val="00FB1C8F"/>
    <w:rsid w:val="00FB1CB7"/>
    <w:rsid w:val="00FB21BF"/>
    <w:rsid w:val="00FB26E0"/>
    <w:rsid w:val="00FB29C9"/>
    <w:rsid w:val="00FB2DAB"/>
    <w:rsid w:val="00FB3767"/>
    <w:rsid w:val="00FB3A55"/>
    <w:rsid w:val="00FB4777"/>
    <w:rsid w:val="00FB483D"/>
    <w:rsid w:val="00FB491F"/>
    <w:rsid w:val="00FB4F44"/>
    <w:rsid w:val="00FB5398"/>
    <w:rsid w:val="00FB5DDC"/>
    <w:rsid w:val="00FB5EB7"/>
    <w:rsid w:val="00FB6385"/>
    <w:rsid w:val="00FB65F9"/>
    <w:rsid w:val="00FB6CF4"/>
    <w:rsid w:val="00FB7084"/>
    <w:rsid w:val="00FB73A9"/>
    <w:rsid w:val="00FB7C1A"/>
    <w:rsid w:val="00FC05FE"/>
    <w:rsid w:val="00FC0A6E"/>
    <w:rsid w:val="00FC0F1B"/>
    <w:rsid w:val="00FC171D"/>
    <w:rsid w:val="00FC1A1C"/>
    <w:rsid w:val="00FC1BD6"/>
    <w:rsid w:val="00FC1DD3"/>
    <w:rsid w:val="00FC286F"/>
    <w:rsid w:val="00FC2E53"/>
    <w:rsid w:val="00FC3645"/>
    <w:rsid w:val="00FC3AC8"/>
    <w:rsid w:val="00FC4214"/>
    <w:rsid w:val="00FC44CC"/>
    <w:rsid w:val="00FC4BA0"/>
    <w:rsid w:val="00FC5086"/>
    <w:rsid w:val="00FC5DA8"/>
    <w:rsid w:val="00FC63CD"/>
    <w:rsid w:val="00FC63E0"/>
    <w:rsid w:val="00FC6973"/>
    <w:rsid w:val="00FC7115"/>
    <w:rsid w:val="00FC756C"/>
    <w:rsid w:val="00FC76DB"/>
    <w:rsid w:val="00FC7E97"/>
    <w:rsid w:val="00FD0778"/>
    <w:rsid w:val="00FD0DAF"/>
    <w:rsid w:val="00FD0E26"/>
    <w:rsid w:val="00FD0EF5"/>
    <w:rsid w:val="00FD183D"/>
    <w:rsid w:val="00FD1AF0"/>
    <w:rsid w:val="00FD2085"/>
    <w:rsid w:val="00FD220B"/>
    <w:rsid w:val="00FD2231"/>
    <w:rsid w:val="00FD31DD"/>
    <w:rsid w:val="00FD3752"/>
    <w:rsid w:val="00FD40B9"/>
    <w:rsid w:val="00FD4FA5"/>
    <w:rsid w:val="00FD5409"/>
    <w:rsid w:val="00FD70A0"/>
    <w:rsid w:val="00FD786A"/>
    <w:rsid w:val="00FE056F"/>
    <w:rsid w:val="00FE0973"/>
    <w:rsid w:val="00FE0ABD"/>
    <w:rsid w:val="00FE0EA5"/>
    <w:rsid w:val="00FE17C4"/>
    <w:rsid w:val="00FE1FC0"/>
    <w:rsid w:val="00FE21C5"/>
    <w:rsid w:val="00FE2568"/>
    <w:rsid w:val="00FE2995"/>
    <w:rsid w:val="00FE2BA6"/>
    <w:rsid w:val="00FE2F48"/>
    <w:rsid w:val="00FE309B"/>
    <w:rsid w:val="00FE31D0"/>
    <w:rsid w:val="00FE5537"/>
    <w:rsid w:val="00FE7191"/>
    <w:rsid w:val="00FE77D4"/>
    <w:rsid w:val="00FE7B6B"/>
    <w:rsid w:val="00FE7D30"/>
    <w:rsid w:val="00FF0FEA"/>
    <w:rsid w:val="00FF106C"/>
    <w:rsid w:val="00FF122D"/>
    <w:rsid w:val="00FF1400"/>
    <w:rsid w:val="00FF155D"/>
    <w:rsid w:val="00FF1815"/>
    <w:rsid w:val="00FF1C9D"/>
    <w:rsid w:val="00FF20BC"/>
    <w:rsid w:val="00FF277B"/>
    <w:rsid w:val="00FF3374"/>
    <w:rsid w:val="00FF4D5E"/>
    <w:rsid w:val="00FF4DB5"/>
    <w:rsid w:val="00FF50E0"/>
    <w:rsid w:val="00FF54A5"/>
    <w:rsid w:val="00FF5FF4"/>
    <w:rsid w:val="00FF6136"/>
    <w:rsid w:val="00FF6202"/>
    <w:rsid w:val="00FF6813"/>
    <w:rsid w:val="00FF6A02"/>
    <w:rsid w:val="00FF6B35"/>
    <w:rsid w:val="00FF6F78"/>
    <w:rsid w:val="00FF6FFA"/>
    <w:rsid w:val="00FF794A"/>
    <w:rsid w:val="00FF7C59"/>
    <w:rsid w:val="00FF7F34"/>
    <w:rsid w:val="0122FEA2"/>
    <w:rsid w:val="0128F02B"/>
    <w:rsid w:val="013DE2E8"/>
    <w:rsid w:val="0145FA14"/>
    <w:rsid w:val="0185BB39"/>
    <w:rsid w:val="0185C0F3"/>
    <w:rsid w:val="01B5D837"/>
    <w:rsid w:val="0214790C"/>
    <w:rsid w:val="021FBF96"/>
    <w:rsid w:val="0232EACF"/>
    <w:rsid w:val="024D8761"/>
    <w:rsid w:val="029F354E"/>
    <w:rsid w:val="02A7B837"/>
    <w:rsid w:val="02C055C7"/>
    <w:rsid w:val="02EA2CEC"/>
    <w:rsid w:val="03401B64"/>
    <w:rsid w:val="03793A26"/>
    <w:rsid w:val="037DB1AD"/>
    <w:rsid w:val="03A33A12"/>
    <w:rsid w:val="04265561"/>
    <w:rsid w:val="04431FF5"/>
    <w:rsid w:val="04480561"/>
    <w:rsid w:val="04719D83"/>
    <w:rsid w:val="05686959"/>
    <w:rsid w:val="05C92D8B"/>
    <w:rsid w:val="060C5540"/>
    <w:rsid w:val="064EBAB3"/>
    <w:rsid w:val="0691EB3A"/>
    <w:rsid w:val="07194867"/>
    <w:rsid w:val="07197B38"/>
    <w:rsid w:val="07482077"/>
    <w:rsid w:val="07D1D9CC"/>
    <w:rsid w:val="07F717AD"/>
    <w:rsid w:val="080222DB"/>
    <w:rsid w:val="08147D2F"/>
    <w:rsid w:val="081E583F"/>
    <w:rsid w:val="082DADD7"/>
    <w:rsid w:val="085850A5"/>
    <w:rsid w:val="08DE557E"/>
    <w:rsid w:val="09123660"/>
    <w:rsid w:val="09876CD4"/>
    <w:rsid w:val="0A3ACB55"/>
    <w:rsid w:val="0A8805BB"/>
    <w:rsid w:val="0A962F65"/>
    <w:rsid w:val="0AC216E3"/>
    <w:rsid w:val="0ACC908D"/>
    <w:rsid w:val="0AF16A05"/>
    <w:rsid w:val="0AF79C9F"/>
    <w:rsid w:val="0AFE65BB"/>
    <w:rsid w:val="0B005620"/>
    <w:rsid w:val="0B08A40F"/>
    <w:rsid w:val="0B26F078"/>
    <w:rsid w:val="0B6EF5B6"/>
    <w:rsid w:val="0B97314A"/>
    <w:rsid w:val="0BCC8B91"/>
    <w:rsid w:val="0BF3462F"/>
    <w:rsid w:val="0C5573D5"/>
    <w:rsid w:val="0C68A82A"/>
    <w:rsid w:val="0C7442B7"/>
    <w:rsid w:val="0C89F723"/>
    <w:rsid w:val="0CBDCB40"/>
    <w:rsid w:val="0CC78D6C"/>
    <w:rsid w:val="0D05AA1A"/>
    <w:rsid w:val="0D081292"/>
    <w:rsid w:val="0D4A6127"/>
    <w:rsid w:val="0D51A7A0"/>
    <w:rsid w:val="0D56C70C"/>
    <w:rsid w:val="0D80D031"/>
    <w:rsid w:val="0DC404AE"/>
    <w:rsid w:val="0E2554AA"/>
    <w:rsid w:val="0E25DDAF"/>
    <w:rsid w:val="0EB90E46"/>
    <w:rsid w:val="0F010FBD"/>
    <w:rsid w:val="0F2A9888"/>
    <w:rsid w:val="0F4DD9CD"/>
    <w:rsid w:val="0F6DDAC3"/>
    <w:rsid w:val="0F812561"/>
    <w:rsid w:val="0FA68ADF"/>
    <w:rsid w:val="0FA91ACC"/>
    <w:rsid w:val="0FE16232"/>
    <w:rsid w:val="100096C8"/>
    <w:rsid w:val="10667945"/>
    <w:rsid w:val="108FFB65"/>
    <w:rsid w:val="109FE00E"/>
    <w:rsid w:val="10AD9B40"/>
    <w:rsid w:val="10B67362"/>
    <w:rsid w:val="10EB0F24"/>
    <w:rsid w:val="10FAB66E"/>
    <w:rsid w:val="1100189E"/>
    <w:rsid w:val="1135464C"/>
    <w:rsid w:val="113E9C2B"/>
    <w:rsid w:val="119BC25D"/>
    <w:rsid w:val="11B7284F"/>
    <w:rsid w:val="11D809CE"/>
    <w:rsid w:val="11E08607"/>
    <w:rsid w:val="11FEFBF4"/>
    <w:rsid w:val="120653F4"/>
    <w:rsid w:val="12126FB8"/>
    <w:rsid w:val="124A6365"/>
    <w:rsid w:val="1283F3C2"/>
    <w:rsid w:val="12A9CB0D"/>
    <w:rsid w:val="12AA4049"/>
    <w:rsid w:val="12B113E2"/>
    <w:rsid w:val="12E22A46"/>
    <w:rsid w:val="13106B3A"/>
    <w:rsid w:val="135A9753"/>
    <w:rsid w:val="136452D7"/>
    <w:rsid w:val="13A6EBE6"/>
    <w:rsid w:val="13FF544E"/>
    <w:rsid w:val="14EEE861"/>
    <w:rsid w:val="150DF740"/>
    <w:rsid w:val="15164BA5"/>
    <w:rsid w:val="1526578C"/>
    <w:rsid w:val="1529EEF4"/>
    <w:rsid w:val="15DE8F8B"/>
    <w:rsid w:val="1628BA0D"/>
    <w:rsid w:val="164C1AC7"/>
    <w:rsid w:val="16B0C5D8"/>
    <w:rsid w:val="16C4AF0F"/>
    <w:rsid w:val="16D46A76"/>
    <w:rsid w:val="16DF4B5E"/>
    <w:rsid w:val="16EA1716"/>
    <w:rsid w:val="171BC8E2"/>
    <w:rsid w:val="1728B4D9"/>
    <w:rsid w:val="1786DEF5"/>
    <w:rsid w:val="1810CBD8"/>
    <w:rsid w:val="181D303F"/>
    <w:rsid w:val="18D913CD"/>
    <w:rsid w:val="18EBB290"/>
    <w:rsid w:val="19190994"/>
    <w:rsid w:val="19944056"/>
    <w:rsid w:val="1996D96E"/>
    <w:rsid w:val="19B66457"/>
    <w:rsid w:val="1A00D269"/>
    <w:rsid w:val="1A0ED857"/>
    <w:rsid w:val="1A5DD2CD"/>
    <w:rsid w:val="1AC106EB"/>
    <w:rsid w:val="1AFE7702"/>
    <w:rsid w:val="1B057634"/>
    <w:rsid w:val="1B312814"/>
    <w:rsid w:val="1B4AD0F4"/>
    <w:rsid w:val="1B57AF33"/>
    <w:rsid w:val="1BB1E6E3"/>
    <w:rsid w:val="1BC99BF9"/>
    <w:rsid w:val="1BCEBB23"/>
    <w:rsid w:val="1C19F368"/>
    <w:rsid w:val="1CA77C13"/>
    <w:rsid w:val="1D37B7CD"/>
    <w:rsid w:val="1D401D37"/>
    <w:rsid w:val="1E26A355"/>
    <w:rsid w:val="1E41A014"/>
    <w:rsid w:val="1E7C68AE"/>
    <w:rsid w:val="1E9D2084"/>
    <w:rsid w:val="1EB320E9"/>
    <w:rsid w:val="1EEE6819"/>
    <w:rsid w:val="1F266234"/>
    <w:rsid w:val="1F28D400"/>
    <w:rsid w:val="1F6C9813"/>
    <w:rsid w:val="1F898D9A"/>
    <w:rsid w:val="1FA844A2"/>
    <w:rsid w:val="1FB5FBF2"/>
    <w:rsid w:val="1FBF0F1F"/>
    <w:rsid w:val="2001A59A"/>
    <w:rsid w:val="20027277"/>
    <w:rsid w:val="20035CE3"/>
    <w:rsid w:val="203D20BE"/>
    <w:rsid w:val="2050C846"/>
    <w:rsid w:val="205C36AC"/>
    <w:rsid w:val="20717B90"/>
    <w:rsid w:val="20928678"/>
    <w:rsid w:val="20A17859"/>
    <w:rsid w:val="20A6D7E4"/>
    <w:rsid w:val="21025CC3"/>
    <w:rsid w:val="211A5B55"/>
    <w:rsid w:val="216CF4E1"/>
    <w:rsid w:val="21B20730"/>
    <w:rsid w:val="21C1568A"/>
    <w:rsid w:val="21F5F69E"/>
    <w:rsid w:val="21FDE733"/>
    <w:rsid w:val="22403B36"/>
    <w:rsid w:val="22918BFE"/>
    <w:rsid w:val="229201AA"/>
    <w:rsid w:val="2319FA70"/>
    <w:rsid w:val="231C6088"/>
    <w:rsid w:val="23A05C79"/>
    <w:rsid w:val="23AE075F"/>
    <w:rsid w:val="23B174AD"/>
    <w:rsid w:val="23C89A1E"/>
    <w:rsid w:val="23E42AF3"/>
    <w:rsid w:val="2428DDFE"/>
    <w:rsid w:val="24C00806"/>
    <w:rsid w:val="24D46690"/>
    <w:rsid w:val="259F82EC"/>
    <w:rsid w:val="25C2AA8E"/>
    <w:rsid w:val="25C51D9E"/>
    <w:rsid w:val="25DFCBAA"/>
    <w:rsid w:val="25EE63F0"/>
    <w:rsid w:val="2622CCB0"/>
    <w:rsid w:val="264129A9"/>
    <w:rsid w:val="265047FB"/>
    <w:rsid w:val="265FC0E9"/>
    <w:rsid w:val="266CDDED"/>
    <w:rsid w:val="269429A9"/>
    <w:rsid w:val="26A02B42"/>
    <w:rsid w:val="26A0DE74"/>
    <w:rsid w:val="26BAA1E1"/>
    <w:rsid w:val="26CD0FC5"/>
    <w:rsid w:val="26DB9FC4"/>
    <w:rsid w:val="27B3DC28"/>
    <w:rsid w:val="27C7C049"/>
    <w:rsid w:val="27CB64F8"/>
    <w:rsid w:val="27E482E9"/>
    <w:rsid w:val="27F7FCD2"/>
    <w:rsid w:val="282A4711"/>
    <w:rsid w:val="283D1DF0"/>
    <w:rsid w:val="2843F768"/>
    <w:rsid w:val="28775971"/>
    <w:rsid w:val="28A8C74C"/>
    <w:rsid w:val="28D2E80C"/>
    <w:rsid w:val="28D4AE74"/>
    <w:rsid w:val="28D556E0"/>
    <w:rsid w:val="28E7E7AA"/>
    <w:rsid w:val="2904C4D2"/>
    <w:rsid w:val="291374EC"/>
    <w:rsid w:val="291EB464"/>
    <w:rsid w:val="297C99E0"/>
    <w:rsid w:val="29E00532"/>
    <w:rsid w:val="2A2FC7D9"/>
    <w:rsid w:val="2A3F0C8A"/>
    <w:rsid w:val="2A487411"/>
    <w:rsid w:val="2A498038"/>
    <w:rsid w:val="2A64A0D3"/>
    <w:rsid w:val="2A9870E2"/>
    <w:rsid w:val="2AB354A0"/>
    <w:rsid w:val="2AC1A75A"/>
    <w:rsid w:val="2AC4FE59"/>
    <w:rsid w:val="2AEE4FB9"/>
    <w:rsid w:val="2B03555D"/>
    <w:rsid w:val="2B22F26A"/>
    <w:rsid w:val="2B449813"/>
    <w:rsid w:val="2B685AD0"/>
    <w:rsid w:val="2B7227C1"/>
    <w:rsid w:val="2BC6D1E2"/>
    <w:rsid w:val="2C4211AF"/>
    <w:rsid w:val="2C8AF58F"/>
    <w:rsid w:val="2CA74FB2"/>
    <w:rsid w:val="2D28A903"/>
    <w:rsid w:val="2D2D1B76"/>
    <w:rsid w:val="2D79C054"/>
    <w:rsid w:val="2D84B30E"/>
    <w:rsid w:val="2E01E873"/>
    <w:rsid w:val="2E410173"/>
    <w:rsid w:val="2E4B9654"/>
    <w:rsid w:val="2E9AF77E"/>
    <w:rsid w:val="2EF92A58"/>
    <w:rsid w:val="2F808258"/>
    <w:rsid w:val="2F8EE9E7"/>
    <w:rsid w:val="2FB5FCDC"/>
    <w:rsid w:val="2FBBF65F"/>
    <w:rsid w:val="2FC4C160"/>
    <w:rsid w:val="2FCBE49D"/>
    <w:rsid w:val="2FD5259F"/>
    <w:rsid w:val="2FEE97B4"/>
    <w:rsid w:val="2FEEC676"/>
    <w:rsid w:val="3010B5FA"/>
    <w:rsid w:val="3015FED3"/>
    <w:rsid w:val="30222220"/>
    <w:rsid w:val="306332FB"/>
    <w:rsid w:val="30EE227E"/>
    <w:rsid w:val="310CEFB1"/>
    <w:rsid w:val="312E6A3B"/>
    <w:rsid w:val="314ABC21"/>
    <w:rsid w:val="314FA158"/>
    <w:rsid w:val="3157898A"/>
    <w:rsid w:val="319845CB"/>
    <w:rsid w:val="31B1C2E2"/>
    <w:rsid w:val="31BE32DC"/>
    <w:rsid w:val="31D37C67"/>
    <w:rsid w:val="31DB6FD7"/>
    <w:rsid w:val="32123F0A"/>
    <w:rsid w:val="328714AD"/>
    <w:rsid w:val="32B684C1"/>
    <w:rsid w:val="32D9EC74"/>
    <w:rsid w:val="32DED458"/>
    <w:rsid w:val="332AE2FD"/>
    <w:rsid w:val="3349C7E4"/>
    <w:rsid w:val="33CD7C96"/>
    <w:rsid w:val="33D67965"/>
    <w:rsid w:val="33E60D7B"/>
    <w:rsid w:val="33F00B50"/>
    <w:rsid w:val="33F8FCB3"/>
    <w:rsid w:val="34025A33"/>
    <w:rsid w:val="34358403"/>
    <w:rsid w:val="347916D4"/>
    <w:rsid w:val="34E2F22C"/>
    <w:rsid w:val="34F63CCA"/>
    <w:rsid w:val="351343AE"/>
    <w:rsid w:val="354D0618"/>
    <w:rsid w:val="356B135F"/>
    <w:rsid w:val="3588940B"/>
    <w:rsid w:val="35E998F5"/>
    <w:rsid w:val="35EB1AD3"/>
    <w:rsid w:val="35F64140"/>
    <w:rsid w:val="36438961"/>
    <w:rsid w:val="365202AC"/>
    <w:rsid w:val="366CCB50"/>
    <w:rsid w:val="36A678A2"/>
    <w:rsid w:val="36B8CCFA"/>
    <w:rsid w:val="36BE4AD1"/>
    <w:rsid w:val="36EDECA1"/>
    <w:rsid w:val="370FADAD"/>
    <w:rsid w:val="372E519C"/>
    <w:rsid w:val="3745E662"/>
    <w:rsid w:val="37AB9BAD"/>
    <w:rsid w:val="38BEEF99"/>
    <w:rsid w:val="39112F9B"/>
    <w:rsid w:val="39278813"/>
    <w:rsid w:val="3929ACA7"/>
    <w:rsid w:val="392DEC9A"/>
    <w:rsid w:val="39414677"/>
    <w:rsid w:val="3957A852"/>
    <w:rsid w:val="39A8D3BC"/>
    <w:rsid w:val="39BF6EF9"/>
    <w:rsid w:val="39DF3741"/>
    <w:rsid w:val="3A149803"/>
    <w:rsid w:val="3A84DFF1"/>
    <w:rsid w:val="3AF44132"/>
    <w:rsid w:val="3B74CA59"/>
    <w:rsid w:val="3B980595"/>
    <w:rsid w:val="3BF64964"/>
    <w:rsid w:val="3C13C7DF"/>
    <w:rsid w:val="3C1E72FE"/>
    <w:rsid w:val="3CB01A9A"/>
    <w:rsid w:val="3CC02AD4"/>
    <w:rsid w:val="3CCD4D8D"/>
    <w:rsid w:val="3CD9859E"/>
    <w:rsid w:val="3CF852D1"/>
    <w:rsid w:val="3D0027E3"/>
    <w:rsid w:val="3D14865C"/>
    <w:rsid w:val="3D237F53"/>
    <w:rsid w:val="3D3612DD"/>
    <w:rsid w:val="3D665D41"/>
    <w:rsid w:val="3D725603"/>
    <w:rsid w:val="3D93C909"/>
    <w:rsid w:val="3DAC72C4"/>
    <w:rsid w:val="3DCF964D"/>
    <w:rsid w:val="3E2175DD"/>
    <w:rsid w:val="3E35C778"/>
    <w:rsid w:val="3E372807"/>
    <w:rsid w:val="3E490525"/>
    <w:rsid w:val="3EE2B914"/>
    <w:rsid w:val="3EE75508"/>
    <w:rsid w:val="3EEB0430"/>
    <w:rsid w:val="3F41C046"/>
    <w:rsid w:val="3F446DB9"/>
    <w:rsid w:val="3FA7AB5A"/>
    <w:rsid w:val="3FC668E3"/>
    <w:rsid w:val="3FDB26AB"/>
    <w:rsid w:val="4007E661"/>
    <w:rsid w:val="401C0E63"/>
    <w:rsid w:val="405154FB"/>
    <w:rsid w:val="4056327F"/>
    <w:rsid w:val="4081AE78"/>
    <w:rsid w:val="408AB8E0"/>
    <w:rsid w:val="408ADF9D"/>
    <w:rsid w:val="40A444E9"/>
    <w:rsid w:val="40BE6965"/>
    <w:rsid w:val="40C9AFEF"/>
    <w:rsid w:val="40E941CE"/>
    <w:rsid w:val="415CC3E0"/>
    <w:rsid w:val="4170A1C9"/>
    <w:rsid w:val="418FF9ED"/>
    <w:rsid w:val="4194E349"/>
    <w:rsid w:val="41C57C13"/>
    <w:rsid w:val="41D0018B"/>
    <w:rsid w:val="4202D910"/>
    <w:rsid w:val="421FC984"/>
    <w:rsid w:val="423AB875"/>
    <w:rsid w:val="426A45AD"/>
    <w:rsid w:val="42785A51"/>
    <w:rsid w:val="428FC2DF"/>
    <w:rsid w:val="42E64720"/>
    <w:rsid w:val="4378AAF6"/>
    <w:rsid w:val="43AEF82F"/>
    <w:rsid w:val="43DA7335"/>
    <w:rsid w:val="44089B2C"/>
    <w:rsid w:val="4476397F"/>
    <w:rsid w:val="448B1751"/>
    <w:rsid w:val="44B0E4B5"/>
    <w:rsid w:val="44BFC66E"/>
    <w:rsid w:val="44C34ACC"/>
    <w:rsid w:val="45AC3C6D"/>
    <w:rsid w:val="4609BFF3"/>
    <w:rsid w:val="46107E02"/>
    <w:rsid w:val="462923D4"/>
    <w:rsid w:val="46E0410A"/>
    <w:rsid w:val="47AC317A"/>
    <w:rsid w:val="47BCC2CB"/>
    <w:rsid w:val="47D7F171"/>
    <w:rsid w:val="47DAB085"/>
    <w:rsid w:val="47F507D2"/>
    <w:rsid w:val="481DB05C"/>
    <w:rsid w:val="486CF0A6"/>
    <w:rsid w:val="48C32CEE"/>
    <w:rsid w:val="48CAF277"/>
    <w:rsid w:val="48DB5831"/>
    <w:rsid w:val="48F82862"/>
    <w:rsid w:val="4904880F"/>
    <w:rsid w:val="49177789"/>
    <w:rsid w:val="4996DD93"/>
    <w:rsid w:val="49FE6E5B"/>
    <w:rsid w:val="4A0AD00F"/>
    <w:rsid w:val="4A46FBBA"/>
    <w:rsid w:val="4A6280E8"/>
    <w:rsid w:val="4A8827EA"/>
    <w:rsid w:val="4AC183CC"/>
    <w:rsid w:val="4AD60730"/>
    <w:rsid w:val="4B03CB30"/>
    <w:rsid w:val="4B556AB7"/>
    <w:rsid w:val="4BA7B6C4"/>
    <w:rsid w:val="4BBE82FD"/>
    <w:rsid w:val="4C0052BE"/>
    <w:rsid w:val="4C172E4E"/>
    <w:rsid w:val="4C466934"/>
    <w:rsid w:val="4C54BE1C"/>
    <w:rsid w:val="4CAF0B9B"/>
    <w:rsid w:val="4CBF27F2"/>
    <w:rsid w:val="4CCBAABB"/>
    <w:rsid w:val="4D053030"/>
    <w:rsid w:val="4D219C0F"/>
    <w:rsid w:val="4D276C27"/>
    <w:rsid w:val="4D6B07D0"/>
    <w:rsid w:val="4D928898"/>
    <w:rsid w:val="4DDB014A"/>
    <w:rsid w:val="4E47C6FA"/>
    <w:rsid w:val="4E502B35"/>
    <w:rsid w:val="4E5E78CC"/>
    <w:rsid w:val="4EAFB8C8"/>
    <w:rsid w:val="4EDEEF1A"/>
    <w:rsid w:val="4F0E0701"/>
    <w:rsid w:val="4F200B26"/>
    <w:rsid w:val="4F56DD59"/>
    <w:rsid w:val="4F64166B"/>
    <w:rsid w:val="4F7C84CD"/>
    <w:rsid w:val="4F91E2F1"/>
    <w:rsid w:val="4FE23695"/>
    <w:rsid w:val="5005ED5D"/>
    <w:rsid w:val="50078721"/>
    <w:rsid w:val="5014CCAF"/>
    <w:rsid w:val="50931961"/>
    <w:rsid w:val="5096EC4E"/>
    <w:rsid w:val="50B1A209"/>
    <w:rsid w:val="512BB874"/>
    <w:rsid w:val="5139DA50"/>
    <w:rsid w:val="513B3BC6"/>
    <w:rsid w:val="5183EC8E"/>
    <w:rsid w:val="519EB737"/>
    <w:rsid w:val="51A2A7A3"/>
    <w:rsid w:val="51D57F21"/>
    <w:rsid w:val="51D8AB80"/>
    <w:rsid w:val="521D3943"/>
    <w:rsid w:val="5246BA0D"/>
    <w:rsid w:val="528461FA"/>
    <w:rsid w:val="52BEE034"/>
    <w:rsid w:val="52C945D4"/>
    <w:rsid w:val="53176447"/>
    <w:rsid w:val="5319303B"/>
    <w:rsid w:val="5330973C"/>
    <w:rsid w:val="538ADB63"/>
    <w:rsid w:val="53A1FB8F"/>
    <w:rsid w:val="5448A0DD"/>
    <w:rsid w:val="54617EC2"/>
    <w:rsid w:val="54BF626E"/>
    <w:rsid w:val="54CC1EA1"/>
    <w:rsid w:val="54D176C8"/>
    <w:rsid w:val="54EE506B"/>
    <w:rsid w:val="54F1CB24"/>
    <w:rsid w:val="5510CFC8"/>
    <w:rsid w:val="55286672"/>
    <w:rsid w:val="554B7FEF"/>
    <w:rsid w:val="559DE53E"/>
    <w:rsid w:val="559F011E"/>
    <w:rsid w:val="559F477E"/>
    <w:rsid w:val="55A1A55E"/>
    <w:rsid w:val="55E2B56E"/>
    <w:rsid w:val="55EAF170"/>
    <w:rsid w:val="5629682D"/>
    <w:rsid w:val="563E079B"/>
    <w:rsid w:val="567CCE8D"/>
    <w:rsid w:val="56BFD522"/>
    <w:rsid w:val="56D03AE0"/>
    <w:rsid w:val="5704421F"/>
    <w:rsid w:val="57065510"/>
    <w:rsid w:val="575AF33F"/>
    <w:rsid w:val="578B7B64"/>
    <w:rsid w:val="57B37752"/>
    <w:rsid w:val="57C5F744"/>
    <w:rsid w:val="57CE66F8"/>
    <w:rsid w:val="57D36F1E"/>
    <w:rsid w:val="58217754"/>
    <w:rsid w:val="58AE46A9"/>
    <w:rsid w:val="58E9F417"/>
    <w:rsid w:val="59273D23"/>
    <w:rsid w:val="59334BBC"/>
    <w:rsid w:val="593AA845"/>
    <w:rsid w:val="5952D1CA"/>
    <w:rsid w:val="597671AB"/>
    <w:rsid w:val="5977208A"/>
    <w:rsid w:val="598FE73C"/>
    <w:rsid w:val="59C01632"/>
    <w:rsid w:val="5A621FDA"/>
    <w:rsid w:val="5A712B63"/>
    <w:rsid w:val="5A76FD10"/>
    <w:rsid w:val="5A850F95"/>
    <w:rsid w:val="5A9918DF"/>
    <w:rsid w:val="5AED808C"/>
    <w:rsid w:val="5B4B5AF9"/>
    <w:rsid w:val="5B528908"/>
    <w:rsid w:val="5B5411CD"/>
    <w:rsid w:val="5B687DDF"/>
    <w:rsid w:val="5B74D35F"/>
    <w:rsid w:val="5B78D148"/>
    <w:rsid w:val="5B8C3516"/>
    <w:rsid w:val="5BD51606"/>
    <w:rsid w:val="5BF434A9"/>
    <w:rsid w:val="5C2A4BAD"/>
    <w:rsid w:val="5C46E271"/>
    <w:rsid w:val="5C4BBAA4"/>
    <w:rsid w:val="5C83AB1C"/>
    <w:rsid w:val="5CD9909D"/>
    <w:rsid w:val="5CECD048"/>
    <w:rsid w:val="5CF4DA5C"/>
    <w:rsid w:val="5D1C7134"/>
    <w:rsid w:val="5D2E4728"/>
    <w:rsid w:val="5DB2389F"/>
    <w:rsid w:val="5DB5319E"/>
    <w:rsid w:val="5DDE157B"/>
    <w:rsid w:val="5DF613DF"/>
    <w:rsid w:val="5E27DBA5"/>
    <w:rsid w:val="5E81CC76"/>
    <w:rsid w:val="5ED87968"/>
    <w:rsid w:val="5F1B6864"/>
    <w:rsid w:val="5F350E9A"/>
    <w:rsid w:val="5F8C70E1"/>
    <w:rsid w:val="5FD6C00D"/>
    <w:rsid w:val="5FE4B204"/>
    <w:rsid w:val="5FFCB07D"/>
    <w:rsid w:val="603AEE1A"/>
    <w:rsid w:val="60433B03"/>
    <w:rsid w:val="60539879"/>
    <w:rsid w:val="6053EF75"/>
    <w:rsid w:val="6087CCD3"/>
    <w:rsid w:val="60A7EFB1"/>
    <w:rsid w:val="60D817DE"/>
    <w:rsid w:val="60E02261"/>
    <w:rsid w:val="6124ADC2"/>
    <w:rsid w:val="6133B8C4"/>
    <w:rsid w:val="616A1703"/>
    <w:rsid w:val="617C5B0C"/>
    <w:rsid w:val="61958B86"/>
    <w:rsid w:val="61A317EA"/>
    <w:rsid w:val="61CD5926"/>
    <w:rsid w:val="62552067"/>
    <w:rsid w:val="6280886F"/>
    <w:rsid w:val="62D19F67"/>
    <w:rsid w:val="62DD5708"/>
    <w:rsid w:val="630E4429"/>
    <w:rsid w:val="6321D220"/>
    <w:rsid w:val="633E4832"/>
    <w:rsid w:val="6361F0D1"/>
    <w:rsid w:val="63C62BA8"/>
    <w:rsid w:val="64180FD9"/>
    <w:rsid w:val="6457F1FE"/>
    <w:rsid w:val="6479BD09"/>
    <w:rsid w:val="649E3688"/>
    <w:rsid w:val="64D9185E"/>
    <w:rsid w:val="64E04AB1"/>
    <w:rsid w:val="65964F99"/>
    <w:rsid w:val="65B23D2F"/>
    <w:rsid w:val="65D8B5D7"/>
    <w:rsid w:val="65FD2F56"/>
    <w:rsid w:val="6619F298"/>
    <w:rsid w:val="66459285"/>
    <w:rsid w:val="6656615F"/>
    <w:rsid w:val="67090C1C"/>
    <w:rsid w:val="67A1147B"/>
    <w:rsid w:val="67C49C73"/>
    <w:rsid w:val="67FEC19E"/>
    <w:rsid w:val="67FEF992"/>
    <w:rsid w:val="68D8BC13"/>
    <w:rsid w:val="68F286AF"/>
    <w:rsid w:val="68FC4EA3"/>
    <w:rsid w:val="69334C16"/>
    <w:rsid w:val="69417B81"/>
    <w:rsid w:val="69552B31"/>
    <w:rsid w:val="695E372D"/>
    <w:rsid w:val="6985AAC0"/>
    <w:rsid w:val="69B551AC"/>
    <w:rsid w:val="69DFDBEA"/>
    <w:rsid w:val="69E6B8B2"/>
    <w:rsid w:val="6A182A05"/>
    <w:rsid w:val="6A484271"/>
    <w:rsid w:val="6A50F972"/>
    <w:rsid w:val="6B5CF321"/>
    <w:rsid w:val="6B748B63"/>
    <w:rsid w:val="6C0ABA16"/>
    <w:rsid w:val="6C25B04B"/>
    <w:rsid w:val="6C470A93"/>
    <w:rsid w:val="6C4B842B"/>
    <w:rsid w:val="6C9A155A"/>
    <w:rsid w:val="6CBBC0B4"/>
    <w:rsid w:val="6CCDC1EC"/>
    <w:rsid w:val="6CFA776D"/>
    <w:rsid w:val="6D0198AF"/>
    <w:rsid w:val="6D07C0CD"/>
    <w:rsid w:val="6D2F7E20"/>
    <w:rsid w:val="6D30A695"/>
    <w:rsid w:val="6D625EDC"/>
    <w:rsid w:val="6D738F1B"/>
    <w:rsid w:val="6DA3DB09"/>
    <w:rsid w:val="6DA9F019"/>
    <w:rsid w:val="6DDE2D7E"/>
    <w:rsid w:val="6DEF596F"/>
    <w:rsid w:val="6E5D9E20"/>
    <w:rsid w:val="6E66B20E"/>
    <w:rsid w:val="6EAB5886"/>
    <w:rsid w:val="6EF7F1F4"/>
    <w:rsid w:val="6F4C2B7C"/>
    <w:rsid w:val="6FC9D6B1"/>
    <w:rsid w:val="6FE6B84A"/>
    <w:rsid w:val="6FE9088B"/>
    <w:rsid w:val="7011C1FD"/>
    <w:rsid w:val="7019EC52"/>
    <w:rsid w:val="7023C118"/>
    <w:rsid w:val="705E3E78"/>
    <w:rsid w:val="70BED7D5"/>
    <w:rsid w:val="70C33E7A"/>
    <w:rsid w:val="712ADDE8"/>
    <w:rsid w:val="7138BEC0"/>
    <w:rsid w:val="715AA79B"/>
    <w:rsid w:val="715BFEB7"/>
    <w:rsid w:val="716183C5"/>
    <w:rsid w:val="71D22208"/>
    <w:rsid w:val="7245773F"/>
    <w:rsid w:val="7297EA5F"/>
    <w:rsid w:val="72AC4C64"/>
    <w:rsid w:val="734C74B1"/>
    <w:rsid w:val="739BDE86"/>
    <w:rsid w:val="73D5E053"/>
    <w:rsid w:val="73DCFF30"/>
    <w:rsid w:val="74270234"/>
    <w:rsid w:val="74637AC9"/>
    <w:rsid w:val="746B9A25"/>
    <w:rsid w:val="748C72D5"/>
    <w:rsid w:val="7491EB38"/>
    <w:rsid w:val="7519E2DB"/>
    <w:rsid w:val="7543F132"/>
    <w:rsid w:val="75573DBC"/>
    <w:rsid w:val="7590BB50"/>
    <w:rsid w:val="75BCBCB3"/>
    <w:rsid w:val="7600D429"/>
    <w:rsid w:val="76120950"/>
    <w:rsid w:val="764FFD7B"/>
    <w:rsid w:val="7657E81E"/>
    <w:rsid w:val="76757F95"/>
    <w:rsid w:val="76786A8D"/>
    <w:rsid w:val="768B3BDE"/>
    <w:rsid w:val="76BE1AE6"/>
    <w:rsid w:val="76E51964"/>
    <w:rsid w:val="77233E41"/>
    <w:rsid w:val="77766286"/>
    <w:rsid w:val="778745D9"/>
    <w:rsid w:val="77E5D5FA"/>
    <w:rsid w:val="77F2B89A"/>
    <w:rsid w:val="7822A4C0"/>
    <w:rsid w:val="783156AA"/>
    <w:rsid w:val="78364ED8"/>
    <w:rsid w:val="783DE507"/>
    <w:rsid w:val="7858F757"/>
    <w:rsid w:val="7866D617"/>
    <w:rsid w:val="7897B51E"/>
    <w:rsid w:val="78B54A66"/>
    <w:rsid w:val="79161593"/>
    <w:rsid w:val="79BAEFF8"/>
    <w:rsid w:val="79C0EBD6"/>
    <w:rsid w:val="7A69784D"/>
    <w:rsid w:val="7ADA7702"/>
    <w:rsid w:val="7AEA5018"/>
    <w:rsid w:val="7B10CE76"/>
    <w:rsid w:val="7B261779"/>
    <w:rsid w:val="7B28BB03"/>
    <w:rsid w:val="7B35A0F6"/>
    <w:rsid w:val="7B3824C1"/>
    <w:rsid w:val="7B5184CE"/>
    <w:rsid w:val="7B9FEBC5"/>
    <w:rsid w:val="7BA3A3F0"/>
    <w:rsid w:val="7BFB3777"/>
    <w:rsid w:val="7C319D00"/>
    <w:rsid w:val="7C478379"/>
    <w:rsid w:val="7C62AEAC"/>
    <w:rsid w:val="7C74D9A1"/>
    <w:rsid w:val="7C8858F5"/>
    <w:rsid w:val="7C8A4D4F"/>
    <w:rsid w:val="7C9AEF3A"/>
    <w:rsid w:val="7D24334C"/>
    <w:rsid w:val="7D3E6D9A"/>
    <w:rsid w:val="7D5A0814"/>
    <w:rsid w:val="7D877E5B"/>
    <w:rsid w:val="7DBED7B3"/>
    <w:rsid w:val="7DE9CCFE"/>
    <w:rsid w:val="7E027EB9"/>
    <w:rsid w:val="7E8385D0"/>
    <w:rsid w:val="7E93D01B"/>
    <w:rsid w:val="7EAC044C"/>
    <w:rsid w:val="7EFD34F6"/>
    <w:rsid w:val="7F0D29F7"/>
    <w:rsid w:val="7F126BDC"/>
    <w:rsid w:val="7F1C51A0"/>
    <w:rsid w:val="7F320DF0"/>
    <w:rsid w:val="7F757148"/>
    <w:rsid w:val="7FA828C6"/>
    <w:rsid w:val="7FCBCD13"/>
    <w:rsid w:val="7FE00FAB"/>
    <w:rsid w:val="7FEB939E"/>
    <w:rsid w:val="7FF6A7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E2F6"/>
  <w15:chartTrackingRefBased/>
  <w15:docId w15:val="{881BB845-A2B8-42D0-B89F-467E4BC6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B8"/>
  </w:style>
  <w:style w:type="paragraph" w:styleId="Heading1">
    <w:name w:val="heading 1"/>
    <w:basedOn w:val="Normal"/>
    <w:next w:val="Normal"/>
    <w:link w:val="Heading1Char"/>
    <w:uiPriority w:val="9"/>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9"/>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9"/>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9"/>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aliases w:val="SUPERS,EN Footnote Reference,number,ftref,fr,Footnote Reference Number,Footnote Reference_LVL6,Footnote Reference_LVL61,Footnote Reference_LVL62,Footnote Reference_LVL63,Footnote Reference_LVL64,Rabbani Footnote,Ref,de nota al pie"/>
    <w:basedOn w:val="DefaultParagraphFont"/>
    <w:link w:val="FootnoteReference1"/>
    <w:uiPriority w:val="99"/>
    <w:qFormat/>
    <w:rsid w:val="008A3DEB"/>
    <w:rPr>
      <w:sz w:val="20"/>
      <w:vertAlign w:val="superscript"/>
    </w:rPr>
  </w:style>
  <w:style w:type="paragraph" w:styleId="FootnoteText">
    <w:name w:val="footnote text"/>
    <w:aliases w:val="lábléc,Footnote,Fußnote,C26 Footnote body,single space,fn,ALTS FOOTNOTE,Footnote Text Char1 Char,Footnote Text Char Char Char,Footnote Text Char1 Char Char Char,Footnote Text Char Char Char Char Char,ft,footnote text,FOOTNOTES"/>
    <w:basedOn w:val="Normal"/>
    <w:link w:val="FootnoteTextChar"/>
    <w:uiPriority w:val="99"/>
    <w:qFormat/>
    <w:rsid w:val="008A3DEB"/>
    <w:pPr>
      <w:spacing w:after="200"/>
    </w:pPr>
    <w:rPr>
      <w:szCs w:val="20"/>
    </w:rPr>
  </w:style>
  <w:style w:type="character" w:customStyle="1" w:styleId="FootnoteTextChar">
    <w:name w:val="Footnote Text Char"/>
    <w:aliases w:val="lábléc Char,Footnote Char,Fußnote Char,C26 Footnote body Char,single space Char,fn Char,ALTS FOOTNOTE Char,Footnote Text Char1 Char Char,Footnote Text Char Char Char Char,Footnote Text Char1 Char Char Char Char,ft Char,FOOTNOTES Char"/>
    <w:basedOn w:val="DefaultParagraphFont"/>
    <w:link w:val="FootnoteText"/>
    <w:uiPriority w:val="99"/>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9"/>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9"/>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9"/>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9"/>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aliases w:val="List Bullet Char Char2,List Bullet Char2 Char Char Char Char,List Bullet Char1 Char Char Char Char Char,List Bullet Char Char Char Char Char Char Char,List Bullet Char Char1 Char Char Char Char,List Bullet Char1 Char Char,List Bullet Char2"/>
    <w:basedOn w:val="Normal"/>
    <w:qFormat/>
    <w:rsid w:val="00807E50"/>
    <w:pPr>
      <w:numPr>
        <w:numId w:val="3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34"/>
    <w:qFormat/>
    <w:rsid w:val="00807E50"/>
    <w:pPr>
      <w:numPr>
        <w:numId w:val="7"/>
      </w:numPr>
      <w:snapToGrid w:val="0"/>
      <w:contextualSpacing/>
    </w:pPr>
    <w:rPr>
      <w:rFonts w:eastAsia="Century Gothic" w:cs="Arial"/>
      <w:color w:val="000000" w:themeColor="text1"/>
    </w:rPr>
  </w:style>
  <w:style w:type="paragraph" w:customStyle="1" w:styleId="ParagraphNumbering">
    <w:name w:val="Paragraph Numbering"/>
    <w:basedOn w:val="Normal"/>
    <w:link w:val="ParagraphNumberingChar"/>
    <w:qFormat/>
    <w:rsid w:val="00BB45B2"/>
    <w:pPr>
      <w:numPr>
        <w:numId w:val="6"/>
      </w:numPr>
    </w:pPr>
  </w:style>
  <w:style w:type="paragraph" w:styleId="Title">
    <w:name w:val="Title"/>
    <w:basedOn w:val="Normal"/>
    <w:link w:val="TitleChar"/>
    <w:uiPriority w:val="10"/>
    <w:qFormat/>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8A3DEB"/>
    <w:rPr>
      <w:rFonts w:ascii="Arial" w:hAnsi="Arial" w:cs="Arial"/>
      <w:b/>
      <w:bCs/>
      <w:kern w:val="28"/>
      <w:sz w:val="32"/>
      <w:szCs w:val="32"/>
    </w:rPr>
  </w:style>
  <w:style w:type="paragraph" w:styleId="TOC1">
    <w:name w:val="toc 1"/>
    <w:basedOn w:val="Normal"/>
    <w:next w:val="Normal"/>
    <w:uiPriority w:val="39"/>
    <w:rsid w:val="008A3DEB"/>
  </w:style>
  <w:style w:type="paragraph" w:styleId="TOC2">
    <w:name w:val="toc 2"/>
    <w:basedOn w:val="Normal"/>
    <w:next w:val="Normal"/>
    <w:uiPriority w:val="39"/>
    <w:rsid w:val="008A3DEB"/>
    <w:pPr>
      <w:ind w:left="240"/>
    </w:pPr>
  </w:style>
  <w:style w:type="paragraph" w:styleId="TOC3">
    <w:name w:val="toc 3"/>
    <w:basedOn w:val="Normal"/>
    <w:next w:val="Normal"/>
    <w:uiPriority w:val="39"/>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customStyle="1" w:styleId="ParagraphNumberingChar">
    <w:name w:val="Paragraph Numbering Char"/>
    <w:link w:val="ParagraphNumbering"/>
    <w:qFormat/>
    <w:locked/>
    <w:rsid w:val="00F77F6D"/>
  </w:style>
  <w:style w:type="paragraph" w:customStyle="1" w:styleId="Boxfiguretabletitle">
    <w:name w:val="Box/figure/table title"/>
    <w:uiPriority w:val="4"/>
    <w:qFormat/>
    <w:rsid w:val="00F77F6D"/>
    <w:pPr>
      <w:spacing w:after="0" w:line="240" w:lineRule="auto"/>
      <w:jc w:val="center"/>
    </w:pPr>
    <w:rPr>
      <w:rFonts w:ascii="Segoe UI" w:eastAsia="Times New Roman" w:hAnsi="Segoe UI" w:cs="Times New Roman"/>
      <w:b/>
      <w:bCs/>
      <w:color w:val="B57E00" w:themeColor="accent2" w:themeShade="BF"/>
      <w:sz w:val="21"/>
      <w:szCs w:val="20"/>
    </w:rPr>
  </w:style>
  <w:style w:type="table" w:styleId="TableGrid">
    <w:name w:val="Table Grid"/>
    <w:basedOn w:val="TableNormal"/>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F6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77F6D"/>
    <w:pPr>
      <w:spacing w:after="0" w:line="240" w:lineRule="auto"/>
    </w:pPr>
  </w:style>
  <w:style w:type="paragraph" w:styleId="BalloonText">
    <w:name w:val="Balloon Text"/>
    <w:basedOn w:val="Normal"/>
    <w:link w:val="BalloonTextChar"/>
    <w:uiPriority w:val="99"/>
    <w:semiHidden/>
    <w:unhideWhenUsed/>
    <w:rsid w:val="00F7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D"/>
    <w:rPr>
      <w:rFonts w:ascii="Segoe UI" w:hAnsi="Segoe UI" w:cs="Segoe UI"/>
      <w:sz w:val="18"/>
      <w:szCs w:val="18"/>
    </w:rPr>
  </w:style>
  <w:style w:type="character" w:styleId="CommentReference">
    <w:name w:val="annotation reference"/>
    <w:basedOn w:val="DefaultParagraphFont"/>
    <w:uiPriority w:val="99"/>
    <w:semiHidden/>
    <w:unhideWhenUsed/>
    <w:rsid w:val="00F77F6D"/>
    <w:rPr>
      <w:sz w:val="16"/>
      <w:szCs w:val="16"/>
    </w:rPr>
  </w:style>
  <w:style w:type="paragraph" w:styleId="CommentText">
    <w:name w:val="annotation text"/>
    <w:basedOn w:val="Normal"/>
    <w:link w:val="CommentTextChar"/>
    <w:uiPriority w:val="99"/>
    <w:unhideWhenUsed/>
    <w:rsid w:val="00F77F6D"/>
    <w:pPr>
      <w:spacing w:line="240" w:lineRule="auto"/>
    </w:pPr>
    <w:rPr>
      <w:sz w:val="20"/>
      <w:szCs w:val="20"/>
    </w:rPr>
  </w:style>
  <w:style w:type="character" w:customStyle="1" w:styleId="CommentTextChar">
    <w:name w:val="Comment Text Char"/>
    <w:basedOn w:val="DefaultParagraphFont"/>
    <w:link w:val="CommentText"/>
    <w:uiPriority w:val="99"/>
    <w:rsid w:val="00F77F6D"/>
    <w:rPr>
      <w:sz w:val="20"/>
      <w:szCs w:val="20"/>
    </w:rPr>
  </w:style>
  <w:style w:type="paragraph" w:styleId="CommentSubject">
    <w:name w:val="annotation subject"/>
    <w:basedOn w:val="CommentText"/>
    <w:next w:val="CommentText"/>
    <w:link w:val="CommentSubjectChar"/>
    <w:uiPriority w:val="99"/>
    <w:semiHidden/>
    <w:unhideWhenUsed/>
    <w:rsid w:val="00F77F6D"/>
    <w:rPr>
      <w:b/>
      <w:bCs/>
    </w:rPr>
  </w:style>
  <w:style w:type="character" w:customStyle="1" w:styleId="CommentSubjectChar">
    <w:name w:val="Comment Subject Char"/>
    <w:basedOn w:val="CommentTextChar"/>
    <w:link w:val="CommentSubject"/>
    <w:uiPriority w:val="99"/>
    <w:semiHidden/>
    <w:rsid w:val="00F77F6D"/>
    <w:rPr>
      <w:b/>
      <w:bCs/>
      <w:sz w:val="20"/>
      <w:szCs w:val="20"/>
    </w:rPr>
  </w:style>
  <w:style w:type="table" w:customStyle="1" w:styleId="TableGrid1">
    <w:name w:val="Table Grid1"/>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F6D"/>
    <w:pPr>
      <w:spacing w:after="0" w:line="240" w:lineRule="auto"/>
    </w:pPr>
  </w:style>
  <w:style w:type="paragraph" w:styleId="TOCHeading">
    <w:name w:val="TOC Heading"/>
    <w:basedOn w:val="Heading1"/>
    <w:next w:val="Normal"/>
    <w:uiPriority w:val="39"/>
    <w:unhideWhenUsed/>
    <w:qFormat/>
    <w:rsid w:val="008C790C"/>
    <w:pPr>
      <w:keepNext/>
      <w:keepLines/>
      <w:snapToGrid/>
      <w:spacing w:after="0" w:line="259" w:lineRule="auto"/>
      <w:outlineLvl w:val="9"/>
    </w:pPr>
    <w:rPr>
      <w:rFonts w:asciiTheme="majorHAnsi" w:eastAsiaTheme="majorEastAsia" w:hAnsiTheme="majorHAnsi" w:cstheme="majorBidi"/>
      <w:color w:val="0074A6" w:themeColor="accent1" w:themeShade="BF"/>
      <w:spacing w:val="0"/>
      <w:sz w:val="32"/>
      <w:szCs w:val="32"/>
    </w:rPr>
  </w:style>
  <w:style w:type="character" w:styleId="Hyperlink">
    <w:name w:val="Hyperlink"/>
    <w:basedOn w:val="DefaultParagraphFont"/>
    <w:uiPriority w:val="99"/>
    <w:unhideWhenUsed/>
    <w:rsid w:val="008C790C"/>
    <w:rPr>
      <w:color w:val="009CDE" w:themeColor="hyperlink"/>
      <w:u w:val="single"/>
    </w:rPr>
  </w:style>
  <w:style w:type="character" w:customStyle="1" w:styleId="UnresolvedMention1">
    <w:name w:val="Unresolved Mention1"/>
    <w:basedOn w:val="DefaultParagraphFont"/>
    <w:uiPriority w:val="99"/>
    <w:semiHidden/>
    <w:unhideWhenUsed/>
    <w:rsid w:val="005542DF"/>
    <w:rPr>
      <w:color w:val="605E5C"/>
      <w:shd w:val="clear" w:color="auto" w:fill="E1DFDD"/>
    </w:rPr>
  </w:style>
  <w:style w:type="character" w:styleId="Emphasis">
    <w:name w:val="Emphasis"/>
    <w:basedOn w:val="DefaultParagraphFont"/>
    <w:uiPriority w:val="20"/>
    <w:qFormat/>
    <w:rsid w:val="005E267A"/>
    <w:rPr>
      <w:i/>
      <w:iCs/>
    </w:rPr>
  </w:style>
  <w:style w:type="character" w:customStyle="1" w:styleId="aam">
    <w:name w:val="aam"/>
    <w:basedOn w:val="DefaultParagraphFont"/>
    <w:rsid w:val="00AC6F0E"/>
  </w:style>
  <w:style w:type="paragraph" w:customStyle="1" w:styleId="FootnoteReference1">
    <w:name w:val="Footnote Reference1"/>
    <w:basedOn w:val="Normal"/>
    <w:next w:val="Normal"/>
    <w:link w:val="FootnoteReference"/>
    <w:uiPriority w:val="99"/>
    <w:qFormat/>
    <w:rsid w:val="002D5341"/>
    <w:pPr>
      <w:widowControl w:val="0"/>
      <w:spacing w:after="0" w:line="240" w:lineRule="exact"/>
      <w:jc w:val="both"/>
    </w:pPr>
    <w:rPr>
      <w:sz w:val="20"/>
      <w:vertAlign w:val="superscript"/>
    </w:rPr>
  </w:style>
  <w:style w:type="character" w:customStyle="1" w:styleId="Bodytext1">
    <w:name w:val="Body text|1_"/>
    <w:basedOn w:val="DefaultParagraphFont"/>
    <w:link w:val="Bodytext10"/>
    <w:rsid w:val="00C36E68"/>
  </w:style>
  <w:style w:type="paragraph" w:customStyle="1" w:styleId="Bodytext10">
    <w:name w:val="Body text|1"/>
    <w:basedOn w:val="Normal"/>
    <w:link w:val="Bodytext1"/>
    <w:rsid w:val="00C36E68"/>
    <w:pPr>
      <w:widowControl w:val="0"/>
      <w:spacing w:after="0" w:line="276" w:lineRule="auto"/>
      <w:ind w:firstLine="360"/>
    </w:pPr>
  </w:style>
  <w:style w:type="character" w:styleId="IntenseEmphasis">
    <w:name w:val="Intense Emphasis"/>
    <w:basedOn w:val="DefaultParagraphFont"/>
    <w:uiPriority w:val="21"/>
    <w:qFormat/>
    <w:rsid w:val="00C36E68"/>
    <w:rPr>
      <w:i/>
      <w:iCs/>
      <w:color w:val="009CDE" w:themeColor="accent1"/>
    </w:rPr>
  </w:style>
  <w:style w:type="paragraph" w:styleId="NormalWeb">
    <w:name w:val="Normal (Web)"/>
    <w:basedOn w:val="Normal"/>
    <w:uiPriority w:val="99"/>
    <w:unhideWhenUsed/>
    <w:rsid w:val="00476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D10"/>
    <w:rPr>
      <w:b/>
      <w:bCs/>
    </w:rPr>
  </w:style>
  <w:style w:type="paragraph" w:customStyle="1" w:styleId="pf0">
    <w:name w:val="pf0"/>
    <w:basedOn w:val="Normal"/>
    <w:rsid w:val="00476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76D10"/>
    <w:rPr>
      <w:rFonts w:ascii="Segoe UI" w:hAnsi="Segoe UI" w:cs="Segoe UI" w:hint="default"/>
      <w:sz w:val="18"/>
      <w:szCs w:val="18"/>
    </w:rPr>
  </w:style>
  <w:style w:type="paragraph" w:customStyle="1" w:styleId="TableParagraph">
    <w:name w:val="Table Paragraph"/>
    <w:basedOn w:val="Normal"/>
    <w:uiPriority w:val="1"/>
    <w:qFormat/>
    <w:rsid w:val="00476D10"/>
    <w:pPr>
      <w:widowControl w:val="0"/>
      <w:autoSpaceDE w:val="0"/>
      <w:autoSpaceDN w:val="0"/>
      <w:spacing w:after="0" w:line="240" w:lineRule="auto"/>
    </w:pPr>
    <w:rPr>
      <w:rFonts w:ascii="Times New Roman" w:eastAsia="Times New Roman" w:hAnsi="Times New Roman" w:cs="Times New Roman"/>
      <w:lang w:val="ro-RO"/>
    </w:rPr>
  </w:style>
  <w:style w:type="paragraph" w:customStyle="1" w:styleId="BoxBullet">
    <w:name w:val="Box Bullet"/>
    <w:basedOn w:val="Normal"/>
    <w:uiPriority w:val="5"/>
    <w:qFormat/>
    <w:rsid w:val="00861FB3"/>
    <w:pPr>
      <w:numPr>
        <w:numId w:val="41"/>
      </w:numPr>
      <w:spacing w:after="120" w:line="240" w:lineRule="auto"/>
      <w:ind w:left="360"/>
    </w:pPr>
    <w:rPr>
      <w:rFonts w:ascii="Segoe UI" w:eastAsia="MS Mincho" w:hAnsi="Segoe UI" w:cs="Segoe UI"/>
      <w:sz w:val="19"/>
      <w:szCs w:val="20"/>
    </w:rPr>
  </w:style>
  <w:style w:type="character" w:styleId="FollowedHyperlink">
    <w:name w:val="FollowedHyperlink"/>
    <w:basedOn w:val="DefaultParagraphFont"/>
    <w:uiPriority w:val="99"/>
    <w:semiHidden/>
    <w:unhideWhenUsed/>
    <w:rsid w:val="008E2190"/>
    <w:rPr>
      <w:color w:val="954F72"/>
      <w:u w:val="single"/>
    </w:rPr>
  </w:style>
  <w:style w:type="paragraph" w:customStyle="1" w:styleId="msonormal0">
    <w:name w:val="msonormal"/>
    <w:basedOn w:val="Normal"/>
    <w:rsid w:val="008E21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E2190"/>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68">
    <w:name w:val="xl68"/>
    <w:basedOn w:val="Normal"/>
    <w:rsid w:val="008E2190"/>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69">
    <w:name w:val="xl69"/>
    <w:basedOn w:val="Normal"/>
    <w:rsid w:val="008E2190"/>
    <w:pP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70">
    <w:name w:val="xl70"/>
    <w:basedOn w:val="Normal"/>
    <w:rsid w:val="008E2190"/>
    <w:pP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71">
    <w:name w:val="xl71"/>
    <w:basedOn w:val="Normal"/>
    <w:rsid w:val="008E2190"/>
    <w:pPr>
      <w:shd w:val="clear" w:color="000000" w:fill="E7E6E6"/>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72">
    <w:name w:val="xl72"/>
    <w:basedOn w:val="Normal"/>
    <w:rsid w:val="008E2190"/>
    <w:pP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73">
    <w:name w:val="xl73"/>
    <w:basedOn w:val="Normal"/>
    <w:rsid w:val="008E2190"/>
    <w:pPr>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74">
    <w:name w:val="xl74"/>
    <w:basedOn w:val="Normal"/>
    <w:rsid w:val="008E2190"/>
    <w:pPr>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75">
    <w:name w:val="xl75"/>
    <w:basedOn w:val="Normal"/>
    <w:rsid w:val="008E2190"/>
    <w:pPr>
      <w:shd w:val="clear" w:color="000000" w:fill="E7E6E6"/>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76">
    <w:name w:val="xl76"/>
    <w:basedOn w:val="Normal"/>
    <w:rsid w:val="008E2190"/>
    <w:pPr>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77">
    <w:name w:val="xl77"/>
    <w:basedOn w:val="Normal"/>
    <w:rsid w:val="008E2190"/>
    <w:pPr>
      <w:spacing w:before="100" w:beforeAutospacing="1" w:after="100" w:afterAutospacing="1" w:line="240" w:lineRule="auto"/>
      <w:ind w:firstLineChars="100" w:firstLine="100"/>
      <w:textAlignment w:val="center"/>
    </w:pPr>
    <w:rPr>
      <w:rFonts w:ascii="Arial Narrow" w:eastAsia="Times New Roman" w:hAnsi="Arial Narrow" w:cs="Times New Roman"/>
      <w:color w:val="000000"/>
      <w:sz w:val="16"/>
      <w:szCs w:val="16"/>
    </w:rPr>
  </w:style>
  <w:style w:type="paragraph" w:customStyle="1" w:styleId="xl78">
    <w:name w:val="xl78"/>
    <w:basedOn w:val="Normal"/>
    <w:rsid w:val="008E2190"/>
    <w:pPr>
      <w:spacing w:before="100" w:beforeAutospacing="1" w:after="100" w:afterAutospacing="1" w:line="240" w:lineRule="auto"/>
      <w:ind w:firstLineChars="100" w:firstLine="100"/>
    </w:pPr>
    <w:rPr>
      <w:rFonts w:ascii="Arial Narrow" w:eastAsia="Times New Roman" w:hAnsi="Arial Narrow" w:cs="Times New Roman"/>
      <w:sz w:val="16"/>
      <w:szCs w:val="16"/>
    </w:rPr>
  </w:style>
  <w:style w:type="paragraph" w:customStyle="1" w:styleId="xl79">
    <w:name w:val="xl79"/>
    <w:basedOn w:val="Normal"/>
    <w:rsid w:val="008E2190"/>
    <w:pP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0">
    <w:name w:val="xl80"/>
    <w:basedOn w:val="Normal"/>
    <w:rsid w:val="008E2190"/>
    <w:pPr>
      <w:spacing w:before="100" w:beforeAutospacing="1" w:after="100" w:afterAutospacing="1" w:line="240" w:lineRule="auto"/>
      <w:ind w:firstLineChars="100" w:firstLine="100"/>
    </w:pPr>
    <w:rPr>
      <w:rFonts w:ascii="Arial Narrow" w:eastAsia="Times New Roman" w:hAnsi="Arial Narrow" w:cs="Times New Roman"/>
      <w:sz w:val="16"/>
      <w:szCs w:val="16"/>
    </w:rPr>
  </w:style>
  <w:style w:type="paragraph" w:customStyle="1" w:styleId="xl81">
    <w:name w:val="xl81"/>
    <w:basedOn w:val="Normal"/>
    <w:rsid w:val="008E2190"/>
    <w:pPr>
      <w:shd w:val="clear" w:color="000000" w:fill="E7E6E6"/>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2">
    <w:name w:val="xl82"/>
    <w:basedOn w:val="Normal"/>
    <w:rsid w:val="008E2190"/>
    <w:pPr>
      <w:shd w:val="clear" w:color="000000" w:fill="A5A5A5"/>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Normal"/>
    <w:rsid w:val="008E2190"/>
    <w:pPr>
      <w:shd w:val="clear" w:color="000000" w:fill="A5A5A5"/>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84">
    <w:name w:val="xl84"/>
    <w:basedOn w:val="Normal"/>
    <w:rsid w:val="008E2190"/>
    <w:pPr>
      <w:pBdr>
        <w:top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85">
    <w:name w:val="xl85"/>
    <w:basedOn w:val="Normal"/>
    <w:rsid w:val="008E2190"/>
    <w:pPr>
      <w:pBdr>
        <w:top w:val="single" w:sz="4"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86">
    <w:name w:val="xl86"/>
    <w:basedOn w:val="Normal"/>
    <w:rsid w:val="008E2190"/>
    <w:pPr>
      <w:pBdr>
        <w:bottom w:val="double" w:sz="6"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87">
    <w:name w:val="xl87"/>
    <w:basedOn w:val="Normal"/>
    <w:rsid w:val="008E2190"/>
    <w:pPr>
      <w:pBdr>
        <w:bottom w:val="double" w:sz="6"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88">
    <w:name w:val="xl88"/>
    <w:basedOn w:val="Normal"/>
    <w:rsid w:val="008E2190"/>
    <w:pPr>
      <w:pBdr>
        <w:top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89">
    <w:name w:val="xl89"/>
    <w:basedOn w:val="Normal"/>
    <w:rsid w:val="008E2190"/>
    <w:pPr>
      <w:pBdr>
        <w:bottom w:val="double" w:sz="6"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90">
    <w:name w:val="xl90"/>
    <w:basedOn w:val="Normal"/>
    <w:rsid w:val="008E2190"/>
    <w:pPr>
      <w:pBdr>
        <w:top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1">
    <w:name w:val="xl91"/>
    <w:basedOn w:val="Normal"/>
    <w:rsid w:val="008E2190"/>
    <w:pPr>
      <w:pBdr>
        <w:top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2">
    <w:name w:val="xl92"/>
    <w:basedOn w:val="Normal"/>
    <w:rsid w:val="008E2190"/>
    <w:pPr>
      <w:pBdr>
        <w:bottom w:val="double" w:sz="6"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Normal"/>
    <w:rsid w:val="008E2190"/>
    <w:pPr>
      <w:pBdr>
        <w:bottom w:val="double" w:sz="6"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4">
    <w:name w:val="xl94"/>
    <w:basedOn w:val="Normal"/>
    <w:rsid w:val="008E2190"/>
    <w:pPr>
      <w:pBdr>
        <w:top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95">
    <w:name w:val="xl95"/>
    <w:basedOn w:val="Normal"/>
    <w:rsid w:val="008E2190"/>
    <w:pPr>
      <w:pBdr>
        <w:top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96">
    <w:name w:val="xl96"/>
    <w:basedOn w:val="Normal"/>
    <w:rsid w:val="008E2190"/>
    <w:pPr>
      <w:pBdr>
        <w:bottom w:val="double" w:sz="6" w:space="0" w:color="auto"/>
      </w:pBdr>
      <w:spacing w:before="100" w:beforeAutospacing="1" w:after="100" w:afterAutospacing="1" w:line="240" w:lineRule="auto"/>
      <w:ind w:firstLineChars="100" w:firstLine="100"/>
      <w:textAlignment w:val="center"/>
    </w:pPr>
    <w:rPr>
      <w:rFonts w:ascii="Arial Narrow" w:eastAsia="Times New Roman" w:hAnsi="Arial Narrow" w:cs="Times New Roman"/>
      <w:color w:val="000000"/>
      <w:sz w:val="16"/>
      <w:szCs w:val="16"/>
    </w:rPr>
  </w:style>
  <w:style w:type="paragraph" w:customStyle="1" w:styleId="xl97">
    <w:name w:val="xl97"/>
    <w:basedOn w:val="Normal"/>
    <w:rsid w:val="008E2190"/>
    <w:pPr>
      <w:pBdr>
        <w:bottom w:val="double" w:sz="6"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6"/>
      <w:szCs w:val="16"/>
    </w:rPr>
  </w:style>
  <w:style w:type="paragraph" w:customStyle="1" w:styleId="xl98">
    <w:name w:val="xl98"/>
    <w:basedOn w:val="Normal"/>
    <w:rsid w:val="008E2190"/>
    <w:pPr>
      <w:spacing w:before="100" w:beforeAutospacing="1" w:after="100" w:afterAutospacing="1" w:line="240" w:lineRule="auto"/>
      <w:ind w:firstLineChars="100" w:firstLine="100"/>
      <w:textAlignment w:val="center"/>
    </w:pPr>
    <w:rPr>
      <w:rFonts w:ascii="Arial Narrow" w:eastAsia="Times New Roman" w:hAnsi="Arial Narrow" w:cs="Times New Roman"/>
      <w:sz w:val="16"/>
      <w:szCs w:val="16"/>
    </w:rPr>
  </w:style>
  <w:style w:type="paragraph" w:customStyle="1" w:styleId="xl99">
    <w:name w:val="xl99"/>
    <w:basedOn w:val="Normal"/>
    <w:rsid w:val="008E2190"/>
    <w:pPr>
      <w:pBdr>
        <w:bottom w:val="double" w:sz="6"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00">
    <w:name w:val="xl100"/>
    <w:basedOn w:val="Normal"/>
    <w:rsid w:val="008E2190"/>
    <w:pPr>
      <w:pBdr>
        <w:bottom w:val="double" w:sz="6"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8E2190"/>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02">
    <w:name w:val="xl102"/>
    <w:basedOn w:val="Normal"/>
    <w:rsid w:val="008E2190"/>
    <w:pPr>
      <w:pBdr>
        <w:top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03">
    <w:name w:val="xl103"/>
    <w:basedOn w:val="Normal"/>
    <w:rsid w:val="008E2190"/>
    <w:pPr>
      <w:shd w:val="clear" w:color="000000" w:fill="A5A5A5"/>
      <w:spacing w:before="100" w:beforeAutospacing="1" w:after="100" w:afterAutospacing="1" w:line="240" w:lineRule="auto"/>
      <w:jc w:val="center"/>
    </w:pPr>
    <w:rPr>
      <w:rFonts w:ascii="Arial Narrow" w:eastAsia="Times New Roman" w:hAnsi="Arial Narrow"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227">
      <w:bodyDiv w:val="1"/>
      <w:marLeft w:val="0"/>
      <w:marRight w:val="0"/>
      <w:marTop w:val="0"/>
      <w:marBottom w:val="0"/>
      <w:divBdr>
        <w:top w:val="none" w:sz="0" w:space="0" w:color="auto"/>
        <w:left w:val="none" w:sz="0" w:space="0" w:color="auto"/>
        <w:bottom w:val="none" w:sz="0" w:space="0" w:color="auto"/>
        <w:right w:val="none" w:sz="0" w:space="0" w:color="auto"/>
      </w:divBdr>
    </w:div>
    <w:div w:id="13501504">
      <w:bodyDiv w:val="1"/>
      <w:marLeft w:val="0"/>
      <w:marRight w:val="0"/>
      <w:marTop w:val="0"/>
      <w:marBottom w:val="0"/>
      <w:divBdr>
        <w:top w:val="none" w:sz="0" w:space="0" w:color="auto"/>
        <w:left w:val="none" w:sz="0" w:space="0" w:color="auto"/>
        <w:bottom w:val="none" w:sz="0" w:space="0" w:color="auto"/>
        <w:right w:val="none" w:sz="0" w:space="0" w:color="auto"/>
      </w:divBdr>
    </w:div>
    <w:div w:id="16855128">
      <w:bodyDiv w:val="1"/>
      <w:marLeft w:val="0"/>
      <w:marRight w:val="0"/>
      <w:marTop w:val="0"/>
      <w:marBottom w:val="0"/>
      <w:divBdr>
        <w:top w:val="none" w:sz="0" w:space="0" w:color="auto"/>
        <w:left w:val="none" w:sz="0" w:space="0" w:color="auto"/>
        <w:bottom w:val="none" w:sz="0" w:space="0" w:color="auto"/>
        <w:right w:val="none" w:sz="0" w:space="0" w:color="auto"/>
      </w:divBdr>
    </w:div>
    <w:div w:id="153499249">
      <w:bodyDiv w:val="1"/>
      <w:marLeft w:val="0"/>
      <w:marRight w:val="0"/>
      <w:marTop w:val="0"/>
      <w:marBottom w:val="0"/>
      <w:divBdr>
        <w:top w:val="none" w:sz="0" w:space="0" w:color="auto"/>
        <w:left w:val="none" w:sz="0" w:space="0" w:color="auto"/>
        <w:bottom w:val="none" w:sz="0" w:space="0" w:color="auto"/>
        <w:right w:val="none" w:sz="0" w:space="0" w:color="auto"/>
      </w:divBdr>
    </w:div>
    <w:div w:id="199899315">
      <w:bodyDiv w:val="1"/>
      <w:marLeft w:val="0"/>
      <w:marRight w:val="0"/>
      <w:marTop w:val="0"/>
      <w:marBottom w:val="0"/>
      <w:divBdr>
        <w:top w:val="none" w:sz="0" w:space="0" w:color="auto"/>
        <w:left w:val="none" w:sz="0" w:space="0" w:color="auto"/>
        <w:bottom w:val="none" w:sz="0" w:space="0" w:color="auto"/>
        <w:right w:val="none" w:sz="0" w:space="0" w:color="auto"/>
      </w:divBdr>
    </w:div>
    <w:div w:id="246113732">
      <w:bodyDiv w:val="1"/>
      <w:marLeft w:val="0"/>
      <w:marRight w:val="0"/>
      <w:marTop w:val="0"/>
      <w:marBottom w:val="0"/>
      <w:divBdr>
        <w:top w:val="none" w:sz="0" w:space="0" w:color="auto"/>
        <w:left w:val="none" w:sz="0" w:space="0" w:color="auto"/>
        <w:bottom w:val="none" w:sz="0" w:space="0" w:color="auto"/>
        <w:right w:val="none" w:sz="0" w:space="0" w:color="auto"/>
      </w:divBdr>
    </w:div>
    <w:div w:id="250553477">
      <w:bodyDiv w:val="1"/>
      <w:marLeft w:val="0"/>
      <w:marRight w:val="0"/>
      <w:marTop w:val="0"/>
      <w:marBottom w:val="0"/>
      <w:divBdr>
        <w:top w:val="none" w:sz="0" w:space="0" w:color="auto"/>
        <w:left w:val="none" w:sz="0" w:space="0" w:color="auto"/>
        <w:bottom w:val="none" w:sz="0" w:space="0" w:color="auto"/>
        <w:right w:val="none" w:sz="0" w:space="0" w:color="auto"/>
      </w:divBdr>
      <w:divsChild>
        <w:div w:id="2066642479">
          <w:marLeft w:val="0"/>
          <w:marRight w:val="0"/>
          <w:marTop w:val="0"/>
          <w:marBottom w:val="0"/>
          <w:divBdr>
            <w:top w:val="none" w:sz="0" w:space="0" w:color="auto"/>
            <w:left w:val="none" w:sz="0" w:space="0" w:color="auto"/>
            <w:bottom w:val="none" w:sz="0" w:space="0" w:color="auto"/>
            <w:right w:val="none" w:sz="0" w:space="0" w:color="auto"/>
          </w:divBdr>
        </w:div>
      </w:divsChild>
    </w:div>
    <w:div w:id="292685426">
      <w:bodyDiv w:val="1"/>
      <w:marLeft w:val="0"/>
      <w:marRight w:val="0"/>
      <w:marTop w:val="0"/>
      <w:marBottom w:val="0"/>
      <w:divBdr>
        <w:top w:val="none" w:sz="0" w:space="0" w:color="auto"/>
        <w:left w:val="none" w:sz="0" w:space="0" w:color="auto"/>
        <w:bottom w:val="none" w:sz="0" w:space="0" w:color="auto"/>
        <w:right w:val="none" w:sz="0" w:space="0" w:color="auto"/>
      </w:divBdr>
    </w:div>
    <w:div w:id="441998263">
      <w:bodyDiv w:val="1"/>
      <w:marLeft w:val="0"/>
      <w:marRight w:val="0"/>
      <w:marTop w:val="0"/>
      <w:marBottom w:val="0"/>
      <w:divBdr>
        <w:top w:val="none" w:sz="0" w:space="0" w:color="auto"/>
        <w:left w:val="none" w:sz="0" w:space="0" w:color="auto"/>
        <w:bottom w:val="none" w:sz="0" w:space="0" w:color="auto"/>
        <w:right w:val="none" w:sz="0" w:space="0" w:color="auto"/>
      </w:divBdr>
    </w:div>
    <w:div w:id="474875132">
      <w:bodyDiv w:val="1"/>
      <w:marLeft w:val="0"/>
      <w:marRight w:val="0"/>
      <w:marTop w:val="0"/>
      <w:marBottom w:val="0"/>
      <w:divBdr>
        <w:top w:val="none" w:sz="0" w:space="0" w:color="auto"/>
        <w:left w:val="none" w:sz="0" w:space="0" w:color="auto"/>
        <w:bottom w:val="none" w:sz="0" w:space="0" w:color="auto"/>
        <w:right w:val="none" w:sz="0" w:space="0" w:color="auto"/>
      </w:divBdr>
    </w:div>
    <w:div w:id="603196562">
      <w:bodyDiv w:val="1"/>
      <w:marLeft w:val="0"/>
      <w:marRight w:val="0"/>
      <w:marTop w:val="0"/>
      <w:marBottom w:val="0"/>
      <w:divBdr>
        <w:top w:val="none" w:sz="0" w:space="0" w:color="auto"/>
        <w:left w:val="none" w:sz="0" w:space="0" w:color="auto"/>
        <w:bottom w:val="none" w:sz="0" w:space="0" w:color="auto"/>
        <w:right w:val="none" w:sz="0" w:space="0" w:color="auto"/>
      </w:divBdr>
    </w:div>
    <w:div w:id="631710998">
      <w:bodyDiv w:val="1"/>
      <w:marLeft w:val="0"/>
      <w:marRight w:val="0"/>
      <w:marTop w:val="0"/>
      <w:marBottom w:val="0"/>
      <w:divBdr>
        <w:top w:val="none" w:sz="0" w:space="0" w:color="auto"/>
        <w:left w:val="none" w:sz="0" w:space="0" w:color="auto"/>
        <w:bottom w:val="none" w:sz="0" w:space="0" w:color="auto"/>
        <w:right w:val="none" w:sz="0" w:space="0" w:color="auto"/>
      </w:divBdr>
    </w:div>
    <w:div w:id="680358749">
      <w:bodyDiv w:val="1"/>
      <w:marLeft w:val="0"/>
      <w:marRight w:val="0"/>
      <w:marTop w:val="0"/>
      <w:marBottom w:val="0"/>
      <w:divBdr>
        <w:top w:val="none" w:sz="0" w:space="0" w:color="auto"/>
        <w:left w:val="none" w:sz="0" w:space="0" w:color="auto"/>
        <w:bottom w:val="none" w:sz="0" w:space="0" w:color="auto"/>
        <w:right w:val="none" w:sz="0" w:space="0" w:color="auto"/>
      </w:divBdr>
    </w:div>
    <w:div w:id="710499609">
      <w:bodyDiv w:val="1"/>
      <w:marLeft w:val="0"/>
      <w:marRight w:val="0"/>
      <w:marTop w:val="0"/>
      <w:marBottom w:val="0"/>
      <w:divBdr>
        <w:top w:val="none" w:sz="0" w:space="0" w:color="auto"/>
        <w:left w:val="none" w:sz="0" w:space="0" w:color="auto"/>
        <w:bottom w:val="none" w:sz="0" w:space="0" w:color="auto"/>
        <w:right w:val="none" w:sz="0" w:space="0" w:color="auto"/>
      </w:divBdr>
    </w:div>
    <w:div w:id="772945214">
      <w:bodyDiv w:val="1"/>
      <w:marLeft w:val="0"/>
      <w:marRight w:val="0"/>
      <w:marTop w:val="0"/>
      <w:marBottom w:val="0"/>
      <w:divBdr>
        <w:top w:val="none" w:sz="0" w:space="0" w:color="auto"/>
        <w:left w:val="none" w:sz="0" w:space="0" w:color="auto"/>
        <w:bottom w:val="none" w:sz="0" w:space="0" w:color="auto"/>
        <w:right w:val="none" w:sz="0" w:space="0" w:color="auto"/>
      </w:divBdr>
    </w:div>
    <w:div w:id="851384813">
      <w:bodyDiv w:val="1"/>
      <w:marLeft w:val="0"/>
      <w:marRight w:val="0"/>
      <w:marTop w:val="0"/>
      <w:marBottom w:val="0"/>
      <w:divBdr>
        <w:top w:val="none" w:sz="0" w:space="0" w:color="auto"/>
        <w:left w:val="none" w:sz="0" w:space="0" w:color="auto"/>
        <w:bottom w:val="none" w:sz="0" w:space="0" w:color="auto"/>
        <w:right w:val="none" w:sz="0" w:space="0" w:color="auto"/>
      </w:divBdr>
    </w:div>
    <w:div w:id="902528208">
      <w:bodyDiv w:val="1"/>
      <w:marLeft w:val="0"/>
      <w:marRight w:val="0"/>
      <w:marTop w:val="0"/>
      <w:marBottom w:val="0"/>
      <w:divBdr>
        <w:top w:val="none" w:sz="0" w:space="0" w:color="auto"/>
        <w:left w:val="none" w:sz="0" w:space="0" w:color="auto"/>
        <w:bottom w:val="none" w:sz="0" w:space="0" w:color="auto"/>
        <w:right w:val="none" w:sz="0" w:space="0" w:color="auto"/>
      </w:divBdr>
    </w:div>
    <w:div w:id="904491514">
      <w:bodyDiv w:val="1"/>
      <w:marLeft w:val="0"/>
      <w:marRight w:val="0"/>
      <w:marTop w:val="0"/>
      <w:marBottom w:val="0"/>
      <w:divBdr>
        <w:top w:val="none" w:sz="0" w:space="0" w:color="auto"/>
        <w:left w:val="none" w:sz="0" w:space="0" w:color="auto"/>
        <w:bottom w:val="none" w:sz="0" w:space="0" w:color="auto"/>
        <w:right w:val="none" w:sz="0" w:space="0" w:color="auto"/>
      </w:divBdr>
    </w:div>
    <w:div w:id="923952775">
      <w:bodyDiv w:val="1"/>
      <w:marLeft w:val="0"/>
      <w:marRight w:val="0"/>
      <w:marTop w:val="0"/>
      <w:marBottom w:val="0"/>
      <w:divBdr>
        <w:top w:val="none" w:sz="0" w:space="0" w:color="auto"/>
        <w:left w:val="none" w:sz="0" w:space="0" w:color="auto"/>
        <w:bottom w:val="none" w:sz="0" w:space="0" w:color="auto"/>
        <w:right w:val="none" w:sz="0" w:space="0" w:color="auto"/>
      </w:divBdr>
    </w:div>
    <w:div w:id="928540357">
      <w:bodyDiv w:val="1"/>
      <w:marLeft w:val="0"/>
      <w:marRight w:val="0"/>
      <w:marTop w:val="0"/>
      <w:marBottom w:val="0"/>
      <w:divBdr>
        <w:top w:val="none" w:sz="0" w:space="0" w:color="auto"/>
        <w:left w:val="none" w:sz="0" w:space="0" w:color="auto"/>
        <w:bottom w:val="none" w:sz="0" w:space="0" w:color="auto"/>
        <w:right w:val="none" w:sz="0" w:space="0" w:color="auto"/>
      </w:divBdr>
    </w:div>
    <w:div w:id="1094401622">
      <w:bodyDiv w:val="1"/>
      <w:marLeft w:val="0"/>
      <w:marRight w:val="0"/>
      <w:marTop w:val="0"/>
      <w:marBottom w:val="0"/>
      <w:divBdr>
        <w:top w:val="none" w:sz="0" w:space="0" w:color="auto"/>
        <w:left w:val="none" w:sz="0" w:space="0" w:color="auto"/>
        <w:bottom w:val="none" w:sz="0" w:space="0" w:color="auto"/>
        <w:right w:val="none" w:sz="0" w:space="0" w:color="auto"/>
      </w:divBdr>
    </w:div>
    <w:div w:id="1106269528">
      <w:bodyDiv w:val="1"/>
      <w:marLeft w:val="0"/>
      <w:marRight w:val="0"/>
      <w:marTop w:val="0"/>
      <w:marBottom w:val="0"/>
      <w:divBdr>
        <w:top w:val="none" w:sz="0" w:space="0" w:color="auto"/>
        <w:left w:val="none" w:sz="0" w:space="0" w:color="auto"/>
        <w:bottom w:val="none" w:sz="0" w:space="0" w:color="auto"/>
        <w:right w:val="none" w:sz="0" w:space="0" w:color="auto"/>
      </w:divBdr>
    </w:div>
    <w:div w:id="1393500475">
      <w:bodyDiv w:val="1"/>
      <w:marLeft w:val="0"/>
      <w:marRight w:val="0"/>
      <w:marTop w:val="0"/>
      <w:marBottom w:val="0"/>
      <w:divBdr>
        <w:top w:val="none" w:sz="0" w:space="0" w:color="auto"/>
        <w:left w:val="none" w:sz="0" w:space="0" w:color="auto"/>
        <w:bottom w:val="none" w:sz="0" w:space="0" w:color="auto"/>
        <w:right w:val="none" w:sz="0" w:space="0" w:color="auto"/>
      </w:divBdr>
    </w:div>
    <w:div w:id="1399741225">
      <w:bodyDiv w:val="1"/>
      <w:marLeft w:val="0"/>
      <w:marRight w:val="0"/>
      <w:marTop w:val="0"/>
      <w:marBottom w:val="0"/>
      <w:divBdr>
        <w:top w:val="none" w:sz="0" w:space="0" w:color="auto"/>
        <w:left w:val="none" w:sz="0" w:space="0" w:color="auto"/>
        <w:bottom w:val="none" w:sz="0" w:space="0" w:color="auto"/>
        <w:right w:val="none" w:sz="0" w:space="0" w:color="auto"/>
      </w:divBdr>
    </w:div>
    <w:div w:id="1454012616">
      <w:bodyDiv w:val="1"/>
      <w:marLeft w:val="0"/>
      <w:marRight w:val="0"/>
      <w:marTop w:val="0"/>
      <w:marBottom w:val="0"/>
      <w:divBdr>
        <w:top w:val="none" w:sz="0" w:space="0" w:color="auto"/>
        <w:left w:val="none" w:sz="0" w:space="0" w:color="auto"/>
        <w:bottom w:val="none" w:sz="0" w:space="0" w:color="auto"/>
        <w:right w:val="none" w:sz="0" w:space="0" w:color="auto"/>
      </w:divBdr>
    </w:div>
    <w:div w:id="1472481920">
      <w:bodyDiv w:val="1"/>
      <w:marLeft w:val="0"/>
      <w:marRight w:val="0"/>
      <w:marTop w:val="0"/>
      <w:marBottom w:val="0"/>
      <w:divBdr>
        <w:top w:val="none" w:sz="0" w:space="0" w:color="auto"/>
        <w:left w:val="none" w:sz="0" w:space="0" w:color="auto"/>
        <w:bottom w:val="none" w:sz="0" w:space="0" w:color="auto"/>
        <w:right w:val="none" w:sz="0" w:space="0" w:color="auto"/>
      </w:divBdr>
    </w:div>
    <w:div w:id="1475216466">
      <w:bodyDiv w:val="1"/>
      <w:marLeft w:val="0"/>
      <w:marRight w:val="0"/>
      <w:marTop w:val="0"/>
      <w:marBottom w:val="0"/>
      <w:divBdr>
        <w:top w:val="none" w:sz="0" w:space="0" w:color="auto"/>
        <w:left w:val="none" w:sz="0" w:space="0" w:color="auto"/>
        <w:bottom w:val="none" w:sz="0" w:space="0" w:color="auto"/>
        <w:right w:val="none" w:sz="0" w:space="0" w:color="auto"/>
      </w:divBdr>
    </w:div>
    <w:div w:id="1548227145">
      <w:bodyDiv w:val="1"/>
      <w:marLeft w:val="0"/>
      <w:marRight w:val="0"/>
      <w:marTop w:val="0"/>
      <w:marBottom w:val="0"/>
      <w:divBdr>
        <w:top w:val="none" w:sz="0" w:space="0" w:color="auto"/>
        <w:left w:val="none" w:sz="0" w:space="0" w:color="auto"/>
        <w:bottom w:val="none" w:sz="0" w:space="0" w:color="auto"/>
        <w:right w:val="none" w:sz="0" w:space="0" w:color="auto"/>
      </w:divBdr>
    </w:div>
    <w:div w:id="1587878480">
      <w:bodyDiv w:val="1"/>
      <w:marLeft w:val="0"/>
      <w:marRight w:val="0"/>
      <w:marTop w:val="0"/>
      <w:marBottom w:val="0"/>
      <w:divBdr>
        <w:top w:val="none" w:sz="0" w:space="0" w:color="auto"/>
        <w:left w:val="none" w:sz="0" w:space="0" w:color="auto"/>
        <w:bottom w:val="none" w:sz="0" w:space="0" w:color="auto"/>
        <w:right w:val="none" w:sz="0" w:space="0" w:color="auto"/>
      </w:divBdr>
    </w:div>
    <w:div w:id="1590771950">
      <w:bodyDiv w:val="1"/>
      <w:marLeft w:val="0"/>
      <w:marRight w:val="0"/>
      <w:marTop w:val="0"/>
      <w:marBottom w:val="0"/>
      <w:divBdr>
        <w:top w:val="none" w:sz="0" w:space="0" w:color="auto"/>
        <w:left w:val="none" w:sz="0" w:space="0" w:color="auto"/>
        <w:bottom w:val="none" w:sz="0" w:space="0" w:color="auto"/>
        <w:right w:val="none" w:sz="0" w:space="0" w:color="auto"/>
      </w:divBdr>
    </w:div>
    <w:div w:id="1632398716">
      <w:bodyDiv w:val="1"/>
      <w:marLeft w:val="0"/>
      <w:marRight w:val="0"/>
      <w:marTop w:val="0"/>
      <w:marBottom w:val="0"/>
      <w:divBdr>
        <w:top w:val="none" w:sz="0" w:space="0" w:color="auto"/>
        <w:left w:val="none" w:sz="0" w:space="0" w:color="auto"/>
        <w:bottom w:val="none" w:sz="0" w:space="0" w:color="auto"/>
        <w:right w:val="none" w:sz="0" w:space="0" w:color="auto"/>
      </w:divBdr>
    </w:div>
    <w:div w:id="1669284551">
      <w:bodyDiv w:val="1"/>
      <w:marLeft w:val="0"/>
      <w:marRight w:val="0"/>
      <w:marTop w:val="0"/>
      <w:marBottom w:val="0"/>
      <w:divBdr>
        <w:top w:val="none" w:sz="0" w:space="0" w:color="auto"/>
        <w:left w:val="none" w:sz="0" w:space="0" w:color="auto"/>
        <w:bottom w:val="none" w:sz="0" w:space="0" w:color="auto"/>
        <w:right w:val="none" w:sz="0" w:space="0" w:color="auto"/>
      </w:divBdr>
    </w:div>
    <w:div w:id="1702392925">
      <w:bodyDiv w:val="1"/>
      <w:marLeft w:val="0"/>
      <w:marRight w:val="0"/>
      <w:marTop w:val="0"/>
      <w:marBottom w:val="0"/>
      <w:divBdr>
        <w:top w:val="none" w:sz="0" w:space="0" w:color="auto"/>
        <w:left w:val="none" w:sz="0" w:space="0" w:color="auto"/>
        <w:bottom w:val="none" w:sz="0" w:space="0" w:color="auto"/>
        <w:right w:val="none" w:sz="0" w:space="0" w:color="auto"/>
      </w:divBdr>
    </w:div>
    <w:div w:id="1820144752">
      <w:bodyDiv w:val="1"/>
      <w:marLeft w:val="0"/>
      <w:marRight w:val="0"/>
      <w:marTop w:val="0"/>
      <w:marBottom w:val="0"/>
      <w:divBdr>
        <w:top w:val="none" w:sz="0" w:space="0" w:color="auto"/>
        <w:left w:val="none" w:sz="0" w:space="0" w:color="auto"/>
        <w:bottom w:val="none" w:sz="0" w:space="0" w:color="auto"/>
        <w:right w:val="none" w:sz="0" w:space="0" w:color="auto"/>
      </w:divBdr>
    </w:div>
    <w:div w:id="2076971610">
      <w:bodyDiv w:val="1"/>
      <w:marLeft w:val="0"/>
      <w:marRight w:val="0"/>
      <w:marTop w:val="0"/>
      <w:marBottom w:val="0"/>
      <w:divBdr>
        <w:top w:val="none" w:sz="0" w:space="0" w:color="auto"/>
        <w:left w:val="none" w:sz="0" w:space="0" w:color="auto"/>
        <w:bottom w:val="none" w:sz="0" w:space="0" w:color="auto"/>
        <w:right w:val="none" w:sz="0" w:space="0" w:color="auto"/>
      </w:divBdr>
    </w:div>
    <w:div w:id="20771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f.org/external/np/g20/pdf/1015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economy_finance/publications/occasional_paper/2014/pdf/ocp207_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epweb.org/wp-content/uploads/2018/11/Redonda-and-Neubig-2018.-Assessing-Tax-Expenditure-Report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Publications/Fiscal-Affairs-Department-How-To-Notes/Issues/2019/03/27/Tax-Expenditure-Reporting-and-Its-Use-in-Fiscal-Management-A-Guide-for-Developing-Economies-46676" TargetMode="External"/><Relationship Id="rId5" Type="http://schemas.openxmlformats.org/officeDocument/2006/relationships/webSettings" Target="webSettings.xml"/><Relationship Id="rId15" Type="http://schemas.openxmlformats.org/officeDocument/2006/relationships/hyperlink" Target="http://www.oecd.org/gov/budgeting/taxexpendituresinoecdcountries-oecdpublication.htm" TargetMode="External"/><Relationship Id="rId10" Type="http://schemas.openxmlformats.org/officeDocument/2006/relationships/hyperlink" Target="https://www.imf.org/external/pubs/ft/wp/2015/wp15105.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f.org/external/np/g20/pdf/101515a.pdf" TargetMode="External"/><Relationship Id="rId22" Type="http://schemas.openxmlformats.org/officeDocument/2006/relationships/theme" Target="theme/theme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605F-B031-48C3-8CFC-DC2C8A1C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62883</Words>
  <Characters>358436</Characters>
  <Application>Microsoft Office Word</Application>
  <DocSecurity>0</DocSecurity>
  <Lines>2986</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420479</CharactersWithSpaces>
  <SharedDoc>false</SharedDoc>
  <HLinks>
    <vt:vector size="288" baseType="variant">
      <vt:variant>
        <vt:i4>3539003</vt:i4>
      </vt:variant>
      <vt:variant>
        <vt:i4>267</vt:i4>
      </vt:variant>
      <vt:variant>
        <vt:i4>0</vt:i4>
      </vt:variant>
      <vt:variant>
        <vt:i4>5</vt:i4>
      </vt:variant>
      <vt:variant>
        <vt:lpwstr>https://www.cepweb.org/wp-content/uploads/2018/11/Redonda-and-Neubig-2018.-Assessing-Tax-Expenditure-Reporting.pdf</vt:lpwstr>
      </vt:variant>
      <vt:variant>
        <vt:lpwstr/>
      </vt:variant>
      <vt:variant>
        <vt:i4>5832779</vt:i4>
      </vt:variant>
      <vt:variant>
        <vt:i4>264</vt:i4>
      </vt:variant>
      <vt:variant>
        <vt:i4>0</vt:i4>
      </vt:variant>
      <vt:variant>
        <vt:i4>5</vt:i4>
      </vt:variant>
      <vt:variant>
        <vt:lpwstr>http://www.oecd.org/gov/budgeting/taxexpendituresinoecdcountries-oecdpublication.htm</vt:lpwstr>
      </vt:variant>
      <vt:variant>
        <vt:lpwstr/>
      </vt:variant>
      <vt:variant>
        <vt:i4>2359419</vt:i4>
      </vt:variant>
      <vt:variant>
        <vt:i4>261</vt:i4>
      </vt:variant>
      <vt:variant>
        <vt:i4>0</vt:i4>
      </vt:variant>
      <vt:variant>
        <vt:i4>5</vt:i4>
      </vt:variant>
      <vt:variant>
        <vt:lpwstr>https://www.imf.org/external/np/g20/pdf/101515a.pdf</vt:lpwstr>
      </vt:variant>
      <vt:variant>
        <vt:lpwstr/>
      </vt:variant>
      <vt:variant>
        <vt:i4>7864352</vt:i4>
      </vt:variant>
      <vt:variant>
        <vt:i4>258</vt:i4>
      </vt:variant>
      <vt:variant>
        <vt:i4>0</vt:i4>
      </vt:variant>
      <vt:variant>
        <vt:i4>5</vt:i4>
      </vt:variant>
      <vt:variant>
        <vt:lpwstr>https://www.imf.org/external/np/g20/pdf/101515.pdf</vt:lpwstr>
      </vt:variant>
      <vt:variant>
        <vt:lpwstr/>
      </vt:variant>
      <vt:variant>
        <vt:i4>5636138</vt:i4>
      </vt:variant>
      <vt:variant>
        <vt:i4>255</vt:i4>
      </vt:variant>
      <vt:variant>
        <vt:i4>0</vt:i4>
      </vt:variant>
      <vt:variant>
        <vt:i4>5</vt:i4>
      </vt:variant>
      <vt:variant>
        <vt:lpwstr>https://ec.europa.eu/economy_finance/publications/occasional_paper/2014/pdf/ocp207_en.pdf</vt:lpwstr>
      </vt:variant>
      <vt:variant>
        <vt:lpwstr/>
      </vt:variant>
      <vt:variant>
        <vt:i4>6422581</vt:i4>
      </vt:variant>
      <vt:variant>
        <vt:i4>252</vt:i4>
      </vt:variant>
      <vt:variant>
        <vt:i4>0</vt:i4>
      </vt:variant>
      <vt:variant>
        <vt:i4>5</vt:i4>
      </vt:variant>
      <vt:variant>
        <vt:lpwstr>https://www.imf.org/en/Publications/Fiscal-Affairs-Department-How-To-Notes/Issues/2019/03/27/Tax-Expenditure-Reporting-and-Its-Use-in-Fiscal-Management-A-Guide-for-Developing-Economies-46676</vt:lpwstr>
      </vt:variant>
      <vt:variant>
        <vt:lpwstr/>
      </vt:variant>
      <vt:variant>
        <vt:i4>589894</vt:i4>
      </vt:variant>
      <vt:variant>
        <vt:i4>249</vt:i4>
      </vt:variant>
      <vt:variant>
        <vt:i4>0</vt:i4>
      </vt:variant>
      <vt:variant>
        <vt:i4>5</vt:i4>
      </vt:variant>
      <vt:variant>
        <vt:lpwstr>https://www.imf.org/external/pubs/ft/wp/2015/wp15105.pdf</vt:lpwstr>
      </vt:variant>
      <vt:variant>
        <vt:lpwstr/>
      </vt:variant>
      <vt:variant>
        <vt:i4>1114170</vt:i4>
      </vt:variant>
      <vt:variant>
        <vt:i4>242</vt:i4>
      </vt:variant>
      <vt:variant>
        <vt:i4>0</vt:i4>
      </vt:variant>
      <vt:variant>
        <vt:i4>5</vt:i4>
      </vt:variant>
      <vt:variant>
        <vt:lpwstr/>
      </vt:variant>
      <vt:variant>
        <vt:lpwstr>_Toc126555848</vt:lpwstr>
      </vt:variant>
      <vt:variant>
        <vt:i4>1114170</vt:i4>
      </vt:variant>
      <vt:variant>
        <vt:i4>236</vt:i4>
      </vt:variant>
      <vt:variant>
        <vt:i4>0</vt:i4>
      </vt:variant>
      <vt:variant>
        <vt:i4>5</vt:i4>
      </vt:variant>
      <vt:variant>
        <vt:lpwstr/>
      </vt:variant>
      <vt:variant>
        <vt:lpwstr>_Toc126555847</vt:lpwstr>
      </vt:variant>
      <vt:variant>
        <vt:i4>1114170</vt:i4>
      </vt:variant>
      <vt:variant>
        <vt:i4>230</vt:i4>
      </vt:variant>
      <vt:variant>
        <vt:i4>0</vt:i4>
      </vt:variant>
      <vt:variant>
        <vt:i4>5</vt:i4>
      </vt:variant>
      <vt:variant>
        <vt:lpwstr/>
      </vt:variant>
      <vt:variant>
        <vt:lpwstr>_Toc126555846</vt:lpwstr>
      </vt:variant>
      <vt:variant>
        <vt:i4>1114170</vt:i4>
      </vt:variant>
      <vt:variant>
        <vt:i4>224</vt:i4>
      </vt:variant>
      <vt:variant>
        <vt:i4>0</vt:i4>
      </vt:variant>
      <vt:variant>
        <vt:i4>5</vt:i4>
      </vt:variant>
      <vt:variant>
        <vt:lpwstr/>
      </vt:variant>
      <vt:variant>
        <vt:lpwstr>_Toc126555845</vt:lpwstr>
      </vt:variant>
      <vt:variant>
        <vt:i4>1114170</vt:i4>
      </vt:variant>
      <vt:variant>
        <vt:i4>218</vt:i4>
      </vt:variant>
      <vt:variant>
        <vt:i4>0</vt:i4>
      </vt:variant>
      <vt:variant>
        <vt:i4>5</vt:i4>
      </vt:variant>
      <vt:variant>
        <vt:lpwstr/>
      </vt:variant>
      <vt:variant>
        <vt:lpwstr>_Toc126555844</vt:lpwstr>
      </vt:variant>
      <vt:variant>
        <vt:i4>1114170</vt:i4>
      </vt:variant>
      <vt:variant>
        <vt:i4>212</vt:i4>
      </vt:variant>
      <vt:variant>
        <vt:i4>0</vt:i4>
      </vt:variant>
      <vt:variant>
        <vt:i4>5</vt:i4>
      </vt:variant>
      <vt:variant>
        <vt:lpwstr/>
      </vt:variant>
      <vt:variant>
        <vt:lpwstr>_Toc126555843</vt:lpwstr>
      </vt:variant>
      <vt:variant>
        <vt:i4>1114170</vt:i4>
      </vt:variant>
      <vt:variant>
        <vt:i4>206</vt:i4>
      </vt:variant>
      <vt:variant>
        <vt:i4>0</vt:i4>
      </vt:variant>
      <vt:variant>
        <vt:i4>5</vt:i4>
      </vt:variant>
      <vt:variant>
        <vt:lpwstr/>
      </vt:variant>
      <vt:variant>
        <vt:lpwstr>_Toc126555842</vt:lpwstr>
      </vt:variant>
      <vt:variant>
        <vt:i4>1114170</vt:i4>
      </vt:variant>
      <vt:variant>
        <vt:i4>200</vt:i4>
      </vt:variant>
      <vt:variant>
        <vt:i4>0</vt:i4>
      </vt:variant>
      <vt:variant>
        <vt:i4>5</vt:i4>
      </vt:variant>
      <vt:variant>
        <vt:lpwstr/>
      </vt:variant>
      <vt:variant>
        <vt:lpwstr>_Toc126555841</vt:lpwstr>
      </vt:variant>
      <vt:variant>
        <vt:i4>1114170</vt:i4>
      </vt:variant>
      <vt:variant>
        <vt:i4>194</vt:i4>
      </vt:variant>
      <vt:variant>
        <vt:i4>0</vt:i4>
      </vt:variant>
      <vt:variant>
        <vt:i4>5</vt:i4>
      </vt:variant>
      <vt:variant>
        <vt:lpwstr/>
      </vt:variant>
      <vt:variant>
        <vt:lpwstr>_Toc126555840</vt:lpwstr>
      </vt:variant>
      <vt:variant>
        <vt:i4>1441850</vt:i4>
      </vt:variant>
      <vt:variant>
        <vt:i4>188</vt:i4>
      </vt:variant>
      <vt:variant>
        <vt:i4>0</vt:i4>
      </vt:variant>
      <vt:variant>
        <vt:i4>5</vt:i4>
      </vt:variant>
      <vt:variant>
        <vt:lpwstr/>
      </vt:variant>
      <vt:variant>
        <vt:lpwstr>_Toc126555839</vt:lpwstr>
      </vt:variant>
      <vt:variant>
        <vt:i4>1441850</vt:i4>
      </vt:variant>
      <vt:variant>
        <vt:i4>182</vt:i4>
      </vt:variant>
      <vt:variant>
        <vt:i4>0</vt:i4>
      </vt:variant>
      <vt:variant>
        <vt:i4>5</vt:i4>
      </vt:variant>
      <vt:variant>
        <vt:lpwstr/>
      </vt:variant>
      <vt:variant>
        <vt:lpwstr>_Toc126555838</vt:lpwstr>
      </vt:variant>
      <vt:variant>
        <vt:i4>1441850</vt:i4>
      </vt:variant>
      <vt:variant>
        <vt:i4>176</vt:i4>
      </vt:variant>
      <vt:variant>
        <vt:i4>0</vt:i4>
      </vt:variant>
      <vt:variant>
        <vt:i4>5</vt:i4>
      </vt:variant>
      <vt:variant>
        <vt:lpwstr/>
      </vt:variant>
      <vt:variant>
        <vt:lpwstr>_Toc126555837</vt:lpwstr>
      </vt:variant>
      <vt:variant>
        <vt:i4>1441850</vt:i4>
      </vt:variant>
      <vt:variant>
        <vt:i4>170</vt:i4>
      </vt:variant>
      <vt:variant>
        <vt:i4>0</vt:i4>
      </vt:variant>
      <vt:variant>
        <vt:i4>5</vt:i4>
      </vt:variant>
      <vt:variant>
        <vt:lpwstr/>
      </vt:variant>
      <vt:variant>
        <vt:lpwstr>_Toc126555836</vt:lpwstr>
      </vt:variant>
      <vt:variant>
        <vt:i4>1441850</vt:i4>
      </vt:variant>
      <vt:variant>
        <vt:i4>164</vt:i4>
      </vt:variant>
      <vt:variant>
        <vt:i4>0</vt:i4>
      </vt:variant>
      <vt:variant>
        <vt:i4>5</vt:i4>
      </vt:variant>
      <vt:variant>
        <vt:lpwstr/>
      </vt:variant>
      <vt:variant>
        <vt:lpwstr>_Toc126555835</vt:lpwstr>
      </vt:variant>
      <vt:variant>
        <vt:i4>1441850</vt:i4>
      </vt:variant>
      <vt:variant>
        <vt:i4>158</vt:i4>
      </vt:variant>
      <vt:variant>
        <vt:i4>0</vt:i4>
      </vt:variant>
      <vt:variant>
        <vt:i4>5</vt:i4>
      </vt:variant>
      <vt:variant>
        <vt:lpwstr/>
      </vt:variant>
      <vt:variant>
        <vt:lpwstr>_Toc126555834</vt:lpwstr>
      </vt:variant>
      <vt:variant>
        <vt:i4>1441850</vt:i4>
      </vt:variant>
      <vt:variant>
        <vt:i4>152</vt:i4>
      </vt:variant>
      <vt:variant>
        <vt:i4>0</vt:i4>
      </vt:variant>
      <vt:variant>
        <vt:i4>5</vt:i4>
      </vt:variant>
      <vt:variant>
        <vt:lpwstr/>
      </vt:variant>
      <vt:variant>
        <vt:lpwstr>_Toc126555833</vt:lpwstr>
      </vt:variant>
      <vt:variant>
        <vt:i4>1441850</vt:i4>
      </vt:variant>
      <vt:variant>
        <vt:i4>146</vt:i4>
      </vt:variant>
      <vt:variant>
        <vt:i4>0</vt:i4>
      </vt:variant>
      <vt:variant>
        <vt:i4>5</vt:i4>
      </vt:variant>
      <vt:variant>
        <vt:lpwstr/>
      </vt:variant>
      <vt:variant>
        <vt:lpwstr>_Toc126555832</vt:lpwstr>
      </vt:variant>
      <vt:variant>
        <vt:i4>1441850</vt:i4>
      </vt:variant>
      <vt:variant>
        <vt:i4>140</vt:i4>
      </vt:variant>
      <vt:variant>
        <vt:i4>0</vt:i4>
      </vt:variant>
      <vt:variant>
        <vt:i4>5</vt:i4>
      </vt:variant>
      <vt:variant>
        <vt:lpwstr/>
      </vt:variant>
      <vt:variant>
        <vt:lpwstr>_Toc126555831</vt:lpwstr>
      </vt:variant>
      <vt:variant>
        <vt:i4>1441850</vt:i4>
      </vt:variant>
      <vt:variant>
        <vt:i4>134</vt:i4>
      </vt:variant>
      <vt:variant>
        <vt:i4>0</vt:i4>
      </vt:variant>
      <vt:variant>
        <vt:i4>5</vt:i4>
      </vt:variant>
      <vt:variant>
        <vt:lpwstr/>
      </vt:variant>
      <vt:variant>
        <vt:lpwstr>_Toc126555830</vt:lpwstr>
      </vt:variant>
      <vt:variant>
        <vt:i4>1507386</vt:i4>
      </vt:variant>
      <vt:variant>
        <vt:i4>128</vt:i4>
      </vt:variant>
      <vt:variant>
        <vt:i4>0</vt:i4>
      </vt:variant>
      <vt:variant>
        <vt:i4>5</vt:i4>
      </vt:variant>
      <vt:variant>
        <vt:lpwstr/>
      </vt:variant>
      <vt:variant>
        <vt:lpwstr>_Toc126555829</vt:lpwstr>
      </vt:variant>
      <vt:variant>
        <vt:i4>1507386</vt:i4>
      </vt:variant>
      <vt:variant>
        <vt:i4>122</vt:i4>
      </vt:variant>
      <vt:variant>
        <vt:i4>0</vt:i4>
      </vt:variant>
      <vt:variant>
        <vt:i4>5</vt:i4>
      </vt:variant>
      <vt:variant>
        <vt:lpwstr/>
      </vt:variant>
      <vt:variant>
        <vt:lpwstr>_Toc126555828</vt:lpwstr>
      </vt:variant>
      <vt:variant>
        <vt:i4>1507386</vt:i4>
      </vt:variant>
      <vt:variant>
        <vt:i4>116</vt:i4>
      </vt:variant>
      <vt:variant>
        <vt:i4>0</vt:i4>
      </vt:variant>
      <vt:variant>
        <vt:i4>5</vt:i4>
      </vt:variant>
      <vt:variant>
        <vt:lpwstr/>
      </vt:variant>
      <vt:variant>
        <vt:lpwstr>_Toc126555827</vt:lpwstr>
      </vt:variant>
      <vt:variant>
        <vt:i4>1507386</vt:i4>
      </vt:variant>
      <vt:variant>
        <vt:i4>110</vt:i4>
      </vt:variant>
      <vt:variant>
        <vt:i4>0</vt:i4>
      </vt:variant>
      <vt:variant>
        <vt:i4>5</vt:i4>
      </vt:variant>
      <vt:variant>
        <vt:lpwstr/>
      </vt:variant>
      <vt:variant>
        <vt:lpwstr>_Toc126555826</vt:lpwstr>
      </vt:variant>
      <vt:variant>
        <vt:i4>1507386</vt:i4>
      </vt:variant>
      <vt:variant>
        <vt:i4>104</vt:i4>
      </vt:variant>
      <vt:variant>
        <vt:i4>0</vt:i4>
      </vt:variant>
      <vt:variant>
        <vt:i4>5</vt:i4>
      </vt:variant>
      <vt:variant>
        <vt:lpwstr/>
      </vt:variant>
      <vt:variant>
        <vt:lpwstr>_Toc126555825</vt:lpwstr>
      </vt:variant>
      <vt:variant>
        <vt:i4>1507386</vt:i4>
      </vt:variant>
      <vt:variant>
        <vt:i4>98</vt:i4>
      </vt:variant>
      <vt:variant>
        <vt:i4>0</vt:i4>
      </vt:variant>
      <vt:variant>
        <vt:i4>5</vt:i4>
      </vt:variant>
      <vt:variant>
        <vt:lpwstr/>
      </vt:variant>
      <vt:variant>
        <vt:lpwstr>_Toc126555824</vt:lpwstr>
      </vt:variant>
      <vt:variant>
        <vt:i4>1507386</vt:i4>
      </vt:variant>
      <vt:variant>
        <vt:i4>92</vt:i4>
      </vt:variant>
      <vt:variant>
        <vt:i4>0</vt:i4>
      </vt:variant>
      <vt:variant>
        <vt:i4>5</vt:i4>
      </vt:variant>
      <vt:variant>
        <vt:lpwstr/>
      </vt:variant>
      <vt:variant>
        <vt:lpwstr>_Toc126555823</vt:lpwstr>
      </vt:variant>
      <vt:variant>
        <vt:i4>1507386</vt:i4>
      </vt:variant>
      <vt:variant>
        <vt:i4>86</vt:i4>
      </vt:variant>
      <vt:variant>
        <vt:i4>0</vt:i4>
      </vt:variant>
      <vt:variant>
        <vt:i4>5</vt:i4>
      </vt:variant>
      <vt:variant>
        <vt:lpwstr/>
      </vt:variant>
      <vt:variant>
        <vt:lpwstr>_Toc126555822</vt:lpwstr>
      </vt:variant>
      <vt:variant>
        <vt:i4>1507386</vt:i4>
      </vt:variant>
      <vt:variant>
        <vt:i4>80</vt:i4>
      </vt:variant>
      <vt:variant>
        <vt:i4>0</vt:i4>
      </vt:variant>
      <vt:variant>
        <vt:i4>5</vt:i4>
      </vt:variant>
      <vt:variant>
        <vt:lpwstr/>
      </vt:variant>
      <vt:variant>
        <vt:lpwstr>_Toc126555821</vt:lpwstr>
      </vt:variant>
      <vt:variant>
        <vt:i4>1507386</vt:i4>
      </vt:variant>
      <vt:variant>
        <vt:i4>74</vt:i4>
      </vt:variant>
      <vt:variant>
        <vt:i4>0</vt:i4>
      </vt:variant>
      <vt:variant>
        <vt:i4>5</vt:i4>
      </vt:variant>
      <vt:variant>
        <vt:lpwstr/>
      </vt:variant>
      <vt:variant>
        <vt:lpwstr>_Toc126555820</vt:lpwstr>
      </vt:variant>
      <vt:variant>
        <vt:i4>1310778</vt:i4>
      </vt:variant>
      <vt:variant>
        <vt:i4>68</vt:i4>
      </vt:variant>
      <vt:variant>
        <vt:i4>0</vt:i4>
      </vt:variant>
      <vt:variant>
        <vt:i4>5</vt:i4>
      </vt:variant>
      <vt:variant>
        <vt:lpwstr/>
      </vt:variant>
      <vt:variant>
        <vt:lpwstr>_Toc126555819</vt:lpwstr>
      </vt:variant>
      <vt:variant>
        <vt:i4>1310778</vt:i4>
      </vt:variant>
      <vt:variant>
        <vt:i4>62</vt:i4>
      </vt:variant>
      <vt:variant>
        <vt:i4>0</vt:i4>
      </vt:variant>
      <vt:variant>
        <vt:i4>5</vt:i4>
      </vt:variant>
      <vt:variant>
        <vt:lpwstr/>
      </vt:variant>
      <vt:variant>
        <vt:lpwstr>_Toc126555818</vt:lpwstr>
      </vt:variant>
      <vt:variant>
        <vt:i4>1310778</vt:i4>
      </vt:variant>
      <vt:variant>
        <vt:i4>56</vt:i4>
      </vt:variant>
      <vt:variant>
        <vt:i4>0</vt:i4>
      </vt:variant>
      <vt:variant>
        <vt:i4>5</vt:i4>
      </vt:variant>
      <vt:variant>
        <vt:lpwstr/>
      </vt:variant>
      <vt:variant>
        <vt:lpwstr>_Toc126555817</vt:lpwstr>
      </vt:variant>
      <vt:variant>
        <vt:i4>1310778</vt:i4>
      </vt:variant>
      <vt:variant>
        <vt:i4>50</vt:i4>
      </vt:variant>
      <vt:variant>
        <vt:i4>0</vt:i4>
      </vt:variant>
      <vt:variant>
        <vt:i4>5</vt:i4>
      </vt:variant>
      <vt:variant>
        <vt:lpwstr/>
      </vt:variant>
      <vt:variant>
        <vt:lpwstr>_Toc126555816</vt:lpwstr>
      </vt:variant>
      <vt:variant>
        <vt:i4>1310778</vt:i4>
      </vt:variant>
      <vt:variant>
        <vt:i4>44</vt:i4>
      </vt:variant>
      <vt:variant>
        <vt:i4>0</vt:i4>
      </vt:variant>
      <vt:variant>
        <vt:i4>5</vt:i4>
      </vt:variant>
      <vt:variant>
        <vt:lpwstr/>
      </vt:variant>
      <vt:variant>
        <vt:lpwstr>_Toc126555815</vt:lpwstr>
      </vt:variant>
      <vt:variant>
        <vt:i4>1310778</vt:i4>
      </vt:variant>
      <vt:variant>
        <vt:i4>38</vt:i4>
      </vt:variant>
      <vt:variant>
        <vt:i4>0</vt:i4>
      </vt:variant>
      <vt:variant>
        <vt:i4>5</vt:i4>
      </vt:variant>
      <vt:variant>
        <vt:lpwstr/>
      </vt:variant>
      <vt:variant>
        <vt:lpwstr>_Toc126555814</vt:lpwstr>
      </vt:variant>
      <vt:variant>
        <vt:i4>1310778</vt:i4>
      </vt:variant>
      <vt:variant>
        <vt:i4>32</vt:i4>
      </vt:variant>
      <vt:variant>
        <vt:i4>0</vt:i4>
      </vt:variant>
      <vt:variant>
        <vt:i4>5</vt:i4>
      </vt:variant>
      <vt:variant>
        <vt:lpwstr/>
      </vt:variant>
      <vt:variant>
        <vt:lpwstr>_Toc126555813</vt:lpwstr>
      </vt:variant>
      <vt:variant>
        <vt:i4>1310778</vt:i4>
      </vt:variant>
      <vt:variant>
        <vt:i4>26</vt:i4>
      </vt:variant>
      <vt:variant>
        <vt:i4>0</vt:i4>
      </vt:variant>
      <vt:variant>
        <vt:i4>5</vt:i4>
      </vt:variant>
      <vt:variant>
        <vt:lpwstr/>
      </vt:variant>
      <vt:variant>
        <vt:lpwstr>_Toc126555812</vt:lpwstr>
      </vt:variant>
      <vt:variant>
        <vt:i4>1310778</vt:i4>
      </vt:variant>
      <vt:variant>
        <vt:i4>20</vt:i4>
      </vt:variant>
      <vt:variant>
        <vt:i4>0</vt:i4>
      </vt:variant>
      <vt:variant>
        <vt:i4>5</vt:i4>
      </vt:variant>
      <vt:variant>
        <vt:lpwstr/>
      </vt:variant>
      <vt:variant>
        <vt:lpwstr>_Toc126555811</vt:lpwstr>
      </vt:variant>
      <vt:variant>
        <vt:i4>1310778</vt:i4>
      </vt:variant>
      <vt:variant>
        <vt:i4>14</vt:i4>
      </vt:variant>
      <vt:variant>
        <vt:i4>0</vt:i4>
      </vt:variant>
      <vt:variant>
        <vt:i4>5</vt:i4>
      </vt:variant>
      <vt:variant>
        <vt:lpwstr/>
      </vt:variant>
      <vt:variant>
        <vt:lpwstr>_Toc126555810</vt:lpwstr>
      </vt:variant>
      <vt:variant>
        <vt:i4>1376314</vt:i4>
      </vt:variant>
      <vt:variant>
        <vt:i4>8</vt:i4>
      </vt:variant>
      <vt:variant>
        <vt:i4>0</vt:i4>
      </vt:variant>
      <vt:variant>
        <vt:i4>5</vt:i4>
      </vt:variant>
      <vt:variant>
        <vt:lpwstr/>
      </vt:variant>
      <vt:variant>
        <vt:lpwstr>_Toc126555809</vt:lpwstr>
      </vt:variant>
      <vt:variant>
        <vt:i4>1376314</vt:i4>
      </vt:variant>
      <vt:variant>
        <vt:i4>2</vt:i4>
      </vt:variant>
      <vt:variant>
        <vt:i4>0</vt:i4>
      </vt:variant>
      <vt:variant>
        <vt:i4>5</vt:i4>
      </vt:variant>
      <vt:variant>
        <vt:lpwstr/>
      </vt:variant>
      <vt:variant>
        <vt:lpwstr>_Toc126555808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Nersesyan, Narine</dc:creator>
  <cp:keywords/>
  <dc:description/>
  <cp:lastModifiedBy>Gangur Olesea</cp:lastModifiedBy>
  <cp:revision>2</cp:revision>
  <cp:lastPrinted>2022-12-29T23:31:00Z</cp:lastPrinted>
  <dcterms:created xsi:type="dcterms:W3CDTF">2023-10-03T06:56:00Z</dcterms:created>
  <dcterms:modified xsi:type="dcterms:W3CDTF">2023-10-03T06:56:00Z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2022-02-26T18:34:50Z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ef7f8df3-4b15-46a6-8fa7-eb02eb70c791</vt:lpwstr>
  </property>
  <property fmtid="{D5CDD505-2E9C-101B-9397-08002B2CF9AE}" pid="8" name="MSIP_Label_0c07ed86-5dc5-4593-ad03-a8684b843815_ContentBits">
    <vt:lpwstr>0</vt:lpwstr>
  </property>
</Properties>
</file>