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76B" w:rsidRPr="00951C2A" w:rsidRDefault="0081376B" w:rsidP="0081376B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sz w:val="24"/>
          <w:szCs w:val="24"/>
          <w:lang w:val="ro-RO" w:eastAsia="ru-RU"/>
        </w:rPr>
      </w:pPr>
    </w:p>
    <w:p w:rsidR="0081376B" w:rsidRPr="00951C2A" w:rsidRDefault="0081376B" w:rsidP="0081376B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sz w:val="24"/>
          <w:szCs w:val="24"/>
          <w:lang w:val="ro-RO" w:eastAsia="ru-RU"/>
        </w:rPr>
      </w:pPr>
      <w:r w:rsidRPr="00951C2A">
        <w:rPr>
          <w:rFonts w:ascii="Arial" w:eastAsia="Times New Roman" w:hAnsi="Arial" w:cs="Arial"/>
          <w:b/>
          <w:sz w:val="24"/>
          <w:szCs w:val="24"/>
          <w:lang w:val="ro-RO" w:eastAsia="ru-RU"/>
        </w:rPr>
        <w:t xml:space="preserve">Linia de Credit a Proiectului „COVID-19 Răspuns de urgență și Suport pentru Întreprinderi Micro, Mici și Mijlocii” (ÎMMM) </w:t>
      </w:r>
    </w:p>
    <w:p w:rsidR="0081376B" w:rsidRPr="00951C2A" w:rsidRDefault="0081376B" w:rsidP="0081376B">
      <w:pPr>
        <w:spacing w:before="100" w:beforeAutospacing="1" w:after="0" w:afterAutospacing="1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ro-RO" w:eastAsia="ru-RU"/>
        </w:rPr>
      </w:pPr>
      <w:r w:rsidRPr="00951C2A">
        <w:rPr>
          <w:rFonts w:ascii="Arial" w:eastAsia="Times New Roman" w:hAnsi="Arial" w:cs="Arial"/>
          <w:b/>
          <w:sz w:val="20"/>
          <w:szCs w:val="20"/>
          <w:lang w:val="ro-RO" w:eastAsia="ru-RU"/>
        </w:rPr>
        <w:t>Proiectul de Răspuns de urgență la Covid-19 și Suport ÎMMM</w:t>
      </w:r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 xml:space="preserve"> este finanțat 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 xml:space="preserve">de Ministerul Finanțelor </w:t>
      </w:r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 xml:space="preserve">din împrumutul </w:t>
      </w:r>
      <w:r w:rsidRPr="00951C2A">
        <w:rPr>
          <w:rFonts w:ascii="Arial" w:eastAsia="Times New Roman" w:hAnsi="Arial" w:cs="Arial"/>
          <w:b/>
          <w:sz w:val="20"/>
          <w:szCs w:val="20"/>
          <w:lang w:val="ro-RO" w:eastAsia="ru-RU"/>
        </w:rPr>
        <w:t>Băncii Consiliului Europei de Dezvoltare (CEB),</w:t>
      </w:r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 xml:space="preserve"> acordat </w:t>
      </w:r>
      <w:r w:rsidRPr="00951C2A">
        <w:rPr>
          <w:rFonts w:ascii="Arial" w:eastAsia="Times New Roman" w:hAnsi="Arial" w:cs="Arial"/>
          <w:b/>
          <w:sz w:val="20"/>
          <w:szCs w:val="20"/>
          <w:lang w:val="ro-RO" w:eastAsia="ru-RU"/>
        </w:rPr>
        <w:t>Guvernului Republicii Moldova</w:t>
      </w:r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 xml:space="preserve"> și are scopul de a oferi sprijin sistemului de sănătate din RM în lupta cu </w:t>
      </w:r>
      <w:proofErr w:type="spellStart"/>
      <w:r w:rsidRPr="00951C2A">
        <w:rPr>
          <w:rFonts w:ascii="Arial" w:hAnsi="Arial" w:cs="Arial"/>
          <w:sz w:val="20"/>
          <w:szCs w:val="20"/>
          <w:lang w:val="ro-RO"/>
        </w:rPr>
        <w:t>Covid</w:t>
      </w:r>
      <w:proofErr w:type="spellEnd"/>
      <w:r w:rsidRPr="00951C2A">
        <w:rPr>
          <w:rFonts w:ascii="Arial" w:hAnsi="Arial" w:cs="Arial"/>
          <w:sz w:val="20"/>
          <w:szCs w:val="20"/>
          <w:lang w:val="ro-RO"/>
        </w:rPr>
        <w:t xml:space="preserve"> 19, iar în cadrul componentei Liniei de Credit, de a susține Întreprinderile Micro, </w:t>
      </w:r>
      <w:r>
        <w:rPr>
          <w:rFonts w:ascii="Arial" w:hAnsi="Arial" w:cs="Arial"/>
          <w:sz w:val="20"/>
          <w:szCs w:val="20"/>
          <w:lang w:val="ro-RO"/>
        </w:rPr>
        <w:t>m</w:t>
      </w:r>
      <w:r w:rsidRPr="00951C2A">
        <w:rPr>
          <w:rFonts w:ascii="Arial" w:hAnsi="Arial" w:cs="Arial"/>
          <w:sz w:val="20"/>
          <w:szCs w:val="20"/>
          <w:lang w:val="ro-RO"/>
        </w:rPr>
        <w:t>ici și Mijlocii cu lichidități necesare pentru susținerea activității acestora, menținerea și crearea locurilor de munca viabile.</w:t>
      </w:r>
    </w:p>
    <w:p w:rsidR="0081376B" w:rsidRPr="00951C2A" w:rsidRDefault="0081376B" w:rsidP="0081376B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ro-RO" w:eastAsia="ru-RU"/>
        </w:rPr>
      </w:pPr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 xml:space="preserve">Suma totală a Împrumutului extern constituie </w:t>
      </w:r>
      <w:r w:rsidRPr="00951C2A">
        <w:rPr>
          <w:rFonts w:ascii="Arial" w:eastAsia="Times New Roman" w:hAnsi="Arial" w:cs="Arial"/>
          <w:b/>
          <w:sz w:val="20"/>
          <w:szCs w:val="20"/>
          <w:lang w:val="ro-RO" w:eastAsia="ru-RU"/>
        </w:rPr>
        <w:t>70.0 mil. EUR,</w:t>
      </w:r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 xml:space="preserve"> inclusiv componenta Liniei de Credit de </w:t>
      </w:r>
      <w:r w:rsidRPr="0035646E">
        <w:rPr>
          <w:rFonts w:ascii="Arial" w:eastAsia="Times New Roman" w:hAnsi="Arial" w:cs="Arial"/>
          <w:b/>
          <w:sz w:val="20"/>
          <w:szCs w:val="20"/>
          <w:lang w:val="ro-RO" w:eastAsia="ru-RU"/>
        </w:rPr>
        <w:t>30</w:t>
      </w:r>
      <w:r w:rsidRPr="00951C2A">
        <w:rPr>
          <w:rFonts w:ascii="Arial" w:eastAsia="Times New Roman" w:hAnsi="Arial" w:cs="Arial"/>
          <w:b/>
          <w:sz w:val="20"/>
          <w:szCs w:val="20"/>
          <w:lang w:val="ro-RO" w:eastAsia="ru-RU"/>
        </w:rPr>
        <w:t xml:space="preserve">  mil. EUR</w:t>
      </w:r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 xml:space="preserve">, care se </w:t>
      </w:r>
      <w:proofErr w:type="spellStart"/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>recreditează</w:t>
      </w:r>
      <w:proofErr w:type="spellEnd"/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 xml:space="preserve"> ÎMMM prin intermediul Oficiul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 xml:space="preserve">ui </w:t>
      </w:r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>de Gestionare a Programelor de Asistență Externă (OGP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 xml:space="preserve"> </w:t>
      </w:r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>AE)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 xml:space="preserve"> și a </w:t>
      </w:r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>Instituțiilor Financiare Participante (IFP) eligibile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 xml:space="preserve">, </w:t>
      </w:r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>care își  asumă toate riscurile de credit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 xml:space="preserve">. </w:t>
      </w:r>
    </w:p>
    <w:p w:rsidR="0081376B" w:rsidRPr="00951C2A" w:rsidRDefault="0081376B" w:rsidP="0081376B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ro-RO" w:eastAsia="ru-RU"/>
        </w:rPr>
      </w:pPr>
    </w:p>
    <w:p w:rsidR="0081376B" w:rsidRDefault="0081376B" w:rsidP="0081376B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ro-RO" w:eastAsia="ru-RU"/>
        </w:rPr>
      </w:pPr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>Data semnării Acordului de Împrumut-29 iulie 2020.</w:t>
      </w:r>
    </w:p>
    <w:p w:rsidR="0081376B" w:rsidRDefault="0081376B" w:rsidP="0081376B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ro-RO" w:eastAsia="ru-RU"/>
        </w:rPr>
      </w:pPr>
    </w:p>
    <w:p w:rsidR="0081376B" w:rsidRPr="00951C2A" w:rsidRDefault="0081376B" w:rsidP="0081376B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ro-RO" w:eastAsia="ru-RU"/>
        </w:rPr>
      </w:pPr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>Data de închidere a Proiectului – 30 Iunie 2022.</w:t>
      </w:r>
    </w:p>
    <w:p w:rsidR="0081376B" w:rsidRPr="00951C2A" w:rsidRDefault="0081376B" w:rsidP="0081376B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ro-RO" w:eastAsia="ru-RU"/>
        </w:rPr>
      </w:pPr>
    </w:p>
    <w:p w:rsidR="0081376B" w:rsidRPr="002F5A32" w:rsidRDefault="0081376B" w:rsidP="0081376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ro-RO" w:eastAsia="ru-RU"/>
        </w:rPr>
      </w:pPr>
      <w:r w:rsidRPr="002F5A32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La 30.06.2022 </w:t>
      </w:r>
      <w:proofErr w:type="spellStart"/>
      <w:r w:rsidRPr="002F5A32">
        <w:rPr>
          <w:rFonts w:ascii="Times New Roman" w:eastAsia="Times New Roman" w:hAnsi="Times New Roman"/>
          <w:sz w:val="24"/>
          <w:szCs w:val="24"/>
          <w:lang w:val="ro-RO" w:eastAsia="ru-RU"/>
        </w:rPr>
        <w:t>recreditate</w:t>
      </w:r>
      <w:proofErr w:type="spellEnd"/>
      <w:r w:rsidRPr="002F5A32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din resursele directe </w:t>
      </w:r>
      <w:r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>363</w:t>
      </w:r>
      <w:r w:rsidRPr="002F5A32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 xml:space="preserve"> sub-proiecte</w:t>
      </w:r>
      <w:r w:rsidRPr="002F5A32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 în sumă de </w:t>
      </w:r>
      <w:r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>500,8 mil. MDL</w:t>
      </w:r>
      <w:r w:rsidRPr="002F5A32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 xml:space="preserve"> și </w:t>
      </w:r>
      <w:r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>6</w:t>
      </w:r>
      <w:r w:rsidRPr="002F5A32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>14</w:t>
      </w:r>
      <w:r w:rsidRPr="002F5A32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 xml:space="preserve"> mil. Euro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 xml:space="preserve">,  sau echivalentul a </w:t>
      </w:r>
      <w:r>
        <w:rPr>
          <w:rFonts w:ascii="Arial" w:eastAsia="Times New Roman" w:hAnsi="Arial" w:cs="Arial"/>
          <w:b/>
          <w:sz w:val="20"/>
          <w:szCs w:val="20"/>
          <w:lang w:val="ro-RO" w:eastAsia="ru-RU"/>
        </w:rPr>
        <w:t>30.0</w:t>
      </w:r>
      <w:r w:rsidRPr="0035646E">
        <w:rPr>
          <w:rFonts w:ascii="Arial" w:eastAsia="Times New Roman" w:hAnsi="Arial" w:cs="Arial"/>
          <w:b/>
          <w:sz w:val="20"/>
          <w:szCs w:val="20"/>
          <w:lang w:val="ro-RO" w:eastAsia="ru-RU"/>
        </w:rPr>
        <w:t xml:space="preserve"> mil. EUR</w:t>
      </w:r>
      <w:r w:rsidRPr="002F5A32">
        <w:rPr>
          <w:rFonts w:ascii="Times New Roman" w:eastAsia="Times New Roman" w:hAnsi="Times New Roman"/>
          <w:sz w:val="24"/>
          <w:szCs w:val="24"/>
          <w:lang w:val="ro-RO" w:eastAsia="ru-RU"/>
        </w:rPr>
        <w:t>.</w:t>
      </w:r>
    </w:p>
    <w:p w:rsidR="0081376B" w:rsidRDefault="0081376B" w:rsidP="0081376B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ro-RO" w:eastAsia="ru-RU"/>
        </w:rPr>
      </w:pPr>
    </w:p>
    <w:p w:rsidR="0081376B" w:rsidRDefault="0081376B" w:rsidP="0081376B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ro-RO" w:eastAsia="ru-RU"/>
        </w:rPr>
      </w:pPr>
      <w:r>
        <w:rPr>
          <w:rFonts w:ascii="Arial" w:eastAsia="Times New Roman" w:hAnsi="Arial" w:cs="Arial"/>
          <w:sz w:val="20"/>
          <w:szCs w:val="20"/>
          <w:lang w:val="ro-RO" w:eastAsia="ru-RU"/>
        </w:rPr>
        <w:t>Proiect închis din resursele directe, cu continuare la aceleași condiții din resursele creditare de refinanţare (</w:t>
      </w:r>
      <w:proofErr w:type="spellStart"/>
      <w:r>
        <w:rPr>
          <w:rFonts w:ascii="Arial" w:eastAsia="Times New Roman" w:hAnsi="Arial" w:cs="Arial"/>
          <w:sz w:val="20"/>
          <w:szCs w:val="20"/>
          <w:lang w:val="ro-RO" w:eastAsia="ru-RU"/>
        </w:rPr>
        <w:t>revolving</w:t>
      </w:r>
      <w:proofErr w:type="spellEnd"/>
      <w:r>
        <w:rPr>
          <w:rFonts w:ascii="Arial" w:eastAsia="Times New Roman" w:hAnsi="Arial" w:cs="Arial"/>
          <w:sz w:val="20"/>
          <w:szCs w:val="20"/>
          <w:lang w:val="ro-RO" w:eastAsia="ru-RU"/>
        </w:rPr>
        <w:t>).</w:t>
      </w:r>
    </w:p>
    <w:p w:rsidR="0081376B" w:rsidRDefault="0081376B" w:rsidP="0081376B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ro-RO" w:eastAsia="ru-RU"/>
        </w:rPr>
      </w:pPr>
    </w:p>
    <w:p w:rsidR="0081376B" w:rsidRPr="0035646E" w:rsidRDefault="0081376B" w:rsidP="0081376B">
      <w:pPr>
        <w:spacing w:after="0" w:line="240" w:lineRule="auto"/>
        <w:ind w:left="163"/>
        <w:rPr>
          <w:rFonts w:ascii="Arial" w:eastAsia="Times New Roman" w:hAnsi="Arial" w:cs="Arial"/>
          <w:sz w:val="20"/>
          <w:szCs w:val="20"/>
          <w:lang w:val="ro-RO" w:eastAsia="ru-RU"/>
        </w:rPr>
      </w:pPr>
      <w:r>
        <w:rPr>
          <w:rFonts w:ascii="Arial" w:eastAsia="Times New Roman" w:hAnsi="Arial" w:cs="Arial"/>
          <w:sz w:val="20"/>
          <w:szCs w:val="20"/>
          <w:lang w:val="ro-RO" w:eastAsia="ru-RU"/>
        </w:rPr>
        <w:t>La 30.06.2022 din Linia de Credit-refinanţare</w:t>
      </w:r>
      <w:r w:rsidRPr="0035646E">
        <w:rPr>
          <w:rFonts w:ascii="Arial" w:eastAsia="Times New Roman" w:hAnsi="Arial" w:cs="Arial"/>
          <w:sz w:val="20"/>
          <w:szCs w:val="20"/>
          <w:lang w:val="ro-RO" w:eastAsia="ru-RU"/>
        </w:rPr>
        <w:t xml:space="preserve"> sunt </w:t>
      </w:r>
      <w:r w:rsidRPr="00683C91">
        <w:rPr>
          <w:rFonts w:ascii="Arial" w:eastAsia="Times New Roman" w:hAnsi="Arial" w:cs="Arial"/>
          <w:sz w:val="20"/>
          <w:szCs w:val="20"/>
          <w:lang w:val="ro-RO" w:eastAsia="ru-RU"/>
        </w:rPr>
        <w:t xml:space="preserve">debursate </w:t>
      </w:r>
      <w:r w:rsidRPr="0035646E">
        <w:rPr>
          <w:rFonts w:ascii="Arial" w:eastAsia="Times New Roman" w:hAnsi="Arial" w:cs="Arial"/>
          <w:sz w:val="20"/>
          <w:szCs w:val="20"/>
          <w:lang w:val="ro-RO" w:eastAsia="ru-RU"/>
        </w:rPr>
        <w:t xml:space="preserve">fonduri pentru finanțarea prin intermediul IFP a </w:t>
      </w:r>
      <w:r>
        <w:rPr>
          <w:rFonts w:ascii="Arial" w:eastAsia="Times New Roman" w:hAnsi="Arial" w:cs="Arial"/>
          <w:b/>
          <w:sz w:val="20"/>
          <w:szCs w:val="20"/>
          <w:lang w:val="ro-RO" w:eastAsia="ru-RU"/>
        </w:rPr>
        <w:t>116</w:t>
      </w:r>
      <w:r w:rsidRPr="0035646E">
        <w:rPr>
          <w:rFonts w:ascii="Arial" w:eastAsia="Times New Roman" w:hAnsi="Arial" w:cs="Arial"/>
          <w:b/>
          <w:sz w:val="20"/>
          <w:szCs w:val="20"/>
          <w:lang w:val="ro-RO" w:eastAsia="ru-RU"/>
        </w:rPr>
        <w:t xml:space="preserve"> sub-proiecte, </w:t>
      </w:r>
      <w:r w:rsidRPr="0035646E">
        <w:rPr>
          <w:rFonts w:ascii="Arial" w:eastAsia="Times New Roman" w:hAnsi="Arial" w:cs="Arial"/>
          <w:sz w:val="20"/>
          <w:szCs w:val="20"/>
          <w:lang w:val="ro-RO" w:eastAsia="ru-RU"/>
        </w:rPr>
        <w:t xml:space="preserve">în sumă de </w:t>
      </w:r>
      <w:r>
        <w:rPr>
          <w:rFonts w:ascii="Arial" w:eastAsia="Times New Roman" w:hAnsi="Arial" w:cs="Arial"/>
          <w:b/>
          <w:sz w:val="20"/>
          <w:szCs w:val="20"/>
          <w:lang w:val="ro-RO" w:eastAsia="ru-RU"/>
        </w:rPr>
        <w:t>117</w:t>
      </w:r>
      <w:r w:rsidRPr="0035646E">
        <w:rPr>
          <w:rFonts w:ascii="Arial" w:eastAsia="Times New Roman" w:hAnsi="Arial" w:cs="Arial"/>
          <w:b/>
          <w:sz w:val="20"/>
          <w:szCs w:val="20"/>
          <w:lang w:val="ro-RO" w:eastAsia="ru-RU"/>
        </w:rPr>
        <w:t>.</w:t>
      </w:r>
      <w:r>
        <w:rPr>
          <w:rFonts w:ascii="Arial" w:eastAsia="Times New Roman" w:hAnsi="Arial" w:cs="Arial"/>
          <w:b/>
          <w:sz w:val="20"/>
          <w:szCs w:val="20"/>
          <w:lang w:val="ro-RO" w:eastAsia="ru-RU"/>
        </w:rPr>
        <w:t>64</w:t>
      </w:r>
      <w:r w:rsidRPr="0035646E">
        <w:rPr>
          <w:rFonts w:ascii="Arial" w:eastAsia="Times New Roman" w:hAnsi="Arial" w:cs="Arial"/>
          <w:b/>
          <w:sz w:val="20"/>
          <w:szCs w:val="20"/>
          <w:lang w:val="ro-RO" w:eastAsia="ru-RU"/>
        </w:rPr>
        <w:t xml:space="preserve"> mil. MDL si </w:t>
      </w:r>
      <w:r>
        <w:rPr>
          <w:rFonts w:ascii="Arial" w:eastAsia="Times New Roman" w:hAnsi="Arial" w:cs="Arial"/>
          <w:b/>
          <w:sz w:val="20"/>
          <w:szCs w:val="20"/>
          <w:lang w:val="ro-RO" w:eastAsia="ru-RU"/>
        </w:rPr>
        <w:t>0</w:t>
      </w:r>
      <w:r w:rsidRPr="0035646E">
        <w:rPr>
          <w:rFonts w:ascii="Arial" w:eastAsia="Times New Roman" w:hAnsi="Arial" w:cs="Arial"/>
          <w:b/>
          <w:sz w:val="20"/>
          <w:szCs w:val="20"/>
          <w:lang w:val="ro-RO" w:eastAsia="ru-RU"/>
        </w:rPr>
        <w:t>,</w:t>
      </w:r>
      <w:r>
        <w:rPr>
          <w:rFonts w:ascii="Arial" w:eastAsia="Times New Roman" w:hAnsi="Arial" w:cs="Arial"/>
          <w:b/>
          <w:sz w:val="20"/>
          <w:szCs w:val="20"/>
          <w:lang w:val="ro-RO" w:eastAsia="ru-RU"/>
        </w:rPr>
        <w:t>86</w:t>
      </w:r>
      <w:r w:rsidRPr="0035646E">
        <w:rPr>
          <w:rFonts w:ascii="Arial" w:eastAsia="Times New Roman" w:hAnsi="Arial" w:cs="Arial"/>
          <w:b/>
          <w:sz w:val="20"/>
          <w:szCs w:val="20"/>
          <w:lang w:val="ro-RO" w:eastAsia="ru-RU"/>
        </w:rPr>
        <w:t xml:space="preserve"> mil. EUR</w:t>
      </w:r>
      <w:bookmarkStart w:id="0" w:name="_Hlk110525616"/>
      <w:r>
        <w:rPr>
          <w:rFonts w:ascii="Arial" w:eastAsia="Times New Roman" w:hAnsi="Arial" w:cs="Arial"/>
          <w:sz w:val="20"/>
          <w:szCs w:val="20"/>
          <w:lang w:val="ro-RO" w:eastAsia="ru-RU"/>
        </w:rPr>
        <w:t xml:space="preserve">,  sau echivalentul a </w:t>
      </w:r>
      <w:r>
        <w:rPr>
          <w:rFonts w:ascii="Arial" w:eastAsia="Times New Roman" w:hAnsi="Arial" w:cs="Arial"/>
          <w:b/>
          <w:sz w:val="20"/>
          <w:szCs w:val="20"/>
          <w:lang w:val="ro-RO" w:eastAsia="ru-RU"/>
        </w:rPr>
        <w:t>6</w:t>
      </w:r>
      <w:r w:rsidRPr="0035646E">
        <w:rPr>
          <w:rFonts w:ascii="Arial" w:eastAsia="Times New Roman" w:hAnsi="Arial" w:cs="Arial"/>
          <w:b/>
          <w:sz w:val="20"/>
          <w:szCs w:val="20"/>
          <w:lang w:val="ro-RO" w:eastAsia="ru-RU"/>
        </w:rPr>
        <w:t>,</w:t>
      </w:r>
      <w:r>
        <w:rPr>
          <w:rFonts w:ascii="Arial" w:eastAsia="Times New Roman" w:hAnsi="Arial" w:cs="Arial"/>
          <w:b/>
          <w:sz w:val="20"/>
          <w:szCs w:val="20"/>
          <w:lang w:val="ro-RO" w:eastAsia="ru-RU"/>
        </w:rPr>
        <w:t>71</w:t>
      </w:r>
      <w:r w:rsidRPr="0035646E">
        <w:rPr>
          <w:rFonts w:ascii="Arial" w:eastAsia="Times New Roman" w:hAnsi="Arial" w:cs="Arial"/>
          <w:b/>
          <w:sz w:val="20"/>
          <w:szCs w:val="20"/>
          <w:lang w:val="ro-RO" w:eastAsia="ru-RU"/>
        </w:rPr>
        <w:t xml:space="preserve"> mil. EUR</w:t>
      </w:r>
      <w:bookmarkEnd w:id="0"/>
      <w:r>
        <w:rPr>
          <w:rFonts w:ascii="Arial" w:eastAsia="Times New Roman" w:hAnsi="Arial" w:cs="Arial"/>
          <w:b/>
          <w:sz w:val="20"/>
          <w:szCs w:val="20"/>
          <w:lang w:val="ro-RO" w:eastAsia="ru-RU"/>
        </w:rPr>
        <w:t>.</w:t>
      </w:r>
      <w:r w:rsidRPr="0035646E">
        <w:rPr>
          <w:rFonts w:ascii="Arial" w:eastAsia="Times New Roman" w:hAnsi="Arial" w:cs="Arial"/>
          <w:sz w:val="20"/>
          <w:szCs w:val="20"/>
          <w:lang w:val="ro-RO" w:eastAsia="ru-RU"/>
        </w:rPr>
        <w:t xml:space="preserve"> </w:t>
      </w:r>
    </w:p>
    <w:p w:rsidR="0081376B" w:rsidRPr="00951C2A" w:rsidRDefault="0081376B" w:rsidP="0081376B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val="ro-RO" w:eastAsia="ru-RU"/>
        </w:rPr>
      </w:pPr>
    </w:p>
    <w:p w:rsidR="0081376B" w:rsidRPr="00951C2A" w:rsidRDefault="0081376B" w:rsidP="0081376B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ro-RO" w:eastAsia="ru-RU"/>
        </w:rPr>
      </w:pPr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 xml:space="preserve">IFP intermediare: </w:t>
      </w:r>
    </w:p>
    <w:p w:rsidR="0081376B" w:rsidRPr="00951C2A" w:rsidRDefault="0081376B" w:rsidP="0081376B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ro-RO" w:eastAsia="ru-RU"/>
        </w:rPr>
      </w:pPr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>-  BC „</w:t>
      </w:r>
      <w:proofErr w:type="spellStart"/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>MoldovaAgroindbank</w:t>
      </w:r>
      <w:proofErr w:type="spellEnd"/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>” SA (tel 022 303-277),</w:t>
      </w:r>
    </w:p>
    <w:p w:rsidR="0081376B" w:rsidRPr="00951C2A" w:rsidRDefault="0081376B" w:rsidP="0081376B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ro-RO" w:eastAsia="ru-RU"/>
        </w:rPr>
      </w:pPr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 xml:space="preserve">-  BC </w:t>
      </w:r>
      <w:r w:rsidRPr="00951C2A">
        <w:rPr>
          <w:rFonts w:ascii="Arial" w:eastAsia="Times New Roman" w:hAnsi="Arial" w:cs="Arial"/>
          <w:sz w:val="20"/>
          <w:szCs w:val="20"/>
          <w:lang w:eastAsia="ru-RU"/>
        </w:rPr>
        <w:t>“</w:t>
      </w:r>
      <w:proofErr w:type="spellStart"/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>Mobiasbancă</w:t>
      </w:r>
      <w:proofErr w:type="spellEnd"/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 xml:space="preserve"> – OTP Group” S.A. (tel.022 812-548), </w:t>
      </w:r>
    </w:p>
    <w:p w:rsidR="0081376B" w:rsidRPr="00951C2A" w:rsidRDefault="0081376B" w:rsidP="0081376B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ro-RO" w:eastAsia="ru-RU"/>
        </w:rPr>
      </w:pPr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>-  BC “</w:t>
      </w:r>
      <w:proofErr w:type="spellStart"/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>ProCredit</w:t>
      </w:r>
      <w:proofErr w:type="spellEnd"/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 xml:space="preserve"> Bank” S.A. (tel. 022 782-498), </w:t>
      </w:r>
    </w:p>
    <w:p w:rsidR="0081376B" w:rsidRPr="00951C2A" w:rsidRDefault="0081376B" w:rsidP="0081376B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ro-RO" w:eastAsia="ru-RU"/>
        </w:rPr>
      </w:pPr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 xml:space="preserve">-  BC “ </w:t>
      </w:r>
      <w:proofErr w:type="spellStart"/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>Comertbank”S.A</w:t>
      </w:r>
      <w:proofErr w:type="spellEnd"/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 xml:space="preserve">. (tel. 022 839-748), </w:t>
      </w:r>
    </w:p>
    <w:p w:rsidR="0081376B" w:rsidRPr="00951C2A" w:rsidRDefault="0081376B" w:rsidP="0081376B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ro-RO" w:eastAsia="ru-RU"/>
        </w:rPr>
      </w:pPr>
      <w:r w:rsidRPr="00951C2A">
        <w:rPr>
          <w:lang w:val="ro-RO" w:eastAsia="ru-RU"/>
        </w:rPr>
        <w:t xml:space="preserve"> -   </w:t>
      </w:r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>BC „</w:t>
      </w:r>
      <w:proofErr w:type="spellStart"/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>Moldindconbank</w:t>
      </w:r>
      <w:proofErr w:type="spellEnd"/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>” SA (tel. 022 576-796; 022 576-798),</w:t>
      </w:r>
    </w:p>
    <w:p w:rsidR="0081376B" w:rsidRPr="00951C2A" w:rsidRDefault="0081376B" w:rsidP="0081376B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ro-RO" w:eastAsia="ru-RU"/>
        </w:rPr>
      </w:pPr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 xml:space="preserve">-  BC “ </w:t>
      </w:r>
      <w:proofErr w:type="spellStart"/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>Victoriabank</w:t>
      </w:r>
      <w:proofErr w:type="spellEnd"/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>” S.A. (tel. 022 576-419),</w:t>
      </w:r>
    </w:p>
    <w:p w:rsidR="0081376B" w:rsidRPr="00951C2A" w:rsidRDefault="0081376B" w:rsidP="0081376B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ro-RO" w:eastAsia="ru-RU"/>
        </w:rPr>
      </w:pPr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>-  BC „</w:t>
      </w:r>
      <w:proofErr w:type="spellStart"/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>FinComBank</w:t>
      </w:r>
      <w:proofErr w:type="spellEnd"/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>” SA (tel 022 269-816),</w:t>
      </w:r>
    </w:p>
    <w:p w:rsidR="0081376B" w:rsidRDefault="0081376B" w:rsidP="0081376B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ro-RO" w:eastAsia="ru-RU"/>
        </w:rPr>
      </w:pPr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>-  BC „Eximbank „ SA  (tel 022 301-176)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>,</w:t>
      </w:r>
    </w:p>
    <w:p w:rsidR="0081376B" w:rsidRPr="00951C2A" w:rsidRDefault="0081376B" w:rsidP="0081376B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ro-RO" w:eastAsia="ru-RU"/>
        </w:rPr>
      </w:pPr>
      <w:r>
        <w:rPr>
          <w:rFonts w:ascii="Arial" w:eastAsia="Times New Roman" w:hAnsi="Arial" w:cs="Arial"/>
          <w:sz w:val="20"/>
          <w:szCs w:val="20"/>
          <w:lang w:val="ro-RO" w:eastAsia="ru-RU"/>
        </w:rPr>
        <w:t xml:space="preserve">-  „BCR </w:t>
      </w:r>
      <w:proofErr w:type="spellStart"/>
      <w:r>
        <w:rPr>
          <w:rFonts w:ascii="Arial" w:eastAsia="Times New Roman" w:hAnsi="Arial" w:cs="Arial"/>
          <w:sz w:val="20"/>
          <w:szCs w:val="20"/>
          <w:lang w:val="ro-RO" w:eastAsia="ru-RU"/>
        </w:rPr>
        <w:t>Chisinau</w:t>
      </w:r>
      <w:proofErr w:type="spellEnd"/>
      <w:r>
        <w:rPr>
          <w:rFonts w:ascii="Arial" w:eastAsia="Times New Roman" w:hAnsi="Arial" w:cs="Arial"/>
          <w:sz w:val="20"/>
          <w:szCs w:val="20"/>
          <w:lang w:val="ro-RO" w:eastAsia="ru-RU"/>
        </w:rPr>
        <w:t>” SA (tel 022 852-082).</w:t>
      </w:r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 xml:space="preserve"> </w:t>
      </w:r>
    </w:p>
    <w:p w:rsidR="0081376B" w:rsidRPr="00951C2A" w:rsidRDefault="0081376B" w:rsidP="0081376B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highlight w:val="yellow"/>
          <w:lang w:val="ro-RO" w:eastAsia="ru-RU"/>
        </w:rPr>
      </w:pPr>
    </w:p>
    <w:p w:rsidR="0081376B" w:rsidRPr="00951C2A" w:rsidRDefault="0081376B" w:rsidP="0081376B">
      <w:pPr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951C2A">
        <w:rPr>
          <w:rFonts w:ascii="Arial" w:hAnsi="Arial" w:cs="Arial"/>
          <w:sz w:val="20"/>
          <w:szCs w:val="20"/>
          <w:lang w:val="ro-RO"/>
        </w:rPr>
        <w:t xml:space="preserve"> </w:t>
      </w:r>
      <w:r w:rsidRPr="00951C2A">
        <w:rPr>
          <w:rFonts w:ascii="Arial" w:hAnsi="Arial" w:cs="Arial"/>
          <w:sz w:val="20"/>
          <w:szCs w:val="20"/>
          <w:u w:val="single"/>
          <w:lang w:val="ro-RO"/>
        </w:rPr>
        <w:t xml:space="preserve">Beneficiari eligibili de sub-împrumuturi </w:t>
      </w:r>
      <w:r>
        <w:rPr>
          <w:rFonts w:ascii="Arial" w:hAnsi="Arial" w:cs="Arial"/>
          <w:sz w:val="20"/>
          <w:szCs w:val="20"/>
          <w:lang w:val="ro-RO"/>
        </w:rPr>
        <w:t>pot fi</w:t>
      </w:r>
      <w:r w:rsidRPr="00951C2A">
        <w:rPr>
          <w:rFonts w:ascii="Arial" w:hAnsi="Arial" w:cs="Arial"/>
          <w:sz w:val="20"/>
          <w:szCs w:val="20"/>
          <w:lang w:val="ro-RO"/>
        </w:rPr>
        <w:t xml:space="preserve"> Întreprinderi Micro, Mici și Mijlocii (IMMM)</w:t>
      </w:r>
      <w:r w:rsidRPr="00951C2A">
        <w:rPr>
          <w:rFonts w:cs="Calibri"/>
          <w:sz w:val="20"/>
          <w:szCs w:val="20"/>
          <w:lang w:val="ro-RO"/>
        </w:rPr>
        <w:t xml:space="preserve"> </w:t>
      </w:r>
      <w:r w:rsidRPr="00951C2A">
        <w:rPr>
          <w:rFonts w:ascii="Arial" w:hAnsi="Arial" w:cs="Arial"/>
          <w:sz w:val="20"/>
          <w:szCs w:val="20"/>
          <w:lang w:val="ro-RO"/>
        </w:rPr>
        <w:t>incluzând și cele care desfășoară activități de artizanat sau întreprinderi mici de familie încadrate în activitate economica afecta</w:t>
      </w:r>
      <w:r>
        <w:rPr>
          <w:rFonts w:ascii="Arial" w:hAnsi="Arial" w:cs="Arial"/>
          <w:sz w:val="20"/>
          <w:szCs w:val="20"/>
          <w:lang w:val="ro-RO"/>
        </w:rPr>
        <w:t>te</w:t>
      </w:r>
      <w:r w:rsidRPr="00951C2A">
        <w:rPr>
          <w:rFonts w:ascii="Arial" w:hAnsi="Arial" w:cs="Arial"/>
          <w:sz w:val="20"/>
          <w:szCs w:val="20"/>
          <w:lang w:val="ro-RO"/>
        </w:rPr>
        <w:t xml:space="preserve"> de criza</w:t>
      </w:r>
      <w:r>
        <w:rPr>
          <w:rFonts w:ascii="Arial" w:hAnsi="Arial" w:cs="Arial"/>
          <w:sz w:val="20"/>
          <w:szCs w:val="20"/>
          <w:lang w:val="ro-RO"/>
        </w:rPr>
        <w:t xml:space="preserve"> pandemică</w:t>
      </w:r>
      <w:r w:rsidRPr="00951C2A">
        <w:rPr>
          <w:rFonts w:ascii="Arial" w:hAnsi="Arial" w:cs="Arial"/>
          <w:sz w:val="20"/>
          <w:szCs w:val="20"/>
          <w:lang w:val="ro-RO"/>
        </w:rPr>
        <w:t xml:space="preserve">. </w:t>
      </w:r>
    </w:p>
    <w:p w:rsidR="0081376B" w:rsidRPr="00951C2A" w:rsidRDefault="0081376B" w:rsidP="0081376B">
      <w:pPr>
        <w:rPr>
          <w:rFonts w:ascii="Arial" w:eastAsia="Times New Roman" w:hAnsi="Arial" w:cs="Arial"/>
          <w:sz w:val="20"/>
          <w:szCs w:val="20"/>
          <w:lang w:val="ro-RO" w:eastAsia="ru-RU"/>
        </w:rPr>
      </w:pPr>
      <w:r w:rsidRPr="00951C2A">
        <w:rPr>
          <w:rFonts w:ascii="Arial" w:eastAsia="Times New Roman" w:hAnsi="Arial" w:cs="Arial"/>
          <w:sz w:val="20"/>
          <w:szCs w:val="20"/>
          <w:u w:val="single"/>
          <w:lang w:val="ro-RO" w:eastAsia="ru-RU"/>
        </w:rPr>
        <w:t xml:space="preserve">Activități eligibile: </w:t>
      </w:r>
      <w:r>
        <w:rPr>
          <w:rFonts w:ascii="Arial" w:eastAsia="Times New Roman" w:hAnsi="Arial" w:cs="Arial"/>
          <w:sz w:val="20"/>
          <w:szCs w:val="20"/>
          <w:u w:val="single"/>
          <w:lang w:val="ro-RO" w:eastAsia="ru-RU"/>
        </w:rPr>
        <w:t>s</w:t>
      </w:r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 xml:space="preserve">e propun spre finanțare sub-proiectele cu scopul promovării creării și păstrării locurilor de muncă viabile permanente și/sau de sezon prin facilitarea accesului la împrumuturi. </w:t>
      </w:r>
    </w:p>
    <w:p w:rsidR="0081376B" w:rsidRDefault="0081376B" w:rsidP="0081376B">
      <w:pPr>
        <w:ind w:left="284"/>
        <w:rPr>
          <w:rFonts w:ascii="Arial" w:eastAsia="Times New Roman" w:hAnsi="Arial" w:cs="Arial"/>
          <w:sz w:val="20"/>
          <w:szCs w:val="20"/>
          <w:lang w:val="ro-RO" w:eastAsia="ru-RU"/>
        </w:rPr>
      </w:pPr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 xml:space="preserve">Din 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 xml:space="preserve">fondurile </w:t>
      </w:r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 xml:space="preserve">Liniei de 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>c</w:t>
      </w:r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 xml:space="preserve">redit pot fi finanțate 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 xml:space="preserve">cheltuielile pentru sub-proiectele înainte de beneficiarii finali pentru </w:t>
      </w:r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>investiții în mijloace fixe productive, necesitățile de capital circulant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 xml:space="preserve"> necesar</w:t>
      </w:r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 xml:space="preserve">, precum și 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 xml:space="preserve">cheltuielile </w:t>
      </w:r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 xml:space="preserve">de urgență pentru a asigura studiile și 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 xml:space="preserve">alte </w:t>
      </w:r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 xml:space="preserve">cheltuieli legate de sănătate, finanțând necesitățile întreprinderilor nou create și existente. </w:t>
      </w:r>
    </w:p>
    <w:p w:rsidR="0081376B" w:rsidRPr="00951C2A" w:rsidRDefault="0081376B" w:rsidP="0081376B">
      <w:pPr>
        <w:spacing w:before="100" w:beforeAutospacing="1" w:after="0" w:afterAutospacing="1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ro-RO" w:eastAsia="ru-RU"/>
        </w:rPr>
      </w:pPr>
      <w:r w:rsidRPr="00951C2A">
        <w:rPr>
          <w:rFonts w:ascii="Arial" w:eastAsia="Times New Roman" w:hAnsi="Arial" w:cs="Arial"/>
          <w:sz w:val="20"/>
          <w:szCs w:val="20"/>
          <w:u w:val="single"/>
          <w:lang w:val="ro-RO" w:eastAsia="ru-RU"/>
        </w:rPr>
        <w:t>Suma eligibilă spre finanțare</w:t>
      </w:r>
      <w:r w:rsidRPr="00951C2A">
        <w:rPr>
          <w:rFonts w:ascii="Arial" w:eastAsia="Times New Roman" w:hAnsi="Arial" w:cs="Arial"/>
          <w:b/>
          <w:sz w:val="20"/>
          <w:szCs w:val="20"/>
          <w:lang w:val="ro-RO" w:eastAsia="ru-RU"/>
        </w:rPr>
        <w:t>:</w:t>
      </w:r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 xml:space="preserve"> cu excepția cazurilor, în care CEB și Guvernul Republicii Moldova vor conveni altfel, valoarea și 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 xml:space="preserve">maturitatea </w:t>
      </w:r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 xml:space="preserve">sub-Împrumuturilor vor fi plafonate în dependență de tipul 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>acestora</w:t>
      </w:r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>, după cum urmează:</w:t>
      </w:r>
    </w:p>
    <w:p w:rsidR="0081376B" w:rsidRPr="00951C2A" w:rsidRDefault="0081376B" w:rsidP="0081376B">
      <w:pPr>
        <w:numPr>
          <w:ilvl w:val="0"/>
          <w:numId w:val="3"/>
        </w:numPr>
        <w:tabs>
          <w:tab w:val="left" w:pos="630"/>
          <w:tab w:val="right" w:pos="8640"/>
        </w:tabs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val="ro-RO" w:eastAsia="ru-RU"/>
        </w:rPr>
      </w:pPr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 xml:space="preserve">  costul total al sub-proiectelor finanțate din CEB pentru un beneficiar nu va depăși echivalentul a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 xml:space="preserve"> </w:t>
      </w:r>
      <w:r w:rsidRPr="00951C2A">
        <w:rPr>
          <w:rFonts w:ascii="Arial" w:eastAsia="Times New Roman" w:hAnsi="Arial" w:cs="Arial"/>
          <w:b/>
          <w:sz w:val="20"/>
          <w:szCs w:val="20"/>
          <w:lang w:val="ro-RO" w:eastAsia="ru-RU"/>
        </w:rPr>
        <w:t>2 milioane EURO</w:t>
      </w:r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>;</w:t>
      </w:r>
    </w:p>
    <w:p w:rsidR="0081376B" w:rsidRPr="00951C2A" w:rsidRDefault="0081376B" w:rsidP="0081376B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951C2A">
        <w:rPr>
          <w:rFonts w:ascii="Arial" w:hAnsi="Arial" w:cs="Arial"/>
          <w:sz w:val="20"/>
          <w:szCs w:val="20"/>
          <w:lang w:val="ro-RO"/>
        </w:rPr>
        <w:t xml:space="preserve">alocarea maximă pentru un singur sub-proiect nu va depăși echivalentul a </w:t>
      </w:r>
      <w:r w:rsidRPr="00951C2A">
        <w:rPr>
          <w:rFonts w:ascii="Arial" w:hAnsi="Arial" w:cs="Arial"/>
          <w:b/>
          <w:sz w:val="20"/>
          <w:szCs w:val="20"/>
          <w:lang w:val="ro-RO"/>
        </w:rPr>
        <w:t>600,000 EURO</w:t>
      </w:r>
      <w:r w:rsidRPr="00951C2A">
        <w:rPr>
          <w:rFonts w:ascii="Arial" w:hAnsi="Arial" w:cs="Arial"/>
          <w:sz w:val="20"/>
          <w:szCs w:val="20"/>
          <w:lang w:val="ro-RO"/>
        </w:rPr>
        <w:t>;</w:t>
      </w:r>
    </w:p>
    <w:p w:rsidR="0081376B" w:rsidRDefault="0081376B" w:rsidP="0081376B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951C2A">
        <w:rPr>
          <w:rFonts w:ascii="Arial" w:hAnsi="Arial" w:cs="Arial"/>
          <w:sz w:val="20"/>
          <w:szCs w:val="20"/>
          <w:lang w:val="ro-RO"/>
        </w:rPr>
        <w:t xml:space="preserve">finanțarea CEB pentru capital circulant se limitează la echivalentul a </w:t>
      </w:r>
      <w:r w:rsidRPr="00951C2A">
        <w:rPr>
          <w:rFonts w:ascii="Arial" w:hAnsi="Arial" w:cs="Arial"/>
          <w:b/>
          <w:sz w:val="20"/>
          <w:szCs w:val="20"/>
          <w:lang w:val="ro-RO"/>
        </w:rPr>
        <w:t>300,000 EURO</w:t>
      </w:r>
      <w:r w:rsidRPr="00951C2A">
        <w:rPr>
          <w:rFonts w:ascii="Arial" w:hAnsi="Arial" w:cs="Arial"/>
          <w:sz w:val="20"/>
          <w:szCs w:val="20"/>
          <w:lang w:val="ro-RO"/>
        </w:rPr>
        <w:t xml:space="preserve"> pentru un beneficiar</w:t>
      </w:r>
      <w:r>
        <w:rPr>
          <w:rFonts w:ascii="Arial" w:hAnsi="Arial" w:cs="Arial"/>
          <w:sz w:val="20"/>
          <w:szCs w:val="20"/>
          <w:lang w:val="ro-RO"/>
        </w:rPr>
        <w:t>.</w:t>
      </w:r>
    </w:p>
    <w:p w:rsidR="0081376B" w:rsidRPr="0008737F" w:rsidRDefault="0081376B" w:rsidP="0081376B">
      <w:pPr>
        <w:widowControl w:val="0"/>
        <w:suppressAutoHyphens/>
        <w:spacing w:before="120" w:after="0" w:line="240" w:lineRule="auto"/>
        <w:ind w:left="720"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Un beneficiar poate contracta credite pentru mai multe sub-proiecte, suma cumulativă a cărora nu va depăși echivalentul a </w:t>
      </w:r>
      <w:r w:rsidRPr="001C0AB8">
        <w:rPr>
          <w:rFonts w:ascii="Arial" w:hAnsi="Arial" w:cs="Arial"/>
          <w:b/>
          <w:sz w:val="20"/>
          <w:szCs w:val="20"/>
          <w:lang w:val="ro-RO"/>
        </w:rPr>
        <w:t>2.0 milioane EURO.</w:t>
      </w:r>
    </w:p>
    <w:p w:rsidR="0081376B" w:rsidRPr="00951C2A" w:rsidRDefault="0081376B" w:rsidP="0081376B">
      <w:pPr>
        <w:ind w:left="360"/>
        <w:jc w:val="both"/>
        <w:rPr>
          <w:rFonts w:ascii="Arial" w:hAnsi="Arial" w:cs="Arial"/>
          <w:sz w:val="20"/>
          <w:szCs w:val="20"/>
          <w:lang w:val="ro-RO"/>
        </w:rPr>
      </w:pPr>
    </w:p>
    <w:p w:rsidR="0081376B" w:rsidRPr="00951C2A" w:rsidRDefault="0081376B" w:rsidP="0081376B">
      <w:pPr>
        <w:tabs>
          <w:tab w:val="left" w:pos="709"/>
        </w:tabs>
        <w:spacing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val="ro-RO" w:eastAsia="ru-RU"/>
        </w:rPr>
      </w:pPr>
      <w:r w:rsidRPr="00951C2A">
        <w:rPr>
          <w:rFonts w:ascii="Arial" w:eastAsia="Times New Roman" w:hAnsi="Arial" w:cs="Arial"/>
          <w:sz w:val="20"/>
          <w:szCs w:val="20"/>
          <w:u w:val="single"/>
          <w:lang w:val="ro-RO" w:eastAsia="ru-RU"/>
        </w:rPr>
        <w:lastRenderedPageBreak/>
        <w:t xml:space="preserve">Maturitatea </w:t>
      </w:r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 xml:space="preserve">sub-împrumuturilor pentru proiecte investiționale – până </w:t>
      </w:r>
      <w:r w:rsidRPr="001C0AB8">
        <w:rPr>
          <w:rFonts w:ascii="Arial" w:eastAsia="Times New Roman" w:hAnsi="Arial" w:cs="Arial"/>
          <w:b/>
          <w:sz w:val="20"/>
          <w:szCs w:val="20"/>
          <w:lang w:val="ro-RO" w:eastAsia="ru-RU"/>
        </w:rPr>
        <w:t>la 6 ani</w:t>
      </w:r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 xml:space="preserve"> cu o perioada de gratie de max. 2 ani;  pentru capital circulant -până la </w:t>
      </w:r>
      <w:r w:rsidRPr="001C0AB8">
        <w:rPr>
          <w:rFonts w:ascii="Arial" w:eastAsia="Times New Roman" w:hAnsi="Arial" w:cs="Arial"/>
          <w:b/>
          <w:sz w:val="20"/>
          <w:szCs w:val="20"/>
          <w:lang w:val="ro-RO" w:eastAsia="ru-RU"/>
        </w:rPr>
        <w:t>4 ani</w:t>
      </w:r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 xml:space="preserve"> și minimum 12 luni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 xml:space="preserve"> perioada de grație</w:t>
      </w:r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 xml:space="preserve">. </w:t>
      </w:r>
    </w:p>
    <w:p w:rsidR="0081376B" w:rsidRPr="00951C2A" w:rsidRDefault="0081376B" w:rsidP="0081376B">
      <w:pPr>
        <w:spacing w:before="120" w:after="12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951C2A">
        <w:rPr>
          <w:rFonts w:ascii="Arial" w:hAnsi="Arial" w:cs="Arial"/>
          <w:sz w:val="20"/>
          <w:szCs w:val="20"/>
          <w:lang w:val="ro-RO"/>
        </w:rPr>
        <w:t xml:space="preserve">Activități neeligibile, care </w:t>
      </w:r>
      <w:r w:rsidRPr="00951C2A">
        <w:rPr>
          <w:rFonts w:ascii="Arial" w:hAnsi="Arial" w:cs="Arial"/>
          <w:sz w:val="20"/>
          <w:szCs w:val="20"/>
          <w:u w:val="single"/>
          <w:lang w:val="ro-RO"/>
        </w:rPr>
        <w:t xml:space="preserve">nu pot fi finanțate în cadrul Liniei de Credit </w:t>
      </w:r>
      <w:r w:rsidRPr="00951C2A">
        <w:rPr>
          <w:rFonts w:ascii="Arial" w:hAnsi="Arial" w:cs="Arial"/>
          <w:sz w:val="20"/>
          <w:szCs w:val="20"/>
          <w:lang w:val="ro-RO"/>
        </w:rPr>
        <w:t>:</w:t>
      </w:r>
      <w:r w:rsidRPr="00951C2A">
        <w:rPr>
          <w:rFonts w:ascii="Arial" w:eastAsia="Times New Roman" w:hAnsi="Arial" w:cs="Arial"/>
          <w:sz w:val="20"/>
          <w:szCs w:val="20"/>
          <w:lang w:val="ro-RO"/>
        </w:rPr>
        <w:t xml:space="preserve"> </w:t>
      </w:r>
    </w:p>
    <w:p w:rsidR="0081376B" w:rsidRPr="00951C2A" w:rsidRDefault="0081376B" w:rsidP="0081376B">
      <w:pPr>
        <w:numPr>
          <w:ilvl w:val="1"/>
          <w:numId w:val="2"/>
        </w:numPr>
        <w:spacing w:after="0"/>
        <w:ind w:left="709" w:hanging="425"/>
        <w:contextualSpacing/>
        <w:jc w:val="both"/>
        <w:rPr>
          <w:rFonts w:ascii="Arial" w:hAnsi="Arial" w:cs="Arial"/>
          <w:sz w:val="20"/>
          <w:szCs w:val="20"/>
          <w:lang w:val="ro-RO"/>
        </w:rPr>
      </w:pPr>
      <w:r w:rsidRPr="00951C2A">
        <w:rPr>
          <w:rFonts w:ascii="Arial" w:hAnsi="Arial" w:cs="Arial"/>
          <w:sz w:val="20"/>
          <w:szCs w:val="20"/>
          <w:lang w:val="ro-RO"/>
        </w:rPr>
        <w:t>investiții în energie regenerabilă, sănătate (clinici, spitale), educație (scoli, universități ș.a.), care vor fi finanțate din alte fonduri speciale;</w:t>
      </w:r>
    </w:p>
    <w:p w:rsidR="0081376B" w:rsidRPr="00951C2A" w:rsidRDefault="0081376B" w:rsidP="0081376B">
      <w:pPr>
        <w:numPr>
          <w:ilvl w:val="1"/>
          <w:numId w:val="2"/>
        </w:numPr>
        <w:spacing w:after="0"/>
        <w:ind w:left="709" w:hanging="425"/>
        <w:contextualSpacing/>
        <w:jc w:val="both"/>
        <w:rPr>
          <w:rFonts w:ascii="Arial" w:hAnsi="Arial" w:cs="Arial"/>
          <w:sz w:val="20"/>
          <w:szCs w:val="20"/>
          <w:lang w:val="ro-RO"/>
        </w:rPr>
      </w:pPr>
      <w:r w:rsidRPr="00951C2A">
        <w:rPr>
          <w:rFonts w:ascii="Arial" w:hAnsi="Arial" w:cs="Arial"/>
          <w:sz w:val="20"/>
          <w:szCs w:val="20"/>
          <w:lang w:val="ro-RO"/>
        </w:rPr>
        <w:t>costurile financiare ale investițiilor nu pot fi incluse în costul estimativ al sub-proiectelor (refinanțarea datoriilor, inclusiv a creditelor altor bănci, achitarea dobânzilor, achiziționarea de cote părți în capitalul său în proprietatea întreprinderilor, taxe</w:t>
      </w:r>
      <w:r>
        <w:rPr>
          <w:rFonts w:ascii="Arial" w:hAnsi="Arial" w:cs="Arial"/>
          <w:sz w:val="20"/>
          <w:szCs w:val="20"/>
          <w:lang w:val="ro-RO"/>
        </w:rPr>
        <w:t xml:space="preserve"> ș.a.</w:t>
      </w:r>
      <w:r w:rsidRPr="00951C2A">
        <w:rPr>
          <w:rFonts w:ascii="Arial" w:hAnsi="Arial" w:cs="Arial"/>
          <w:sz w:val="20"/>
          <w:szCs w:val="20"/>
          <w:lang w:val="ro-RO"/>
        </w:rPr>
        <w:t>);</w:t>
      </w:r>
    </w:p>
    <w:p w:rsidR="0081376B" w:rsidRPr="00951C2A" w:rsidRDefault="0081376B" w:rsidP="0081376B">
      <w:pPr>
        <w:numPr>
          <w:ilvl w:val="1"/>
          <w:numId w:val="2"/>
        </w:numPr>
        <w:spacing w:after="0"/>
        <w:ind w:left="709" w:hanging="425"/>
        <w:contextualSpacing/>
        <w:jc w:val="both"/>
        <w:rPr>
          <w:rFonts w:ascii="Arial" w:hAnsi="Arial" w:cs="Arial"/>
          <w:sz w:val="20"/>
          <w:szCs w:val="20"/>
          <w:lang w:val="ro-RO"/>
        </w:rPr>
      </w:pPr>
      <w:r w:rsidRPr="00951C2A">
        <w:rPr>
          <w:rFonts w:ascii="Arial" w:hAnsi="Arial" w:cs="Arial"/>
          <w:sz w:val="20"/>
          <w:szCs w:val="20"/>
          <w:lang w:val="ro-RO"/>
        </w:rPr>
        <w:t>costurile de personal (plăți salariale ale angajaților, adaosuri și alte remunerări și beneficii, plata dividendelor, pensiilor ș.a.);</w:t>
      </w:r>
    </w:p>
    <w:p w:rsidR="0081376B" w:rsidRPr="00951C2A" w:rsidRDefault="0081376B" w:rsidP="0081376B">
      <w:pPr>
        <w:numPr>
          <w:ilvl w:val="1"/>
          <w:numId w:val="2"/>
        </w:numPr>
        <w:spacing w:after="0"/>
        <w:ind w:left="709" w:hanging="425"/>
        <w:contextualSpacing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procurarea de </w:t>
      </w:r>
      <w:r w:rsidRPr="00951C2A">
        <w:rPr>
          <w:rFonts w:ascii="Arial" w:hAnsi="Arial" w:cs="Arial"/>
          <w:sz w:val="20"/>
          <w:szCs w:val="20"/>
          <w:lang w:val="ro-RO"/>
        </w:rPr>
        <w:t xml:space="preserve">mărfurilor </w:t>
      </w:r>
      <w:r>
        <w:rPr>
          <w:rFonts w:ascii="Arial" w:hAnsi="Arial" w:cs="Arial"/>
          <w:sz w:val="20"/>
          <w:szCs w:val="20"/>
          <w:lang w:val="ro-RO"/>
        </w:rPr>
        <w:t xml:space="preserve">de consum și a </w:t>
      </w:r>
      <w:r w:rsidRPr="00951C2A">
        <w:rPr>
          <w:rFonts w:ascii="Arial" w:hAnsi="Arial" w:cs="Arial"/>
          <w:sz w:val="20"/>
          <w:szCs w:val="20"/>
          <w:lang w:val="ro-RO"/>
        </w:rPr>
        <w:t>serviciilor;</w:t>
      </w:r>
    </w:p>
    <w:p w:rsidR="0081376B" w:rsidRPr="00951C2A" w:rsidRDefault="0081376B" w:rsidP="0081376B">
      <w:pPr>
        <w:numPr>
          <w:ilvl w:val="1"/>
          <w:numId w:val="2"/>
        </w:numPr>
        <w:spacing w:after="0"/>
        <w:ind w:left="709" w:hanging="425"/>
        <w:contextualSpacing/>
        <w:jc w:val="both"/>
        <w:rPr>
          <w:rFonts w:ascii="Arial" w:hAnsi="Arial" w:cs="Arial"/>
          <w:sz w:val="20"/>
          <w:szCs w:val="20"/>
          <w:lang w:val="ro-RO"/>
        </w:rPr>
      </w:pPr>
      <w:r w:rsidRPr="00951C2A">
        <w:rPr>
          <w:rFonts w:ascii="Arial" w:hAnsi="Arial" w:cs="Arial"/>
          <w:sz w:val="20"/>
          <w:szCs w:val="20"/>
          <w:lang w:val="ro-RO"/>
        </w:rPr>
        <w:t xml:space="preserve">procurarea și/sau renovarea bunurilor imobiliare pentru revânzare, sau de a le acorda în arendă părților terțe; </w:t>
      </w:r>
    </w:p>
    <w:p w:rsidR="0081376B" w:rsidRPr="00951C2A" w:rsidRDefault="0081376B" w:rsidP="0081376B">
      <w:pPr>
        <w:numPr>
          <w:ilvl w:val="1"/>
          <w:numId w:val="2"/>
        </w:numPr>
        <w:spacing w:after="0"/>
        <w:ind w:left="709" w:hanging="425"/>
        <w:contextualSpacing/>
        <w:jc w:val="both"/>
        <w:rPr>
          <w:rFonts w:ascii="Arial" w:hAnsi="Arial" w:cs="Arial"/>
          <w:sz w:val="20"/>
          <w:szCs w:val="20"/>
          <w:lang w:val="ro-RO"/>
        </w:rPr>
      </w:pPr>
      <w:r w:rsidRPr="00951C2A">
        <w:rPr>
          <w:rFonts w:ascii="Arial" w:hAnsi="Arial" w:cs="Arial"/>
          <w:sz w:val="20"/>
          <w:szCs w:val="20"/>
          <w:lang w:val="ro-RO"/>
        </w:rPr>
        <w:t>sub-împrumuturi în numerar;</w:t>
      </w:r>
    </w:p>
    <w:p w:rsidR="0081376B" w:rsidRDefault="0081376B" w:rsidP="0081376B">
      <w:pPr>
        <w:numPr>
          <w:ilvl w:val="1"/>
          <w:numId w:val="2"/>
        </w:numPr>
        <w:spacing w:after="0"/>
        <w:ind w:left="709" w:hanging="425"/>
        <w:contextualSpacing/>
        <w:jc w:val="both"/>
        <w:rPr>
          <w:rFonts w:ascii="Arial" w:hAnsi="Arial" w:cs="Arial"/>
          <w:sz w:val="20"/>
          <w:szCs w:val="20"/>
          <w:lang w:val="ro-RO"/>
        </w:rPr>
      </w:pPr>
      <w:r w:rsidRPr="00951C2A">
        <w:rPr>
          <w:rFonts w:ascii="Arial" w:hAnsi="Arial" w:cs="Arial"/>
          <w:sz w:val="20"/>
          <w:szCs w:val="20"/>
          <w:lang w:val="ro-RO"/>
        </w:rPr>
        <w:t xml:space="preserve">sub-proiecte și activități care nu corespund cerințelor de protecție a mediului înconjurător și a securității de sănătate a personalului; </w:t>
      </w:r>
    </w:p>
    <w:p w:rsidR="0081376B" w:rsidRPr="00951C2A" w:rsidRDefault="0081376B" w:rsidP="0081376B">
      <w:pPr>
        <w:numPr>
          <w:ilvl w:val="1"/>
          <w:numId w:val="2"/>
        </w:numPr>
        <w:spacing w:after="0"/>
        <w:ind w:left="709" w:hanging="425"/>
        <w:contextualSpacing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construcția și/sau renovarea caselor și spațiilor de locuit a cetățenilor;</w:t>
      </w:r>
    </w:p>
    <w:p w:rsidR="0081376B" w:rsidRPr="00951C2A" w:rsidRDefault="0081376B" w:rsidP="0081376B">
      <w:pPr>
        <w:numPr>
          <w:ilvl w:val="1"/>
          <w:numId w:val="2"/>
        </w:numPr>
        <w:spacing w:after="0"/>
        <w:ind w:left="709" w:hanging="425"/>
        <w:contextualSpacing/>
        <w:jc w:val="both"/>
        <w:rPr>
          <w:rFonts w:ascii="Arial" w:hAnsi="Arial" w:cs="Arial"/>
          <w:sz w:val="20"/>
          <w:szCs w:val="20"/>
          <w:lang w:val="ro-RO"/>
        </w:rPr>
      </w:pPr>
      <w:r w:rsidRPr="00951C2A">
        <w:rPr>
          <w:rFonts w:ascii="Arial" w:hAnsi="Arial" w:cs="Arial"/>
          <w:sz w:val="20"/>
          <w:szCs w:val="20"/>
          <w:lang w:val="ro-RO"/>
        </w:rPr>
        <w:t xml:space="preserve">alte cheltuieli și/sau activități care pot fi considerate neeligibile pentru finanțare conform politicilor CEB de finanțare sau a legislației Uniunii Europene în măsura implementării acestora în Republica Moldova.  </w:t>
      </w:r>
    </w:p>
    <w:p w:rsidR="0081376B" w:rsidRPr="00951C2A" w:rsidRDefault="0081376B" w:rsidP="0081376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 w:eastAsia="ru-RU"/>
        </w:rPr>
      </w:pPr>
    </w:p>
    <w:p w:rsidR="0081376B" w:rsidRPr="00951C2A" w:rsidRDefault="0081376B" w:rsidP="0081376B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ro-RO" w:eastAsia="ru-RU"/>
        </w:rPr>
      </w:pPr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 xml:space="preserve">Este posibilă refinanțarea retroactivă a </w:t>
      </w:r>
      <w:r w:rsidRPr="00951C2A">
        <w:rPr>
          <w:rFonts w:ascii="Arial" w:hAnsi="Arial" w:cs="Arial"/>
          <w:sz w:val="20"/>
          <w:szCs w:val="20"/>
          <w:lang w:val="ro-RO"/>
        </w:rPr>
        <w:t xml:space="preserve">cheltuielilor eligibile, efectuate de către beneficiari din resursele proprii </w:t>
      </w:r>
      <w:proofErr w:type="spellStart"/>
      <w:r w:rsidRPr="00951C2A">
        <w:rPr>
          <w:rFonts w:ascii="Arial" w:hAnsi="Arial" w:cs="Arial"/>
          <w:sz w:val="20"/>
          <w:szCs w:val="20"/>
          <w:lang w:val="ro-RO"/>
        </w:rPr>
        <w:t>şi</w:t>
      </w:r>
      <w:proofErr w:type="spellEnd"/>
      <w:r w:rsidRPr="00951C2A">
        <w:rPr>
          <w:rFonts w:ascii="Arial" w:hAnsi="Arial" w:cs="Arial"/>
          <w:sz w:val="20"/>
          <w:szCs w:val="20"/>
          <w:lang w:val="ro-RO"/>
        </w:rPr>
        <w:t xml:space="preserve">/sau din împrumuturile IFP intermediare înainte de data semnării </w:t>
      </w:r>
      <w:r>
        <w:rPr>
          <w:rFonts w:ascii="Arial" w:hAnsi="Arial" w:cs="Arial"/>
          <w:sz w:val="20"/>
          <w:szCs w:val="20"/>
          <w:lang w:val="ro-RO"/>
        </w:rPr>
        <w:t xml:space="preserve">Contractelor de Recreditare cu Ministerul Finanțelor și a contractelor de credit </w:t>
      </w:r>
      <w:r w:rsidRPr="00951C2A">
        <w:rPr>
          <w:rFonts w:ascii="Arial" w:hAnsi="Arial" w:cs="Arial"/>
          <w:sz w:val="20"/>
          <w:szCs w:val="20"/>
          <w:lang w:val="ro-RO"/>
        </w:rPr>
        <w:t>cu IFP (cu toate acestea, cheltuielile eligibile</w:t>
      </w:r>
      <w:r>
        <w:rPr>
          <w:rFonts w:ascii="Arial" w:hAnsi="Arial" w:cs="Arial"/>
          <w:sz w:val="20"/>
          <w:szCs w:val="20"/>
          <w:lang w:val="ro-RO"/>
        </w:rPr>
        <w:t xml:space="preserve"> pentru refinanțare retroactivă </w:t>
      </w:r>
      <w:r w:rsidRPr="00951C2A">
        <w:rPr>
          <w:rFonts w:ascii="Arial" w:hAnsi="Arial" w:cs="Arial"/>
          <w:sz w:val="20"/>
          <w:szCs w:val="20"/>
          <w:lang w:val="ro-RO"/>
        </w:rPr>
        <w:t xml:space="preserve"> </w:t>
      </w:r>
      <w:r w:rsidRPr="00951C2A">
        <w:rPr>
          <w:rFonts w:ascii="Arial" w:hAnsi="Arial" w:cs="Arial"/>
          <w:iCs/>
          <w:sz w:val="20"/>
          <w:szCs w:val="20"/>
          <w:lang w:val="ro-RO"/>
        </w:rPr>
        <w:t>nu trebuie să fi survenit mai devreme de 01 ianuarie 2020</w:t>
      </w:r>
      <w:r w:rsidRPr="00951C2A">
        <w:rPr>
          <w:rFonts w:ascii="Arial" w:hAnsi="Arial" w:cs="Arial"/>
          <w:sz w:val="20"/>
          <w:szCs w:val="20"/>
          <w:lang w:val="ro-RO"/>
        </w:rPr>
        <w:t>)</w:t>
      </w:r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 xml:space="preserve">. În cadrul Proiectului se vor promova de asemenea investițiile noi. </w:t>
      </w:r>
    </w:p>
    <w:p w:rsidR="0081376B" w:rsidRPr="00951C2A" w:rsidRDefault="0081376B" w:rsidP="0081376B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ro-RO" w:eastAsia="ru-RU"/>
        </w:rPr>
      </w:pPr>
    </w:p>
    <w:p w:rsidR="0081376B" w:rsidRPr="00951C2A" w:rsidRDefault="0081376B" w:rsidP="0081376B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ro-RO" w:eastAsia="ru-RU"/>
        </w:rPr>
      </w:pPr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>Rata de recreditare a</w:t>
      </w:r>
      <w:r w:rsidRPr="00951C2A">
        <w:rPr>
          <w:rFonts w:ascii="Arial" w:eastAsia="Times New Roman" w:hAnsi="Arial" w:cs="Arial"/>
          <w:b/>
          <w:sz w:val="20"/>
          <w:szCs w:val="20"/>
          <w:lang w:val="ro-RO" w:eastAsia="ru-RU"/>
        </w:rPr>
        <w:t xml:space="preserve"> </w:t>
      </w:r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>Ministerului Finanțelor/OGP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 xml:space="preserve"> </w:t>
      </w:r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 xml:space="preserve">AE pentru 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 xml:space="preserve">recreditarea </w:t>
      </w:r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 xml:space="preserve">IFP intermediare pentru 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 xml:space="preserve">porțiunea </w:t>
      </w:r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>de 90 la sută din suma sub-împrumutului solicitat de IFP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 xml:space="preserve"> spre finanțare, </w:t>
      </w:r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 xml:space="preserve">care va fi alocată din  fonturile CEB în Euro poate fi fixă sau flotantă și se va baza pe costurile Ministerului Finanțelor pentru împrumutul extern, plus o marja adăugată pentru 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 xml:space="preserve">acoperirea </w:t>
      </w:r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 xml:space="preserve">riscurilor de schimb valutar și 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 xml:space="preserve">a </w:t>
      </w:r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>costuril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>or</w:t>
      </w:r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 xml:space="preserve"> operaționale. </w:t>
      </w:r>
    </w:p>
    <w:p w:rsidR="0081376B" w:rsidRPr="00951C2A" w:rsidRDefault="0081376B" w:rsidP="0081376B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ro-RO" w:eastAsia="ru-RU"/>
        </w:rPr>
      </w:pPr>
    </w:p>
    <w:p w:rsidR="0081376B" w:rsidRPr="00951C2A" w:rsidRDefault="0081376B" w:rsidP="0081376B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ro-RO" w:eastAsia="ru-RU"/>
        </w:rPr>
      </w:pPr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 xml:space="preserve">Pentru 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>porțiunea</w:t>
      </w:r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 xml:space="preserve"> de </w:t>
      </w:r>
      <w:proofErr w:type="spellStart"/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>co</w:t>
      </w:r>
      <w:proofErr w:type="spellEnd"/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>-finanțare din partea Guvernului de 10 la sută a fiecărui sub-împrumut eligibil, alocată de OGP AE, rata de recreditare va fi zero atât pentru IFP, cât și pentru beneficiar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>ii</w:t>
      </w:r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 xml:space="preserve"> final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>i</w:t>
      </w:r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 xml:space="preserve">, suma principală fiind rambursabilă. </w:t>
      </w:r>
    </w:p>
    <w:p w:rsidR="0081376B" w:rsidRPr="00951C2A" w:rsidRDefault="0081376B" w:rsidP="0081376B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ro-RO" w:eastAsia="ru-RU"/>
        </w:rPr>
      </w:pPr>
    </w:p>
    <w:p w:rsidR="0081376B" w:rsidRPr="00951C2A" w:rsidRDefault="0081376B" w:rsidP="0081376B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ro-RO" w:eastAsia="ru-RU"/>
        </w:rPr>
      </w:pPr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 xml:space="preserve">Ratele de recreditare pentru MDL </w:t>
      </w:r>
      <w:r w:rsidRPr="00951C2A">
        <w:rPr>
          <w:rFonts w:ascii="Arial" w:eastAsia="Times New Roman" w:hAnsi="Arial" w:cs="Arial"/>
          <w:snapToGrid w:val="0"/>
          <w:sz w:val="20"/>
          <w:szCs w:val="20"/>
          <w:lang w:val="ro-RO"/>
        </w:rPr>
        <w:t xml:space="preserve">se vor baza pe rata de baza anunțata de Banca Naționala a Moldovei, </w:t>
      </w:r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>plus o marja a MF/OGP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 xml:space="preserve"> </w:t>
      </w:r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 xml:space="preserve">AE pentru acoperirea riscului de schimb valutar și a cheltuielilor operaționale.  </w:t>
      </w:r>
    </w:p>
    <w:p w:rsidR="0081376B" w:rsidRPr="00951C2A" w:rsidRDefault="0081376B" w:rsidP="0081376B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ro-RO" w:eastAsia="ru-RU"/>
        </w:rPr>
      </w:pPr>
    </w:p>
    <w:p w:rsidR="0081376B" w:rsidRPr="00951C2A" w:rsidRDefault="0081376B" w:rsidP="0081376B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ro-RO" w:eastAsia="ru-RU"/>
        </w:rPr>
      </w:pPr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 xml:space="preserve">IFP intermediare 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 xml:space="preserve">pot </w:t>
      </w:r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 xml:space="preserve">adăuga o marjă de dobândă pentru acoperirea riscurilor sale 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>legate de operațiunile de recreditare</w:t>
      </w:r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 xml:space="preserve">. </w:t>
      </w:r>
    </w:p>
    <w:p w:rsidR="0081376B" w:rsidRPr="00951C2A" w:rsidRDefault="0081376B" w:rsidP="0081376B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ro-RO" w:eastAsia="ru-RU"/>
        </w:rPr>
      </w:pPr>
    </w:p>
    <w:p w:rsidR="0081376B" w:rsidRPr="00683C91" w:rsidRDefault="0081376B" w:rsidP="0081376B">
      <w:pPr>
        <w:spacing w:after="0" w:line="240" w:lineRule="auto"/>
        <w:ind w:left="720"/>
        <w:rPr>
          <w:rStyle w:val="Hyperlink"/>
          <w:lang w:val="ro-RO" w:eastAsia="ru-RU"/>
        </w:rPr>
      </w:pPr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 xml:space="preserve">Pentru 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 xml:space="preserve">a asigura </w:t>
      </w:r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 xml:space="preserve">transparența costurilor fondurilor, ratele de recreditare de stat pentru IFP sunt plasate periodic 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 xml:space="preserve">în </w:t>
      </w:r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>pagina web a Ministerului Finanțelor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>:</w:t>
      </w:r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 xml:space="preserve"> </w:t>
      </w:r>
      <w:hyperlink r:id="rId5" w:history="1">
        <w:bookmarkStart w:id="1" w:name="_Hlk80168085"/>
        <w:r w:rsidRPr="00412482">
          <w:rPr>
            <w:rStyle w:val="Hyperlink"/>
            <w:rFonts w:ascii="Arial" w:eastAsia="Times New Roman" w:hAnsi="Arial" w:cs="Arial"/>
            <w:sz w:val="20"/>
            <w:szCs w:val="20"/>
            <w:lang w:val="ro-RO" w:eastAsia="ru-RU"/>
          </w:rPr>
          <w:t>https://</w:t>
        </w:r>
        <w:bookmarkEnd w:id="1"/>
        <w:r w:rsidRPr="00412482">
          <w:rPr>
            <w:rStyle w:val="Hyperlink"/>
            <w:rFonts w:ascii="Arial" w:eastAsia="Times New Roman" w:hAnsi="Arial" w:cs="Arial"/>
            <w:sz w:val="20"/>
            <w:szCs w:val="20"/>
            <w:lang w:val="ro-RO" w:eastAsia="ru-RU"/>
          </w:rPr>
          <w:t xml:space="preserve">mf.gov.md/ro/datoria-sectorului public/ </w:t>
        </w:r>
        <w:r w:rsidRPr="00412482">
          <w:rPr>
            <w:rStyle w:val="Hyperlink"/>
          </w:rPr>
          <w:t>proiecte/</w:t>
        </w:r>
        <w:r w:rsidRPr="00412482">
          <w:rPr>
            <w:rStyle w:val="Hyperlink"/>
            <w:rFonts w:ascii="Arial" w:eastAsia="Times New Roman" w:hAnsi="Arial" w:cs="Arial"/>
            <w:sz w:val="20"/>
            <w:szCs w:val="20"/>
            <w:lang w:val="ro-RO" w:eastAsia="ru-RU"/>
          </w:rPr>
          <w:t xml:space="preserve"> oficiul</w:t>
        </w:r>
      </w:hyperlink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 xml:space="preserve"> </w:t>
      </w:r>
      <w:r w:rsidRPr="0035646E">
        <w:rPr>
          <w:rStyle w:val="Hyperlink"/>
        </w:rPr>
        <w:t xml:space="preserve">de </w:t>
      </w:r>
      <w:proofErr w:type="spellStart"/>
      <w:r w:rsidRPr="0035646E">
        <w:rPr>
          <w:rStyle w:val="Hyperlink"/>
        </w:rPr>
        <w:t>gestionare</w:t>
      </w:r>
      <w:proofErr w:type="spellEnd"/>
      <w:r w:rsidRPr="0035646E">
        <w:rPr>
          <w:rStyle w:val="Hyperlink"/>
        </w:rPr>
        <w:t xml:space="preserve"> a </w:t>
      </w:r>
      <w:proofErr w:type="spellStart"/>
      <w:r w:rsidRPr="0035646E">
        <w:rPr>
          <w:rStyle w:val="Hyperlink"/>
        </w:rPr>
        <w:t>programelor</w:t>
      </w:r>
      <w:proofErr w:type="spellEnd"/>
      <w:r w:rsidRPr="0035646E">
        <w:rPr>
          <w:rStyle w:val="Hyperlink"/>
        </w:rPr>
        <w:t xml:space="preserve"> de </w:t>
      </w:r>
      <w:proofErr w:type="spellStart"/>
      <w:r w:rsidRPr="0035646E">
        <w:rPr>
          <w:rStyle w:val="Hyperlink"/>
        </w:rPr>
        <w:t>asistenta</w:t>
      </w:r>
      <w:proofErr w:type="spellEnd"/>
      <w:r w:rsidRPr="0035646E">
        <w:rPr>
          <w:rStyle w:val="Hyperlink"/>
        </w:rPr>
        <w:t xml:space="preserve"> externa</w:t>
      </w:r>
      <w:r w:rsidRPr="0035646E">
        <w:rPr>
          <w:rStyle w:val="Hyperlink"/>
          <w:rFonts w:ascii="Arial" w:eastAsia="Times New Roman" w:hAnsi="Arial" w:cs="Arial"/>
          <w:sz w:val="20"/>
          <w:szCs w:val="20"/>
        </w:rPr>
        <w:t xml:space="preserve"> </w:t>
      </w:r>
      <w:r w:rsidRPr="00683C91">
        <w:rPr>
          <w:lang w:val="ro-RO" w:eastAsia="ru-RU"/>
        </w:rPr>
        <w:t>si a</w:t>
      </w:r>
      <w:r>
        <w:rPr>
          <w:lang w:val="ro-RO" w:eastAsia="ru-RU"/>
        </w:rPr>
        <w:t xml:space="preserve"> OGPAE : </w:t>
      </w:r>
      <w:r w:rsidRPr="00683C91">
        <w:rPr>
          <w:rStyle w:val="Hyperlink"/>
          <w:rFonts w:ascii="Arial" w:eastAsia="Times New Roman" w:hAnsi="Arial" w:cs="Arial"/>
          <w:sz w:val="20"/>
          <w:szCs w:val="20"/>
          <w:lang w:val="ro-RO" w:eastAsia="ru-RU"/>
        </w:rPr>
        <w:t>https://</w:t>
      </w:r>
      <w:r w:rsidRPr="00683C91">
        <w:rPr>
          <w:rStyle w:val="Hyperlink"/>
          <w:rFonts w:ascii="Arial" w:eastAsia="Times New Roman" w:hAnsi="Arial" w:cs="Arial"/>
          <w:sz w:val="20"/>
          <w:szCs w:val="20"/>
        </w:rPr>
        <w:t>ogpae.gov.md</w:t>
      </w:r>
      <w:r>
        <w:rPr>
          <w:rStyle w:val="Hyperlink"/>
          <w:rFonts w:ascii="Arial" w:eastAsia="Times New Roman" w:hAnsi="Arial" w:cs="Arial"/>
          <w:sz w:val="20"/>
          <w:szCs w:val="20"/>
        </w:rPr>
        <w:t>.</w:t>
      </w:r>
    </w:p>
    <w:p w:rsidR="0081376B" w:rsidRPr="00683C91" w:rsidRDefault="0081376B" w:rsidP="0081376B">
      <w:pPr>
        <w:spacing w:after="0" w:line="240" w:lineRule="auto"/>
        <w:ind w:left="284"/>
        <w:rPr>
          <w:rStyle w:val="Hyperlink"/>
          <w:rFonts w:eastAsia="Times New Roman"/>
          <w:lang w:val="ro-RO" w:eastAsia="ru-RU"/>
        </w:rPr>
      </w:pPr>
    </w:p>
    <w:p w:rsidR="0081376B" w:rsidRPr="00951C2A" w:rsidRDefault="0081376B" w:rsidP="0081376B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ro-RO"/>
        </w:rPr>
      </w:pPr>
      <w:r w:rsidRPr="00951C2A">
        <w:rPr>
          <w:rFonts w:ascii="Arial" w:hAnsi="Arial" w:cs="Arial"/>
          <w:sz w:val="20"/>
          <w:szCs w:val="20"/>
          <w:lang w:val="ro-RO"/>
        </w:rPr>
        <w:t>Pentru negocierea condițiilor și contractarea sub-împrumutu</w:t>
      </w:r>
      <w:r>
        <w:rPr>
          <w:rFonts w:ascii="Arial" w:hAnsi="Arial" w:cs="Arial"/>
          <w:sz w:val="20"/>
          <w:szCs w:val="20"/>
          <w:lang w:val="ro-RO"/>
        </w:rPr>
        <w:t>rilor</w:t>
      </w:r>
      <w:r w:rsidRPr="00951C2A">
        <w:rPr>
          <w:rFonts w:ascii="Arial" w:hAnsi="Arial" w:cs="Arial"/>
          <w:sz w:val="20"/>
          <w:szCs w:val="20"/>
          <w:lang w:val="ro-RO"/>
        </w:rPr>
        <w:t xml:space="preserve">  beneficiarii finali trebuie să se adreseze la I</w:t>
      </w:r>
      <w:r>
        <w:rPr>
          <w:rFonts w:ascii="Arial" w:hAnsi="Arial" w:cs="Arial"/>
          <w:sz w:val="20"/>
          <w:szCs w:val="20"/>
          <w:lang w:val="ro-RO"/>
        </w:rPr>
        <w:t xml:space="preserve">nstituțiile Financiare Participante </w:t>
      </w:r>
      <w:r w:rsidRPr="00951C2A">
        <w:rPr>
          <w:rFonts w:ascii="Arial" w:hAnsi="Arial" w:cs="Arial"/>
          <w:sz w:val="20"/>
          <w:szCs w:val="20"/>
          <w:lang w:val="ro-RO"/>
        </w:rPr>
        <w:t xml:space="preserve">intermediare menționate, cu care Ministerul Finanțelor a semnat </w:t>
      </w:r>
      <w:r>
        <w:rPr>
          <w:rFonts w:ascii="Arial" w:hAnsi="Arial" w:cs="Arial"/>
          <w:sz w:val="20"/>
          <w:szCs w:val="20"/>
          <w:lang w:val="ro-RO"/>
        </w:rPr>
        <w:t>Contracte</w:t>
      </w:r>
      <w:r w:rsidRPr="00951C2A">
        <w:rPr>
          <w:rFonts w:ascii="Arial" w:hAnsi="Arial" w:cs="Arial"/>
          <w:sz w:val="20"/>
          <w:szCs w:val="20"/>
          <w:lang w:val="ro-RO"/>
        </w:rPr>
        <w:t xml:space="preserve"> de Recreditare a fondurilor Proiectului.  </w:t>
      </w:r>
    </w:p>
    <w:p w:rsidR="0081376B" w:rsidRPr="00951C2A" w:rsidRDefault="0081376B" w:rsidP="0081376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ro-RO" w:eastAsia="ru-RU"/>
        </w:rPr>
      </w:pPr>
    </w:p>
    <w:p w:rsidR="0081376B" w:rsidRPr="00951C2A" w:rsidRDefault="0081376B" w:rsidP="0081376B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ro-RO"/>
        </w:rPr>
      </w:pPr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 xml:space="preserve">OGP AE este responsabil de 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 xml:space="preserve">organizarea operațiunilor de recreditare, elaborarea procedurilor operaționale, </w:t>
      </w:r>
      <w:r w:rsidRPr="00951C2A">
        <w:rPr>
          <w:rFonts w:ascii="Arial" w:hAnsi="Arial" w:cs="Arial"/>
          <w:sz w:val="20"/>
          <w:szCs w:val="20"/>
          <w:lang w:val="ro-RO"/>
        </w:rPr>
        <w:t xml:space="preserve">consolidarea cererilor de finanțare prezentate de IFP, </w:t>
      </w:r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 xml:space="preserve">verificarea eligibilității beneficiarilor și a cheltuielilor propuse pentru finanțare, aprobarea tragerilor fondurilor Liniei de 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>c</w:t>
      </w:r>
      <w:r w:rsidRPr="00951C2A">
        <w:rPr>
          <w:rFonts w:ascii="Arial" w:eastAsia="Times New Roman" w:hAnsi="Arial" w:cs="Arial"/>
          <w:sz w:val="20"/>
          <w:szCs w:val="20"/>
          <w:lang w:val="ro-RO" w:eastAsia="ru-RU"/>
        </w:rPr>
        <w:t>redit, verificarea r</w:t>
      </w:r>
      <w:r w:rsidRPr="00951C2A">
        <w:rPr>
          <w:rFonts w:ascii="Arial" w:hAnsi="Arial" w:cs="Arial"/>
          <w:sz w:val="20"/>
          <w:szCs w:val="20"/>
          <w:lang w:val="ro-RO"/>
        </w:rPr>
        <w:t xml:space="preserve">espectării de către IFP a termenilor și condițiilor </w:t>
      </w:r>
      <w:r>
        <w:rPr>
          <w:rFonts w:ascii="Arial" w:hAnsi="Arial" w:cs="Arial"/>
          <w:sz w:val="20"/>
          <w:szCs w:val="20"/>
          <w:lang w:val="ro-RO"/>
        </w:rPr>
        <w:t>Contractelor</w:t>
      </w:r>
      <w:r w:rsidRPr="00951C2A">
        <w:rPr>
          <w:rFonts w:ascii="Arial" w:hAnsi="Arial" w:cs="Arial"/>
          <w:sz w:val="20"/>
          <w:szCs w:val="20"/>
          <w:lang w:val="ro-RO"/>
        </w:rPr>
        <w:t xml:space="preserve"> de Recreditare semnate cu Ministerul Finanțelor, a condițiilor </w:t>
      </w:r>
      <w:r>
        <w:rPr>
          <w:rFonts w:ascii="Arial" w:hAnsi="Arial" w:cs="Arial"/>
          <w:sz w:val="20"/>
          <w:szCs w:val="20"/>
          <w:lang w:val="ro-RO"/>
        </w:rPr>
        <w:t>m</w:t>
      </w:r>
      <w:r w:rsidRPr="00951C2A">
        <w:rPr>
          <w:rFonts w:ascii="Arial" w:hAnsi="Arial" w:cs="Arial"/>
          <w:sz w:val="20"/>
          <w:szCs w:val="20"/>
          <w:lang w:val="ro-RO"/>
        </w:rPr>
        <w:t>anual</w:t>
      </w:r>
      <w:r>
        <w:rPr>
          <w:rFonts w:ascii="Arial" w:hAnsi="Arial" w:cs="Arial"/>
          <w:sz w:val="20"/>
          <w:szCs w:val="20"/>
          <w:lang w:val="ro-RO"/>
        </w:rPr>
        <w:t>elor  o</w:t>
      </w:r>
      <w:r w:rsidRPr="00951C2A">
        <w:rPr>
          <w:rFonts w:ascii="Arial" w:hAnsi="Arial" w:cs="Arial"/>
          <w:sz w:val="20"/>
          <w:szCs w:val="20"/>
          <w:lang w:val="ro-RO"/>
        </w:rPr>
        <w:t>perațional</w:t>
      </w:r>
      <w:r>
        <w:rPr>
          <w:rFonts w:ascii="Arial" w:hAnsi="Arial" w:cs="Arial"/>
          <w:sz w:val="20"/>
          <w:szCs w:val="20"/>
          <w:lang w:val="ro-RO"/>
        </w:rPr>
        <w:t xml:space="preserve">e, </w:t>
      </w:r>
      <w:r w:rsidRPr="00951C2A">
        <w:rPr>
          <w:rFonts w:ascii="Arial" w:hAnsi="Arial" w:cs="Arial"/>
          <w:sz w:val="20"/>
          <w:szCs w:val="20"/>
          <w:lang w:val="ro-RO"/>
        </w:rPr>
        <w:t>evidența</w:t>
      </w:r>
      <w:r>
        <w:rPr>
          <w:rFonts w:ascii="Arial" w:hAnsi="Arial" w:cs="Arial"/>
          <w:sz w:val="20"/>
          <w:szCs w:val="20"/>
          <w:lang w:val="ro-RO"/>
        </w:rPr>
        <w:t xml:space="preserve"> tuturor tranzacțiilor</w:t>
      </w:r>
      <w:r w:rsidRPr="00951C2A">
        <w:rPr>
          <w:rFonts w:ascii="Arial" w:hAnsi="Arial" w:cs="Arial"/>
          <w:sz w:val="20"/>
          <w:szCs w:val="20"/>
          <w:lang w:val="ro-RO"/>
        </w:rPr>
        <w:t xml:space="preserve">, calcularea și colectarea plăților de la IFP de rambursare a sumelor principale </w:t>
      </w:r>
      <w:proofErr w:type="spellStart"/>
      <w:r w:rsidRPr="00951C2A">
        <w:rPr>
          <w:rFonts w:ascii="Arial" w:hAnsi="Arial" w:cs="Arial"/>
          <w:sz w:val="20"/>
          <w:szCs w:val="20"/>
          <w:lang w:val="ro-RO"/>
        </w:rPr>
        <w:t>recreditate</w:t>
      </w:r>
      <w:proofErr w:type="spellEnd"/>
      <w:r w:rsidRPr="00951C2A">
        <w:rPr>
          <w:rFonts w:ascii="Arial" w:hAnsi="Arial" w:cs="Arial"/>
          <w:sz w:val="20"/>
          <w:szCs w:val="20"/>
          <w:lang w:val="ro-RO"/>
        </w:rPr>
        <w:t xml:space="preserve"> și de achitare a dobânzilor aferente</w:t>
      </w:r>
      <w:r>
        <w:rPr>
          <w:rFonts w:ascii="Arial" w:hAnsi="Arial" w:cs="Arial"/>
          <w:sz w:val="20"/>
          <w:szCs w:val="20"/>
          <w:lang w:val="ro-RO"/>
        </w:rPr>
        <w:t xml:space="preserve">, asigurarea plăților de deservire a împrumuturilor externe </w:t>
      </w:r>
      <w:proofErr w:type="spellStart"/>
      <w:r>
        <w:rPr>
          <w:rFonts w:ascii="Arial" w:hAnsi="Arial" w:cs="Arial"/>
          <w:sz w:val="20"/>
          <w:szCs w:val="20"/>
          <w:lang w:val="ro-RO"/>
        </w:rPr>
        <w:t>recreditate</w:t>
      </w:r>
      <w:proofErr w:type="spellEnd"/>
      <w:r>
        <w:rPr>
          <w:rFonts w:ascii="Arial" w:hAnsi="Arial" w:cs="Arial"/>
          <w:sz w:val="20"/>
          <w:szCs w:val="20"/>
          <w:lang w:val="ro-RO"/>
        </w:rPr>
        <w:t xml:space="preserve"> prin IFP</w:t>
      </w:r>
      <w:r w:rsidRPr="00951C2A">
        <w:rPr>
          <w:rFonts w:ascii="Arial" w:hAnsi="Arial" w:cs="Arial"/>
          <w:sz w:val="20"/>
          <w:szCs w:val="20"/>
          <w:lang w:val="ro-RO"/>
        </w:rPr>
        <w:t>.</w:t>
      </w:r>
    </w:p>
    <w:p w:rsidR="0081376B" w:rsidRPr="00951C2A" w:rsidRDefault="0081376B" w:rsidP="0081376B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ro-RO" w:eastAsia="ru-RU"/>
        </w:rPr>
      </w:pPr>
    </w:p>
    <w:p w:rsidR="0081376B" w:rsidRPr="002C3ECD" w:rsidRDefault="0081376B" w:rsidP="0081376B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val="ro-RO" w:eastAsia="ru-RU"/>
        </w:rPr>
      </w:pPr>
      <w:r w:rsidRPr="002C3ECD">
        <w:rPr>
          <w:rFonts w:ascii="Arial" w:eastAsia="Times New Roman" w:hAnsi="Arial" w:cs="Arial"/>
          <w:sz w:val="20"/>
          <w:szCs w:val="20"/>
          <w:lang w:val="ro-RO" w:eastAsia="ru-RU"/>
        </w:rPr>
        <w:t xml:space="preserve">Oficiul de Gestionare a Programelor de Asistenta Externa.  </w:t>
      </w:r>
    </w:p>
    <w:p w:rsidR="0081376B" w:rsidRPr="002C3ECD" w:rsidRDefault="0081376B" w:rsidP="0081376B">
      <w:pPr>
        <w:spacing w:after="0" w:line="240" w:lineRule="auto"/>
        <w:ind w:left="284"/>
        <w:rPr>
          <w:rFonts w:ascii="Arial" w:eastAsia="Times New Roman" w:hAnsi="Arial" w:cs="Arial"/>
          <w:sz w:val="18"/>
          <w:szCs w:val="18"/>
          <w:lang w:val="ro-RO" w:eastAsia="ru-RU"/>
        </w:rPr>
      </w:pPr>
      <w:r w:rsidRPr="002C3ECD">
        <w:rPr>
          <w:rFonts w:ascii="Arial" w:eastAsia="Times New Roman" w:hAnsi="Arial" w:cs="Arial"/>
          <w:sz w:val="18"/>
          <w:szCs w:val="18"/>
          <w:lang w:val="ro-RO" w:eastAsia="ru-RU"/>
        </w:rPr>
        <w:t>Tel. +373 22 238246</w:t>
      </w:r>
      <w:r>
        <w:rPr>
          <w:rFonts w:ascii="Arial" w:eastAsia="Times New Roman" w:hAnsi="Arial" w:cs="Arial"/>
          <w:sz w:val="18"/>
          <w:szCs w:val="18"/>
          <w:lang w:val="ro-RO" w:eastAsia="ru-RU"/>
        </w:rPr>
        <w:t>, 232963</w:t>
      </w:r>
    </w:p>
    <w:p w:rsidR="0081376B" w:rsidRDefault="0081376B" w:rsidP="0081376B">
      <w:pPr>
        <w:spacing w:after="0" w:line="240" w:lineRule="auto"/>
        <w:ind w:left="284"/>
      </w:pPr>
      <w:r w:rsidRPr="002C3ECD">
        <w:rPr>
          <w:rFonts w:ascii="Arial" w:eastAsia="Times New Roman" w:hAnsi="Arial" w:cs="Arial"/>
          <w:sz w:val="18"/>
          <w:szCs w:val="18"/>
          <w:lang w:val="ro-RO" w:eastAsia="ru-RU"/>
        </w:rPr>
        <w:lastRenderedPageBreak/>
        <w:t xml:space="preserve">Fax: +373 22 238248. </w:t>
      </w:r>
      <w:r>
        <w:rPr>
          <w:rFonts w:ascii="Arial" w:eastAsia="Times New Roman" w:hAnsi="Arial" w:cs="Arial"/>
          <w:sz w:val="18"/>
          <w:szCs w:val="18"/>
          <w:lang w:val="ro-RO" w:eastAsia="ru-RU"/>
        </w:rPr>
        <w:t>Email: ogpae@ogpae.gov.md</w:t>
      </w:r>
    </w:p>
    <w:p w:rsidR="001D5FEB" w:rsidRDefault="0081376B">
      <w:bookmarkStart w:id="2" w:name="_GoBack"/>
      <w:bookmarkEnd w:id="2"/>
    </w:p>
    <w:sectPr w:rsidR="001D5FEB" w:rsidSect="002C3ECD">
      <w:pgSz w:w="12240" w:h="15840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03A5F"/>
    <w:multiLevelType w:val="hybridMultilevel"/>
    <w:tmpl w:val="F9200D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D7DBE"/>
    <w:multiLevelType w:val="hybridMultilevel"/>
    <w:tmpl w:val="8E70CFD4"/>
    <w:lvl w:ilvl="0" w:tplc="0418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608E654E"/>
    <w:multiLevelType w:val="hybridMultilevel"/>
    <w:tmpl w:val="96F811FC"/>
    <w:lvl w:ilvl="0" w:tplc="63D424BA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  <w:color w:val="000000"/>
      </w:rPr>
    </w:lvl>
    <w:lvl w:ilvl="1" w:tplc="72F24F4E">
      <w:numFmt w:val="bullet"/>
      <w:lvlText w:val="-"/>
      <w:lvlJc w:val="left"/>
      <w:pPr>
        <w:ind w:left="1170" w:hanging="360"/>
      </w:pPr>
      <w:rPr>
        <w:rFonts w:ascii="Arial" w:eastAsia="Times New Roman" w:hAnsi="Arial" w:cs="Arial" w:hint="default"/>
      </w:r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6B"/>
    <w:rsid w:val="006401C3"/>
    <w:rsid w:val="0081376B"/>
    <w:rsid w:val="0087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4044E5-DA7A-47FE-882D-FD162EA1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376B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137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f.gov.md/ro/datoria-sectorului%20public/%20proiecte/%20oficiu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1166</Words>
  <Characters>6766</Characters>
  <Application>Microsoft Office Word</Application>
  <DocSecurity>0</DocSecurity>
  <Lines>56</Lines>
  <Paragraphs>15</Paragraphs>
  <ScaleCrop>false</ScaleCrop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Jurminschi</dc:creator>
  <cp:keywords/>
  <dc:description/>
  <cp:lastModifiedBy>Veronica Jurminschi</cp:lastModifiedBy>
  <cp:revision>1</cp:revision>
  <dcterms:created xsi:type="dcterms:W3CDTF">2022-08-05T05:51:00Z</dcterms:created>
  <dcterms:modified xsi:type="dcterms:W3CDTF">2022-08-05T05:52:00Z</dcterms:modified>
</cp:coreProperties>
</file>