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66F34" w14:textId="77777777" w:rsidR="009954B1" w:rsidRPr="00596B14" w:rsidRDefault="009954B1" w:rsidP="009954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Anexa nr. 9</w:t>
      </w:r>
    </w:p>
    <w:p w14:paraId="3604DC15" w14:textId="77777777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737BE253" w14:textId="77777777" w:rsidR="009954B1" w:rsidRPr="00596B14" w:rsidRDefault="009954B1" w:rsidP="009954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Determinarea cuantumului minim al chiriei</w:t>
      </w:r>
    </w:p>
    <w:p w14:paraId="72A67C0A" w14:textId="5C542101" w:rsidR="009954B1" w:rsidRPr="00596B14" w:rsidRDefault="009954B1" w:rsidP="009954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bunurilor proprietate public</w:t>
      </w:r>
      <w:r w:rsidR="004A49E1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ă</w:t>
      </w:r>
    </w:p>
    <w:p w14:paraId="77F18F6E" w14:textId="77777777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09185C49" w14:textId="77CA9E87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1.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Cuantumul minim al chiriei anuale pentru folosirea înc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perilor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suprafe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elor amenajate se calculeaz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dup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formula:</w:t>
      </w:r>
    </w:p>
    <w:p w14:paraId="06991099" w14:textId="77777777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391E7A46" w14:textId="77777777" w:rsidR="009954B1" w:rsidRPr="00596B14" w:rsidRDefault="009954B1" w:rsidP="009954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P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ai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=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T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b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×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(1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+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1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+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2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+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3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) ×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4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×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</w:p>
    <w:p w14:paraId="6145AE36" w14:textId="77777777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în care:</w:t>
      </w:r>
    </w:p>
    <w:p w14:paraId="49394534" w14:textId="77777777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P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ai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 xml:space="preserve"> –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cuantumul chiriei anuale;</w:t>
      </w:r>
    </w:p>
    <w:p w14:paraId="3520B1D6" w14:textId="09A258A2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T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b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– tariful de baz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pentru chiria anual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 unui metru p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trat de spa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iu;</w:t>
      </w:r>
    </w:p>
    <w:p w14:paraId="42531F55" w14:textId="0AB6D3CD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K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1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– coeficientul de amplasare a înc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perii/suprafe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ei amenajate;</w:t>
      </w:r>
    </w:p>
    <w:p w14:paraId="09E5C963" w14:textId="3AB336E4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K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2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 xml:space="preserve"> –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coeficientul de amenajare tehnic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;</w:t>
      </w:r>
    </w:p>
    <w:p w14:paraId="4F6B95B5" w14:textId="23F5B73A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K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3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– coeficientul de ramur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privind utilizarea înc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perii/suprafe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ei amenajate;</w:t>
      </w:r>
    </w:p>
    <w:p w14:paraId="6D5B2A2D" w14:textId="504D3B6A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K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4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– coeficientul de pia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;</w:t>
      </w:r>
    </w:p>
    <w:p w14:paraId="5D6DEFFD" w14:textId="4CE73B0D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S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– suprafa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a închiriat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.</w:t>
      </w:r>
    </w:p>
    <w:p w14:paraId="5F0A6A7C" w14:textId="77777777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2DA3FD53" w14:textId="19C77FA1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Valoarea coeficien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ilor folosi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în calcule se determin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dup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urm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toarele criterii:</w:t>
      </w:r>
    </w:p>
    <w:p w14:paraId="073A30AC" w14:textId="306D3279" w:rsidR="009954B1" w:rsidRPr="00596B14" w:rsidRDefault="009954B1" w:rsidP="009954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>tariful de baz</w:t>
      </w:r>
      <w:r w:rsidR="004A49E1">
        <w:rPr>
          <w:rFonts w:ascii="Times New Roman" w:eastAsia="Times New Roman" w:hAnsi="Times New Roman" w:cs="Times New Roman"/>
          <w:sz w:val="28"/>
          <w:szCs w:val="28"/>
          <w:lang w:val="en-US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pentru chiria anual</w:t>
      </w:r>
      <w:r w:rsidR="004A49E1">
        <w:rPr>
          <w:rFonts w:ascii="Times New Roman" w:eastAsia="Times New Roman" w:hAnsi="Times New Roman" w:cs="Times New Roman"/>
          <w:sz w:val="28"/>
          <w:szCs w:val="28"/>
          <w:lang w:val="en-US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unui metru p</w:t>
      </w:r>
      <w:r w:rsidR="004A49E1">
        <w:rPr>
          <w:rFonts w:ascii="Times New Roman" w:eastAsia="Times New Roman" w:hAnsi="Times New Roman" w:cs="Times New Roman"/>
          <w:sz w:val="28"/>
          <w:szCs w:val="28"/>
          <w:lang w:val="en-US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>trat de spa</w:t>
      </w:r>
      <w:r w:rsidR="00596B14">
        <w:rPr>
          <w:rFonts w:ascii="Times New Roman" w:eastAsia="Times New Roman" w:hAnsi="Times New Roman" w:cs="Times New Roman"/>
          <w:sz w:val="28"/>
          <w:szCs w:val="28"/>
          <w:lang w:val="en-US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>iu (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T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/>
        </w:rPr>
        <w:t>b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>):</w:t>
      </w:r>
    </w:p>
    <w:p w14:paraId="1D6441B6" w14:textId="77777777" w:rsidR="009954B1" w:rsidRPr="00596B14" w:rsidRDefault="009954B1" w:rsidP="009954B1">
      <w:pPr>
        <w:pStyle w:val="ListParagraph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7088"/>
        <w:gridCol w:w="1886"/>
      </w:tblGrid>
      <w:tr w:rsidR="009954B1" w:rsidRPr="00596B14" w14:paraId="196AB48A" w14:textId="77777777" w:rsidTr="009954B1">
        <w:tc>
          <w:tcPr>
            <w:tcW w:w="7088" w:type="dxa"/>
          </w:tcPr>
          <w:p w14:paraId="2D793850" w14:textId="7EAB67EB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 Chi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1886" w:type="dxa"/>
          </w:tcPr>
          <w:p w14:paraId="1E7213B4" w14:textId="1858127C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458,67 lei</w:t>
            </w:r>
          </w:p>
        </w:tc>
      </w:tr>
      <w:tr w:rsidR="009954B1" w:rsidRPr="00596B14" w14:paraId="7EBA2757" w14:textId="77777777" w:rsidTr="009954B1">
        <w:tc>
          <w:tcPr>
            <w:tcW w:w="7088" w:type="dxa"/>
          </w:tcPr>
          <w:p w14:paraId="2D9CC4F0" w14:textId="7BC8FAA6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 B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886" w:type="dxa"/>
          </w:tcPr>
          <w:p w14:paraId="723BE481" w14:textId="05C9ECFA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325,29 lei</w:t>
            </w:r>
          </w:p>
        </w:tc>
      </w:tr>
      <w:tr w:rsidR="009954B1" w:rsidRPr="00596B14" w14:paraId="190FFC24" w14:textId="77777777" w:rsidTr="009954B1">
        <w:tc>
          <w:tcPr>
            <w:tcW w:w="7088" w:type="dxa"/>
          </w:tcPr>
          <w:p w14:paraId="468425D2" w14:textId="2B0E7E9A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celelalte municipii, ora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ele-re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edin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ț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</w:p>
        </w:tc>
        <w:tc>
          <w:tcPr>
            <w:tcW w:w="1886" w:type="dxa"/>
          </w:tcPr>
          <w:p w14:paraId="56ABD4CF" w14:textId="2E94E2B3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236,53 lei</w:t>
            </w:r>
          </w:p>
        </w:tc>
      </w:tr>
      <w:tr w:rsidR="009954B1" w:rsidRPr="00596B14" w14:paraId="26F76EB9" w14:textId="77777777" w:rsidTr="009954B1">
        <w:tc>
          <w:tcPr>
            <w:tcW w:w="7088" w:type="dxa"/>
          </w:tcPr>
          <w:p w14:paraId="1548BCFC" w14:textId="4F9C19E4" w:rsidR="009954B1" w:rsidRPr="00596B14" w:rsidRDefault="009954B1" w:rsidP="009954B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ora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ele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localit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ile suburbane din componen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 municipiilor</w:t>
            </w:r>
          </w:p>
        </w:tc>
        <w:tc>
          <w:tcPr>
            <w:tcW w:w="1886" w:type="dxa"/>
          </w:tcPr>
          <w:p w14:paraId="2286C31A" w14:textId="20C9C97E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177,51 lei</w:t>
            </w:r>
          </w:p>
        </w:tc>
      </w:tr>
      <w:tr w:rsidR="009954B1" w:rsidRPr="00596B14" w14:paraId="0331C80B" w14:textId="77777777" w:rsidTr="009954B1">
        <w:tc>
          <w:tcPr>
            <w:tcW w:w="7088" w:type="dxa"/>
          </w:tcPr>
          <w:p w14:paraId="7D5F8479" w14:textId="29DC90AE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localit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ile s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</w:t>
            </w:r>
          </w:p>
        </w:tc>
        <w:tc>
          <w:tcPr>
            <w:tcW w:w="1886" w:type="dxa"/>
          </w:tcPr>
          <w:p w14:paraId="546A0AEB" w14:textId="78439FCA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59,26 lei</w:t>
            </w:r>
          </w:p>
        </w:tc>
      </w:tr>
    </w:tbl>
    <w:p w14:paraId="1BB25B5D" w14:textId="77777777" w:rsidR="009954B1" w:rsidRPr="00596B14" w:rsidRDefault="009954B1" w:rsidP="009954B1">
      <w:pPr>
        <w:pStyle w:val="ListParagraph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293C8556" w14:textId="60267833" w:rsidR="009954B1" w:rsidRPr="00596B14" w:rsidRDefault="009954B1" w:rsidP="009954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coeficientul de amplasare a înc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perii/suprafe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ei amenajate 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(K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1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)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:</w:t>
      </w:r>
    </w:p>
    <w:p w14:paraId="184E402F" w14:textId="77777777" w:rsidR="009954B1" w:rsidRPr="00596B14" w:rsidRDefault="009954B1" w:rsidP="009954B1">
      <w:pPr>
        <w:pStyle w:val="ListParagraph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7088"/>
        <w:gridCol w:w="1886"/>
      </w:tblGrid>
      <w:tr w:rsidR="009954B1" w:rsidRPr="00596B14" w14:paraId="502A4591" w14:textId="77777777" w:rsidTr="000534DA">
        <w:tc>
          <w:tcPr>
            <w:tcW w:w="7088" w:type="dxa"/>
          </w:tcPr>
          <w:p w14:paraId="4BA4756A" w14:textId="01A28403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dire separat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</w:p>
        </w:tc>
        <w:tc>
          <w:tcPr>
            <w:tcW w:w="1886" w:type="dxa"/>
          </w:tcPr>
          <w:p w14:paraId="7F39316E" w14:textId="21E7B1D9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9954B1" w:rsidRPr="00596B14" w14:paraId="05BED995" w14:textId="77777777" w:rsidTr="000534DA">
        <w:tc>
          <w:tcPr>
            <w:tcW w:w="7088" w:type="dxa"/>
          </w:tcPr>
          <w:p w14:paraId="00BBA837" w14:textId="17DC46E1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construc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ie încorporat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sau anexat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</w:p>
        </w:tc>
        <w:tc>
          <w:tcPr>
            <w:tcW w:w="1886" w:type="dxa"/>
          </w:tcPr>
          <w:p w14:paraId="3A3105F8" w14:textId="509EA54D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0,45</w:t>
            </w:r>
          </w:p>
        </w:tc>
      </w:tr>
      <w:tr w:rsidR="009954B1" w:rsidRPr="00596B14" w14:paraId="72CFD21C" w14:textId="77777777" w:rsidTr="000534DA">
        <w:tc>
          <w:tcPr>
            <w:tcW w:w="7088" w:type="dxa"/>
          </w:tcPr>
          <w:p w14:paraId="05ADE9F2" w14:textId="2BD044F5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pere suprateran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inclusiv parter</w:t>
            </w:r>
          </w:p>
        </w:tc>
        <w:tc>
          <w:tcPr>
            <w:tcW w:w="1886" w:type="dxa"/>
          </w:tcPr>
          <w:p w14:paraId="7BF4A0F5" w14:textId="71386225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9954B1" w:rsidRPr="00596B14" w14:paraId="5F10D39B" w14:textId="77777777" w:rsidTr="000534DA">
        <w:tc>
          <w:tcPr>
            <w:tcW w:w="7088" w:type="dxa"/>
          </w:tcPr>
          <w:p w14:paraId="29BC66CC" w14:textId="1898E996" w:rsidR="009954B1" w:rsidRPr="00596B14" w:rsidRDefault="009954B1" w:rsidP="009954B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soclu</w:t>
            </w:r>
          </w:p>
        </w:tc>
        <w:tc>
          <w:tcPr>
            <w:tcW w:w="1886" w:type="dxa"/>
          </w:tcPr>
          <w:p w14:paraId="3BC065DE" w14:textId="1B1A2A38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0,35</w:t>
            </w:r>
          </w:p>
        </w:tc>
      </w:tr>
      <w:tr w:rsidR="009954B1" w:rsidRPr="00596B14" w14:paraId="69072C31" w14:textId="77777777" w:rsidTr="000534DA">
        <w:tc>
          <w:tcPr>
            <w:tcW w:w="7088" w:type="dxa"/>
          </w:tcPr>
          <w:p w14:paraId="2392D8F9" w14:textId="3D45EDF1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demisol</w:t>
            </w:r>
          </w:p>
        </w:tc>
        <w:tc>
          <w:tcPr>
            <w:tcW w:w="1886" w:type="dxa"/>
          </w:tcPr>
          <w:p w14:paraId="539A7F01" w14:textId="55D254B9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9954B1" w:rsidRPr="00596B14" w14:paraId="70FD64C3" w14:textId="77777777" w:rsidTr="000534DA">
        <w:tc>
          <w:tcPr>
            <w:tcW w:w="7088" w:type="dxa"/>
          </w:tcPr>
          <w:p w14:paraId="03D0D99E" w14:textId="533C5179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subsol cu geamuri, etaj tehnic, acoperi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</w:p>
        </w:tc>
        <w:tc>
          <w:tcPr>
            <w:tcW w:w="1886" w:type="dxa"/>
          </w:tcPr>
          <w:p w14:paraId="7E3922EA" w14:textId="75446D9D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9954B1" w:rsidRPr="00596B14" w14:paraId="0A4C7AEC" w14:textId="77777777" w:rsidTr="000534DA">
        <w:tc>
          <w:tcPr>
            <w:tcW w:w="7088" w:type="dxa"/>
          </w:tcPr>
          <w:p w14:paraId="3B14E371" w14:textId="22C81D6A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 subsoluri, suprafa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ț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amenajat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</w:p>
        </w:tc>
        <w:tc>
          <w:tcPr>
            <w:tcW w:w="1886" w:type="dxa"/>
          </w:tcPr>
          <w:p w14:paraId="2B663002" w14:textId="4BDFC9C5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</w:tr>
    </w:tbl>
    <w:p w14:paraId="0946F754" w14:textId="77777777" w:rsidR="009954B1" w:rsidRPr="00596B14" w:rsidRDefault="009954B1" w:rsidP="009954B1">
      <w:pPr>
        <w:pStyle w:val="ListParagraph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5C72370E" w14:textId="660BCF3F" w:rsidR="009954B1" w:rsidRPr="00596B14" w:rsidRDefault="009954B1" w:rsidP="009954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>coeficientul de amenajare tehnic</w:t>
      </w:r>
      <w:r w:rsidR="004A49E1">
        <w:rPr>
          <w:rFonts w:ascii="Times New Roman" w:eastAsia="Times New Roman" w:hAnsi="Times New Roman" w:cs="Times New Roman"/>
          <w:sz w:val="28"/>
          <w:szCs w:val="28"/>
          <w:lang w:val="en-US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K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/>
        </w:rPr>
        <w:t>2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>):</w:t>
      </w:r>
    </w:p>
    <w:p w14:paraId="73972582" w14:textId="77777777" w:rsidR="009954B1" w:rsidRPr="00596B14" w:rsidRDefault="009954B1" w:rsidP="009954B1">
      <w:pPr>
        <w:pStyle w:val="ListParagraph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7088"/>
        <w:gridCol w:w="1886"/>
      </w:tblGrid>
      <w:tr w:rsidR="009954B1" w:rsidRPr="00596B14" w14:paraId="4A562243" w14:textId="77777777" w:rsidTr="000534DA">
        <w:tc>
          <w:tcPr>
            <w:tcW w:w="7088" w:type="dxa"/>
          </w:tcPr>
          <w:p w14:paraId="52BDBE06" w14:textId="25678706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apeduct, canalizare, ap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cald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lzire central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</w:p>
        </w:tc>
        <w:tc>
          <w:tcPr>
            <w:tcW w:w="1886" w:type="dxa"/>
          </w:tcPr>
          <w:p w14:paraId="542FD6F4" w14:textId="4F123FF7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9954B1" w:rsidRPr="00596B14" w14:paraId="291F1D2D" w14:textId="77777777" w:rsidTr="000534DA">
        <w:tc>
          <w:tcPr>
            <w:tcW w:w="7088" w:type="dxa"/>
          </w:tcPr>
          <w:p w14:paraId="656D3316" w14:textId="1E24A2D0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apeduct, canalizare, 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lzire central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</w:p>
        </w:tc>
        <w:tc>
          <w:tcPr>
            <w:tcW w:w="1886" w:type="dxa"/>
          </w:tcPr>
          <w:p w14:paraId="294DCF86" w14:textId="7193F654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9954B1" w:rsidRPr="00596B14" w14:paraId="134D9F71" w14:textId="77777777" w:rsidTr="000534DA">
        <w:tc>
          <w:tcPr>
            <w:tcW w:w="7088" w:type="dxa"/>
          </w:tcPr>
          <w:p w14:paraId="29AF047E" w14:textId="0893A848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apeduct, canalizare, ap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cald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</w:p>
        </w:tc>
        <w:tc>
          <w:tcPr>
            <w:tcW w:w="1886" w:type="dxa"/>
          </w:tcPr>
          <w:p w14:paraId="3A4C11A4" w14:textId="337C48DA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9954B1" w:rsidRPr="00596B14" w14:paraId="7E7ED546" w14:textId="77777777" w:rsidTr="000534DA">
        <w:tc>
          <w:tcPr>
            <w:tcW w:w="7088" w:type="dxa"/>
          </w:tcPr>
          <w:p w14:paraId="23EA63E1" w14:textId="4203956F" w:rsidR="009954B1" w:rsidRPr="00596B14" w:rsidRDefault="009954B1" w:rsidP="009954B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apeduct, canalizare</w:t>
            </w:r>
          </w:p>
        </w:tc>
        <w:tc>
          <w:tcPr>
            <w:tcW w:w="1886" w:type="dxa"/>
          </w:tcPr>
          <w:p w14:paraId="7206808F" w14:textId="1E888CAE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9954B1" w:rsidRPr="00596B14" w14:paraId="3E2CA0CE" w14:textId="77777777" w:rsidTr="000534DA">
        <w:tc>
          <w:tcPr>
            <w:tcW w:w="7088" w:type="dxa"/>
          </w:tcPr>
          <w:p w14:paraId="62C8CAD9" w14:textId="4934B736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lzire central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</w:p>
        </w:tc>
        <w:tc>
          <w:tcPr>
            <w:tcW w:w="1886" w:type="dxa"/>
          </w:tcPr>
          <w:p w14:paraId="4C1AE0BD" w14:textId="7AF2F4E7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9954B1" w:rsidRPr="00596B14" w14:paraId="2618E10D" w14:textId="77777777" w:rsidTr="000534DA">
        <w:tc>
          <w:tcPr>
            <w:tcW w:w="7088" w:type="dxa"/>
          </w:tcPr>
          <w:p w14:paraId="5121D920" w14:textId="7CDECC16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lipse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 amenajarea tehnic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</w:p>
        </w:tc>
        <w:tc>
          <w:tcPr>
            <w:tcW w:w="1886" w:type="dxa"/>
          </w:tcPr>
          <w:p w14:paraId="1A9375BF" w14:textId="7D224EC0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</w:tr>
    </w:tbl>
    <w:p w14:paraId="4F783CB5" w14:textId="77777777" w:rsidR="009954B1" w:rsidRPr="00596B14" w:rsidRDefault="009954B1" w:rsidP="009954B1">
      <w:pPr>
        <w:pStyle w:val="ListParagraph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E3CC7BE" w14:textId="2EDC15EA" w:rsidR="009954B1" w:rsidRPr="00596B14" w:rsidRDefault="009954B1" w:rsidP="009954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coeficientul de ramur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privind utilizarea înc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perii/suprafe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ei amenajate (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K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3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):</w:t>
      </w:r>
    </w:p>
    <w:p w14:paraId="5F5B42AE" w14:textId="77777777" w:rsidR="009954B1" w:rsidRPr="00596B14" w:rsidRDefault="009954B1" w:rsidP="009954B1">
      <w:pPr>
        <w:pStyle w:val="ListParagraph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7088"/>
        <w:gridCol w:w="1886"/>
      </w:tblGrid>
      <w:tr w:rsidR="009954B1" w:rsidRPr="00596B14" w14:paraId="4F08CAC9" w14:textId="77777777" w:rsidTr="000534DA">
        <w:tc>
          <w:tcPr>
            <w:tcW w:w="7088" w:type="dxa"/>
          </w:tcPr>
          <w:p w14:paraId="4CEAA1E9" w14:textId="7F2A1F3E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ateliere de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crea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pictorilor, sculptorilor,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arhitec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ilor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terilor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populari;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spa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utilizate de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chiria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în scopuri medicale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farmaceutice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organiza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iile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ob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persoanelor cu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dizabilit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întreprinderile lor;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spa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utilizate pentru realizarea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ac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iunilor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în mas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cadrul proiectelor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programelor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finan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ate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la bugetul public 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596B14"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ional</w:t>
            </w:r>
          </w:p>
        </w:tc>
        <w:tc>
          <w:tcPr>
            <w:tcW w:w="1886" w:type="dxa"/>
          </w:tcPr>
          <w:p w14:paraId="60524408" w14:textId="3B1A358E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0,05</w:t>
            </w:r>
          </w:p>
        </w:tc>
      </w:tr>
      <w:tr w:rsidR="009954B1" w:rsidRPr="00596B14" w14:paraId="434D3280" w14:textId="77777777" w:rsidTr="000534DA">
        <w:tc>
          <w:tcPr>
            <w:tcW w:w="7088" w:type="dxa"/>
          </w:tcPr>
          <w:p w14:paraId="1F585FBB" w14:textId="73CEA03A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2) institu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ii finan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ate de la bugetul de stat, de la bugetele unit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ilor administrativ-teritoriale, de la bugetul asigur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rilor sociale de stat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din fondurile asigur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rii obligatorii de asisten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medical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, alte persoane juridice de drept public; patronate, funda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ii, asocia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ii ob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ti, suprafe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 amenajate</w:t>
            </w:r>
          </w:p>
        </w:tc>
        <w:tc>
          <w:tcPr>
            <w:tcW w:w="1886" w:type="dxa"/>
          </w:tcPr>
          <w:p w14:paraId="1C5D5331" w14:textId="50D63B86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9954B1" w:rsidRPr="00596B14" w14:paraId="44609F98" w14:textId="77777777" w:rsidTr="000534DA">
        <w:tc>
          <w:tcPr>
            <w:tcW w:w="7088" w:type="dxa"/>
          </w:tcPr>
          <w:p w14:paraId="03973F15" w14:textId="363BD7C9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3) spa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ii pentru laboratoare, pentru instruire, pentru efectuarea de lucr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ri de cercetare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proiectare; spa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ii pentru prestarea de servicii po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tale, sportive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de întremare a s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ii</w:t>
            </w:r>
          </w:p>
        </w:tc>
        <w:tc>
          <w:tcPr>
            <w:tcW w:w="1886" w:type="dxa"/>
          </w:tcPr>
          <w:p w14:paraId="5C5BAF4A" w14:textId="7F03966F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9954B1" w:rsidRPr="00596B14" w14:paraId="1B57E1A5" w14:textId="77777777" w:rsidTr="000534DA">
        <w:tc>
          <w:tcPr>
            <w:tcW w:w="7088" w:type="dxa"/>
          </w:tcPr>
          <w:p w14:paraId="49D771C5" w14:textId="0DC43513" w:rsidR="009954B1" w:rsidRPr="00596B14" w:rsidRDefault="009954B1" w:rsidP="009954B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4) garaje, depozite, spa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ii tehnice (cu excep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ia celor men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ionate la pozi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6))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 alte 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peri auxiliare; spa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ii pentru prestarea de servicii 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tre popula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ie (ateliere de repara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ie a 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mintei, a îmbr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mintei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 a obiectelor de uz casnic, frizerii, cur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torii chimice, puncte de închiriere a obiectelor, b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i, birouri de avoca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1886" w:type="dxa"/>
          </w:tcPr>
          <w:p w14:paraId="69346D74" w14:textId="256B6230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9954B1" w:rsidRPr="00596B14" w14:paraId="798A6EC4" w14:textId="77777777" w:rsidTr="000534DA">
        <w:tc>
          <w:tcPr>
            <w:tcW w:w="7088" w:type="dxa"/>
          </w:tcPr>
          <w:p w14:paraId="15783D01" w14:textId="08809ED1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5) spa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ii folosite pentru comercializarea produselor de panifica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ie, a produselor lactate, alimentare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de cofet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rie, a b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uturilor nealcoolice; unit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de alimenta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ie public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cu preparare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comercializare a bucatelor; spa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ii de produc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ie; sedii (înc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peri) folosite de organele mijloacelor de informare în mas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</w:p>
        </w:tc>
        <w:tc>
          <w:tcPr>
            <w:tcW w:w="1886" w:type="dxa"/>
          </w:tcPr>
          <w:p w14:paraId="40C8FC78" w14:textId="2DFF70C1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9954B1" w:rsidRPr="00596B14" w14:paraId="1F8C9EDD" w14:textId="77777777" w:rsidTr="000534DA">
        <w:tc>
          <w:tcPr>
            <w:tcW w:w="7088" w:type="dxa"/>
          </w:tcPr>
          <w:p w14:paraId="4EC859FA" w14:textId="7F468CA0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6) 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peri pentru repara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ia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deservirea tehnic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 automobilelor, a tehnicii de calcul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a altor utilaje</w:t>
            </w:r>
          </w:p>
        </w:tc>
        <w:tc>
          <w:tcPr>
            <w:tcW w:w="1886" w:type="dxa"/>
          </w:tcPr>
          <w:p w14:paraId="7730A090" w14:textId="70847BAE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</w:tr>
      <w:tr w:rsidR="009954B1" w:rsidRPr="00596B14" w14:paraId="1960C5F6" w14:textId="77777777" w:rsidTr="000534DA">
        <w:tc>
          <w:tcPr>
            <w:tcW w:w="7088" w:type="dxa"/>
          </w:tcPr>
          <w:p w14:paraId="226B1717" w14:textId="6E94AD1E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7) spa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ii folosite în scopuri de comer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, altele decât cele prev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zute la pozi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ia 5)</w:t>
            </w:r>
          </w:p>
        </w:tc>
        <w:tc>
          <w:tcPr>
            <w:tcW w:w="1886" w:type="dxa"/>
          </w:tcPr>
          <w:p w14:paraId="0161A0C1" w14:textId="2EF1A555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</w:t>
            </w:r>
          </w:p>
        </w:tc>
      </w:tr>
      <w:tr w:rsidR="009954B1" w:rsidRPr="00596B14" w14:paraId="76DEAF6F" w14:textId="77777777" w:rsidTr="000534DA">
        <w:tc>
          <w:tcPr>
            <w:tcW w:w="7088" w:type="dxa"/>
          </w:tcPr>
          <w:p w14:paraId="6FAB68A9" w14:textId="2F4DF6B6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8) 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peri folosite pentru jocuri electronice, jocuri computerizate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alte jocuri distractive pentru copii</w:t>
            </w:r>
          </w:p>
        </w:tc>
        <w:tc>
          <w:tcPr>
            <w:tcW w:w="1886" w:type="dxa"/>
          </w:tcPr>
          <w:p w14:paraId="1DDB086B" w14:textId="18C2C361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</w:tr>
      <w:tr w:rsidR="009954B1" w:rsidRPr="00596B14" w14:paraId="02F6F4E3" w14:textId="77777777" w:rsidTr="000534DA">
        <w:tc>
          <w:tcPr>
            <w:tcW w:w="7088" w:type="dxa"/>
          </w:tcPr>
          <w:p w14:paraId="512DDD61" w14:textId="2ADC8A0C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9) 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peri utilizate drept oficii</w:t>
            </w:r>
          </w:p>
        </w:tc>
        <w:tc>
          <w:tcPr>
            <w:tcW w:w="1886" w:type="dxa"/>
          </w:tcPr>
          <w:p w14:paraId="6792BA03" w14:textId="373600E3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</w:tr>
      <w:tr w:rsidR="009954B1" w:rsidRPr="00596B14" w14:paraId="0CC8F31D" w14:textId="77777777" w:rsidTr="000534DA">
        <w:tc>
          <w:tcPr>
            <w:tcW w:w="7088" w:type="dxa"/>
          </w:tcPr>
          <w:p w14:paraId="144C240A" w14:textId="0912955A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10) asocia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ii de economii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împrumut, organiza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ii de creditare nebancar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birourile istoriilor de credit</w:t>
            </w:r>
          </w:p>
        </w:tc>
        <w:tc>
          <w:tcPr>
            <w:tcW w:w="1886" w:type="dxa"/>
          </w:tcPr>
          <w:p w14:paraId="480F44A3" w14:textId="244603DF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</w:tr>
      <w:tr w:rsidR="009954B1" w:rsidRPr="00596B14" w14:paraId="77AE7880" w14:textId="77777777" w:rsidTr="000534DA">
        <w:tc>
          <w:tcPr>
            <w:tcW w:w="7088" w:type="dxa"/>
          </w:tcPr>
          <w:p w14:paraId="49767AC6" w14:textId="5A8DE84D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11) entit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ă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din sectorul financiar</w:t>
            </w:r>
          </w:p>
        </w:tc>
        <w:tc>
          <w:tcPr>
            <w:tcW w:w="1886" w:type="dxa"/>
          </w:tcPr>
          <w:p w14:paraId="6150E6AD" w14:textId="3DA035C5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2,0</w:t>
            </w:r>
          </w:p>
        </w:tc>
      </w:tr>
      <w:tr w:rsidR="009954B1" w:rsidRPr="00596B14" w14:paraId="06C96F07" w14:textId="77777777" w:rsidTr="000534DA">
        <w:tc>
          <w:tcPr>
            <w:tcW w:w="7088" w:type="dxa"/>
          </w:tcPr>
          <w:p w14:paraId="264D9640" w14:textId="07CBF7F8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12) restaurante, baruri, cafenele cu servire a b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uturilor alcoolice</w:t>
            </w:r>
          </w:p>
        </w:tc>
        <w:tc>
          <w:tcPr>
            <w:tcW w:w="1886" w:type="dxa"/>
          </w:tcPr>
          <w:p w14:paraId="0989CEA6" w14:textId="7754D529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</w:tr>
      <w:tr w:rsidR="009954B1" w:rsidRPr="00596B14" w14:paraId="16903642" w14:textId="77777777" w:rsidTr="000534DA">
        <w:tc>
          <w:tcPr>
            <w:tcW w:w="7088" w:type="dxa"/>
          </w:tcPr>
          <w:p w14:paraId="31A2BEEF" w14:textId="2D12B108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13) case de schimb valutar, puncte de înregistrare video 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de închiriere a produc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iei video</w:t>
            </w:r>
          </w:p>
        </w:tc>
        <w:tc>
          <w:tcPr>
            <w:tcW w:w="1886" w:type="dxa"/>
          </w:tcPr>
          <w:p w14:paraId="4B83B3A9" w14:textId="02C76838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3,0</w:t>
            </w:r>
          </w:p>
        </w:tc>
      </w:tr>
      <w:tr w:rsidR="009954B1" w:rsidRPr="00596B14" w14:paraId="446367D2" w14:textId="77777777" w:rsidTr="000534DA">
        <w:tc>
          <w:tcPr>
            <w:tcW w:w="7088" w:type="dxa"/>
          </w:tcPr>
          <w:p w14:paraId="2945F2D7" w14:textId="631A6D5A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14) 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peri folosite pentru jocuri de noroc</w:t>
            </w:r>
          </w:p>
        </w:tc>
        <w:tc>
          <w:tcPr>
            <w:tcW w:w="1886" w:type="dxa"/>
          </w:tcPr>
          <w:p w14:paraId="7B81FA11" w14:textId="0EFA8B19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4,0</w:t>
            </w:r>
          </w:p>
        </w:tc>
      </w:tr>
      <w:tr w:rsidR="009954B1" w:rsidRPr="00596B14" w14:paraId="676A4513" w14:textId="77777777" w:rsidTr="000534DA">
        <w:tc>
          <w:tcPr>
            <w:tcW w:w="7088" w:type="dxa"/>
          </w:tcPr>
          <w:p w14:paraId="0EBFBDF2" w14:textId="55C1BFEE" w:rsidR="009954B1" w:rsidRPr="00596B14" w:rsidRDefault="009954B1" w:rsidP="009954B1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15) înc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peri cu alt</w:t>
            </w:r>
            <w:r w:rsidR="004A49E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destina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ie decât cele enumerate la pozi</w:t>
            </w:r>
            <w:r w:rsid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iile 1)–14)</w:t>
            </w:r>
          </w:p>
        </w:tc>
        <w:tc>
          <w:tcPr>
            <w:tcW w:w="1886" w:type="dxa"/>
          </w:tcPr>
          <w:p w14:paraId="6CE6A58F" w14:textId="54EA23C1" w:rsidR="009954B1" w:rsidRPr="00596B14" w:rsidRDefault="009954B1" w:rsidP="009954B1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1,0</w:t>
            </w:r>
          </w:p>
        </w:tc>
      </w:tr>
    </w:tbl>
    <w:p w14:paraId="405F1A3E" w14:textId="77777777" w:rsidR="009954B1" w:rsidRPr="00596B14" w:rsidRDefault="009954B1" w:rsidP="009954B1">
      <w:pPr>
        <w:pStyle w:val="ListParagraph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539F33E0" w14:textId="523B1C4E" w:rsidR="009954B1" w:rsidRPr="00596B14" w:rsidRDefault="009954B1" w:rsidP="009954B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</w:rPr>
        <w:t>coeficientul de pia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</w:rPr>
        <w:t>K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4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) se stabile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te prin în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elegere a p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r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ilor 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 nu poate fi mai mic de 1,0, iar pentru genurile de activitate desf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urate în înc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perile men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ionate la lit.</w:t>
      </w:r>
      <w:r w:rsidR="008A08E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d) pozi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iile 1)–6), </w:t>
      </w:r>
      <w:r w:rsidR="00CF7527">
        <w:rPr>
          <w:rFonts w:ascii="Times New Roman" w:eastAsia="Times New Roman" w:hAnsi="Times New Roman" w:cs="Times New Roman"/>
          <w:sz w:val="28"/>
          <w:szCs w:val="28"/>
        </w:rPr>
        <w:t>acesta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 nu poate fi mai mic de 0,5, excep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ie f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când:</w:t>
      </w:r>
    </w:p>
    <w:p w14:paraId="29DE477F" w14:textId="7392841E" w:rsidR="009954B1" w:rsidRPr="00596B14" w:rsidRDefault="009954B1" w:rsidP="009954B1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– înc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perile folosite de organele mijloacelor de informare în mas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, pentru care coeficientul de pia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se stabile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te în intervalul de la 1,0 la 1,5;</w:t>
      </w:r>
    </w:p>
    <w:p w14:paraId="0818322F" w14:textId="25FC2804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</w:rPr>
        <w:t>– spa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iile utilizate pentru realizarea ac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iunilor în mas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 din cadrul proiectelor 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 programelor finan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ate de la bugetul public na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ional 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 spa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iile folosite de c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tre atelierele de crea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ie, organiza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iile ob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te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ti ale persoanelor cu dizabilit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i întreprinderile lor, precum 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 spa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iile din cl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direa Parlamentului 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utilizate de unitatea de alimenta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ie public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cu preparare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comercializare a bucatelor, pentru care coeficientul de pia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se stabile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te în m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rime de 0,1.</w:t>
      </w:r>
    </w:p>
    <w:p w14:paraId="2349F6A3" w14:textId="2F05EA8C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La stabilirea acestui coeficient trebuie s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se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in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cont de cererea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de oferta spa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iilor ce ar putea fi date în chirie, de posibilitatea utiliz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rii terenului aferent, de caracteristicile teritorial-economice ale zonei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de alte criterii calitative, necuprinse în coeficien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ii aplica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i, ale înc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perilor/suprafe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elor amenajate.</w:t>
      </w:r>
    </w:p>
    <w:p w14:paraId="4B96CC4C" w14:textId="145D26F5" w:rsidR="009954B1" w:rsidRPr="00596B14" w:rsidRDefault="009954B1" w:rsidP="009954B1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În cazul în care se dau în loca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iune mai multe înc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peri cu diferite condi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ii de amplasare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de amenajare tehnic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sau înc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peri care vor fi utilizate în diverse scopuri, cuantumul total al chiriei se constituie din suma chiriilor calculate pentru fiecare înc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pere sau grup de înc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peri.</w:t>
      </w:r>
    </w:p>
    <w:p w14:paraId="0B94C133" w14:textId="77777777" w:rsidR="005C5F98" w:rsidRDefault="005C5F98" w:rsidP="009954B1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</w:pPr>
    </w:p>
    <w:p w14:paraId="5DEB50C4" w14:textId="75E5CA74" w:rsidR="009954B1" w:rsidRPr="00596B14" w:rsidRDefault="009954B1" w:rsidP="009954B1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Not</w:t>
      </w:r>
      <w:r w:rsidR="004A49E1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.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În sensul prezentei legi, suprafa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amenajat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presupune suprafa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a terenului amenajat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(asfaltat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, pavat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etc.), inclusiv aferent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cl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dirii, care poate fi dat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în chirie.</w:t>
      </w:r>
    </w:p>
    <w:p w14:paraId="6DE5637B" w14:textId="77777777" w:rsidR="009954B1" w:rsidRPr="00596B14" w:rsidRDefault="009954B1" w:rsidP="009954B1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B90F3D" w14:textId="0449A50B" w:rsidR="009954B1" w:rsidRPr="00596B14" w:rsidRDefault="009954B1" w:rsidP="009954B1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 Cuantumul chiriei anuale pentru utilajul, mijloacele de transport, inclusiv bunurile agricole (cu excep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ia terenurilor agricole), 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i pentru alte mijloace fixe (denumite în continuare 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</w:rPr>
        <w:t>utilaj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) date în loca</w:t>
      </w:r>
      <w:r w:rsidR="00596B14">
        <w:rPr>
          <w:rFonts w:ascii="Times New Roman" w:eastAsia="Times New Roman" w:hAnsi="Times New Roman" w:cs="Times New Roman"/>
          <w:sz w:val="28"/>
          <w:szCs w:val="28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>iune/arend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 se calculeaz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 dup</w:t>
      </w:r>
      <w:r w:rsidR="004A49E1">
        <w:rPr>
          <w:rFonts w:ascii="Times New Roman" w:eastAsia="Times New Roman" w:hAnsi="Times New Roman" w:cs="Times New Roman"/>
          <w:sz w:val="28"/>
          <w:szCs w:val="28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</w:rPr>
        <w:t xml:space="preserve"> formula:</w:t>
      </w:r>
    </w:p>
    <w:p w14:paraId="0E115C0E" w14:textId="77777777" w:rsidR="009954B1" w:rsidRPr="00596B14" w:rsidRDefault="009954B1" w:rsidP="009954B1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8912B1" w14:textId="77777777" w:rsidR="009954B1" w:rsidRPr="00596B14" w:rsidRDefault="009954B1" w:rsidP="009954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P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au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= U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a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×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1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×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2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+ Q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</w:p>
    <w:p w14:paraId="3787B14A" w14:textId="234296C8" w:rsidR="009954B1" w:rsidRPr="00596B14" w:rsidRDefault="008A08E8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r w:rsidR="009954B1"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care:</w:t>
      </w:r>
    </w:p>
    <w:p w14:paraId="6BA92957" w14:textId="662F2CA6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P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au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– cuantumul chiriei anuale pentru utilajul dat în loca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iune/arend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;</w:t>
      </w:r>
    </w:p>
    <w:p w14:paraId="53A3D70E" w14:textId="1FBE3DC1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U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a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– amortizarea/uzura anual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 utilajului dat în loca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iune/arend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;</w:t>
      </w:r>
    </w:p>
    <w:p w14:paraId="4F7E1604" w14:textId="77777777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K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1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– coeficientul de calcul;</w:t>
      </w:r>
    </w:p>
    <w:p w14:paraId="331F80CE" w14:textId="0D22CDEA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K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2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– coeficientul de pia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;</w:t>
      </w:r>
    </w:p>
    <w:p w14:paraId="5A9D2125" w14:textId="06D33482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Q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– cheltuielile de între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inere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de exploatare a utilajului dat în loca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iune/arend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, suportate de locator/arendator.</w:t>
      </w:r>
    </w:p>
    <w:p w14:paraId="590D7F20" w14:textId="7B60CE9F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Valoarea coeficien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ilor folosi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în calcule se determin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dup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urm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toarele criterii:</w:t>
      </w:r>
    </w:p>
    <w:p w14:paraId="34E40BB5" w14:textId="77777777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7EA29E35" w14:textId="5B56CB6D" w:rsidR="009954B1" w:rsidRPr="00596B14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lastRenderedPageBreak/>
        <w:t>a) amortizarea/uzura anual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 utilajului (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U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a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) se calculeaz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pentru fiecare obiect de eviden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potrivit prevederilor Catalogului mijloacelor fixe, aprobat prin Hot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rârea Guvernului nr.</w:t>
      </w:r>
      <w:r w:rsidR="0010615D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941/2020, conform tabelului nr. 1:</w:t>
      </w:r>
    </w:p>
    <w:p w14:paraId="4073BB1C" w14:textId="2A4760AB" w:rsidR="001B3859" w:rsidRPr="00596B14" w:rsidRDefault="001B3859" w:rsidP="001B385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Tabelul nr. 1</w:t>
      </w:r>
    </w:p>
    <w:p w14:paraId="2FECBC7C" w14:textId="77777777" w:rsidR="001B3859" w:rsidRPr="00596B14" w:rsidRDefault="001B3859" w:rsidP="001B385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881"/>
        <w:gridCol w:w="898"/>
        <w:gridCol w:w="1090"/>
        <w:gridCol w:w="1116"/>
        <w:gridCol w:w="998"/>
        <w:gridCol w:w="687"/>
        <w:gridCol w:w="936"/>
        <w:gridCol w:w="906"/>
        <w:gridCol w:w="997"/>
        <w:gridCol w:w="748"/>
      </w:tblGrid>
      <w:tr w:rsidR="00A45246" w:rsidRPr="00596B14" w14:paraId="6C17FE83" w14:textId="77777777" w:rsidTr="005C5F98">
        <w:tc>
          <w:tcPr>
            <w:tcW w:w="426" w:type="dxa"/>
          </w:tcPr>
          <w:p w14:paraId="778003C7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Nr.</w:t>
            </w:r>
          </w:p>
          <w:p w14:paraId="757B784F" w14:textId="650E7A8B" w:rsidR="001B3859" w:rsidRPr="00596B14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crt.</w:t>
            </w:r>
          </w:p>
        </w:tc>
        <w:tc>
          <w:tcPr>
            <w:tcW w:w="881" w:type="dxa"/>
          </w:tcPr>
          <w:p w14:paraId="319F79C5" w14:textId="222EBBC2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Denumi</w:t>
            </w:r>
            <w:r w:rsidR="005C5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rea</w:t>
            </w:r>
          </w:p>
          <w:p w14:paraId="1CC3774C" w14:textId="5ABD7788" w:rsidR="001B3859" w:rsidRPr="00596B14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utilajului</w:t>
            </w:r>
          </w:p>
        </w:tc>
        <w:tc>
          <w:tcPr>
            <w:tcW w:w="898" w:type="dxa"/>
          </w:tcPr>
          <w:p w14:paraId="11C4572F" w14:textId="5A68CDA2" w:rsidR="001B3859" w:rsidRPr="00596B14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Nr. de inventar</w:t>
            </w:r>
          </w:p>
        </w:tc>
        <w:tc>
          <w:tcPr>
            <w:tcW w:w="1090" w:type="dxa"/>
          </w:tcPr>
          <w:p w14:paraId="6CA9A7FF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Durata de</w:t>
            </w:r>
            <w:r w:rsidR="00A45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utilizare/</w:t>
            </w:r>
            <w:r w:rsidR="00A45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durata de</w:t>
            </w:r>
          </w:p>
          <w:p w14:paraId="13E80B01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func</w:t>
            </w:r>
            <w:r w:rsid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ionare util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,</w:t>
            </w:r>
            <w:r w:rsidR="00A45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în ani.</w:t>
            </w:r>
          </w:p>
          <w:p w14:paraId="6865555E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Distan</w:t>
            </w:r>
            <w:r w:rsid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a,</w:t>
            </w:r>
            <w:r w:rsidR="00A45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14:paraId="34515EDF" w14:textId="051DEEF8" w:rsidR="001B3859" w:rsidRPr="00596B14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km</w:t>
            </w:r>
          </w:p>
        </w:tc>
        <w:tc>
          <w:tcPr>
            <w:tcW w:w="1116" w:type="dxa"/>
          </w:tcPr>
          <w:p w14:paraId="722C4D91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Costul de intrare/</w:t>
            </w:r>
          </w:p>
          <w:p w14:paraId="30B15EB7" w14:textId="0D32D544" w:rsidR="001B3859" w:rsidRPr="00596B14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valoarea ini</w:t>
            </w:r>
            <w:r w:rsid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ial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ă</w:t>
            </w:r>
            <w:r w:rsidR="00A45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sau valoarea reevaluat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,</w:t>
            </w:r>
            <w:r w:rsidR="00A45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în lei</w:t>
            </w:r>
          </w:p>
        </w:tc>
        <w:tc>
          <w:tcPr>
            <w:tcW w:w="998" w:type="dxa"/>
          </w:tcPr>
          <w:p w14:paraId="2623BDB5" w14:textId="50364559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Amorti</w:t>
            </w:r>
            <w:r w:rsidR="00A45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-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zarea/</w:t>
            </w:r>
          </w:p>
          <w:p w14:paraId="1E17BEF4" w14:textId="18BF0E65" w:rsidR="00A45246" w:rsidRDefault="00A45246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u</w:t>
            </w:r>
            <w:r w:rsidR="001B3859"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zura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1B3859"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la data</w:t>
            </w:r>
          </w:p>
          <w:p w14:paraId="0C08FF49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rii în</w:t>
            </w:r>
            <w:r w:rsidR="00A45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loca</w:t>
            </w:r>
            <w:r w:rsid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iune,</w:t>
            </w:r>
            <w:r w:rsidR="00A45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14:paraId="1F8B53D2" w14:textId="4C34435C" w:rsidR="001B3859" w:rsidRPr="00596B14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în lei</w:t>
            </w:r>
          </w:p>
        </w:tc>
        <w:tc>
          <w:tcPr>
            <w:tcW w:w="687" w:type="dxa"/>
          </w:tcPr>
          <w:p w14:paraId="2A92B3BC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Amorti-</w:t>
            </w:r>
          </w:p>
          <w:p w14:paraId="14A51E5B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zarea/</w:t>
            </w:r>
          </w:p>
          <w:p w14:paraId="6309167A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uzura</w:t>
            </w:r>
          </w:p>
          <w:p w14:paraId="7A1B8508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anual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it-IT"/>
              </w:rPr>
              <w:t>(Ua)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, </w:t>
            </w:r>
          </w:p>
          <w:p w14:paraId="3F1B61C0" w14:textId="6EB03CDB" w:rsidR="001B3859" w:rsidRPr="00596B14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în lei</w:t>
            </w:r>
          </w:p>
        </w:tc>
        <w:tc>
          <w:tcPr>
            <w:tcW w:w="936" w:type="dxa"/>
          </w:tcPr>
          <w:p w14:paraId="259A8F42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Coefi-</w:t>
            </w:r>
          </w:p>
          <w:p w14:paraId="0CB9AB50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cientul </w:t>
            </w:r>
          </w:p>
          <w:p w14:paraId="1881E103" w14:textId="724CF0AA" w:rsidR="001B3859" w:rsidRPr="00596B14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de calcul 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it-IT"/>
              </w:rPr>
              <w:t>(K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it-IT"/>
              </w:rPr>
              <w:t>1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it-IT"/>
              </w:rPr>
              <w:t>)</w:t>
            </w:r>
          </w:p>
        </w:tc>
        <w:tc>
          <w:tcPr>
            <w:tcW w:w="906" w:type="dxa"/>
          </w:tcPr>
          <w:p w14:paraId="094A4799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Coefi-</w:t>
            </w:r>
          </w:p>
          <w:p w14:paraId="7A709C65" w14:textId="77777777" w:rsidR="002214BC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cientul </w:t>
            </w:r>
          </w:p>
          <w:p w14:paraId="49A1F6E6" w14:textId="2F9B78A8" w:rsidR="001B3859" w:rsidRPr="00596B14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de pia</w:t>
            </w:r>
            <w:r w:rsid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ț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it-IT"/>
              </w:rPr>
              <w:t>(K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it-IT"/>
              </w:rPr>
              <w:t>2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it-IT"/>
              </w:rPr>
              <w:t>)</w:t>
            </w:r>
          </w:p>
        </w:tc>
        <w:tc>
          <w:tcPr>
            <w:tcW w:w="997" w:type="dxa"/>
          </w:tcPr>
          <w:p w14:paraId="4C65D0E4" w14:textId="1F613A2E" w:rsidR="001B3859" w:rsidRPr="00596B14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Cheltuielile de între</w:t>
            </w:r>
            <w:r w:rsid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i-nere </w:t>
            </w:r>
            <w:r w:rsid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ș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i de exploatare (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it-IT"/>
              </w:rPr>
              <w:t>Q)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, în lei</w:t>
            </w:r>
          </w:p>
        </w:tc>
        <w:tc>
          <w:tcPr>
            <w:tcW w:w="748" w:type="dxa"/>
          </w:tcPr>
          <w:p w14:paraId="62C55656" w14:textId="77777777" w:rsidR="00A45246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Cuan-tumul chiriei anuale 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it-IT"/>
              </w:rPr>
              <w:t>(P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it-IT"/>
              </w:rPr>
              <w:t>au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), </w:t>
            </w:r>
          </w:p>
          <w:p w14:paraId="6589A1FB" w14:textId="1E349859" w:rsidR="001B3859" w:rsidRPr="00596B14" w:rsidRDefault="001B3859" w:rsidP="00A45246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în lei</w:t>
            </w:r>
          </w:p>
        </w:tc>
      </w:tr>
      <w:tr w:rsidR="00A45246" w:rsidRPr="00596B14" w14:paraId="225EA434" w14:textId="77777777" w:rsidTr="005C5F98">
        <w:tc>
          <w:tcPr>
            <w:tcW w:w="426" w:type="dxa"/>
          </w:tcPr>
          <w:p w14:paraId="0D008E1A" w14:textId="74C289F5" w:rsidR="001B3859" w:rsidRPr="00596B14" w:rsidRDefault="001B3859" w:rsidP="005C5F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81" w:type="dxa"/>
          </w:tcPr>
          <w:p w14:paraId="6958307E" w14:textId="6119A473" w:rsidR="001B3859" w:rsidRPr="00596B14" w:rsidRDefault="001B3859" w:rsidP="005C5F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898" w:type="dxa"/>
          </w:tcPr>
          <w:p w14:paraId="774942B0" w14:textId="2FC6B4A2" w:rsidR="001B3859" w:rsidRPr="00596B14" w:rsidRDefault="001B3859" w:rsidP="005C5F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090" w:type="dxa"/>
          </w:tcPr>
          <w:p w14:paraId="50904FE0" w14:textId="750C710E" w:rsidR="001B3859" w:rsidRPr="00596B14" w:rsidRDefault="001B3859" w:rsidP="005C5F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16" w:type="dxa"/>
          </w:tcPr>
          <w:p w14:paraId="4B551A9E" w14:textId="795A2DDA" w:rsidR="001B3859" w:rsidRPr="00596B14" w:rsidRDefault="001B3859" w:rsidP="005C5F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998" w:type="dxa"/>
          </w:tcPr>
          <w:p w14:paraId="1AEAFBDD" w14:textId="139E097F" w:rsidR="001B3859" w:rsidRPr="00596B14" w:rsidRDefault="001B3859" w:rsidP="005C5F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687" w:type="dxa"/>
          </w:tcPr>
          <w:p w14:paraId="43CD064E" w14:textId="30DF0602" w:rsidR="001B3859" w:rsidRPr="00596B14" w:rsidRDefault="001B3859" w:rsidP="005C5F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936" w:type="dxa"/>
          </w:tcPr>
          <w:p w14:paraId="2B77C0F1" w14:textId="76F64F64" w:rsidR="001B3859" w:rsidRPr="00596B14" w:rsidRDefault="001B3859" w:rsidP="005C5F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906" w:type="dxa"/>
          </w:tcPr>
          <w:p w14:paraId="2C31B8E4" w14:textId="6250B945" w:rsidR="001B3859" w:rsidRPr="00596B14" w:rsidRDefault="001B3859" w:rsidP="005C5F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997" w:type="dxa"/>
          </w:tcPr>
          <w:p w14:paraId="308441ED" w14:textId="77777777" w:rsidR="001B3859" w:rsidRPr="00596B14" w:rsidRDefault="001B3859" w:rsidP="005C5F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10</w:t>
            </w:r>
          </w:p>
        </w:tc>
        <w:tc>
          <w:tcPr>
            <w:tcW w:w="748" w:type="dxa"/>
          </w:tcPr>
          <w:p w14:paraId="0A8EC66B" w14:textId="290BD1C0" w:rsidR="001B3859" w:rsidRPr="00596B14" w:rsidRDefault="001B3859" w:rsidP="005C5F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11</w:t>
            </w:r>
          </w:p>
        </w:tc>
      </w:tr>
    </w:tbl>
    <w:p w14:paraId="6FC6FA1F" w14:textId="77777777" w:rsidR="009954B1" w:rsidRPr="00BD4E2D" w:rsidRDefault="009954B1" w:rsidP="00995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23060E8A" w14:textId="0AB11BCF" w:rsidR="001B3859" w:rsidRPr="00BD4E2D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BD4E2D">
        <w:rPr>
          <w:rFonts w:ascii="Times New Roman" w:eastAsia="Times New Roman" w:hAnsi="Times New Roman" w:cs="Times New Roman"/>
          <w:sz w:val="28"/>
          <w:szCs w:val="28"/>
          <w:lang w:val="it-IT"/>
        </w:rPr>
        <w:t>b) coeficientul de calcul (</w:t>
      </w:r>
      <w:r w:rsidRPr="00BD4E2D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K</w:t>
      </w:r>
      <w:r w:rsidRPr="00BD4E2D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1</w:t>
      </w:r>
      <w:r w:rsidRPr="00BD4E2D">
        <w:rPr>
          <w:rFonts w:ascii="Times New Roman" w:eastAsia="Times New Roman" w:hAnsi="Times New Roman" w:cs="Times New Roman"/>
          <w:sz w:val="28"/>
          <w:szCs w:val="28"/>
          <w:lang w:val="it-IT"/>
        </w:rPr>
        <w:t>) se va stabili în func</w:t>
      </w:r>
      <w:r w:rsidR="00596B14" w:rsidRPr="00BD4E2D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BD4E2D">
        <w:rPr>
          <w:rFonts w:ascii="Times New Roman" w:eastAsia="Times New Roman" w:hAnsi="Times New Roman" w:cs="Times New Roman"/>
          <w:sz w:val="28"/>
          <w:szCs w:val="28"/>
          <w:lang w:val="it-IT"/>
        </w:rPr>
        <w:t>ie de amortizarea/uzura de la data d</w:t>
      </w:r>
      <w:r w:rsidR="004A49E1" w:rsidRPr="00BD4E2D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BD4E2D">
        <w:rPr>
          <w:rFonts w:ascii="Times New Roman" w:eastAsia="Times New Roman" w:hAnsi="Times New Roman" w:cs="Times New Roman"/>
          <w:sz w:val="28"/>
          <w:szCs w:val="28"/>
          <w:lang w:val="it-IT"/>
        </w:rPr>
        <w:t>rii în loca</w:t>
      </w:r>
      <w:r w:rsidR="00596B14" w:rsidRPr="00BD4E2D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BD4E2D">
        <w:rPr>
          <w:rFonts w:ascii="Times New Roman" w:eastAsia="Times New Roman" w:hAnsi="Times New Roman" w:cs="Times New Roman"/>
          <w:sz w:val="28"/>
          <w:szCs w:val="28"/>
          <w:lang w:val="it-IT"/>
        </w:rPr>
        <w:t>iune/arend</w:t>
      </w:r>
      <w:r w:rsidR="004A49E1" w:rsidRPr="00BD4E2D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BD4E2D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 utilajului conform tabelului nr.2:</w:t>
      </w:r>
    </w:p>
    <w:p w14:paraId="667C9550" w14:textId="77777777" w:rsidR="005C5F98" w:rsidRPr="00BD4E2D" w:rsidRDefault="005C5F98" w:rsidP="001B385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2F2C4657" w14:textId="3903EBDF" w:rsidR="001B3859" w:rsidRPr="00BD4E2D" w:rsidRDefault="001B3859" w:rsidP="001B385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BD4E2D">
        <w:rPr>
          <w:rFonts w:ascii="Times New Roman" w:eastAsia="Times New Roman" w:hAnsi="Times New Roman" w:cs="Times New Roman"/>
          <w:sz w:val="28"/>
          <w:szCs w:val="28"/>
          <w:lang w:val="it-IT"/>
        </w:rPr>
        <w:t>Tabelul nr. 2</w:t>
      </w:r>
    </w:p>
    <w:p w14:paraId="50934F32" w14:textId="77777777" w:rsidR="001B3859" w:rsidRPr="00596B14" w:rsidRDefault="001B3859" w:rsidP="001B385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7"/>
        <w:gridCol w:w="579"/>
        <w:gridCol w:w="579"/>
        <w:gridCol w:w="579"/>
        <w:gridCol w:w="578"/>
        <w:gridCol w:w="578"/>
        <w:gridCol w:w="578"/>
        <w:gridCol w:w="578"/>
        <w:gridCol w:w="578"/>
        <w:gridCol w:w="578"/>
        <w:gridCol w:w="578"/>
        <w:gridCol w:w="702"/>
      </w:tblGrid>
      <w:tr w:rsidR="001B3859" w:rsidRPr="00596B14" w14:paraId="3559F43D" w14:textId="77777777" w:rsidTr="001B385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79C8191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Amortizarea/uzura 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U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a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A237843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DC95AFD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0B45BAE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22DC56E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0FBCEAC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7348D49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61D2825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9A1299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CC8346D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78FFFF4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90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A5B22FD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  <w:tr w:rsidR="001B3859" w:rsidRPr="00596B14" w14:paraId="5EEB8130" w14:textId="77777777" w:rsidTr="001B385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6FBA811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59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F6B8133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A484005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0CCC607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AD5B596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3A41A6D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996A6C2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3882E2D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605C0C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DB8212F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BDDE668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1,09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ADD17EC" w14:textId="77777777" w:rsidR="001B3859" w:rsidRPr="00596B14" w:rsidRDefault="001B3859" w:rsidP="0023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1,0</w:t>
            </w:r>
          </w:p>
        </w:tc>
      </w:tr>
    </w:tbl>
    <w:p w14:paraId="5C624C65" w14:textId="77777777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3400CB8D" w14:textId="13449569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c) coeficientul de pia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(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K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2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) se stabile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te prin în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elegerea p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r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ilor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 nu poate fi mai mic de 1,0. La stabilirea acestui coeficient se va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ine cont de cerere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de ofert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, de venitul neob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inut, de diferen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a dintre valoarea contabil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/valoarea de bilan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pre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ul de pia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la utilajul de acela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 tip sau cu caracteristici comparabile, precum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de al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factori. Excep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ie fac autorit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ile/institu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iile bugetare la darea în loca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iune/arend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 utilajului altor autorit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i/institu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ii bugetare, pentru care coeficientul de pia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se stabile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te în m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rime de 1,0, precum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unitatea de alimenta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ie public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cu preparare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comercializare a bucatelor în spa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iile din cl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direa Parlamentului, pentru care coeficientul de pia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se stabile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te în m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rime de 0,2.</w:t>
      </w:r>
    </w:p>
    <w:p w14:paraId="1D8DBF75" w14:textId="66971218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În cazul în care m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rimea cheltuielilor de între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inere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exploatare a utilajului (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Q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) variaz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, aceasta se recalculeaz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se achit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suplimentar.</w:t>
      </w:r>
    </w:p>
    <w:p w14:paraId="61F6C02C" w14:textId="6DCDA77F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52373B90" w14:textId="2989626F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3.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Cuantumul chiriei anuale pentru folosirea activelor circulante se calculeaz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dup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formula:</w:t>
      </w:r>
    </w:p>
    <w:p w14:paraId="08C7CE3D" w14:textId="5AD8208A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743FC10A" w14:textId="77777777" w:rsidR="001B3859" w:rsidRPr="00596B14" w:rsidRDefault="001B3859" w:rsidP="005C5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P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ac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=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C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×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R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× </w:t>
      </w:r>
      <w:r w:rsidRPr="00596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</w:p>
    <w:p w14:paraId="4CDDA1E4" w14:textId="77777777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en-US"/>
        </w:rPr>
        <w:t>în care:</w:t>
      </w:r>
    </w:p>
    <w:p w14:paraId="6D9896CB" w14:textId="77777777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P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it-IT"/>
        </w:rPr>
        <w:t>ac</w:t>
      </w: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 xml:space="preserve"> –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cuantumul chiriei anuale pentru folosirea activelor circulante;</w:t>
      </w:r>
    </w:p>
    <w:p w14:paraId="11DDEA54" w14:textId="6602C00F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C –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valoarea contabil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/valoarea de bilan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 activelor circulante la data calcul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rii chiriei;</w:t>
      </w:r>
    </w:p>
    <w:p w14:paraId="0973404E" w14:textId="0BD959BE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lastRenderedPageBreak/>
        <w:t>R –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rata de baz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aplicat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de Banca Na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ional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 Moldovei la principalele opera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iuni de politic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monetar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pe termen scurt;</w:t>
      </w:r>
    </w:p>
    <w:p w14:paraId="2576B51F" w14:textId="40A860CB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i/>
          <w:iCs/>
          <w:sz w:val="28"/>
          <w:szCs w:val="28"/>
          <w:lang w:val="it-IT"/>
        </w:rPr>
        <w:t>K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– coeficientul de pia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.</w:t>
      </w:r>
    </w:p>
    <w:p w14:paraId="3B6CC162" w14:textId="1B1E6310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Valoarea coeficien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ilor folosi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în calcule se determin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dup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urm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toarele criterii:</w:t>
      </w:r>
    </w:p>
    <w:p w14:paraId="3E48E3BC" w14:textId="38C881CD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a) valoarea contabil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/valoarea de bilan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 activelor circulante se calculeaz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pentru fiecare obiect de eviden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conform tabelului nr.3:</w:t>
      </w:r>
    </w:p>
    <w:p w14:paraId="2385C932" w14:textId="77777777" w:rsidR="001B3859" w:rsidRPr="00596B14" w:rsidRDefault="001B3859" w:rsidP="001B385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3FD67517" w14:textId="16192ABD" w:rsidR="001B3859" w:rsidRDefault="001B3859" w:rsidP="001B385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Tabelul nr. 3</w:t>
      </w:r>
    </w:p>
    <w:p w14:paraId="378F8108" w14:textId="77777777" w:rsidR="005C5F98" w:rsidRPr="00596B14" w:rsidRDefault="005C5F98" w:rsidP="001B385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tbl>
      <w:tblPr>
        <w:tblW w:w="4833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1277"/>
        <w:gridCol w:w="1275"/>
        <w:gridCol w:w="1378"/>
        <w:gridCol w:w="1883"/>
        <w:gridCol w:w="1986"/>
        <w:gridCol w:w="991"/>
      </w:tblGrid>
      <w:tr w:rsidR="005C5F98" w:rsidRPr="00596B14" w14:paraId="3629CAEF" w14:textId="77777777" w:rsidTr="005C5F98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B2B9679" w14:textId="77777777" w:rsidR="0023686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Nr.</w:t>
            </w:r>
          </w:p>
          <w:p w14:paraId="0390F3B7" w14:textId="4D27CE8B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crt.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120FA1" w14:textId="77777777" w:rsidR="005C5F98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Denumirea</w:t>
            </w:r>
          </w:p>
          <w:p w14:paraId="6B61BBDA" w14:textId="11E0D9D9" w:rsidR="005C5F98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activelor</w:t>
            </w:r>
          </w:p>
          <w:p w14:paraId="6AE278C9" w14:textId="1E1D76C2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circulante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D40B7E6" w14:textId="77777777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Cantitatea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E9475B8" w14:textId="77777777" w:rsidR="005C5F98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Unitatea </w:t>
            </w:r>
          </w:p>
          <w:p w14:paraId="06DBB638" w14:textId="1719A9D1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de m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sur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ă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5EA36A5" w14:textId="16C43CB8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Valoarea contabil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/ valoarea de bilan</w:t>
            </w:r>
            <w:r w:rsid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a unei unit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ă</w:t>
            </w:r>
            <w:r w:rsid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i la data calcul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rii chiriei, în lei</w:t>
            </w:r>
          </w:p>
        </w:tc>
        <w:tc>
          <w:tcPr>
            <w:tcW w:w="1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53F2989" w14:textId="7A4E857D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Valoarea contabil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/ valoarea de bilan</w:t>
            </w:r>
            <w:r w:rsid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ț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total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la data calcul</w:t>
            </w:r>
            <w:r w:rsidR="004A4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ă</w:t>
            </w: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rii chiriei, în lei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29658F" w14:textId="77777777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Note</w:t>
            </w:r>
          </w:p>
        </w:tc>
      </w:tr>
      <w:tr w:rsidR="005C5F98" w:rsidRPr="00596B14" w14:paraId="66E59219" w14:textId="77777777" w:rsidTr="005C5F98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C5AFE33" w14:textId="77777777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9D6E064" w14:textId="77777777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36B2B87" w14:textId="77777777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171B3A8" w14:textId="77777777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206172A" w14:textId="77777777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EB365A7" w14:textId="77777777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4F5E69" w14:textId="77777777" w:rsidR="001B3859" w:rsidRPr="00596B14" w:rsidRDefault="001B3859" w:rsidP="005C5F98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</w:tbl>
    <w:p w14:paraId="15CAE6B9" w14:textId="77777777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40795FEF" w14:textId="45F8D534" w:rsidR="001B3859" w:rsidRPr="00596B14" w:rsidRDefault="001B3859" w:rsidP="001B385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b) rata de baz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aplicat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de Banca Na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ional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 Moldovei la principalele opera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iuni de politic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monetar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pe termen scurt se public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periodic în pres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. În calcule se folose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te valoarea ratei în vigoare la data încheierii contractului de loca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iune;</w:t>
      </w:r>
    </w:p>
    <w:p w14:paraId="0B622965" w14:textId="6EBC9840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c) coeficientul de pia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se stabile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te prin în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elegerea p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r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ilor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nu poate fi mai mic de 1,0.</w:t>
      </w:r>
    </w:p>
    <w:p w14:paraId="4FDACBCD" w14:textId="0F4F6453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Dup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încetarea efectului contractului de loca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iune, locatarul restituie activele circulante în volumele fixate la data d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rii lor în loca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iune. În cazul imposibilit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ii de restituire a activelor circulante, costul lor se recupereaz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la pre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urile de pia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care sunt în vigoare la data încet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rii efectului contractului de loca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iune.</w:t>
      </w:r>
    </w:p>
    <w:p w14:paraId="3B402227" w14:textId="77777777" w:rsidR="00BD4E2D" w:rsidRDefault="00BD4E2D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</w:pPr>
    </w:p>
    <w:p w14:paraId="17C95596" w14:textId="0544CB83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4.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Cuantumul minim al chiriei bunurilor proprietate public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se stabile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te f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r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taxa pe valoarea ad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ugat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.</w:t>
      </w:r>
    </w:p>
    <w:p w14:paraId="21E5145D" w14:textId="0ACB6CAB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Dac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locatorul este înregistrat în calitate de contribuabil al taxei pe valoarea ad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ugat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, chiria va fi încasat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de la locatar cu aplicarea taxei pe valoarea ad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ugat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, calculat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suplimentar la valoarea serviciilor prestate.</w:t>
      </w:r>
    </w:p>
    <w:p w14:paraId="6C4B0874" w14:textId="70829E52" w:rsidR="001B3859" w:rsidRPr="00596B14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483BFD83" w14:textId="5028CE0D" w:rsidR="001B3859" w:rsidRPr="00BD4E2D" w:rsidRDefault="001B3859" w:rsidP="001B3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Not</w:t>
      </w:r>
      <w:r w:rsidR="004A49E1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.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Prevederile prezentei anexe nu se aplic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raporturilor juridice reglementate de Legea nr.</w:t>
      </w:r>
      <w:r w:rsidR="005C5F9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28/2016 privind accesul pe propriet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 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ș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 utilizarea partajat</w:t>
      </w:r>
      <w:r w:rsidR="004A49E1">
        <w:rPr>
          <w:rFonts w:ascii="Times New Roman" w:eastAsia="Times New Roman" w:hAnsi="Times New Roman" w:cs="Times New Roman"/>
          <w:sz w:val="28"/>
          <w:szCs w:val="28"/>
          <w:lang w:val="it-IT"/>
        </w:rPr>
        <w:t>ă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 infrastructurii asociate re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elelor publice de comunica</w:t>
      </w:r>
      <w:r w:rsid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ț</w:t>
      </w:r>
      <w:r w:rsidRPr="00596B14">
        <w:rPr>
          <w:rFonts w:ascii="Times New Roman" w:eastAsia="Times New Roman" w:hAnsi="Times New Roman" w:cs="Times New Roman"/>
          <w:sz w:val="28"/>
          <w:szCs w:val="28"/>
          <w:lang w:val="it-IT"/>
        </w:rPr>
        <w:t>ii electronice</w:t>
      </w:r>
      <w:r w:rsidR="00BD4E2D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1B3859" w:rsidRPr="00BD4E2D" w:rsidSect="00596B14">
      <w:headerReference w:type="default" r:id="rId7"/>
      <w:pgSz w:w="12240" w:h="15840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65595" w14:textId="77777777" w:rsidR="00C43C82" w:rsidRDefault="00C43C82" w:rsidP="00596B14">
      <w:pPr>
        <w:spacing w:after="0" w:line="240" w:lineRule="auto"/>
      </w:pPr>
      <w:r>
        <w:separator/>
      </w:r>
    </w:p>
  </w:endnote>
  <w:endnote w:type="continuationSeparator" w:id="0">
    <w:p w14:paraId="47850B80" w14:textId="77777777" w:rsidR="00C43C82" w:rsidRDefault="00C43C82" w:rsidP="00596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BDA2B" w14:textId="77777777" w:rsidR="00C43C82" w:rsidRDefault="00C43C82" w:rsidP="00596B14">
      <w:pPr>
        <w:spacing w:after="0" w:line="240" w:lineRule="auto"/>
      </w:pPr>
      <w:r>
        <w:separator/>
      </w:r>
    </w:p>
  </w:footnote>
  <w:footnote w:type="continuationSeparator" w:id="0">
    <w:p w14:paraId="1A34693B" w14:textId="77777777" w:rsidR="00C43C82" w:rsidRDefault="00C43C82" w:rsidP="00596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76572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3C53A4" w14:textId="7E869EFA" w:rsidR="00596B14" w:rsidRPr="00596B14" w:rsidRDefault="00596B14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96B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96B1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96B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96B14">
          <w:rPr>
            <w:rFonts w:ascii="Times New Roman" w:hAnsi="Times New Roman" w:cs="Times New Roman"/>
            <w:sz w:val="28"/>
            <w:szCs w:val="28"/>
            <w:lang w:val="ro-RO"/>
          </w:rPr>
          <w:t>2</w:t>
        </w:r>
        <w:r w:rsidRPr="00596B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1DB35DE" w14:textId="77777777" w:rsidR="00596B14" w:rsidRPr="00596B14" w:rsidRDefault="00596B14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F09E3"/>
    <w:multiLevelType w:val="hybridMultilevel"/>
    <w:tmpl w:val="DAFA474C"/>
    <w:lvl w:ilvl="0" w:tplc="4B6E11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789" w:hanging="360"/>
      </w:pPr>
    </w:lvl>
    <w:lvl w:ilvl="2" w:tplc="0818001B" w:tentative="1">
      <w:start w:val="1"/>
      <w:numFmt w:val="lowerRoman"/>
      <w:lvlText w:val="%3."/>
      <w:lvlJc w:val="right"/>
      <w:pPr>
        <w:ind w:left="2509" w:hanging="180"/>
      </w:pPr>
    </w:lvl>
    <w:lvl w:ilvl="3" w:tplc="0818000F" w:tentative="1">
      <w:start w:val="1"/>
      <w:numFmt w:val="decimal"/>
      <w:lvlText w:val="%4."/>
      <w:lvlJc w:val="left"/>
      <w:pPr>
        <w:ind w:left="3229" w:hanging="360"/>
      </w:pPr>
    </w:lvl>
    <w:lvl w:ilvl="4" w:tplc="08180019" w:tentative="1">
      <w:start w:val="1"/>
      <w:numFmt w:val="lowerLetter"/>
      <w:lvlText w:val="%5."/>
      <w:lvlJc w:val="left"/>
      <w:pPr>
        <w:ind w:left="3949" w:hanging="360"/>
      </w:pPr>
    </w:lvl>
    <w:lvl w:ilvl="5" w:tplc="0818001B" w:tentative="1">
      <w:start w:val="1"/>
      <w:numFmt w:val="lowerRoman"/>
      <w:lvlText w:val="%6."/>
      <w:lvlJc w:val="right"/>
      <w:pPr>
        <w:ind w:left="4669" w:hanging="180"/>
      </w:pPr>
    </w:lvl>
    <w:lvl w:ilvl="6" w:tplc="0818000F" w:tentative="1">
      <w:start w:val="1"/>
      <w:numFmt w:val="decimal"/>
      <w:lvlText w:val="%7."/>
      <w:lvlJc w:val="left"/>
      <w:pPr>
        <w:ind w:left="5389" w:hanging="360"/>
      </w:pPr>
    </w:lvl>
    <w:lvl w:ilvl="7" w:tplc="08180019" w:tentative="1">
      <w:start w:val="1"/>
      <w:numFmt w:val="lowerLetter"/>
      <w:lvlText w:val="%8."/>
      <w:lvlJc w:val="left"/>
      <w:pPr>
        <w:ind w:left="6109" w:hanging="360"/>
      </w:pPr>
    </w:lvl>
    <w:lvl w:ilvl="8" w:tplc="08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A80"/>
    <w:rsid w:val="0010615D"/>
    <w:rsid w:val="0014088C"/>
    <w:rsid w:val="001B3859"/>
    <w:rsid w:val="002214BC"/>
    <w:rsid w:val="00236869"/>
    <w:rsid w:val="004A49E1"/>
    <w:rsid w:val="00596B14"/>
    <w:rsid w:val="005C5F98"/>
    <w:rsid w:val="006F2C68"/>
    <w:rsid w:val="00727A80"/>
    <w:rsid w:val="008936A1"/>
    <w:rsid w:val="008A08E8"/>
    <w:rsid w:val="009954B1"/>
    <w:rsid w:val="00A45246"/>
    <w:rsid w:val="00A60499"/>
    <w:rsid w:val="00BD4E2D"/>
    <w:rsid w:val="00C43C82"/>
    <w:rsid w:val="00C874C9"/>
    <w:rsid w:val="00C9438C"/>
    <w:rsid w:val="00C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2F446"/>
  <w15:chartTrackingRefBased/>
  <w15:docId w15:val="{9CE8E334-17D7-4AC5-9617-8EBA872D7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M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B1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4B1"/>
    <w:pPr>
      <w:ind w:left="720"/>
      <w:contextualSpacing/>
    </w:pPr>
  </w:style>
  <w:style w:type="table" w:styleId="TableGrid">
    <w:name w:val="Table Grid"/>
    <w:basedOn w:val="TableNormal"/>
    <w:uiPriority w:val="39"/>
    <w:rsid w:val="00995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95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96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B14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96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B1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1521</Words>
  <Characters>8823</Characters>
  <Application>Microsoft Office Word</Application>
  <DocSecurity>4</DocSecurity>
  <Lines>73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Parlamentul Republicii Moldova</Company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Gîrlea</dc:creator>
  <cp:keywords/>
  <dc:description/>
  <cp:lastModifiedBy>Inga Rusnac</cp:lastModifiedBy>
  <cp:revision>2</cp:revision>
  <dcterms:created xsi:type="dcterms:W3CDTF">2023-12-27T09:51:00Z</dcterms:created>
  <dcterms:modified xsi:type="dcterms:W3CDTF">2023-12-27T09:51:00Z</dcterms:modified>
</cp:coreProperties>
</file>