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DBF58" w14:textId="77777777" w:rsidR="00974B4E" w:rsidRPr="005D6998" w:rsidRDefault="00974B4E" w:rsidP="008F1DCB">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SINTEZA</w:t>
      </w:r>
    </w:p>
    <w:p w14:paraId="5E11F317" w14:textId="77777777" w:rsidR="00240B6E" w:rsidRPr="005D6998" w:rsidRDefault="00974B4E" w:rsidP="00974B4E">
      <w:pPr>
        <w:tabs>
          <w:tab w:val="left" w:pos="884"/>
          <w:tab w:val="left" w:pos="1196"/>
        </w:tabs>
        <w:spacing w:after="0" w:line="240" w:lineRule="auto"/>
        <w:jc w:val="center"/>
        <w:rPr>
          <w:rFonts w:ascii="Times New Roman" w:hAnsi="Times New Roman"/>
          <w:b/>
          <w:bCs/>
        </w:rPr>
      </w:pPr>
      <w:r w:rsidRPr="005D6998">
        <w:rPr>
          <w:rFonts w:ascii="Times New Roman" w:hAnsi="Times New Roman"/>
          <w:b/>
        </w:rPr>
        <w:t xml:space="preserve">la </w:t>
      </w:r>
      <w:r w:rsidRPr="005D6998">
        <w:rPr>
          <w:rFonts w:ascii="Times New Roman" w:hAnsi="Times New Roman"/>
          <w:b/>
          <w:bCs/>
        </w:rPr>
        <w:t xml:space="preserve">proiectul de lege pentru modificarea unor acte normative  </w:t>
      </w:r>
    </w:p>
    <w:p w14:paraId="27325462" w14:textId="10E5E1BE" w:rsidR="00974B4E" w:rsidRPr="005D6998" w:rsidRDefault="00974B4E" w:rsidP="00974B4E">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(aspecte aferente activității băncilor)</w:t>
      </w:r>
    </w:p>
    <w:p w14:paraId="50DBFD08" w14:textId="77777777" w:rsidR="00974B4E" w:rsidRPr="005D6998" w:rsidRDefault="00974B4E" w:rsidP="00974B4E">
      <w:pPr>
        <w:tabs>
          <w:tab w:val="left" w:pos="884"/>
          <w:tab w:val="left" w:pos="1196"/>
        </w:tabs>
        <w:spacing w:after="0" w:line="240" w:lineRule="auto"/>
        <w:jc w:val="center"/>
        <w:rPr>
          <w:rFonts w:ascii="Times New Roman" w:hAnsi="Times New Roman"/>
          <w:b/>
          <w:bCs/>
        </w:rPr>
      </w:pPr>
    </w:p>
    <w:tbl>
      <w:tblPr>
        <w:tblW w:w="1574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
        <w:gridCol w:w="710"/>
        <w:gridCol w:w="51"/>
        <w:gridCol w:w="3637"/>
        <w:gridCol w:w="17"/>
        <w:gridCol w:w="1401"/>
        <w:gridCol w:w="141"/>
        <w:gridCol w:w="426"/>
        <w:gridCol w:w="4060"/>
        <w:gridCol w:w="50"/>
        <w:gridCol w:w="91"/>
        <w:gridCol w:w="54"/>
        <w:gridCol w:w="4815"/>
        <w:gridCol w:w="143"/>
        <w:gridCol w:w="10"/>
      </w:tblGrid>
      <w:tr w:rsidR="003866A0" w:rsidRPr="005D6998" w14:paraId="794EC6FA" w14:textId="77777777" w:rsidTr="00651F58">
        <w:trPr>
          <w:gridAfter w:val="1"/>
          <w:wAfter w:w="10" w:type="dxa"/>
        </w:trPr>
        <w:tc>
          <w:tcPr>
            <w:tcW w:w="899" w:type="dxa"/>
            <w:gridSpan w:val="3"/>
            <w:tcBorders>
              <w:bottom w:val="single" w:sz="4" w:space="0" w:color="auto"/>
            </w:tcBorders>
            <w:shd w:val="clear" w:color="auto" w:fill="D1D1D1" w:themeFill="background2" w:themeFillShade="E6"/>
          </w:tcPr>
          <w:p w14:paraId="2286F60C" w14:textId="77777777" w:rsidR="00240B6E" w:rsidRPr="005D6998" w:rsidRDefault="00240B6E" w:rsidP="00832A1A">
            <w:pPr>
              <w:tabs>
                <w:tab w:val="left" w:pos="884"/>
                <w:tab w:val="left" w:pos="1196"/>
              </w:tabs>
              <w:spacing w:after="0" w:line="240" w:lineRule="auto"/>
              <w:jc w:val="center"/>
              <w:rPr>
                <w:rFonts w:ascii="Times New Roman" w:hAnsi="Times New Roman"/>
                <w:b/>
              </w:rPr>
            </w:pPr>
            <w:r w:rsidRPr="005D6998">
              <w:rPr>
                <w:rFonts w:ascii="Times New Roman" w:hAnsi="Times New Roman"/>
                <w:b/>
              </w:rPr>
              <w:t>Nr.</w:t>
            </w:r>
          </w:p>
          <w:p w14:paraId="2E99F18B" w14:textId="77777777" w:rsidR="00240B6E" w:rsidRPr="005D6998" w:rsidRDefault="00240B6E" w:rsidP="00832A1A">
            <w:pPr>
              <w:tabs>
                <w:tab w:val="left" w:pos="884"/>
                <w:tab w:val="left" w:pos="1196"/>
              </w:tabs>
              <w:spacing w:after="0" w:line="240" w:lineRule="auto"/>
              <w:jc w:val="center"/>
              <w:rPr>
                <w:rFonts w:ascii="Times New Roman" w:hAnsi="Times New Roman"/>
                <w:b/>
              </w:rPr>
            </w:pPr>
            <w:r w:rsidRPr="005D6998">
              <w:rPr>
                <w:rFonts w:ascii="Times New Roman" w:hAnsi="Times New Roman"/>
                <w:b/>
              </w:rPr>
              <w:t>d/o</w:t>
            </w:r>
          </w:p>
        </w:tc>
        <w:tc>
          <w:tcPr>
            <w:tcW w:w="3637" w:type="dxa"/>
            <w:tcBorders>
              <w:bottom w:val="single" w:sz="4" w:space="0" w:color="auto"/>
            </w:tcBorders>
            <w:shd w:val="clear" w:color="auto" w:fill="D1D1D1" w:themeFill="background2" w:themeFillShade="E6"/>
          </w:tcPr>
          <w:p w14:paraId="6F2C487D" w14:textId="77777777" w:rsidR="00240B6E" w:rsidRPr="005D6998" w:rsidRDefault="00240B6E" w:rsidP="00835AE6">
            <w:pPr>
              <w:tabs>
                <w:tab w:val="left" w:pos="884"/>
                <w:tab w:val="left" w:pos="1196"/>
              </w:tabs>
              <w:spacing w:after="0" w:line="240" w:lineRule="auto"/>
              <w:jc w:val="center"/>
              <w:rPr>
                <w:rFonts w:ascii="Times New Roman" w:hAnsi="Times New Roman"/>
                <w:b/>
              </w:rPr>
            </w:pPr>
            <w:r w:rsidRPr="005D6998">
              <w:rPr>
                <w:rFonts w:ascii="Times New Roman" w:hAnsi="Times New Roman"/>
                <w:b/>
              </w:rPr>
              <w:t>Conţinutul articolelor/</w:t>
            </w:r>
          </w:p>
          <w:p w14:paraId="3A42E91E" w14:textId="14251F3E" w:rsidR="00240B6E" w:rsidRPr="005D6998" w:rsidRDefault="00240B6E" w:rsidP="00835AE6">
            <w:pPr>
              <w:tabs>
                <w:tab w:val="left" w:pos="884"/>
                <w:tab w:val="left" w:pos="1196"/>
              </w:tabs>
              <w:spacing w:after="0" w:line="240" w:lineRule="auto"/>
              <w:jc w:val="center"/>
              <w:rPr>
                <w:rFonts w:ascii="Times New Roman" w:hAnsi="Times New Roman"/>
                <w:b/>
              </w:rPr>
            </w:pPr>
            <w:r w:rsidRPr="005D6998">
              <w:rPr>
                <w:rFonts w:ascii="Times New Roman" w:hAnsi="Times New Roman"/>
                <w:b/>
              </w:rPr>
              <w:t>punctelor din proiectul prezentat spre avizare şi coordonare</w:t>
            </w:r>
          </w:p>
        </w:tc>
        <w:tc>
          <w:tcPr>
            <w:tcW w:w="1559" w:type="dxa"/>
            <w:gridSpan w:val="3"/>
            <w:tcBorders>
              <w:bottom w:val="single" w:sz="4" w:space="0" w:color="auto"/>
            </w:tcBorders>
            <w:shd w:val="clear" w:color="auto" w:fill="D1D1D1" w:themeFill="background2" w:themeFillShade="E6"/>
          </w:tcPr>
          <w:p w14:paraId="62D42A66" w14:textId="1B558102" w:rsidR="00240B6E" w:rsidRPr="005D6998" w:rsidRDefault="00240B6E" w:rsidP="00832A1A">
            <w:pPr>
              <w:tabs>
                <w:tab w:val="left" w:pos="884"/>
                <w:tab w:val="left" w:pos="1196"/>
              </w:tabs>
              <w:spacing w:after="0" w:line="240" w:lineRule="auto"/>
              <w:jc w:val="center"/>
              <w:rPr>
                <w:rFonts w:ascii="Times New Roman" w:hAnsi="Times New Roman"/>
                <w:b/>
              </w:rPr>
            </w:pPr>
            <w:r w:rsidRPr="005D6998">
              <w:rPr>
                <w:rFonts w:ascii="Times New Roman" w:hAnsi="Times New Roman"/>
                <w:b/>
              </w:rPr>
              <w:t>Participantul la avizare, consultare publică, expertizare</w:t>
            </w:r>
          </w:p>
        </w:tc>
        <w:tc>
          <w:tcPr>
            <w:tcW w:w="426" w:type="dxa"/>
            <w:tcBorders>
              <w:bottom w:val="single" w:sz="4" w:space="0" w:color="auto"/>
            </w:tcBorders>
            <w:shd w:val="clear" w:color="auto" w:fill="D1D1D1" w:themeFill="background2" w:themeFillShade="E6"/>
          </w:tcPr>
          <w:p w14:paraId="006B8125" w14:textId="77777777" w:rsidR="00240B6E" w:rsidRPr="005D6998" w:rsidRDefault="00240B6E" w:rsidP="00C71747">
            <w:pPr>
              <w:tabs>
                <w:tab w:val="left" w:pos="884"/>
                <w:tab w:val="left" w:pos="1196"/>
              </w:tabs>
              <w:spacing w:after="0" w:line="240" w:lineRule="auto"/>
              <w:jc w:val="center"/>
              <w:rPr>
                <w:rFonts w:ascii="Times New Roman" w:hAnsi="Times New Roman"/>
                <w:b/>
              </w:rPr>
            </w:pPr>
            <w:r w:rsidRPr="005D6998">
              <w:rPr>
                <w:rFonts w:ascii="Times New Roman" w:hAnsi="Times New Roman"/>
                <w:b/>
              </w:rPr>
              <w:t>Nr. crt.</w:t>
            </w:r>
          </w:p>
        </w:tc>
        <w:tc>
          <w:tcPr>
            <w:tcW w:w="4201" w:type="dxa"/>
            <w:gridSpan w:val="3"/>
            <w:tcBorders>
              <w:bottom w:val="single" w:sz="4" w:space="0" w:color="auto"/>
            </w:tcBorders>
            <w:shd w:val="clear" w:color="auto" w:fill="D1D1D1" w:themeFill="background2" w:themeFillShade="E6"/>
          </w:tcPr>
          <w:p w14:paraId="3746261C" w14:textId="77777777" w:rsidR="00240B6E" w:rsidRPr="005D6998" w:rsidRDefault="00240B6E" w:rsidP="00835AE6">
            <w:pPr>
              <w:pBdr>
                <w:top w:val="none" w:sz="4" w:space="0" w:color="000000"/>
                <w:left w:val="none" w:sz="4" w:space="0" w:color="000000"/>
                <w:bottom w:val="none" w:sz="4" w:space="0" w:color="000000"/>
                <w:right w:val="none" w:sz="4" w:space="0" w:color="000000"/>
              </w:pBdr>
              <w:tabs>
                <w:tab w:val="left" w:pos="884"/>
                <w:tab w:val="left" w:pos="1196"/>
              </w:tabs>
              <w:spacing w:after="0" w:line="240" w:lineRule="auto"/>
              <w:jc w:val="center"/>
              <w:rPr>
                <w:rFonts w:ascii="Times New Roman" w:hAnsi="Times New Roman"/>
                <w:b/>
              </w:rPr>
            </w:pPr>
            <w:r w:rsidRPr="005D6998">
              <w:rPr>
                <w:rFonts w:ascii="Times New Roman" w:hAnsi="Times New Roman"/>
                <w:b/>
              </w:rPr>
              <w:t>Conținutul obiecției, propunerii, recomandării, concluziei</w:t>
            </w:r>
          </w:p>
        </w:tc>
        <w:tc>
          <w:tcPr>
            <w:tcW w:w="5012" w:type="dxa"/>
            <w:gridSpan w:val="3"/>
            <w:tcBorders>
              <w:bottom w:val="single" w:sz="4" w:space="0" w:color="auto"/>
            </w:tcBorders>
            <w:shd w:val="clear" w:color="auto" w:fill="D1D1D1" w:themeFill="background2" w:themeFillShade="E6"/>
          </w:tcPr>
          <w:p w14:paraId="1930C675" w14:textId="6122AC5F" w:rsidR="00240B6E" w:rsidRPr="005D6998" w:rsidRDefault="00240B6E" w:rsidP="00FF075F">
            <w:pPr>
              <w:tabs>
                <w:tab w:val="left" w:pos="884"/>
                <w:tab w:val="left" w:pos="1196"/>
              </w:tabs>
              <w:spacing w:after="0" w:line="240" w:lineRule="auto"/>
              <w:jc w:val="center"/>
              <w:rPr>
                <w:rFonts w:ascii="Times New Roman" w:hAnsi="Times New Roman"/>
                <w:b/>
              </w:rPr>
            </w:pPr>
            <w:r w:rsidRPr="005D6998">
              <w:rPr>
                <w:rFonts w:ascii="Times New Roman" w:hAnsi="Times New Roman"/>
                <w:b/>
              </w:rPr>
              <w:t>Argumentarea</w:t>
            </w:r>
          </w:p>
          <w:p w14:paraId="7F3A43FA" w14:textId="77777777" w:rsidR="00240B6E" w:rsidRPr="005D6998" w:rsidRDefault="00240B6E" w:rsidP="00FF075F">
            <w:pPr>
              <w:tabs>
                <w:tab w:val="left" w:pos="884"/>
                <w:tab w:val="left" w:pos="1196"/>
              </w:tabs>
              <w:spacing w:after="0" w:line="240" w:lineRule="auto"/>
              <w:jc w:val="center"/>
              <w:rPr>
                <w:rFonts w:ascii="Times New Roman" w:hAnsi="Times New Roman"/>
                <w:b/>
              </w:rPr>
            </w:pPr>
            <w:r w:rsidRPr="005D6998">
              <w:rPr>
                <w:rFonts w:ascii="Times New Roman" w:hAnsi="Times New Roman"/>
                <w:b/>
              </w:rPr>
              <w:t>autorului proiectului</w:t>
            </w:r>
          </w:p>
        </w:tc>
      </w:tr>
      <w:tr w:rsidR="00240B6E" w:rsidRPr="005D6998" w14:paraId="14E1C86C" w14:textId="77777777" w:rsidTr="00651F58">
        <w:trPr>
          <w:gridAfter w:val="1"/>
          <w:wAfter w:w="10" w:type="dxa"/>
        </w:trPr>
        <w:tc>
          <w:tcPr>
            <w:tcW w:w="15734" w:type="dxa"/>
            <w:gridSpan w:val="14"/>
            <w:tcBorders>
              <w:top w:val="single" w:sz="4" w:space="0" w:color="auto"/>
            </w:tcBorders>
            <w:shd w:val="clear" w:color="auto" w:fill="FAE2D5" w:themeFill="accent2" w:themeFillTint="33"/>
          </w:tcPr>
          <w:p w14:paraId="2F70DCB7" w14:textId="76FFD6EC" w:rsidR="00240B6E" w:rsidRPr="005D6998" w:rsidRDefault="00882FEA" w:rsidP="00B51A44">
            <w:pPr>
              <w:shd w:val="clear" w:color="auto" w:fill="FAE2D5" w:themeFill="accent2" w:themeFillTint="33"/>
              <w:tabs>
                <w:tab w:val="left" w:pos="884"/>
                <w:tab w:val="left" w:pos="1196"/>
              </w:tabs>
              <w:spacing w:after="0" w:line="240" w:lineRule="auto"/>
              <w:jc w:val="center"/>
              <w:rPr>
                <w:rFonts w:ascii="Times New Roman" w:hAnsi="Times New Roman"/>
                <w:b/>
              </w:rPr>
            </w:pPr>
            <w:r w:rsidRPr="005D6998">
              <w:rPr>
                <w:rFonts w:ascii="Times New Roman" w:hAnsi="Times New Roman"/>
                <w:b/>
              </w:rPr>
              <w:t>Avizare și c</w:t>
            </w:r>
            <w:r w:rsidR="00240B6E" w:rsidRPr="005D6998">
              <w:rPr>
                <w:rFonts w:ascii="Times New Roman" w:hAnsi="Times New Roman"/>
                <w:b/>
              </w:rPr>
              <w:t>onsultare publică</w:t>
            </w:r>
          </w:p>
          <w:p w14:paraId="1970BBD0" w14:textId="0ADF3A98" w:rsidR="00240B6E" w:rsidRPr="005D6998" w:rsidRDefault="00240B6E" w:rsidP="00B51A44">
            <w:pPr>
              <w:tabs>
                <w:tab w:val="left" w:pos="884"/>
                <w:tab w:val="left" w:pos="1196"/>
              </w:tabs>
              <w:spacing w:after="0" w:line="240" w:lineRule="auto"/>
              <w:jc w:val="center"/>
              <w:rPr>
                <w:rFonts w:ascii="Times New Roman" w:hAnsi="Times New Roman"/>
                <w:b/>
                <w:bCs/>
              </w:rPr>
            </w:pPr>
            <w:r w:rsidRPr="005D6998">
              <w:rPr>
                <w:rFonts w:ascii="Times New Roman" w:hAnsi="Times New Roman"/>
                <w:b/>
                <w:shd w:val="clear" w:color="auto" w:fill="FAE2D5" w:themeFill="accent2" w:themeFillTint="33"/>
              </w:rPr>
              <w:t>(</w:t>
            </w:r>
            <w:r w:rsidR="00685BB9" w:rsidRPr="005D6998">
              <w:rPr>
                <w:rFonts w:ascii="Times New Roman" w:hAnsi="Times New Roman"/>
                <w:b/>
                <w:shd w:val="clear" w:color="auto" w:fill="FAE2D5" w:themeFill="accent2" w:themeFillTint="33"/>
              </w:rPr>
              <w:t>Aviz</w:t>
            </w:r>
            <w:r w:rsidRPr="005D6998">
              <w:rPr>
                <w:rFonts w:ascii="Times New Roman" w:hAnsi="Times New Roman"/>
                <w:b/>
                <w:shd w:val="clear" w:color="auto" w:fill="FAE2D5" w:themeFill="accent2" w:themeFillTint="33"/>
              </w:rPr>
              <w:t xml:space="preserve"> MF 14-05/258 din 04.06.2026)</w:t>
            </w:r>
          </w:p>
        </w:tc>
      </w:tr>
      <w:tr w:rsidR="00B51A44" w:rsidRPr="005D6998" w14:paraId="162BC961" w14:textId="77777777" w:rsidTr="00651F58">
        <w:trPr>
          <w:gridAfter w:val="1"/>
          <w:wAfter w:w="10" w:type="dxa"/>
          <w:trHeight w:val="105"/>
        </w:trPr>
        <w:tc>
          <w:tcPr>
            <w:tcW w:w="899" w:type="dxa"/>
            <w:gridSpan w:val="3"/>
            <w:vMerge w:val="restart"/>
            <w:shd w:val="clear" w:color="auto" w:fill="FFFFFF"/>
          </w:tcPr>
          <w:p w14:paraId="4DCA1C5A"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bookmarkStart w:id="0" w:name="_Hlk234590938"/>
          </w:p>
        </w:tc>
        <w:tc>
          <w:tcPr>
            <w:tcW w:w="3637" w:type="dxa"/>
            <w:vMerge w:val="restart"/>
            <w:shd w:val="clear" w:color="auto" w:fill="FFFFFF"/>
          </w:tcPr>
          <w:p w14:paraId="0D817136" w14:textId="77777777" w:rsidR="00B51A44" w:rsidRPr="005D6998" w:rsidRDefault="00B51A44" w:rsidP="00B51A44">
            <w:pPr>
              <w:tabs>
                <w:tab w:val="left" w:pos="884"/>
                <w:tab w:val="left" w:pos="1196"/>
              </w:tabs>
              <w:spacing w:after="0" w:line="240" w:lineRule="auto"/>
              <w:jc w:val="both"/>
              <w:rPr>
                <w:rFonts w:ascii="Times New Roman" w:hAnsi="Times New Roman"/>
                <w:bCs/>
              </w:rPr>
            </w:pPr>
            <w:r w:rsidRPr="005D6998">
              <w:rPr>
                <w:rFonts w:ascii="Times New Roman" w:hAnsi="Times New Roman"/>
                <w:b/>
              </w:rPr>
              <w:t>Art. I.</w:t>
            </w:r>
            <w:r w:rsidRPr="005D6998">
              <w:rPr>
                <w:rFonts w:ascii="Times New Roman" w:hAnsi="Times New Roman"/>
                <w:bCs/>
              </w:rPr>
              <w:t xml:space="preserve"> </w:t>
            </w:r>
            <w:r w:rsidRPr="005D6998">
              <w:rPr>
                <w:rFonts w:ascii="Times New Roman" w:hAnsi="Times New Roman"/>
                <w:b/>
              </w:rPr>
              <w:t xml:space="preserve">Legea nr. 548/1995 cu privire la Banca Naţională a Moldovei (republicată în Monitorul Oficial al R. Moldova,2015, nr.297-300 art.544), cu modificările ulterioare </w:t>
            </w:r>
            <w:r w:rsidRPr="005D6998">
              <w:rPr>
                <w:rFonts w:ascii="Times New Roman" w:hAnsi="Times New Roman"/>
                <w:bCs/>
              </w:rPr>
              <w:t>se modifică după cum urmează:</w:t>
            </w:r>
          </w:p>
          <w:p w14:paraId="39E0D180" w14:textId="77777777" w:rsidR="00B51A44" w:rsidRPr="005D6998" w:rsidRDefault="00B51A44" w:rsidP="00B51A44">
            <w:pPr>
              <w:tabs>
                <w:tab w:val="left" w:pos="884"/>
                <w:tab w:val="left" w:pos="1196"/>
              </w:tabs>
              <w:spacing w:after="0" w:line="240" w:lineRule="auto"/>
              <w:jc w:val="both"/>
              <w:rPr>
                <w:rFonts w:ascii="Times New Roman" w:hAnsi="Times New Roman"/>
                <w:bCs/>
              </w:rPr>
            </w:pPr>
            <w:r w:rsidRPr="005D6998">
              <w:rPr>
                <w:rFonts w:ascii="Times New Roman" w:hAnsi="Times New Roman"/>
                <w:bCs/>
              </w:rPr>
              <w:t>[…]</w:t>
            </w:r>
          </w:p>
          <w:p w14:paraId="00D1EDC7" w14:textId="77777777" w:rsidR="00B51A44" w:rsidRPr="005D6998" w:rsidRDefault="00B51A44" w:rsidP="00B51A44">
            <w:pPr>
              <w:tabs>
                <w:tab w:val="left" w:pos="884"/>
                <w:tab w:val="left" w:pos="1196"/>
              </w:tabs>
              <w:spacing w:after="0" w:line="240" w:lineRule="auto"/>
              <w:jc w:val="both"/>
              <w:rPr>
                <w:rFonts w:ascii="Times New Roman" w:hAnsi="Times New Roman"/>
                <w:bCs/>
              </w:rPr>
            </w:pPr>
          </w:p>
          <w:p w14:paraId="109B8958" w14:textId="77777777" w:rsidR="00B51A44" w:rsidRPr="005D6998" w:rsidRDefault="00B51A44" w:rsidP="00B51A44">
            <w:pPr>
              <w:tabs>
                <w:tab w:val="left" w:pos="884"/>
                <w:tab w:val="left" w:pos="1196"/>
              </w:tabs>
              <w:spacing w:after="0" w:line="240" w:lineRule="auto"/>
              <w:jc w:val="both"/>
              <w:rPr>
                <w:rFonts w:ascii="Times New Roman" w:hAnsi="Times New Roman"/>
                <w:bCs/>
              </w:rPr>
            </w:pPr>
            <w:r w:rsidRPr="005D6998">
              <w:rPr>
                <w:rFonts w:ascii="Times New Roman" w:hAnsi="Times New Roman"/>
                <w:b/>
              </w:rPr>
              <w:t>2.</w:t>
            </w:r>
            <w:r w:rsidRPr="005D6998">
              <w:rPr>
                <w:rFonts w:ascii="Times New Roman" w:hAnsi="Times New Roman"/>
                <w:bCs/>
              </w:rPr>
              <w:t xml:space="preserve"> Se completează cu articolul 75</w:t>
            </w:r>
            <w:r w:rsidRPr="005D6998">
              <w:rPr>
                <w:rFonts w:ascii="Times New Roman" w:hAnsi="Times New Roman"/>
                <w:bCs/>
                <w:vertAlign w:val="superscript"/>
              </w:rPr>
              <w:t>4</w:t>
            </w:r>
            <w:r w:rsidRPr="005D6998">
              <w:rPr>
                <w:rFonts w:ascii="Times New Roman" w:hAnsi="Times New Roman"/>
                <w:bCs/>
              </w:rPr>
              <w:t xml:space="preserve"> cu următorul cuprins:</w:t>
            </w:r>
          </w:p>
          <w:p w14:paraId="39F0A23A" w14:textId="77777777" w:rsidR="00B51A44" w:rsidRPr="005D6998" w:rsidRDefault="00B51A44" w:rsidP="00B51A44">
            <w:pPr>
              <w:tabs>
                <w:tab w:val="left" w:pos="884"/>
                <w:tab w:val="left" w:pos="1196"/>
              </w:tabs>
              <w:spacing w:after="0" w:line="240" w:lineRule="auto"/>
              <w:jc w:val="both"/>
              <w:rPr>
                <w:rFonts w:ascii="Times New Roman" w:hAnsi="Times New Roman"/>
                <w:bCs/>
              </w:rPr>
            </w:pPr>
            <w:r w:rsidRPr="005D6998">
              <w:rPr>
                <w:rFonts w:ascii="Times New Roman" w:hAnsi="Times New Roman"/>
                <w:bCs/>
              </w:rPr>
              <w:t>„Articolul 75</w:t>
            </w:r>
            <w:r w:rsidRPr="005D6998">
              <w:rPr>
                <w:rFonts w:ascii="Times New Roman" w:hAnsi="Times New Roman"/>
                <w:bCs/>
                <w:vertAlign w:val="superscript"/>
              </w:rPr>
              <w:t>4</w:t>
            </w:r>
            <w:r w:rsidRPr="005D6998">
              <w:rPr>
                <w:rFonts w:ascii="Times New Roman" w:hAnsi="Times New Roman"/>
                <w:bCs/>
              </w:rPr>
              <w:t>. Schimbul de informații privind sancțiunile</w:t>
            </w:r>
          </w:p>
          <w:p w14:paraId="5F8C6552" w14:textId="77777777" w:rsidR="00B51A44" w:rsidRPr="005D6998" w:rsidRDefault="00B51A44" w:rsidP="00B51A44">
            <w:pPr>
              <w:tabs>
                <w:tab w:val="left" w:pos="884"/>
                <w:tab w:val="left" w:pos="1196"/>
              </w:tabs>
              <w:spacing w:after="0" w:line="240" w:lineRule="auto"/>
              <w:jc w:val="both"/>
              <w:rPr>
                <w:rFonts w:ascii="Times New Roman" w:hAnsi="Times New Roman"/>
                <w:bCs/>
              </w:rPr>
            </w:pPr>
            <w:r w:rsidRPr="005D6998">
              <w:rPr>
                <w:rFonts w:ascii="Times New Roman" w:hAnsi="Times New Roman"/>
                <w:bCs/>
              </w:rPr>
              <w:t>(1) Banca Națională a Moldovei informează Autoritatea Bancară Europeană cu privire la sancțiunile aplicate în temeiul Legii nr. 202/2017 privind activitatea instituțiilor de credit, inclusiv informaţiile privind contestarea aplicării şi rezultatul acestora, cu condiția respectării prevederilor cu privire la secretul profesional din capitolul 3 al titlului V din Legea nr.202/2017 privind activitatea instituțiilor de credit.</w:t>
            </w:r>
            <w:r w:rsidRPr="005D6998">
              <w:rPr>
                <w:rFonts w:ascii="Times New Roman" w:hAnsi="Times New Roman"/>
                <w:bCs/>
                <w:i/>
                <w:iCs/>
              </w:rPr>
              <w:t xml:space="preserve"> </w:t>
            </w:r>
          </w:p>
          <w:p w14:paraId="2817DFA5" w14:textId="77777777" w:rsidR="00B51A44" w:rsidRPr="005D6998" w:rsidRDefault="00B51A44" w:rsidP="00B51A44">
            <w:pPr>
              <w:tabs>
                <w:tab w:val="left" w:pos="884"/>
                <w:tab w:val="left" w:pos="1196"/>
              </w:tabs>
              <w:spacing w:after="0" w:line="240" w:lineRule="auto"/>
              <w:jc w:val="both"/>
              <w:rPr>
                <w:rFonts w:ascii="Times New Roman" w:hAnsi="Times New Roman"/>
                <w:bCs/>
              </w:rPr>
            </w:pPr>
          </w:p>
          <w:p w14:paraId="5DAE93D7" w14:textId="36EB8326" w:rsidR="00B51A44" w:rsidRPr="005D6998" w:rsidRDefault="00B51A44" w:rsidP="00B51A44">
            <w:pPr>
              <w:tabs>
                <w:tab w:val="left" w:pos="884"/>
                <w:tab w:val="left" w:pos="1196"/>
              </w:tabs>
              <w:spacing w:after="0" w:line="240" w:lineRule="auto"/>
              <w:jc w:val="both"/>
              <w:rPr>
                <w:rFonts w:ascii="Times New Roman" w:hAnsi="Times New Roman"/>
                <w:b/>
              </w:rPr>
            </w:pPr>
            <w:r w:rsidRPr="005D6998">
              <w:rPr>
                <w:rFonts w:ascii="Times New Roman" w:hAnsi="Times New Roman"/>
                <w:bCs/>
              </w:rPr>
              <w:t xml:space="preserve">(2) În cazul în care au intervenit schimbări cu privire la statutul </w:t>
            </w:r>
            <w:r w:rsidRPr="005D6998">
              <w:rPr>
                <w:rFonts w:ascii="Times New Roman" w:hAnsi="Times New Roman"/>
                <w:bCs/>
              </w:rPr>
              <w:lastRenderedPageBreak/>
              <w:t>procedurii de contestare a sancţiunii ori acestea au fost soluţionate în mod definitiv în favoarea persoanei fizice sau juridice sancționate, Banca Naţională a Moldovei solicită Autorităţii Bancare Europene actualizarea sau eliminarea din baza de date a informaţiilor comunicate potrivit alin. (1).”.</w:t>
            </w:r>
          </w:p>
        </w:tc>
        <w:tc>
          <w:tcPr>
            <w:tcW w:w="1559" w:type="dxa"/>
            <w:gridSpan w:val="3"/>
            <w:shd w:val="clear" w:color="auto" w:fill="FFFFFF"/>
          </w:tcPr>
          <w:p w14:paraId="35CCFAFE"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AmCham</w:t>
            </w:r>
          </w:p>
          <w:p w14:paraId="13C5C136"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2491ED6A"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0D4DC936" w14:textId="77777777" w:rsidR="00B51A44" w:rsidRPr="005D6998" w:rsidRDefault="00B51A44" w:rsidP="00B51A44">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0D6A9592" w14:textId="3A8A20A4" w:rsidR="00B51A44" w:rsidRPr="005D6998" w:rsidRDefault="00B51A44" w:rsidP="00B51A44">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4CF8BC2F" w14:textId="04018105"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D12F249" w14:textId="77777777" w:rsidR="00B51A44" w:rsidRPr="005D6998" w:rsidRDefault="00B51A44" w:rsidP="00B51A44">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Se propune completarea alin. (2) al art. 75</w:t>
            </w:r>
            <w:r w:rsidRPr="005D6998">
              <w:rPr>
                <w:rFonts w:ascii="Times New Roman" w:eastAsia="Calibri" w:hAnsi="Times New Roman"/>
                <w:bCs/>
                <w:vertAlign w:val="superscript"/>
                <w:lang w:eastAsia="en-US"/>
              </w:rPr>
              <w:t>4</w:t>
            </w:r>
            <w:r w:rsidRPr="005D6998">
              <w:rPr>
                <w:rFonts w:ascii="Times New Roman" w:eastAsia="Calibri" w:hAnsi="Times New Roman"/>
                <w:bCs/>
                <w:lang w:eastAsia="en-US"/>
              </w:rPr>
              <w:t xml:space="preserve"> propus din Legea nr. 548/1995 cu privire la Banca Națională a Moldovei, după cuvintele „solicită Autorității Bancare Europene actualizarea”, cu textul „în termen de cel mult 30 de zile de la data rămânerii definitive a hotărârii”.</w:t>
            </w:r>
          </w:p>
          <w:p w14:paraId="6AE5A705" w14:textId="77777777" w:rsidR="00B51A44" w:rsidRPr="005D6998" w:rsidRDefault="00B51A44" w:rsidP="00B51A44">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p>
          <w:p w14:paraId="0745561E" w14:textId="77777777" w:rsidR="00B51A44" w:rsidRPr="005D6998" w:rsidRDefault="00B51A44" w:rsidP="00B51A44">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Noul art. 75</w:t>
            </w:r>
            <w:r w:rsidRPr="005D6998">
              <w:rPr>
                <w:rFonts w:ascii="Times New Roman" w:eastAsia="Calibri" w:hAnsi="Times New Roman"/>
                <w:bCs/>
                <w:vertAlign w:val="superscript"/>
                <w:lang w:eastAsia="en-US"/>
              </w:rPr>
              <w:t>4</w:t>
            </w:r>
            <w:r w:rsidRPr="005D6998">
              <w:rPr>
                <w:rFonts w:ascii="Times New Roman" w:eastAsia="Calibri" w:hAnsi="Times New Roman"/>
                <w:bCs/>
                <w:lang w:eastAsia="en-US"/>
              </w:rPr>
              <w:t xml:space="preserve"> propus în Legea nr. 548/1995 cu privire la Banca Națională a Moldovei reglementează obligația Băncii Naționale a Moldovei de a solicita Autorității Bancare Europene actualizarea informațiilor publicate în registrele și bazele de date administrate de aceasta. Cu toate acestea, proiectul nu stabilește un termen concret în care această obligație urmează să fie îndeplinită după apariția modificărilor relevante sau după rămânerea definitivă a actului care justifică actualizarea.</w:t>
            </w:r>
          </w:p>
          <w:p w14:paraId="7D582F1D" w14:textId="0A057493" w:rsidR="00B51A44" w:rsidRPr="005D6998" w:rsidRDefault="00B51A44" w:rsidP="00B51A44">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Lipsa unui termen expres poate conduce la practici neuniforme și poate afecta actualitatea informațiilor disponibile autorităților competente, instituțiilor financiare și altor părți interesate.</w:t>
            </w:r>
          </w:p>
        </w:tc>
        <w:tc>
          <w:tcPr>
            <w:tcW w:w="5012" w:type="dxa"/>
            <w:gridSpan w:val="3"/>
            <w:shd w:val="clear" w:color="auto" w:fill="FFFFFF"/>
          </w:tcPr>
          <w:p w14:paraId="1025E773" w14:textId="77777777"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 xml:space="preserve">Se acceptă. </w:t>
            </w:r>
          </w:p>
          <w:p w14:paraId="192CE51F"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Alin. (2) al art. 75</w:t>
            </w:r>
            <w:r w:rsidRPr="005D6998">
              <w:rPr>
                <w:rFonts w:ascii="Times New Roman" w:hAnsi="Times New Roman"/>
                <w:vertAlign w:val="superscript"/>
              </w:rPr>
              <w:t>4</w:t>
            </w:r>
            <w:r w:rsidRPr="005D6998">
              <w:rPr>
                <w:rFonts w:ascii="Times New Roman" w:hAnsi="Times New Roman"/>
              </w:rPr>
              <w:t xml:space="preserve"> a fost completat în mod corespunzător după cum urmează:</w:t>
            </w:r>
          </w:p>
          <w:p w14:paraId="3B1455C9" w14:textId="4287E4F3"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 “(2) În cazul în care au intervenit schimbări cu privire la statutul procedurii de contestare a sancţiunii ori acestea au fost soluţionate în mod definitiv în favoarea persoanei fizice sau juridice sancționate, Banca Naţională a Moldovei solicită Autorităţii Bancare Europene actualizarea</w:t>
            </w:r>
            <w:r w:rsidRPr="005D6998">
              <w:rPr>
                <w:rFonts w:ascii="Times New Roman" w:eastAsia="Calibri" w:hAnsi="Times New Roman"/>
                <w:bCs/>
              </w:rPr>
              <w:t xml:space="preserve"> </w:t>
            </w:r>
            <w:r w:rsidRPr="005D6998">
              <w:rPr>
                <w:rFonts w:ascii="Times New Roman" w:eastAsia="Calibri" w:hAnsi="Times New Roman"/>
                <w:b/>
              </w:rPr>
              <w:t>în termen de cel mult 30 de zile de la data rămânerii definitive a hotărârii</w:t>
            </w:r>
            <w:r w:rsidRPr="005D6998">
              <w:rPr>
                <w:rFonts w:ascii="Times New Roman" w:hAnsi="Times New Roman"/>
              </w:rPr>
              <w:t xml:space="preserve"> sau eliminarea din baza de date a informațiilor comunicate potrivit alin. (1).”.</w:t>
            </w:r>
          </w:p>
        </w:tc>
      </w:tr>
      <w:bookmarkEnd w:id="0"/>
      <w:tr w:rsidR="00B51A44" w:rsidRPr="005D6998" w14:paraId="32CA6A24" w14:textId="77777777" w:rsidTr="00651F58">
        <w:trPr>
          <w:gridAfter w:val="1"/>
          <w:wAfter w:w="10" w:type="dxa"/>
          <w:trHeight w:val="105"/>
        </w:trPr>
        <w:tc>
          <w:tcPr>
            <w:tcW w:w="899" w:type="dxa"/>
            <w:gridSpan w:val="3"/>
            <w:vMerge/>
            <w:shd w:val="clear" w:color="auto" w:fill="FFFFFF"/>
          </w:tcPr>
          <w:p w14:paraId="66FA1CD2"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243098CE" w14:textId="77777777" w:rsidR="00B51A44" w:rsidRPr="005D6998" w:rsidRDefault="00B51A44" w:rsidP="00B51A44">
            <w:pPr>
              <w:tabs>
                <w:tab w:val="left" w:pos="884"/>
                <w:tab w:val="left" w:pos="1196"/>
              </w:tabs>
              <w:spacing w:after="0" w:line="240" w:lineRule="auto"/>
              <w:jc w:val="both"/>
              <w:rPr>
                <w:rFonts w:ascii="Times New Roman" w:hAnsi="Times New Roman"/>
                <w:b/>
              </w:rPr>
            </w:pPr>
          </w:p>
        </w:tc>
        <w:tc>
          <w:tcPr>
            <w:tcW w:w="1559" w:type="dxa"/>
            <w:gridSpan w:val="3"/>
            <w:shd w:val="clear" w:color="auto" w:fill="FFFFFF"/>
          </w:tcPr>
          <w:p w14:paraId="3E0E006B"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7A6E1F5E"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7762DB9E" w14:textId="7E752E3E" w:rsidR="00B51A44" w:rsidRPr="005D6998" w:rsidRDefault="00B51A44" w:rsidP="00B51A44">
            <w:pPr>
              <w:tabs>
                <w:tab w:val="left" w:pos="884"/>
                <w:tab w:val="left" w:pos="1196"/>
              </w:tabs>
              <w:spacing w:after="0" w:line="240" w:lineRule="auto"/>
              <w:jc w:val="center"/>
              <w:rPr>
                <w:rFonts w:ascii="Times New Roman" w:hAnsi="Times New Roman"/>
                <w:bCs/>
              </w:rPr>
            </w:pPr>
            <w:r w:rsidRPr="005D6998">
              <w:rPr>
                <w:rFonts w:ascii="Times New Roman" w:hAnsi="Times New Roman"/>
                <w:bCs/>
              </w:rPr>
              <w:lastRenderedPageBreak/>
              <w:t>Aviz nr. 02-06/188 din 07.07.2026</w:t>
            </w:r>
          </w:p>
        </w:tc>
        <w:tc>
          <w:tcPr>
            <w:tcW w:w="426" w:type="dxa"/>
            <w:shd w:val="clear" w:color="auto" w:fill="FFFFFF"/>
          </w:tcPr>
          <w:p w14:paraId="269032DD" w14:textId="48BF6160"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A09E9BD" w14:textId="77777777" w:rsidR="00B51A44" w:rsidRPr="005D6998" w:rsidRDefault="00B51A44" w:rsidP="00B51A44">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 xml:space="preserve">Se propune reevaluarea momentului intrării în vigoare a acestei prevederi și corelarea </w:t>
            </w:r>
            <w:r w:rsidRPr="005D6998">
              <w:rPr>
                <w:rFonts w:ascii="Times New Roman" w:eastAsia="Calibri" w:hAnsi="Times New Roman"/>
                <w:bCs/>
                <w:lang w:eastAsia="en-US"/>
              </w:rPr>
              <w:lastRenderedPageBreak/>
              <w:t xml:space="preserve">acestuia cu regimul aplicabil celorlalte dispoziții privind cooperarea cu ABE. </w:t>
            </w:r>
          </w:p>
          <w:p w14:paraId="170B9B59" w14:textId="493E6733" w:rsidR="00B51A44" w:rsidRPr="005D6998" w:rsidRDefault="00B51A44" w:rsidP="00B51A44">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Alternativ, se recomandă clarificarea expresă a temeiului juridic și a cadrului instituțional în baza cărora se va realiza schimbul de informații cu Autoritatea Bancară Europeană înainte de aderarea Republicii Moldova la UE.</w:t>
            </w:r>
          </w:p>
          <w:p w14:paraId="3E8F4C84" w14:textId="1C0F6E6A" w:rsidR="00B51A44" w:rsidRPr="005D6998" w:rsidRDefault="00B51A44" w:rsidP="00B51A44">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 xml:space="preserve">Se constată că obligația BNM de a transmite ABM informațiile privind sancțiunile nu este prevăzută în dispozițiile art. IV alin. (2) lit. c), a căror intrare în vigoare este amânată până la data intrării în vigoare a Tratatului de aderare a Republicii Moldova la UE, deși proiectul instituie un regim tranzitoriu distinct pentru numeroase alte mecanisme de cooperare și schimb de informații cu Autoritatea Bancară Europeană. </w:t>
            </w:r>
          </w:p>
          <w:p w14:paraId="04FC0282" w14:textId="56C7B2F5" w:rsidR="00B51A44" w:rsidRPr="005D6998" w:rsidRDefault="00B51A44" w:rsidP="00B51A44">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Se arată că, în lipsa unei justificări exprese pentru acest tratament diferențiat, menținerea art. 75</w:t>
            </w:r>
            <w:r w:rsidRPr="005D6998">
              <w:rPr>
                <w:rFonts w:ascii="Times New Roman" w:eastAsia="Calibri" w:hAnsi="Times New Roman"/>
                <w:bCs/>
                <w:vertAlign w:val="superscript"/>
                <w:lang w:eastAsia="en-US"/>
              </w:rPr>
              <w:t>4</w:t>
            </w:r>
            <w:r w:rsidRPr="005D6998">
              <w:rPr>
                <w:rFonts w:ascii="Times New Roman" w:eastAsia="Calibri" w:hAnsi="Times New Roman"/>
                <w:bCs/>
                <w:lang w:eastAsia="en-US"/>
              </w:rPr>
              <w:t xml:space="preserve"> sub incidența regulii generale de intrare în vigoare prevăzute la art. IV alin. (1) poate afecta coerența regimului tranzitoriu instituit de proiect. </w:t>
            </w:r>
          </w:p>
        </w:tc>
        <w:tc>
          <w:tcPr>
            <w:tcW w:w="5012" w:type="dxa"/>
            <w:gridSpan w:val="3"/>
            <w:shd w:val="clear" w:color="auto" w:fill="FFFFFF"/>
          </w:tcPr>
          <w:p w14:paraId="19CB2E3C" w14:textId="77777777"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w:t>
            </w:r>
          </w:p>
          <w:p w14:paraId="23DF4E9E" w14:textId="5797DE14"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 xml:space="preserve">Art. </w:t>
            </w:r>
            <w:r w:rsidR="00663664" w:rsidRPr="005D6998">
              <w:rPr>
                <w:rFonts w:ascii="Times New Roman" w:hAnsi="Times New Roman"/>
              </w:rPr>
              <w:t>I</w:t>
            </w:r>
            <w:r w:rsidRPr="005D6998">
              <w:rPr>
                <w:rFonts w:ascii="Times New Roman" w:hAnsi="Times New Roman"/>
              </w:rPr>
              <w:t>V. Dispoziții finale din proiectul de lege a fost modificat și completat în mod corespunzător, după cum urmează:</w:t>
            </w:r>
          </w:p>
          <w:p w14:paraId="3AD50F65" w14:textId="50CEAD68"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 xml:space="preserve"> </w:t>
            </w:r>
          </w:p>
          <w:p w14:paraId="65B7D080" w14:textId="33F5A407" w:rsidR="00B51A44" w:rsidRPr="005D6998" w:rsidRDefault="00D84326" w:rsidP="00B51A44">
            <w:pPr>
              <w:spacing w:after="0" w:line="240" w:lineRule="auto"/>
              <w:jc w:val="both"/>
              <w:rPr>
                <w:rFonts w:ascii="Times New Roman" w:hAnsi="Times New Roman"/>
                <w:b/>
              </w:rPr>
            </w:pPr>
            <w:r>
              <w:rPr>
                <w:rFonts w:ascii="Times New Roman" w:hAnsi="Times New Roman"/>
              </w:rPr>
              <w:t>„</w:t>
            </w:r>
            <w:r w:rsidR="00B51A44" w:rsidRPr="005D6998">
              <w:rPr>
                <w:rFonts w:ascii="Times New Roman" w:hAnsi="Times New Roman"/>
                <w:b/>
                <w:bCs/>
              </w:rPr>
              <w:t xml:space="preserve">Art. </w:t>
            </w:r>
            <w:r w:rsidR="00663664" w:rsidRPr="005D6998">
              <w:rPr>
                <w:rFonts w:ascii="Times New Roman" w:hAnsi="Times New Roman"/>
                <w:b/>
                <w:bCs/>
              </w:rPr>
              <w:t>I</w:t>
            </w:r>
            <w:r w:rsidR="00B51A44" w:rsidRPr="005D6998">
              <w:rPr>
                <w:rFonts w:ascii="Times New Roman" w:hAnsi="Times New Roman"/>
                <w:b/>
              </w:rPr>
              <w:t xml:space="preserve">V. Dispoziții finale </w:t>
            </w:r>
          </w:p>
          <w:p w14:paraId="57C6B39D" w14:textId="11461C95" w:rsidR="00B51A44" w:rsidRPr="005D6998" w:rsidRDefault="00B51A44" w:rsidP="00B51A44">
            <w:pPr>
              <w:spacing w:after="0" w:line="240" w:lineRule="auto"/>
              <w:jc w:val="both"/>
              <w:rPr>
                <w:rFonts w:ascii="Times New Roman" w:hAnsi="Times New Roman"/>
                <w:b/>
              </w:rPr>
            </w:pPr>
            <w:r w:rsidRPr="005D6998">
              <w:rPr>
                <w:rFonts w:ascii="Times New Roman" w:hAnsi="Times New Roman"/>
              </w:rPr>
              <w:t xml:space="preserve">(1) Prezenta lege intră în vigoare în termen de șase luni de la data publicării în Monitorul Oficial al Republicii Moldova, cu excepțiile prevăzute la alin. </w:t>
            </w:r>
            <w:r w:rsidRPr="005D6998">
              <w:rPr>
                <w:rFonts w:ascii="Times New Roman" w:hAnsi="Times New Roman"/>
                <w:b/>
                <w:bCs/>
                <w:i/>
                <w:iCs/>
              </w:rPr>
              <w:t>(2)-(3).</w:t>
            </w:r>
          </w:p>
          <w:p w14:paraId="52F8EDDF" w14:textId="3C70AC03" w:rsidR="00B51A44" w:rsidRPr="005D6998" w:rsidRDefault="00B51A44" w:rsidP="00B51A44">
            <w:pPr>
              <w:spacing w:after="0" w:line="240" w:lineRule="auto"/>
              <w:jc w:val="both"/>
              <w:rPr>
                <w:rFonts w:ascii="Times New Roman" w:hAnsi="Times New Roman"/>
                <w:b/>
              </w:rPr>
            </w:pPr>
            <w:r w:rsidRPr="005D6998">
              <w:rPr>
                <w:rFonts w:ascii="Times New Roman" w:hAnsi="Times New Roman"/>
                <w:b/>
              </w:rPr>
              <w:t>(2) Prin derogare de la prevederile alin. (1), prevederile Art. I pct. 2 vor intra în vigoare la data intrării în vigoare a Tratatului de aderare a Republicii Moldova la Uniunea Europeană.</w:t>
            </w:r>
            <w:r w:rsidRPr="005D6998">
              <w:rPr>
                <w:rFonts w:ascii="Times New Roman" w:hAnsi="Times New Roman"/>
                <w:bCs/>
              </w:rPr>
              <w:t>”.</w:t>
            </w:r>
          </w:p>
        </w:tc>
      </w:tr>
      <w:tr w:rsidR="00B51A44" w:rsidRPr="005D6998" w14:paraId="69F65E1A" w14:textId="77777777" w:rsidTr="00651F58">
        <w:trPr>
          <w:gridAfter w:val="1"/>
          <w:wAfter w:w="10" w:type="dxa"/>
          <w:trHeight w:val="105"/>
        </w:trPr>
        <w:tc>
          <w:tcPr>
            <w:tcW w:w="899" w:type="dxa"/>
            <w:gridSpan w:val="3"/>
            <w:shd w:val="clear" w:color="auto" w:fill="FFFFFF"/>
          </w:tcPr>
          <w:p w14:paraId="0723A611"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B2A0940" w14:textId="77777777" w:rsidR="00B51A44" w:rsidRPr="005D6998" w:rsidRDefault="00B51A44" w:rsidP="00B51A44">
            <w:pPr>
              <w:tabs>
                <w:tab w:val="left" w:pos="884"/>
                <w:tab w:val="left" w:pos="1196"/>
              </w:tabs>
              <w:spacing w:after="0" w:line="240" w:lineRule="auto"/>
              <w:jc w:val="both"/>
              <w:rPr>
                <w:rFonts w:ascii="Times New Roman" w:hAnsi="Times New Roman"/>
                <w:bCs/>
              </w:rPr>
            </w:pPr>
            <w:r w:rsidRPr="005D6998">
              <w:rPr>
                <w:rFonts w:ascii="Times New Roman" w:hAnsi="Times New Roman"/>
                <w:b/>
              </w:rPr>
              <w:t xml:space="preserve">Art. I. Legea nr. 548/1995 cu privire la Banca Naţională a Moldovei </w:t>
            </w:r>
            <w:r w:rsidRPr="005D6998">
              <w:rPr>
                <w:rFonts w:ascii="Times New Roman" w:hAnsi="Times New Roman"/>
                <w:bCs/>
              </w:rPr>
              <w:t>(republicată în Monitorul Oficial al R. Moldova,2015, nr.297-300 art.544), cu modificările ulterioare se modifică după cum urmează:</w:t>
            </w:r>
          </w:p>
          <w:p w14:paraId="46B1DEDA" w14:textId="77777777" w:rsidR="00B51A44" w:rsidRPr="005D6998" w:rsidRDefault="00B51A44" w:rsidP="00B51A44">
            <w:pPr>
              <w:tabs>
                <w:tab w:val="left" w:pos="884"/>
                <w:tab w:val="left" w:pos="1196"/>
              </w:tabs>
              <w:spacing w:after="0" w:line="240" w:lineRule="auto"/>
              <w:jc w:val="both"/>
              <w:rPr>
                <w:rFonts w:ascii="Times New Roman" w:hAnsi="Times New Roman"/>
                <w:bCs/>
              </w:rPr>
            </w:pPr>
            <w:r w:rsidRPr="005D6998">
              <w:rPr>
                <w:rFonts w:ascii="Times New Roman" w:hAnsi="Times New Roman"/>
                <w:bCs/>
              </w:rPr>
              <w:t>[…]</w:t>
            </w:r>
          </w:p>
          <w:p w14:paraId="3FF2474F" w14:textId="77777777" w:rsidR="00B51A44" w:rsidRPr="005D6998" w:rsidRDefault="00B51A44" w:rsidP="00B51A44">
            <w:pPr>
              <w:tabs>
                <w:tab w:val="left" w:pos="884"/>
                <w:tab w:val="left" w:pos="1196"/>
              </w:tabs>
              <w:spacing w:after="0" w:line="240" w:lineRule="auto"/>
              <w:jc w:val="both"/>
              <w:rPr>
                <w:rFonts w:ascii="Times New Roman" w:hAnsi="Times New Roman"/>
                <w:b/>
                <w:bCs/>
              </w:rPr>
            </w:pPr>
          </w:p>
          <w:p w14:paraId="712A6159" w14:textId="07745438" w:rsidR="00B51A44" w:rsidRPr="005D6998" w:rsidRDefault="00B51A44" w:rsidP="00B51A44">
            <w:pPr>
              <w:tabs>
                <w:tab w:val="left" w:pos="884"/>
                <w:tab w:val="left" w:pos="1196"/>
              </w:tabs>
              <w:spacing w:after="0" w:line="240" w:lineRule="auto"/>
              <w:jc w:val="both"/>
              <w:rPr>
                <w:rFonts w:ascii="Times New Roman" w:hAnsi="Times New Roman"/>
                <w:b/>
              </w:rPr>
            </w:pPr>
            <w:r w:rsidRPr="005D6998">
              <w:rPr>
                <w:rFonts w:ascii="Times New Roman" w:hAnsi="Times New Roman"/>
                <w:b/>
              </w:rPr>
              <w:t>Articolul 5. Atribuțiile de bază</w:t>
            </w:r>
          </w:p>
          <w:p w14:paraId="7293EFA9" w14:textId="0F2DF55B" w:rsidR="00B51A44" w:rsidRPr="005D6998" w:rsidRDefault="00B51A44" w:rsidP="00B51A44">
            <w:pPr>
              <w:tabs>
                <w:tab w:val="left" w:pos="884"/>
                <w:tab w:val="left" w:pos="1196"/>
              </w:tabs>
              <w:spacing w:after="0" w:line="240" w:lineRule="auto"/>
              <w:jc w:val="both"/>
              <w:rPr>
                <w:rFonts w:ascii="Times New Roman" w:hAnsi="Times New Roman"/>
                <w:bCs/>
              </w:rPr>
            </w:pPr>
            <w:r w:rsidRPr="005D6998">
              <w:rPr>
                <w:rFonts w:ascii="Times New Roman" w:hAnsi="Times New Roman"/>
                <w:bCs/>
              </w:rPr>
              <w:t xml:space="preserve">(2) Banca Naţională are dreptul de a prelucra datele cu caracter personal obţinute în exercitarea atribuţiilor prevăzute de prezenta lege fără </w:t>
            </w:r>
            <w:r w:rsidRPr="005D6998">
              <w:rPr>
                <w:rFonts w:ascii="Times New Roman" w:hAnsi="Times New Roman"/>
                <w:bCs/>
              </w:rPr>
              <w:lastRenderedPageBreak/>
              <w:t>consimţămîntul subiecţilor datelor cu caracter personal.</w:t>
            </w:r>
          </w:p>
          <w:p w14:paraId="5BAD36CE" w14:textId="305E23AD" w:rsidR="00B51A44" w:rsidRPr="005D6998" w:rsidRDefault="00B51A44" w:rsidP="00B51A44">
            <w:pPr>
              <w:tabs>
                <w:tab w:val="left" w:pos="884"/>
                <w:tab w:val="left" w:pos="1196"/>
              </w:tabs>
              <w:spacing w:after="0" w:line="240" w:lineRule="auto"/>
              <w:jc w:val="both"/>
              <w:rPr>
                <w:rFonts w:ascii="Times New Roman" w:hAnsi="Times New Roman"/>
                <w:b/>
              </w:rPr>
            </w:pPr>
            <w:r w:rsidRPr="005D6998">
              <w:rPr>
                <w:rFonts w:ascii="Times New Roman" w:hAnsi="Times New Roman"/>
                <w:bCs/>
              </w:rPr>
              <w:t>(3) Subiecţii datelor cu caracter personal nu au dreptul de a se opune prelucrării datelor personale circumscrise exercitării atribuţiilor Băncii Naţionale prevăzute de prezenta lege.</w:t>
            </w:r>
          </w:p>
        </w:tc>
        <w:tc>
          <w:tcPr>
            <w:tcW w:w="1559" w:type="dxa"/>
            <w:gridSpan w:val="3"/>
            <w:shd w:val="clear" w:color="auto" w:fill="FFFFFF"/>
          </w:tcPr>
          <w:p w14:paraId="633BB5CD" w14:textId="4B71320E"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Asociația Businessului European</w:t>
            </w:r>
          </w:p>
          <w:p w14:paraId="04BA55B7"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7B76F198" w14:textId="454A3179" w:rsidR="00B51A44" w:rsidRPr="005D6998" w:rsidRDefault="00B51A44" w:rsidP="00B51A44">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recepționat prin e-mail din 19.06.2026</w:t>
            </w:r>
          </w:p>
          <w:p w14:paraId="7DA6852E" w14:textId="00D81AC4" w:rsidR="00B51A44" w:rsidRPr="005D6998" w:rsidRDefault="00B51A44" w:rsidP="00B51A44">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78503FF3" w14:textId="30A2B11A"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DBF4E9C" w14:textId="2E7FE05B" w:rsidR="00B51A44" w:rsidRPr="005D6998" w:rsidRDefault="00B51A44" w:rsidP="00B51A44">
            <w:pPr>
              <w:spacing w:after="0" w:line="240" w:lineRule="auto"/>
              <w:jc w:val="both"/>
              <w:rPr>
                <w:rFonts w:ascii="Times New Roman" w:hAnsi="Times New Roman"/>
              </w:rPr>
            </w:pPr>
            <w:r w:rsidRPr="005D6998">
              <w:rPr>
                <w:rFonts w:ascii="Times New Roman" w:hAnsi="Times New Roman"/>
              </w:rPr>
              <w:t>La Art. I din Legea nr. 548/1995 cu privire la Banca Națională a Moldovei se propune introducerea unui punct nou prin care să se excludă alin. (2) și (3) ale art. 5.</w:t>
            </w:r>
          </w:p>
          <w:p w14:paraId="5025F4FB" w14:textId="77777777" w:rsidR="00B51A44" w:rsidRPr="005D6998" w:rsidRDefault="00B51A44" w:rsidP="00B51A44">
            <w:pPr>
              <w:spacing w:after="0" w:line="240" w:lineRule="auto"/>
              <w:jc w:val="both"/>
              <w:rPr>
                <w:rFonts w:ascii="Times New Roman" w:hAnsi="Times New Roman"/>
              </w:rPr>
            </w:pPr>
          </w:p>
          <w:p w14:paraId="2B78BB44" w14:textId="24B63386"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Propunerea este formulată în contextul armonizării și alinierii Legii nr. 548/1995 cu privire la Banca Națională a Moldovei la prevederile legislației europene și naționale în materia protecției datelor cu caracter personal, în special: </w:t>
            </w:r>
          </w:p>
          <w:p w14:paraId="25019040"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sym w:font="Symbol" w:char="F0B7"/>
            </w:r>
            <w:r w:rsidRPr="005D6998">
              <w:rPr>
                <w:rFonts w:ascii="Times New Roman" w:hAnsi="Times New Roman"/>
              </w:rPr>
              <w:t xml:space="preserve"> recitalul (99) din Regulamentul (UE) nr. 648/2012, care prevede aplicarea integrală a normelor privind protecția datelor cu caracter </w:t>
            </w:r>
            <w:r w:rsidRPr="005D6998">
              <w:rPr>
                <w:rFonts w:ascii="Times New Roman" w:hAnsi="Times New Roman"/>
              </w:rPr>
              <w:lastRenderedPageBreak/>
              <w:t xml:space="preserve">personal în cadrul activităților reglementate de respectivul regulament; </w:t>
            </w:r>
          </w:p>
          <w:p w14:paraId="1965251A"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sym w:font="Symbol" w:char="F0B7"/>
            </w:r>
            <w:r w:rsidRPr="005D6998">
              <w:rPr>
                <w:rFonts w:ascii="Times New Roman" w:hAnsi="Times New Roman"/>
              </w:rPr>
              <w:t xml:space="preserve"> prevederile Legii nr. 195/2024 privind protecția datelor cu caracter personal, în special art. 6 referitor la temeiurile legale ale prelucrării datelor. </w:t>
            </w:r>
          </w:p>
          <w:p w14:paraId="60467E34" w14:textId="77777777" w:rsidR="00B51A44" w:rsidRPr="005D6998" w:rsidRDefault="00B51A44" w:rsidP="00B51A44">
            <w:pPr>
              <w:spacing w:after="0" w:line="240" w:lineRule="auto"/>
              <w:jc w:val="both"/>
              <w:rPr>
                <w:rFonts w:ascii="Times New Roman" w:hAnsi="Times New Roman"/>
              </w:rPr>
            </w:pPr>
          </w:p>
          <w:p w14:paraId="5210CD3E" w14:textId="2D90BB19"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consideră că prevederile actuale ale art. 5 alin. (2) și (3) din Legea nr. 548/1995 sunt improprii și nu corespund cadrului legal aplicabil în domeniul protecției datelor cu caracter personal. În exercitarea atribuțiilor sale legale și a mandatului conferit de lege, Banca Națională a Moldovei nu are nevoie de consimțământul persoanelor vizate pentru prelucrarea datelor cu caracter personal, întrucât această prelucrare are loc în baza temeiurilor prevăzute la art. 6 alin. (1) din Legea nr. 195/2024, respectiv: </w:t>
            </w:r>
          </w:p>
          <w:p w14:paraId="0469B193"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sym w:font="Symbol" w:char="F0B7"/>
            </w:r>
            <w:r w:rsidRPr="005D6998">
              <w:rPr>
                <w:rFonts w:ascii="Times New Roman" w:hAnsi="Times New Roman"/>
              </w:rPr>
              <w:t xml:space="preserve"> art. 6 alin. (1) lit. c) – prelucrarea este necesară în vederea îndeplinirii unei obligații legale care îi revine operatorului; </w:t>
            </w:r>
          </w:p>
          <w:p w14:paraId="39B2526D" w14:textId="3883C530" w:rsidR="00B51A44" w:rsidRPr="005D6998" w:rsidRDefault="00B51A44" w:rsidP="00B51A44">
            <w:pPr>
              <w:spacing w:after="0" w:line="240" w:lineRule="auto"/>
              <w:jc w:val="both"/>
              <w:rPr>
                <w:rFonts w:ascii="Times New Roman" w:hAnsi="Times New Roman"/>
              </w:rPr>
            </w:pPr>
            <w:r w:rsidRPr="005D6998">
              <w:rPr>
                <w:rFonts w:ascii="Times New Roman" w:hAnsi="Times New Roman"/>
              </w:rPr>
              <w:sym w:font="Symbol" w:char="F0B7"/>
            </w:r>
            <w:r w:rsidRPr="005D6998">
              <w:rPr>
                <w:rFonts w:ascii="Times New Roman" w:hAnsi="Times New Roman"/>
              </w:rPr>
              <w:t xml:space="preserve"> art. 6 alin. (1) lit. e) – prelucrarea este necesară pentru îndeplinirea unei sarcini efectuate în interes public sau în exercitarea unei autorități oficiale cu care este învestit operatorul. În același timp, Legea nr. 548/1995 nu poate limita sau exclude exercitarea drepturilor persoanei vizate într-un mod diferit de cel prevăzut de legislația-cadru în materie de protecție a datelor cu caracter personal. Astfel, dreptul la opoziție este reglementat expres de art. 21 alin. (1) din Legea nr. 195/2024 și poate fi exercitat exclusiv în condițiile stabilite de această lege. Totuși, în cazul prelucrărilor efectuate de Banca Națională a Moldovei în temeiul art. 6 alin. (1) lit. c) și e) din Legea nr. 195/2024, </w:t>
            </w:r>
            <w:r w:rsidRPr="005D6998">
              <w:rPr>
                <w:rFonts w:ascii="Times New Roman" w:hAnsi="Times New Roman"/>
              </w:rPr>
              <w:lastRenderedPageBreak/>
              <w:t>dreptul la opoziție nu poate produce efecte juridice care să împiedice realizarea obligațiilor legale sau exercitarea atribuțiilor de autoritate publică ale instituției. În acest context, excluderea alin. (2) și (3) ale art. 5 din Legea nr. 548/1995 ar asigura coerența cadrului normativ, eliminarea unor prevederi redundante sau nealiniate legislației privind protecția datelor cu caracter personal și respectarea principiului aplicării unitare a normelor în materie.</w:t>
            </w:r>
          </w:p>
        </w:tc>
        <w:tc>
          <w:tcPr>
            <w:tcW w:w="5012" w:type="dxa"/>
            <w:gridSpan w:val="3"/>
            <w:shd w:val="clear" w:color="auto" w:fill="FFFFFF"/>
          </w:tcPr>
          <w:p w14:paraId="31157F3B" w14:textId="77777777" w:rsidR="00B51A44" w:rsidRPr="005D6998" w:rsidRDefault="00B51A44" w:rsidP="00B51A44">
            <w:pPr>
              <w:tabs>
                <w:tab w:val="left" w:pos="884"/>
                <w:tab w:val="left" w:pos="1196"/>
              </w:tabs>
              <w:spacing w:after="0" w:line="240" w:lineRule="auto"/>
              <w:jc w:val="both"/>
              <w:rPr>
                <w:rFonts w:ascii="Times New Roman" w:hAnsi="Times New Roman"/>
                <w:b/>
                <w:bCs/>
                <w:lang w:val="ro-MD"/>
              </w:rPr>
            </w:pPr>
            <w:r w:rsidRPr="005D6998">
              <w:rPr>
                <w:rFonts w:ascii="Times New Roman" w:hAnsi="Times New Roman"/>
                <w:b/>
                <w:bCs/>
                <w:lang w:val="ro-MD"/>
              </w:rPr>
              <w:lastRenderedPageBreak/>
              <w:t>Nu se acceptă</w:t>
            </w:r>
          </w:p>
          <w:p w14:paraId="20BECF8E" w14:textId="4A58CC8B"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Propunerea formulată de către EBA Moldova nu se încadrează în obiectul de reglementare al proiectului, având în vedere că prezentul proiect de lege are ca obiect alinierea cadrului național privind accesul la activitatea instituțiilor de credit și supravegherea prudențială a acestora la evoluțiile recente ale cadrului european – Directiva 2013/36/UE a Parlamentului European și a Consiliului din 26 iunie 2013 cu privire la accesul la activitatea instituțiilor de credit și supravegherea prudențială a instituțiilor de credit și Regulamentul (UE) nr. 575/2013 al Parlamentului European și al Consiliului din 26 iunie 2013 privind cerințele prudențiale pentru instituțiile de credit.</w:t>
            </w:r>
          </w:p>
          <w:p w14:paraId="6A5497C8"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p>
          <w:p w14:paraId="532D3B40" w14:textId="15444461"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În același timp, cu referire la invocarea faptului că prevederile actuale ale art. 5 alin. (2) și (3) din Legea nr. 548/1995 nu corespund cadrului legal aplicabil în domeniul protecției datelor cu caracter personal, precum și mențiunea că Legea nr. 548/1995 nu poate limita sau exclude exercitarea drepturilor persoanei vizate într-un mod diferit de cel prevăzut de legislația-cadru în materie de protecție a datelor cu caracter personal, menționăm că Legea nr. 195/2024 la art. 6 alin. (3) prevede că „Temeiurile pentru prelucrarea menţionată la alin.(1) lit.c) şi e) şi alin.(2) </w:t>
            </w:r>
            <w:r w:rsidRPr="005D6998">
              <w:rPr>
                <w:rFonts w:ascii="Times New Roman" w:hAnsi="Times New Roman"/>
                <w:u w:val="single"/>
                <w:lang w:val="ro-MD"/>
              </w:rPr>
              <w:t xml:space="preserve">trebuie să fie prevăzute în legislaţia </w:t>
            </w:r>
            <w:r w:rsidRPr="005D6998">
              <w:rPr>
                <w:rFonts w:ascii="Times New Roman" w:hAnsi="Times New Roman"/>
                <w:lang w:val="ro-MD"/>
              </w:rPr>
              <w:t>Republicii Moldova.”.</w:t>
            </w:r>
          </w:p>
          <w:p w14:paraId="54E2C5CD"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p>
          <w:p w14:paraId="0946D6BA"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Iar cu referire la dreptul de opoziție stabilit la art. 21 alin. (1) urmează a se ține cont de faptul că art. 23 reglementează restricțiile în aplicarea art. 21, iar coform alin. (1) „ Drepturile şi obligaţiile prevăzute la art.12–22 şi 34, precum şi prevederile art.5 în măsura în care dispoziţiile acestuia corespund drepturilor şi obligaţiilor prevăzute la art.12–22 </w:t>
            </w:r>
            <w:r w:rsidRPr="005D6998">
              <w:rPr>
                <w:rFonts w:ascii="Times New Roman" w:hAnsi="Times New Roman"/>
                <w:u w:val="single"/>
                <w:lang w:val="ro-MD"/>
              </w:rPr>
              <w:t xml:space="preserve">pot fi restricţionate prin lege </w:t>
            </w:r>
            <w:r w:rsidRPr="005D6998">
              <w:rPr>
                <w:rFonts w:ascii="Times New Roman" w:hAnsi="Times New Roman"/>
                <w:lang w:val="ro-MD"/>
              </w:rPr>
              <w:t>atunci când o astfel de restricţie respectă esenţa drepturilor şi libertăţilor fundamentale şi constituie o măsură necesară şi proporţională într-o societate democratică, pentru a asigura:</w:t>
            </w:r>
          </w:p>
          <w:p w14:paraId="7DA85431"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a) securitatea naţională;</w:t>
            </w:r>
          </w:p>
          <w:p w14:paraId="3DB2C59A"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b) apărarea;</w:t>
            </w:r>
          </w:p>
          <w:p w14:paraId="0E536AB5"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c) securitatea publică;</w:t>
            </w:r>
          </w:p>
          <w:p w14:paraId="3131595A"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d) prevenirea, investigarea, depistarea sau urmărirea penală a infracţiunilor ori executarea sancţiunilor penale, inclusiv protejarea împotriva ameninţărilor la adresa securităţii publice şi prevenirea acestora;</w:t>
            </w:r>
          </w:p>
          <w:p w14:paraId="4D3DA2FE"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e) alte obiective importante de interes public general ale Republicii Moldova, în special un interes economic sau financiar important al Republicii Moldova, inclusiv în domeniile monetar, bugetar şi fiscal şi în domeniul sănătăţii publice şi al securităţii sociale;</w:t>
            </w:r>
          </w:p>
          <w:p w14:paraId="50A2C72F"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lastRenderedPageBreak/>
              <w:t>f) protejarea independenţei judiciare şi a procedurilor judiciare;</w:t>
            </w:r>
          </w:p>
          <w:p w14:paraId="0910F0E6" w14:textId="76FFEB8A" w:rsidR="00B51A44" w:rsidRPr="005D6998" w:rsidRDefault="00B51A44" w:rsidP="00B51A44">
            <w:pPr>
              <w:tabs>
                <w:tab w:val="left" w:pos="884"/>
                <w:tab w:val="left" w:pos="1196"/>
              </w:tabs>
              <w:spacing w:after="0" w:line="240" w:lineRule="auto"/>
              <w:jc w:val="both"/>
              <w:rPr>
                <w:rFonts w:ascii="Times New Roman" w:hAnsi="Times New Roman"/>
                <w:b/>
                <w:bCs/>
              </w:rPr>
            </w:pPr>
          </w:p>
        </w:tc>
      </w:tr>
      <w:tr w:rsidR="00B51A44" w:rsidRPr="005D6998" w14:paraId="2FF8446E" w14:textId="77777777" w:rsidTr="00651F58">
        <w:trPr>
          <w:gridAfter w:val="1"/>
          <w:wAfter w:w="10" w:type="dxa"/>
          <w:trHeight w:val="105"/>
        </w:trPr>
        <w:tc>
          <w:tcPr>
            <w:tcW w:w="899" w:type="dxa"/>
            <w:gridSpan w:val="3"/>
            <w:shd w:val="clear" w:color="auto" w:fill="FFFFFF"/>
          </w:tcPr>
          <w:p w14:paraId="45FD61C0"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val="restart"/>
          </w:tcPr>
          <w:p w14:paraId="10AF82DE" w14:textId="5F950612" w:rsidR="00B51A44" w:rsidRPr="005D6998" w:rsidRDefault="00B51A44" w:rsidP="00B51A44">
            <w:pPr>
              <w:spacing w:line="240" w:lineRule="auto"/>
              <w:jc w:val="both"/>
              <w:rPr>
                <w:rFonts w:ascii="Times New Roman" w:hAnsi="Times New Roman"/>
              </w:rPr>
            </w:pPr>
            <w:r w:rsidRPr="005D6998">
              <w:rPr>
                <w:rFonts w:ascii="Times New Roman" w:hAnsi="Times New Roman"/>
                <w:b/>
                <w:bCs/>
              </w:rPr>
              <w:t xml:space="preserve">Art. </w:t>
            </w:r>
            <w:r w:rsidRPr="005D6998">
              <w:rPr>
                <w:rFonts w:ascii="Times New Roman" w:hAnsi="Times New Roman"/>
                <w:b/>
              </w:rPr>
              <w:t xml:space="preserve">II. </w:t>
            </w:r>
            <w:r w:rsidRPr="005D6998">
              <w:rPr>
                <w:rFonts w:ascii="Times New Roman" w:hAnsi="Times New Roman"/>
                <w:bCs/>
              </w:rPr>
              <w:t>Art. 4 din</w:t>
            </w:r>
            <w:r w:rsidRPr="005D6998">
              <w:rPr>
                <w:rFonts w:ascii="Times New Roman" w:hAnsi="Times New Roman"/>
                <w:b/>
              </w:rPr>
              <w:t xml:space="preserve"> Legea nr. 192/1998 privind Comisia Naţională a Pieţei Financiare </w:t>
            </w:r>
            <w:r w:rsidRPr="005D6998">
              <w:rPr>
                <w:rFonts w:ascii="Times New Roman" w:hAnsi="Times New Roman"/>
              </w:rPr>
              <w:t>se completează cu alineatul (2</w:t>
            </w:r>
            <w:r w:rsidRPr="005D6998">
              <w:rPr>
                <w:rFonts w:ascii="Times New Roman" w:hAnsi="Times New Roman"/>
                <w:vertAlign w:val="superscript"/>
              </w:rPr>
              <w:t>5</w:t>
            </w:r>
            <w:r w:rsidRPr="005D6998">
              <w:rPr>
                <w:rFonts w:ascii="Times New Roman" w:hAnsi="Times New Roman"/>
              </w:rPr>
              <w:t>)</w:t>
            </w:r>
            <w:r w:rsidRPr="005D6998">
              <w:rPr>
                <w:rFonts w:ascii="Times New Roman" w:hAnsi="Times New Roman"/>
                <w:b/>
                <w:bCs/>
              </w:rPr>
              <w:t xml:space="preserve"> </w:t>
            </w:r>
            <w:r w:rsidRPr="005D6998">
              <w:rPr>
                <w:rFonts w:ascii="Times New Roman" w:hAnsi="Times New Roman"/>
              </w:rPr>
              <w:t>cu următorul cuprins:</w:t>
            </w:r>
          </w:p>
          <w:p w14:paraId="249BED9A" w14:textId="399C3AA3" w:rsidR="00B51A44" w:rsidRPr="005D6998" w:rsidRDefault="00B51A44" w:rsidP="00B51A44">
            <w:pPr>
              <w:spacing w:after="0" w:line="240" w:lineRule="auto"/>
              <w:jc w:val="both"/>
              <w:rPr>
                <w:rFonts w:ascii="Times New Roman" w:hAnsi="Times New Roman"/>
              </w:rPr>
            </w:pPr>
            <w:r w:rsidRPr="005D6998">
              <w:rPr>
                <w:rFonts w:ascii="Times New Roman" w:hAnsi="Times New Roman"/>
              </w:rPr>
              <w:t>„(2</w:t>
            </w:r>
            <w:r w:rsidRPr="005D6998">
              <w:rPr>
                <w:rFonts w:ascii="Times New Roman" w:hAnsi="Times New Roman"/>
                <w:vertAlign w:val="superscript"/>
              </w:rPr>
              <w:t>5</w:t>
            </w:r>
            <w:r w:rsidRPr="005D6998">
              <w:rPr>
                <w:rFonts w:ascii="Times New Roman" w:hAnsi="Times New Roman"/>
              </w:rPr>
              <w:t xml:space="preserve">) Comisia Naţională autorizează, reglementează și supraveghează activitatea întreprinderilor  care desfășoară activitățile menționate la art. 3 noțiunea </w:t>
            </w:r>
            <w:r w:rsidRPr="005D6998">
              <w:rPr>
                <w:rFonts w:ascii="Times New Roman" w:hAnsi="Times New Roman"/>
                <w:i/>
              </w:rPr>
              <w:t>instituție de credit</w:t>
            </w:r>
            <w:r w:rsidRPr="005D6998">
              <w:rPr>
                <w:rFonts w:ascii="Times New Roman" w:hAnsi="Times New Roman"/>
              </w:rPr>
              <w:t xml:space="preserve">” lit. b) din Legea nr. 202/2017 privind activitatea instituțiilor de credit şi le supraveghează în conformitate cu Legea nr. 202/2017 privind activitatea instituțiilor de credit. ”. </w:t>
            </w:r>
          </w:p>
        </w:tc>
        <w:tc>
          <w:tcPr>
            <w:tcW w:w="1559" w:type="dxa"/>
            <w:gridSpan w:val="3"/>
            <w:shd w:val="clear" w:color="auto" w:fill="FFFFFF"/>
          </w:tcPr>
          <w:p w14:paraId="1D852807" w14:textId="582871F3"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CNPF</w:t>
            </w:r>
          </w:p>
          <w:p w14:paraId="185D65FE"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521E85C2" w14:textId="6EE45EEF" w:rsidR="00B51A44" w:rsidRPr="005D6998" w:rsidRDefault="00B51A44" w:rsidP="00B51A44">
            <w:pPr>
              <w:tabs>
                <w:tab w:val="left" w:pos="884"/>
                <w:tab w:val="left" w:pos="1196"/>
              </w:tabs>
              <w:spacing w:after="0" w:line="240" w:lineRule="auto"/>
              <w:jc w:val="center"/>
              <w:rPr>
                <w:rFonts w:ascii="Times New Roman" w:hAnsi="Times New Roman"/>
                <w:bCs/>
              </w:rPr>
            </w:pPr>
            <w:r w:rsidRPr="005D6998">
              <w:rPr>
                <w:rFonts w:ascii="Times New Roman" w:hAnsi="Times New Roman"/>
                <w:bCs/>
              </w:rPr>
              <w:t xml:space="preserve">Aviz nr. 03-4/2736 din 01.07.2026 </w:t>
            </w:r>
          </w:p>
          <w:p w14:paraId="0CF6E12C" w14:textId="77777777" w:rsidR="00B51A44" w:rsidRPr="005D6998" w:rsidRDefault="00B51A44" w:rsidP="00B51A44">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76291F9C" w14:textId="47FD45D5"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5861AB7"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propune expunerea Art. II din proiect în următoarea redacție: </w:t>
            </w:r>
          </w:p>
          <w:p w14:paraId="46CB554A"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„Art. II. Legea nr. 192/1998 privind Comisia Naţională a Pieţei Financiare (republicată în Monitorul Oficial al R. Moldova, 2007, nr.117-126BIS), cu modificările ulterioare, se modifică după cum urmează: </w:t>
            </w:r>
          </w:p>
          <w:p w14:paraId="2093845A"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1) la art. 4 alin. (2</w:t>
            </w:r>
            <w:r w:rsidRPr="005D6998">
              <w:rPr>
                <w:rFonts w:ascii="Times New Roman" w:hAnsi="Times New Roman"/>
                <w:vertAlign w:val="superscript"/>
              </w:rPr>
              <w:t>1</w:t>
            </w:r>
            <w:r w:rsidRPr="005D6998">
              <w:rPr>
                <w:rFonts w:ascii="Times New Roman" w:hAnsi="Times New Roman"/>
              </w:rPr>
              <w:t xml:space="preserve">) lit. d) va avea următorul cuprins: „d) instituțiile de credit, inclusiv sucursalele din străinătate ale acestora, sucursalele înființate pe teritoriul Republicii Moldova de instituțiile de credit din state membre, respectiv din state terțe, care activează în conformitate cu Legea nr. 202/2017 privind activitatea instituțiilor de credit;”; </w:t>
            </w:r>
          </w:p>
          <w:p w14:paraId="596876B4"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2) </w:t>
            </w:r>
            <w:bookmarkStart w:id="1" w:name="_Hlk234830218"/>
            <w:r w:rsidRPr="005D6998">
              <w:rPr>
                <w:rFonts w:ascii="Times New Roman" w:hAnsi="Times New Roman"/>
              </w:rPr>
              <w:t>la art. 6 alin. (1) lit. h) liniuța a opta, cuvântul „băncilor” se substituie cu cuvintele „instituțiilor de credit prevăzute la art. 3 lit. a) din Legea nr. 202/2017 privind activitatea instituțiilor de credit”.</w:t>
            </w:r>
          </w:p>
          <w:bookmarkEnd w:id="1"/>
          <w:p w14:paraId="227AF19E"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argumentează că redacția propusă asigură concordanța terminologică dintre Legea nr. 192/1998 și Legea nr. 202/2017 privind activitatea băncilor (Legea nr. 202/2017), reflectă obiectivul urmărit de autor privind armonizarea cadrului normativ național cu </w:t>
            </w:r>
            <w:r w:rsidRPr="005D6998">
              <w:rPr>
                <w:rFonts w:ascii="Times New Roman" w:hAnsi="Times New Roman"/>
              </w:rPr>
              <w:lastRenderedPageBreak/>
              <w:t>acquis-ul Uniunii Europene și evită instituirea unor norme cu caracter repetitiv, contribuind astfel la menținerea coerenței și clarității reglementării.</w:t>
            </w:r>
          </w:p>
          <w:p w14:paraId="5BD48DAB" w14:textId="77777777" w:rsidR="00B51A44" w:rsidRPr="005D6998" w:rsidRDefault="00B51A44" w:rsidP="00B51A44">
            <w:pPr>
              <w:spacing w:after="0" w:line="240" w:lineRule="auto"/>
              <w:jc w:val="both"/>
              <w:rPr>
                <w:rFonts w:ascii="Times New Roman" w:hAnsi="Times New Roman"/>
              </w:rPr>
            </w:pPr>
          </w:p>
          <w:p w14:paraId="33F55240" w14:textId="0FC42B0B" w:rsidR="00B51A44" w:rsidRPr="005D6998" w:rsidRDefault="00B51A44" w:rsidP="00B51A44">
            <w:pPr>
              <w:spacing w:after="0" w:line="240" w:lineRule="auto"/>
              <w:jc w:val="both"/>
              <w:rPr>
                <w:rFonts w:ascii="Times New Roman" w:hAnsi="Times New Roman"/>
              </w:rPr>
            </w:pPr>
            <w:r w:rsidRPr="005D6998">
              <w:rPr>
                <w:rFonts w:ascii="Times New Roman" w:hAnsi="Times New Roman"/>
              </w:rPr>
              <w:t>În opinia autorului obiecției, completarea art. 4 din Legea nr. 192/1998 cu alineatul (2</w:t>
            </w:r>
            <w:r w:rsidRPr="005D6998">
              <w:rPr>
                <w:rFonts w:ascii="Times New Roman" w:hAnsi="Times New Roman"/>
                <w:vertAlign w:val="superscript"/>
              </w:rPr>
              <w:t>5</w:t>
            </w:r>
            <w:r w:rsidRPr="005D6998">
              <w:rPr>
                <w:rFonts w:ascii="Times New Roman" w:hAnsi="Times New Roman"/>
              </w:rPr>
              <w:t xml:space="preserve">) este redundantă. Entitățile vizate de norma propusă desfășoară activități pe piața de capital și se încadrează în categoria participanților profesioniști prevăzuți la art. 4 alin. (2) din Legea nr. 192/1998. În temeiul art. 4 alin. (1), autoritatea CNPF se extinde deja asupra participanților profesioniști, inclusiv sub aspectul autorizării, reglementării și supravegherii activității acestora. Prin urmare, se arată că norma propusă nu instituie competențe noi ale CNPF, ci reproduce pentru o categorie particulară de participanți profesioniști atribuții care rezultă deja din dispozițiile art. 4 alin. (1) și (2) ale Legii nr. 192/1998. </w:t>
            </w:r>
          </w:p>
          <w:p w14:paraId="67C9D147" w14:textId="77777777" w:rsidR="00B51A44" w:rsidRPr="005D6998" w:rsidRDefault="00B51A44" w:rsidP="00B51A44">
            <w:pPr>
              <w:spacing w:after="0" w:line="240" w:lineRule="auto"/>
              <w:jc w:val="both"/>
              <w:rPr>
                <w:rFonts w:ascii="Times New Roman" w:hAnsi="Times New Roman"/>
              </w:rPr>
            </w:pPr>
          </w:p>
          <w:p w14:paraId="22AEA094" w14:textId="044BB776" w:rsidR="00B51A44" w:rsidRPr="005D6998" w:rsidRDefault="00B51A44" w:rsidP="00B51A44">
            <w:pPr>
              <w:spacing w:after="0" w:line="240" w:lineRule="auto"/>
              <w:jc w:val="both"/>
              <w:rPr>
                <w:rFonts w:ascii="Times New Roman" w:hAnsi="Times New Roman"/>
              </w:rPr>
            </w:pPr>
            <w:r w:rsidRPr="005D6998">
              <w:rPr>
                <w:rFonts w:ascii="Times New Roman" w:hAnsi="Times New Roman"/>
              </w:rPr>
              <w:t>Totodată, competențele autorității competente sunt reglementate expres și în proiectul de modificare a Legii nr. 202/2017 privind activitatea instituțiilor de credit. În aceste condiții, completarea propusă generează un paralelism normativ și urmează a fi exclusă. Totodată, având în vedere că una dintre finalitățile principale ale proiectului constă în alinierea terminologiei naționale la cadrul european de reglementare prin substituirea noțiunii de „bancă” cu noțiunea de „instituție de credit”, se consideră oportună operarea unor ajustări terminologice punctuale în Legea nr. 192/1998, doar în acest scop.</w:t>
            </w:r>
          </w:p>
        </w:tc>
        <w:tc>
          <w:tcPr>
            <w:tcW w:w="5012" w:type="dxa"/>
            <w:gridSpan w:val="3"/>
            <w:shd w:val="clear" w:color="auto" w:fill="FFFFFF"/>
          </w:tcPr>
          <w:p w14:paraId="06718C92" w14:textId="52FC1713"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w:t>
            </w:r>
          </w:p>
          <w:p w14:paraId="46AA0CF0" w14:textId="1FA38998"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Modificarea art. 4 alin. (2</w:t>
            </w:r>
            <w:r w:rsidRPr="005D6998">
              <w:rPr>
                <w:rFonts w:ascii="Times New Roman" w:hAnsi="Times New Roman"/>
                <w:vertAlign w:val="superscript"/>
              </w:rPr>
              <w:t>1</w:t>
            </w:r>
            <w:r w:rsidRPr="005D6998">
              <w:rPr>
                <w:rFonts w:ascii="Times New Roman" w:hAnsi="Times New Roman"/>
              </w:rPr>
              <w:t>) lit. d) din Legea nr. 192/1998 privind Comisia Naţională a Pieţei Financiare în partea ce vizează sucursalele din străinătate ale instituțiilor de credit din Republica Moldova, nu este justificată. Sucursalele deschise pe teritoriul altor state fac parte din instituția de credit și nu au personalitate juridică distinctă. Prin urmare, odată ce instituțiile de credit din Republica Moldova sunt incluse în categoria subiecților Legii nr. 192/1998, și sucursalele acestora, ca parte a structurii organizatorice a instituției de credit, intră în mod implicit sub incidența dispozițiilor acestei legi.</w:t>
            </w:r>
          </w:p>
          <w:p w14:paraId="23C741B1" w14:textId="77777777" w:rsidR="00B51A44" w:rsidRPr="005D6998" w:rsidRDefault="00B51A44" w:rsidP="00B51A44">
            <w:pPr>
              <w:tabs>
                <w:tab w:val="left" w:pos="884"/>
                <w:tab w:val="left" w:pos="1196"/>
              </w:tabs>
              <w:spacing w:after="0" w:line="240" w:lineRule="auto"/>
              <w:jc w:val="both"/>
              <w:rPr>
                <w:rFonts w:ascii="Times New Roman" w:hAnsi="Times New Roman"/>
              </w:rPr>
            </w:pPr>
          </w:p>
          <w:p w14:paraId="3543239E" w14:textId="47D12CCA"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Art. II din proiectul de lege va avea următorul cuprins: </w:t>
            </w:r>
            <w:r w:rsidRPr="005D6998">
              <w:rPr>
                <w:rFonts w:ascii="Times New Roman" w:hAnsi="Times New Roman"/>
                <w:lang w:val="it-CH"/>
              </w:rPr>
              <w:t xml:space="preserve">“1. </w:t>
            </w:r>
            <w:r w:rsidRPr="005D6998">
              <w:rPr>
                <w:rFonts w:ascii="Times New Roman" w:hAnsi="Times New Roman"/>
              </w:rPr>
              <w:t>Articolul 4 alineatul (2</w:t>
            </w:r>
            <w:r w:rsidRPr="005D6998">
              <w:rPr>
                <w:rFonts w:ascii="Times New Roman" w:hAnsi="Times New Roman"/>
                <w:vertAlign w:val="superscript"/>
              </w:rPr>
              <w:t>1</w:t>
            </w:r>
            <w:r w:rsidRPr="005D6998">
              <w:rPr>
                <w:rFonts w:ascii="Times New Roman" w:hAnsi="Times New Roman"/>
              </w:rPr>
              <w:t xml:space="preserve">) litera d) va avea următorul cuprins: </w:t>
            </w:r>
          </w:p>
          <w:p w14:paraId="6BBA23EF" w14:textId="77777777" w:rsidR="00B51A44" w:rsidRPr="005D6998" w:rsidRDefault="00B51A44" w:rsidP="00B51A44">
            <w:pPr>
              <w:pStyle w:val="a7"/>
              <w:spacing w:after="0" w:line="240" w:lineRule="auto"/>
              <w:ind w:left="0" w:firstLine="709"/>
              <w:jc w:val="both"/>
              <w:rPr>
                <w:rFonts w:ascii="Times New Roman" w:hAnsi="Times New Roman"/>
              </w:rPr>
            </w:pPr>
            <w:r w:rsidRPr="005D6998">
              <w:rPr>
                <w:rFonts w:ascii="Times New Roman" w:hAnsi="Times New Roman"/>
              </w:rPr>
              <w:t xml:space="preserve">„d) instituțiile de credit, sucursalele instituțiilor de credit din alte state care își desfășoară activitatea pe teritoriul Republicii Moldova, în conformitate cu Legea nr. 202/2017 privind activitatea instituțiilor de credit;”; </w:t>
            </w:r>
          </w:p>
          <w:p w14:paraId="5F018939" w14:textId="7DAA163F" w:rsidR="00B51A44" w:rsidRPr="005D6998" w:rsidRDefault="00B51A44" w:rsidP="00B51A44">
            <w:pPr>
              <w:pStyle w:val="a7"/>
              <w:spacing w:after="0" w:line="240" w:lineRule="auto"/>
              <w:ind w:left="0"/>
              <w:jc w:val="both"/>
              <w:rPr>
                <w:rFonts w:ascii="Times New Roman" w:hAnsi="Times New Roman"/>
              </w:rPr>
            </w:pPr>
            <w:r w:rsidRPr="005D6998">
              <w:rPr>
                <w:rFonts w:ascii="Times New Roman" w:hAnsi="Times New Roman"/>
              </w:rPr>
              <w:t>2. Articolul 6 la alineatul (1), litera h) liniuța a opta, cuvântul „băncilor” se substituie cu cuvintele „instituțiilor de credit prevăzute la art. 3 lit. a) din Legea nr. 202/2017 privind activitatea instituțiilor de credit”.”</w:t>
            </w:r>
          </w:p>
          <w:p w14:paraId="20531FD0" w14:textId="22E36AEA" w:rsidR="00B51A44" w:rsidRPr="005D6998" w:rsidRDefault="00B51A44" w:rsidP="00B51A44">
            <w:pPr>
              <w:spacing w:after="0" w:line="240" w:lineRule="auto"/>
              <w:jc w:val="both"/>
              <w:rPr>
                <w:rFonts w:ascii="Times New Roman" w:hAnsi="Times New Roman"/>
              </w:rPr>
            </w:pPr>
          </w:p>
        </w:tc>
      </w:tr>
      <w:tr w:rsidR="00B51A44" w:rsidRPr="005D6998" w14:paraId="3AF1B06F" w14:textId="77777777" w:rsidTr="00651F58">
        <w:trPr>
          <w:gridAfter w:val="1"/>
          <w:wAfter w:w="10" w:type="dxa"/>
          <w:trHeight w:val="105"/>
        </w:trPr>
        <w:tc>
          <w:tcPr>
            <w:tcW w:w="899" w:type="dxa"/>
            <w:gridSpan w:val="3"/>
            <w:shd w:val="clear" w:color="auto" w:fill="FFFFFF"/>
          </w:tcPr>
          <w:p w14:paraId="39286946"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tcPr>
          <w:p w14:paraId="5E5B6A36" w14:textId="77777777" w:rsidR="00B51A44" w:rsidRPr="005D6998" w:rsidRDefault="00B51A44" w:rsidP="00B51A44">
            <w:pPr>
              <w:spacing w:line="240" w:lineRule="auto"/>
              <w:jc w:val="both"/>
              <w:rPr>
                <w:rFonts w:ascii="Times New Roman" w:hAnsi="Times New Roman"/>
                <w:b/>
                <w:bCs/>
              </w:rPr>
            </w:pPr>
          </w:p>
        </w:tc>
        <w:tc>
          <w:tcPr>
            <w:tcW w:w="1559" w:type="dxa"/>
            <w:gridSpan w:val="3"/>
            <w:shd w:val="clear" w:color="auto" w:fill="FFFFFF"/>
          </w:tcPr>
          <w:p w14:paraId="3ACE3DF6"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152BD0D9"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740673E7" w14:textId="5D7750DF"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36996067" w14:textId="5A6CD35F"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18834BC"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consideră că modificarea propusă generează o lacună legislativă, întrucât art. II din proiectul de lege prevede că CNPF „autorizează, reglementează și supraveghează” instituțiile care desfășoară activități conform art. 3 lit. b) din Legea nr. 202/2017, dar nu stabilește explicit criteriile de delimitare a competenței față de BNM. </w:t>
            </w:r>
          </w:p>
          <w:p w14:paraId="35141015" w14:textId="14312520" w:rsidR="00B51A44" w:rsidRPr="005D6998" w:rsidRDefault="00B51A44" w:rsidP="00B51A44">
            <w:pPr>
              <w:spacing w:after="0" w:line="240" w:lineRule="auto"/>
              <w:jc w:val="both"/>
              <w:rPr>
                <w:rFonts w:ascii="Times New Roman" w:hAnsi="Times New Roman"/>
              </w:rPr>
            </w:pPr>
            <w:r w:rsidRPr="005D6998">
              <w:rPr>
                <w:rFonts w:ascii="Times New Roman" w:hAnsi="Times New Roman"/>
              </w:rPr>
              <w:t>Prin urmare, se consideră că există riscul de suprapunere de competențe în cazul entităților mixte. Astfel, se recomandă solicitarea unui aviz de clarificare de la BNM și CNPF.</w:t>
            </w:r>
          </w:p>
        </w:tc>
        <w:tc>
          <w:tcPr>
            <w:tcW w:w="5012" w:type="dxa"/>
            <w:gridSpan w:val="3"/>
            <w:shd w:val="clear" w:color="auto" w:fill="FFFFFF"/>
          </w:tcPr>
          <w:p w14:paraId="6ABD08CD" w14:textId="4CB47E22"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48C66FAE" w14:textId="4CE9C0A5"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Prezentul proiect a fost supus avizării din partea CNPF. </w:t>
            </w:r>
          </w:p>
          <w:p w14:paraId="5DB9C61A" w14:textId="2C70EB09"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În cazul în care o societate de investiții va îndeplini toate condițiile prevăzute la noțiunea de “instituție de credit” (tipul activităților desfășurate, valoare activelor) aceasta va cădea sub incidența competențelor CNPF, astfel cum sunt stabilite în art. 5</w:t>
            </w:r>
            <w:r w:rsidRPr="005D6998">
              <w:rPr>
                <w:rFonts w:ascii="Times New Roman" w:hAnsi="Times New Roman"/>
                <w:vertAlign w:val="superscript"/>
              </w:rPr>
              <w:t>1</w:t>
            </w:r>
            <w:r w:rsidRPr="005D6998">
              <w:rPr>
                <w:rFonts w:ascii="Times New Roman" w:hAnsi="Times New Roman"/>
              </w:rPr>
              <w:t xml:space="preserve"> propus. Luând în considerare prevederile art. 5</w:t>
            </w:r>
            <w:r w:rsidRPr="005D6998">
              <w:rPr>
                <w:rFonts w:ascii="Times New Roman" w:hAnsi="Times New Roman"/>
                <w:vertAlign w:val="superscript"/>
              </w:rPr>
              <w:t>1</w:t>
            </w:r>
            <w:r w:rsidRPr="005D6998">
              <w:rPr>
                <w:rFonts w:ascii="Times New Roman" w:hAnsi="Times New Roman"/>
              </w:rPr>
              <w:t xml:space="preserve"> alin. (5), se menționează că în îndeplinirea funcţiilor cu privire la supravegherea prudenţială și aplicarea sancţiunilor prevăzute de prezenta lege, CNPF dispune de competenţele necesare şi </w:t>
            </w:r>
            <w:r w:rsidRPr="005D6998">
              <w:rPr>
                <w:rFonts w:ascii="Times New Roman" w:hAnsi="Times New Roman"/>
                <w:b/>
                <w:bCs/>
              </w:rPr>
              <w:t>acţionează în mod independent</w:t>
            </w:r>
            <w:r w:rsidRPr="005D6998">
              <w:rPr>
                <w:rFonts w:ascii="Times New Roman" w:hAnsi="Times New Roman"/>
              </w:rPr>
              <w:t>.</w:t>
            </w:r>
          </w:p>
        </w:tc>
      </w:tr>
      <w:tr w:rsidR="00B51A44" w:rsidRPr="005D6998" w14:paraId="5D660AD0" w14:textId="77777777" w:rsidTr="00651F58">
        <w:trPr>
          <w:gridAfter w:val="1"/>
          <w:wAfter w:w="10" w:type="dxa"/>
          <w:trHeight w:val="105"/>
        </w:trPr>
        <w:tc>
          <w:tcPr>
            <w:tcW w:w="15734" w:type="dxa"/>
            <w:gridSpan w:val="14"/>
            <w:shd w:val="clear" w:color="auto" w:fill="FFFFFF"/>
          </w:tcPr>
          <w:p w14:paraId="185DB143" w14:textId="0652540F"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Obiecții și obiecții cu caracter general</w:t>
            </w:r>
          </w:p>
        </w:tc>
      </w:tr>
      <w:tr w:rsidR="00B51A44" w:rsidRPr="005D6998" w14:paraId="2E1EEF88" w14:textId="77777777" w:rsidTr="00651F58">
        <w:trPr>
          <w:gridAfter w:val="1"/>
          <w:wAfter w:w="10" w:type="dxa"/>
          <w:trHeight w:val="105"/>
        </w:trPr>
        <w:tc>
          <w:tcPr>
            <w:tcW w:w="899" w:type="dxa"/>
            <w:gridSpan w:val="3"/>
            <w:vMerge w:val="restart"/>
            <w:shd w:val="clear" w:color="auto" w:fill="FFFFFF"/>
          </w:tcPr>
          <w:p w14:paraId="756C2E4F"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val="restart"/>
            <w:shd w:val="clear" w:color="auto" w:fill="FFFFFF"/>
          </w:tcPr>
          <w:p w14:paraId="7A92DE4D" w14:textId="77777777" w:rsidR="00B51A44" w:rsidRPr="005D6998" w:rsidRDefault="00B51A44" w:rsidP="00B51A44">
            <w:pPr>
              <w:tabs>
                <w:tab w:val="left" w:pos="426"/>
              </w:tabs>
              <w:spacing w:after="160" w:line="240" w:lineRule="auto"/>
              <w:jc w:val="both"/>
              <w:rPr>
                <w:rFonts w:ascii="Times New Roman" w:hAnsi="Times New Roman"/>
              </w:rPr>
            </w:pPr>
            <w:r w:rsidRPr="005D6998">
              <w:rPr>
                <w:rFonts w:ascii="Times New Roman" w:hAnsi="Times New Roman"/>
                <w:b/>
                <w:bCs/>
              </w:rPr>
              <w:t xml:space="preserve">Art. III. Legea nr. 202/2017 privind activitatea băncilor </w:t>
            </w:r>
            <w:r w:rsidRPr="005D6998">
              <w:rPr>
                <w:rFonts w:ascii="Times New Roman" w:hAnsi="Times New Roman"/>
              </w:rPr>
              <w:t xml:space="preserve">(Monitorul Oficial al Republicii Moldova, 2017, nr.434–439, art.727), cu modificările ulterioare, se modifică după cum urmează: </w:t>
            </w:r>
          </w:p>
          <w:p w14:paraId="57142892" w14:textId="77777777" w:rsidR="00B51A44" w:rsidRPr="005D6998" w:rsidRDefault="00B51A44" w:rsidP="00B51A44">
            <w:pPr>
              <w:tabs>
                <w:tab w:val="left" w:pos="284"/>
              </w:tabs>
              <w:spacing w:after="0" w:line="240" w:lineRule="auto"/>
              <w:jc w:val="center"/>
              <w:rPr>
                <w:rFonts w:ascii="Times New Roman" w:hAnsi="Times New Roman"/>
              </w:rPr>
            </w:pPr>
          </w:p>
          <w:p w14:paraId="6B5B09AE" w14:textId="77777777" w:rsidR="00B51A44" w:rsidRPr="005D6998" w:rsidRDefault="00B51A44" w:rsidP="00B51A44">
            <w:pPr>
              <w:tabs>
                <w:tab w:val="left" w:pos="284"/>
              </w:tabs>
              <w:spacing w:after="0" w:line="240" w:lineRule="auto"/>
              <w:rPr>
                <w:rFonts w:ascii="Times New Roman" w:hAnsi="Times New Roman"/>
              </w:rPr>
            </w:pPr>
          </w:p>
          <w:p w14:paraId="52397FA3" w14:textId="72671CFC" w:rsidR="00B51A44" w:rsidRPr="005D6998" w:rsidRDefault="00B51A44" w:rsidP="00B51A44">
            <w:pPr>
              <w:tabs>
                <w:tab w:val="left" w:pos="284"/>
              </w:tabs>
              <w:spacing w:after="0" w:line="240" w:lineRule="auto"/>
              <w:rPr>
                <w:rFonts w:ascii="Times New Roman" w:hAnsi="Times New Roman"/>
              </w:rPr>
            </w:pPr>
          </w:p>
        </w:tc>
        <w:tc>
          <w:tcPr>
            <w:tcW w:w="1559" w:type="dxa"/>
            <w:gridSpan w:val="3"/>
            <w:shd w:val="clear" w:color="auto" w:fill="FFFFFF"/>
          </w:tcPr>
          <w:p w14:paraId="20E98C8F" w14:textId="77777777" w:rsidR="00B51A44" w:rsidRPr="005D6998" w:rsidRDefault="00B51A44" w:rsidP="00B51A44">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02E282A2" w14:textId="2DFCB4BC" w:rsidR="00B51A44" w:rsidRPr="005D6998" w:rsidRDefault="00B51A44" w:rsidP="00B51A44">
            <w:pPr>
              <w:tabs>
                <w:tab w:val="left" w:pos="884"/>
                <w:tab w:val="left" w:pos="1196"/>
              </w:tabs>
              <w:spacing w:after="0" w:line="240" w:lineRule="auto"/>
              <w:jc w:val="center"/>
              <w:rPr>
                <w:rFonts w:ascii="Times New Roman" w:hAnsi="Times New Roman"/>
              </w:rPr>
            </w:pPr>
            <w:r w:rsidRPr="005D6998">
              <w:rPr>
                <w:rFonts w:ascii="Times New Roman" w:hAnsi="Times New Roman"/>
              </w:rPr>
              <w:t>Aviz nr. 01/2-30-1015 din 19 iunie 2026</w:t>
            </w:r>
          </w:p>
        </w:tc>
        <w:tc>
          <w:tcPr>
            <w:tcW w:w="426" w:type="dxa"/>
            <w:shd w:val="clear" w:color="auto" w:fill="FFFFFF"/>
          </w:tcPr>
          <w:p w14:paraId="46BA4257" w14:textId="1BF5B8EF"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BA65DE0" w14:textId="37872D35" w:rsidR="00B51A44" w:rsidRPr="005D6998" w:rsidRDefault="00B51A44" w:rsidP="00B51A44">
            <w:pPr>
              <w:spacing w:after="0" w:line="240" w:lineRule="auto"/>
              <w:jc w:val="both"/>
              <w:rPr>
                <w:rFonts w:ascii="Times New Roman" w:hAnsi="Times New Roman"/>
              </w:rPr>
            </w:pPr>
            <w:r w:rsidRPr="005D6998">
              <w:rPr>
                <w:rFonts w:ascii="Times New Roman" w:hAnsi="Times New Roman"/>
              </w:rPr>
              <w:t>Se propune ca toate referințele din proiect să fie uniformizate și substituite cu denumirea corectă: „Serviciul Prevenirea și Combaterea Spălării Banilor”.</w:t>
            </w:r>
          </w:p>
          <w:p w14:paraId="26825A1F" w14:textId="77777777" w:rsidR="00B51A44" w:rsidRPr="005D6998" w:rsidRDefault="00B51A44" w:rsidP="00B51A44">
            <w:pPr>
              <w:spacing w:after="0" w:line="240" w:lineRule="auto"/>
              <w:jc w:val="both"/>
              <w:rPr>
                <w:rFonts w:ascii="Times New Roman" w:hAnsi="Times New Roman"/>
              </w:rPr>
            </w:pPr>
          </w:p>
          <w:p w14:paraId="728FD401" w14:textId="7E79ECE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Se constată că în mai multe norme ale proiectului este utilizată sintagma „Serviciul Prevenirea și Combaterea Spălării Banilor și Finanțării Terorismului”, ceea ce este incorect din punct de vedere juridico-instituțional, întrucât denumirea autorității este „Serviciul Prevenirea și Combaterea Spălării Banilor”, iar menționarea distinctă „și Finanțării Terorismului”, nu corespunde denumirii oficiale.</w:t>
            </w:r>
          </w:p>
        </w:tc>
        <w:tc>
          <w:tcPr>
            <w:tcW w:w="5012" w:type="dxa"/>
            <w:gridSpan w:val="3"/>
            <w:shd w:val="clear" w:color="auto" w:fill="FFFFFF"/>
          </w:tcPr>
          <w:p w14:paraId="2838B309" w14:textId="77777777"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12C51763" w14:textId="38C488A9"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S-au modificat referințele la pct. 35, 42, 95.</w:t>
            </w:r>
          </w:p>
        </w:tc>
      </w:tr>
      <w:tr w:rsidR="00B51A44" w:rsidRPr="005D6998" w14:paraId="5B6E0051" w14:textId="77777777" w:rsidTr="00651F58">
        <w:trPr>
          <w:gridAfter w:val="1"/>
          <w:wAfter w:w="10" w:type="dxa"/>
          <w:trHeight w:val="105"/>
        </w:trPr>
        <w:tc>
          <w:tcPr>
            <w:tcW w:w="899" w:type="dxa"/>
            <w:gridSpan w:val="3"/>
            <w:vMerge/>
            <w:shd w:val="clear" w:color="auto" w:fill="FFFFFF"/>
          </w:tcPr>
          <w:p w14:paraId="16AD145A" w14:textId="77777777" w:rsidR="00B51A44" w:rsidRPr="005D6998" w:rsidRDefault="00B51A44" w:rsidP="00B51A44">
            <w:p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08F27560" w14:textId="77777777" w:rsidR="00B51A44" w:rsidRPr="005D6998" w:rsidRDefault="00B51A44" w:rsidP="00B51A44">
            <w:pPr>
              <w:tabs>
                <w:tab w:val="left" w:pos="284"/>
              </w:tabs>
              <w:spacing w:after="0" w:line="240" w:lineRule="auto"/>
              <w:jc w:val="both"/>
              <w:rPr>
                <w:rFonts w:ascii="Times New Roman" w:hAnsi="Times New Roman"/>
              </w:rPr>
            </w:pPr>
          </w:p>
        </w:tc>
        <w:tc>
          <w:tcPr>
            <w:tcW w:w="1559" w:type="dxa"/>
            <w:gridSpan w:val="3"/>
            <w:shd w:val="clear" w:color="auto" w:fill="FFFFFF"/>
          </w:tcPr>
          <w:p w14:paraId="732CE729" w14:textId="77777777" w:rsidR="00B51A44" w:rsidRPr="005D6998" w:rsidRDefault="00B51A44" w:rsidP="00B51A44">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588D8B96" w14:textId="03CC64B3" w:rsidR="00B51A44" w:rsidRPr="005D6998" w:rsidRDefault="00B51A44" w:rsidP="00B51A44">
            <w:pPr>
              <w:tabs>
                <w:tab w:val="left" w:pos="884"/>
                <w:tab w:val="left" w:pos="1196"/>
              </w:tabs>
              <w:spacing w:after="0" w:line="240" w:lineRule="auto"/>
              <w:jc w:val="center"/>
              <w:rPr>
                <w:rFonts w:ascii="Times New Roman" w:hAnsi="Times New Roman"/>
                <w:b/>
                <w:bCs/>
              </w:rPr>
            </w:pPr>
            <w:r w:rsidRPr="005D6998">
              <w:rPr>
                <w:rFonts w:ascii="Times New Roman" w:hAnsi="Times New Roman"/>
              </w:rPr>
              <w:t>Aviz nr. 01/2-30-1015 din 19 iunie 2026</w:t>
            </w:r>
          </w:p>
        </w:tc>
        <w:tc>
          <w:tcPr>
            <w:tcW w:w="426" w:type="dxa"/>
            <w:shd w:val="clear" w:color="auto" w:fill="FFFFFF"/>
          </w:tcPr>
          <w:p w14:paraId="4930DDAC" w14:textId="3CC45EFF"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DD8AF69" w14:textId="79BEA4B5"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propune ca în normele proiectului care fac trimitere la supravegherea în domeniul prevenirii și combaterii spălării banilor și finanțării terorismului, sintagmele „autoritatea responsabilă cu supravegherea”, „autoritățile responsabile cu supravegherea” și formulele similare urmează a fi substituite, după caz, cu „organul cu funcții de </w:t>
            </w:r>
            <w:r w:rsidRPr="005D6998">
              <w:rPr>
                <w:rFonts w:ascii="Times New Roman" w:hAnsi="Times New Roman"/>
              </w:rPr>
              <w:lastRenderedPageBreak/>
              <w:t>supraveghere” sau „organele cu funcții de supraveghere”, în sensul Legii nr. 308/2017.</w:t>
            </w:r>
          </w:p>
          <w:p w14:paraId="79FB5FB6" w14:textId="77777777" w:rsidR="00B51A44" w:rsidRPr="005D6998" w:rsidRDefault="00B51A44" w:rsidP="00B51A44">
            <w:pPr>
              <w:spacing w:after="0" w:line="240" w:lineRule="auto"/>
              <w:jc w:val="both"/>
              <w:rPr>
                <w:rFonts w:ascii="Times New Roman" w:hAnsi="Times New Roman"/>
              </w:rPr>
            </w:pPr>
          </w:p>
          <w:p w14:paraId="72B4E3B3" w14:textId="282D8A2A"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Propunerea se bazează pe faptul că proiectul utilizează neuniform sintagmele „autoritatea responsabilă cu supravegherea combaterii spălării banilor sau a finanțării terorismului”, „autoritățile responsabile cu supravegherea” sau formule similare. În măsura în care aceste sintagme vizează cadrul instituit prin Legea nr. 308/2017, terminologia consacrată este „organe cu funcții de supraveghere”, astfel că utilizarea unei alte formule poate genera necorelări normative și incertitudine cu privire la subiectele vizate, în special având în vedere că Legea nr. 308/2017 stabilește expres categoriile de organe cu funcții de supraveghere în raport cu entitățile raportoare. </w:t>
            </w:r>
          </w:p>
        </w:tc>
        <w:tc>
          <w:tcPr>
            <w:tcW w:w="5012" w:type="dxa"/>
            <w:gridSpan w:val="3"/>
            <w:shd w:val="clear" w:color="auto" w:fill="FFFFFF"/>
          </w:tcPr>
          <w:p w14:paraId="0E89222C" w14:textId="77777777"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w:t>
            </w:r>
          </w:p>
          <w:p w14:paraId="20905087" w14:textId="5F97A302"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rPr>
              <w:t>Pe tot parcursul proiectului, sintagma</w:t>
            </w:r>
            <w:r w:rsidRPr="005D6998">
              <w:rPr>
                <w:rFonts w:ascii="Times New Roman" w:hAnsi="Times New Roman"/>
                <w:b/>
                <w:bCs/>
              </w:rPr>
              <w:t xml:space="preserve"> “</w:t>
            </w:r>
            <w:r w:rsidRPr="005D6998">
              <w:rPr>
                <w:rFonts w:ascii="Times New Roman" w:hAnsi="Times New Roman"/>
              </w:rPr>
              <w:t>autoritatea responsabilă cu supravegherea” în orice formă gramaticală  a fost înlocuită cu „organul cu funcții de supraveghere”.</w:t>
            </w:r>
          </w:p>
        </w:tc>
      </w:tr>
      <w:tr w:rsidR="00B51A44" w:rsidRPr="005D6998" w14:paraId="172E3978" w14:textId="77777777" w:rsidTr="00651F58">
        <w:trPr>
          <w:gridAfter w:val="1"/>
          <w:wAfter w:w="10" w:type="dxa"/>
          <w:trHeight w:val="105"/>
        </w:trPr>
        <w:tc>
          <w:tcPr>
            <w:tcW w:w="899" w:type="dxa"/>
            <w:gridSpan w:val="3"/>
            <w:shd w:val="clear" w:color="auto" w:fill="FFFFFF"/>
          </w:tcPr>
          <w:p w14:paraId="6F3E157C"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3BCB3606" w14:textId="77777777" w:rsidR="00B51A44" w:rsidRPr="005D6998" w:rsidRDefault="00B51A44" w:rsidP="00B51A44">
            <w:pPr>
              <w:tabs>
                <w:tab w:val="left" w:pos="426"/>
              </w:tabs>
              <w:spacing w:after="160" w:line="240" w:lineRule="auto"/>
              <w:jc w:val="both"/>
              <w:rPr>
                <w:rFonts w:ascii="Times New Roman" w:hAnsi="Times New Roman"/>
              </w:rPr>
            </w:pPr>
          </w:p>
        </w:tc>
        <w:tc>
          <w:tcPr>
            <w:tcW w:w="1559" w:type="dxa"/>
            <w:gridSpan w:val="3"/>
            <w:shd w:val="clear" w:color="auto" w:fill="FFFFFF"/>
          </w:tcPr>
          <w:p w14:paraId="144814FF"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2C5A2439"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7DE4674E" w14:textId="04056786"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3E5C2774" w14:textId="547D42FD"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F3D2EB0"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Se solicită clarificarea în mod expres dacă termenul „membru al personalului” din regulament este utilizat ca sinonim complet pentru termenul „salariat” sau dacă acesta definește o categorie distinctă, de exemplu personalul identificat.</w:t>
            </w:r>
          </w:p>
          <w:p w14:paraId="70625A64" w14:textId="5C721205"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arată că în textul modificat al Legii nr. 202/2017, termenul „angajat” a fost înlocuit cu termenul „salariat”. În același timp, în cuprinsul Regulamentului nr. 322 se regăsește noțiunea de „membru al personalului”. </w:t>
            </w:r>
          </w:p>
        </w:tc>
        <w:tc>
          <w:tcPr>
            <w:tcW w:w="5012" w:type="dxa"/>
            <w:gridSpan w:val="3"/>
            <w:shd w:val="clear" w:color="auto" w:fill="FFFFFF"/>
          </w:tcPr>
          <w:p w14:paraId="1373EC57" w14:textId="35F41E13"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72229CAC" w14:textId="669E54D0"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Se precizează că proiectul utilizează în mod deliberat două noțiuni distincte: </w:t>
            </w:r>
            <w:r w:rsidRPr="005D6998">
              <w:rPr>
                <w:rFonts w:ascii="Times New Roman" w:hAnsi="Times New Roman"/>
                <w:b/>
                <w:bCs/>
                <w:lang w:val="ro-MD"/>
              </w:rPr>
              <w:t>„salariat”</w:t>
            </w:r>
            <w:r w:rsidRPr="005D6998">
              <w:rPr>
                <w:rFonts w:ascii="Times New Roman" w:hAnsi="Times New Roman"/>
                <w:lang w:val="ro-MD"/>
              </w:rPr>
              <w:t xml:space="preserve"> și </w:t>
            </w:r>
            <w:r w:rsidRPr="005D6998">
              <w:rPr>
                <w:rFonts w:ascii="Times New Roman" w:hAnsi="Times New Roman"/>
                <w:b/>
                <w:bCs/>
                <w:lang w:val="ro-MD"/>
              </w:rPr>
              <w:t>„membru al personalului”</w:t>
            </w:r>
            <w:r w:rsidRPr="005D6998">
              <w:rPr>
                <w:rFonts w:ascii="Times New Roman" w:hAnsi="Times New Roman"/>
                <w:lang w:val="ro-MD"/>
              </w:rPr>
              <w:t>, fiecare având un câmp de aplicare diferit.</w:t>
            </w:r>
          </w:p>
          <w:p w14:paraId="7C0C2955" w14:textId="77777777" w:rsidR="00B51A44" w:rsidRPr="005D6998" w:rsidRDefault="00B51A44" w:rsidP="00B51A44">
            <w:pPr>
              <w:tabs>
                <w:tab w:val="left" w:pos="884"/>
                <w:tab w:val="left" w:pos="1196"/>
              </w:tabs>
              <w:spacing w:after="0" w:line="240" w:lineRule="auto"/>
              <w:jc w:val="both"/>
              <w:rPr>
                <w:rFonts w:ascii="Times New Roman" w:hAnsi="Times New Roman"/>
                <w:lang w:val="ro-MD"/>
              </w:rPr>
            </w:pPr>
          </w:p>
          <w:p w14:paraId="08329296" w14:textId="3BE08793"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Respectiv, noțiunea de “membru al personalului” are un sens autonom și desemnează o categorie distinctă de personal identificat, formată din persoanele ale căror activități profesionale au un impact semnificativ asupra profilului de risc al instituției de credit (art. 39 alin. 1</w:t>
            </w:r>
            <w:r w:rsidRPr="005D6998">
              <w:rPr>
                <w:rFonts w:ascii="Times New Roman" w:hAnsi="Times New Roman"/>
                <w:vertAlign w:val="superscript"/>
                <w:lang w:val="ro-MD"/>
              </w:rPr>
              <w:t>1</w:t>
            </w:r>
            <w:r w:rsidRPr="005D6998">
              <w:rPr>
                <w:rFonts w:ascii="Times New Roman" w:hAnsi="Times New Roman"/>
                <w:lang w:val="ro-MD"/>
              </w:rPr>
              <w:t>). Astfel, termenul „membru al personalului” are un caracter prudențial, în timp ce noțiunea de „salariat” are semnificația generală specifică dreptului muncii, înlocuind termenul de “angajat” din legea în vigoare.</w:t>
            </w:r>
          </w:p>
        </w:tc>
      </w:tr>
      <w:tr w:rsidR="00B51A44" w:rsidRPr="005D6998" w14:paraId="5A6E1301" w14:textId="77777777" w:rsidTr="00651F58">
        <w:trPr>
          <w:gridAfter w:val="1"/>
          <w:wAfter w:w="10" w:type="dxa"/>
          <w:trHeight w:val="105"/>
        </w:trPr>
        <w:tc>
          <w:tcPr>
            <w:tcW w:w="15734" w:type="dxa"/>
            <w:gridSpan w:val="14"/>
            <w:shd w:val="clear" w:color="auto" w:fill="FFFFFF"/>
          </w:tcPr>
          <w:p w14:paraId="21C33FAA" w14:textId="555011A4" w:rsidR="00B51A44" w:rsidRPr="005D6998" w:rsidRDefault="00B51A44" w:rsidP="00A94E86">
            <w:pPr>
              <w:pStyle w:val="a7"/>
              <w:numPr>
                <w:ilvl w:val="0"/>
                <w:numId w:val="25"/>
              </w:numPr>
              <w:tabs>
                <w:tab w:val="left" w:pos="426"/>
              </w:tabs>
              <w:spacing w:after="160" w:line="240" w:lineRule="auto"/>
              <w:jc w:val="both"/>
              <w:rPr>
                <w:rFonts w:ascii="Times New Roman" w:hAnsi="Times New Roman"/>
              </w:rPr>
            </w:pPr>
            <w:r w:rsidRPr="005D6998">
              <w:rPr>
                <w:rFonts w:ascii="Times New Roman" w:hAnsi="Times New Roman"/>
                <w:b/>
                <w:bCs/>
              </w:rPr>
              <w:t xml:space="preserve">Art. III. Legea nr. 202/2017 privind activitatea băncilor </w:t>
            </w:r>
            <w:r w:rsidRPr="005D6998">
              <w:rPr>
                <w:rFonts w:ascii="Times New Roman" w:hAnsi="Times New Roman"/>
              </w:rPr>
              <w:t xml:space="preserve">(Monitorul Oficial al Republicii Moldova, 2017, nr.434–439, art.727), cu modificările ulterioare, se modifică după cum urmează: </w:t>
            </w:r>
          </w:p>
        </w:tc>
      </w:tr>
      <w:tr w:rsidR="00B51A44" w:rsidRPr="005D6998" w14:paraId="10BC7D23" w14:textId="77777777" w:rsidTr="00651F58">
        <w:trPr>
          <w:gridAfter w:val="1"/>
          <w:wAfter w:w="10" w:type="dxa"/>
          <w:trHeight w:val="105"/>
        </w:trPr>
        <w:tc>
          <w:tcPr>
            <w:tcW w:w="899" w:type="dxa"/>
            <w:gridSpan w:val="3"/>
            <w:shd w:val="clear" w:color="auto" w:fill="FFFFFF"/>
          </w:tcPr>
          <w:p w14:paraId="3F0FF4CB"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22EE22A" w14:textId="47D8779C" w:rsidR="00B51A44" w:rsidRPr="005D6998" w:rsidRDefault="00B51A44" w:rsidP="00B51A44">
            <w:pPr>
              <w:tabs>
                <w:tab w:val="left" w:pos="426"/>
              </w:tabs>
              <w:spacing w:after="160" w:line="240" w:lineRule="auto"/>
              <w:jc w:val="both"/>
              <w:rPr>
                <w:rFonts w:ascii="Times New Roman" w:hAnsi="Times New Roman"/>
                <w:b/>
                <w:bCs/>
              </w:rPr>
            </w:pPr>
            <w:r w:rsidRPr="005D6998">
              <w:rPr>
                <w:rFonts w:ascii="Times New Roman" w:hAnsi="Times New Roman"/>
                <w:b/>
                <w:bCs/>
              </w:rPr>
              <w:t>1.</w:t>
            </w:r>
            <w:r w:rsidRPr="005D6998">
              <w:rPr>
                <w:rFonts w:ascii="Times New Roman" w:hAnsi="Times New Roman"/>
              </w:rPr>
              <w:t xml:space="preserve"> În denumirea legii și în tot cuprinsul legii, cuvântul „bancă”, la orice formă gramaticală, se substituie cu cuvântul „instituție de credit” la forma gramaticală corespunzătoare, cuvintele „licență” și „licențiere”, la orice formă gramaticală se substituie cu cuvintele „autorizație”, respectiv „autorizare”, la forma gramaticală corespunzătoare iar cuvintele „societate financiară nonbancară” la orice formă gramaticală se substituie cu cuvintele „instituție financiară”, la forma gramaticală corespunzătoare.</w:t>
            </w:r>
          </w:p>
        </w:tc>
        <w:tc>
          <w:tcPr>
            <w:tcW w:w="1559" w:type="dxa"/>
            <w:gridSpan w:val="3"/>
            <w:shd w:val="clear" w:color="auto" w:fill="FFFFFF"/>
          </w:tcPr>
          <w:p w14:paraId="2A19689B"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2BCEC153"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3BA75DF8" w14:textId="51929B99"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1ECCBE79" w14:textId="647FC265"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2FB3F775" w14:textId="051EA71D" w:rsidR="00B51A44" w:rsidRPr="005D6998" w:rsidRDefault="00B51A44" w:rsidP="00B51A44">
            <w:pPr>
              <w:spacing w:after="0" w:line="240" w:lineRule="auto"/>
              <w:jc w:val="both"/>
              <w:rPr>
                <w:rFonts w:ascii="Times New Roman" w:hAnsi="Times New Roman"/>
              </w:rPr>
            </w:pPr>
            <w:r w:rsidRPr="005D6998">
              <w:rPr>
                <w:rFonts w:ascii="Times New Roman" w:hAnsi="Times New Roman"/>
              </w:rPr>
              <w:t>În ceea ce privește substituirea cuvântului „bancă”, la orice formă gramaticală, cu sintagma „instituție de credit”, se consideră că există un risc terminologic, întrucât substituirea generalizată poate duce la ambiguități de interpretare, la alterarea sferei de aplicare a anumitor dispoziții legale și, implicit, la dificultăți în implementarea și aplicarea coerentă a cadrului normativ.</w:t>
            </w:r>
          </w:p>
        </w:tc>
        <w:tc>
          <w:tcPr>
            <w:tcW w:w="5012" w:type="dxa"/>
            <w:gridSpan w:val="3"/>
            <w:shd w:val="clear" w:color="auto" w:fill="FFFFFF"/>
          </w:tcPr>
          <w:p w14:paraId="5458D3E2" w14:textId="77777777"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050CB557" w14:textId="3E905415"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Înlocuirea termenului „bancă” cu cel de „instituție de credit” constituie o măsură necesară pentru transpunerea fidelă a terminologiei utilizate în Directiva 2013/36/UE și pentru menținerea coerenței conceptuale a cadrului normativ național cu acquis-ul Uniunii Europene. De asemenea, preluarea termenului respectiv este esențială și din perspectiva faptului că acesta este termenul juridic consacrat, inclusiv în cadrul regulamentelor europene, care vor fi de directă aplicare începând cu data aderării. </w:t>
            </w:r>
          </w:p>
          <w:p w14:paraId="262912A1" w14:textId="3E1099D6" w:rsidR="00B51A44" w:rsidRPr="005D6998" w:rsidRDefault="00B51A44" w:rsidP="00B51A44">
            <w:pPr>
              <w:tabs>
                <w:tab w:val="left" w:pos="884"/>
                <w:tab w:val="left" w:pos="1196"/>
              </w:tabs>
              <w:spacing w:after="0" w:line="240" w:lineRule="auto"/>
              <w:jc w:val="both"/>
              <w:rPr>
                <w:rFonts w:ascii="Times New Roman" w:hAnsi="Times New Roman"/>
                <w:lang w:val="it-CH"/>
              </w:rPr>
            </w:pPr>
            <w:r w:rsidRPr="005D6998">
              <w:rPr>
                <w:rFonts w:ascii="Times New Roman" w:hAnsi="Times New Roman"/>
                <w:lang w:val="ro-MD"/>
              </w:rPr>
              <w:t xml:space="preserve">În cadrul Art. IV, ca dispoziție tranzitorie, a fost introdus alin. (6) prin care se face precizarea că orice referire la termenul de </w:t>
            </w:r>
            <w:r w:rsidRPr="005D6998">
              <w:rPr>
                <w:rFonts w:ascii="Times New Roman" w:hAnsi="Times New Roman"/>
                <w:lang w:val="it-CH"/>
              </w:rPr>
              <w:t>“banc</w:t>
            </w:r>
            <w:r w:rsidRPr="005D6998">
              <w:rPr>
                <w:rFonts w:ascii="Times New Roman" w:hAnsi="Times New Roman"/>
              </w:rPr>
              <w:t>ă</w:t>
            </w:r>
            <w:r w:rsidRPr="005D6998">
              <w:rPr>
                <w:rFonts w:ascii="Times New Roman" w:hAnsi="Times New Roman"/>
                <w:lang w:val="it-CH"/>
              </w:rPr>
              <w:t>” la data intrării în vigoare a legii, se va consdera ca referire la termenul de ”</w:t>
            </w:r>
            <w:r w:rsidRPr="005D6998">
              <w:rPr>
                <w:rFonts w:ascii="Times New Roman" w:hAnsi="Times New Roman"/>
              </w:rPr>
              <w:t>instituție de credit</w:t>
            </w:r>
            <w:r w:rsidRPr="005D6998">
              <w:rPr>
                <w:rFonts w:ascii="Times New Roman" w:hAnsi="Times New Roman"/>
                <w:lang w:val="it-CH"/>
              </w:rPr>
              <w:t>” în sensul prevăzut la art. 3 (noțiuni).</w:t>
            </w:r>
          </w:p>
        </w:tc>
      </w:tr>
      <w:tr w:rsidR="00B51A44" w:rsidRPr="005D6998" w14:paraId="55CD1C91" w14:textId="77777777" w:rsidTr="00651F58">
        <w:trPr>
          <w:gridAfter w:val="1"/>
          <w:wAfter w:w="10" w:type="dxa"/>
          <w:trHeight w:val="105"/>
        </w:trPr>
        <w:tc>
          <w:tcPr>
            <w:tcW w:w="899" w:type="dxa"/>
            <w:gridSpan w:val="3"/>
            <w:shd w:val="clear" w:color="auto" w:fill="FFFFFF"/>
          </w:tcPr>
          <w:p w14:paraId="36530990" w14:textId="77777777" w:rsidR="00B51A44" w:rsidRPr="005D6998" w:rsidRDefault="00B51A44" w:rsidP="00B51A44">
            <w:pPr>
              <w:tabs>
                <w:tab w:val="left" w:pos="884"/>
                <w:tab w:val="left" w:pos="1196"/>
              </w:tabs>
              <w:spacing w:after="0" w:line="240" w:lineRule="auto"/>
              <w:jc w:val="both"/>
              <w:rPr>
                <w:rFonts w:ascii="Times New Roman" w:hAnsi="Times New Roman"/>
                <w:b/>
              </w:rPr>
            </w:pPr>
          </w:p>
        </w:tc>
        <w:tc>
          <w:tcPr>
            <w:tcW w:w="3637" w:type="dxa"/>
            <w:shd w:val="clear" w:color="auto" w:fill="FFFFFF"/>
          </w:tcPr>
          <w:p w14:paraId="7B88DE12" w14:textId="77777777" w:rsidR="009226C5" w:rsidRPr="005D6998" w:rsidRDefault="009226C5" w:rsidP="009226C5">
            <w:pPr>
              <w:tabs>
                <w:tab w:val="left" w:pos="284"/>
              </w:tabs>
              <w:spacing w:after="160" w:line="240" w:lineRule="auto"/>
              <w:jc w:val="both"/>
              <w:rPr>
                <w:rFonts w:ascii="Times New Roman" w:hAnsi="Times New Roman"/>
              </w:rPr>
            </w:pPr>
            <w:r w:rsidRPr="005D6998">
              <w:rPr>
                <w:rFonts w:ascii="Times New Roman" w:hAnsi="Times New Roman"/>
                <w:b/>
                <w:bCs/>
              </w:rPr>
              <w:t>3.</w:t>
            </w:r>
            <w:r w:rsidRPr="005D6998">
              <w:rPr>
                <w:rFonts w:ascii="Times New Roman" w:hAnsi="Times New Roman"/>
              </w:rPr>
              <w:t xml:space="preserve"> Articolul 1:</w:t>
            </w:r>
          </w:p>
          <w:p w14:paraId="4CBC5DE9" w14:textId="77777777" w:rsidR="009226C5" w:rsidRPr="005D6998" w:rsidRDefault="009226C5" w:rsidP="009226C5">
            <w:pPr>
              <w:tabs>
                <w:tab w:val="left" w:pos="284"/>
              </w:tabs>
              <w:spacing w:after="160" w:line="240" w:lineRule="auto"/>
              <w:jc w:val="both"/>
              <w:rPr>
                <w:rFonts w:ascii="Times New Roman" w:hAnsi="Times New Roman"/>
              </w:rPr>
            </w:pPr>
            <w:r w:rsidRPr="005D6998">
              <w:rPr>
                <w:rFonts w:ascii="Times New Roman" w:hAnsi="Times New Roman"/>
              </w:rPr>
              <w:t xml:space="preserve"> la litera c), după cuvintele „Banca Naţională a Moldovei” se completează cu textul „și, corespunzător, Comisia Națională  Pieței Financiare”;</w:t>
            </w:r>
          </w:p>
          <w:p w14:paraId="716B99C5" w14:textId="77777777" w:rsidR="009226C5" w:rsidRPr="005D6998" w:rsidRDefault="009226C5" w:rsidP="009226C5">
            <w:pPr>
              <w:spacing w:after="0" w:line="240" w:lineRule="auto"/>
              <w:jc w:val="both"/>
              <w:rPr>
                <w:rFonts w:ascii="Times New Roman" w:hAnsi="Times New Roman"/>
              </w:rPr>
            </w:pPr>
            <w:r w:rsidRPr="005D6998">
              <w:rPr>
                <w:rFonts w:ascii="Times New Roman" w:hAnsi="Times New Roman"/>
              </w:rPr>
              <w:t>se completează cu litera f) cu următorul cuprins:</w:t>
            </w:r>
          </w:p>
          <w:p w14:paraId="47F70A82" w14:textId="77777777" w:rsidR="009226C5" w:rsidRPr="005D6998" w:rsidRDefault="009226C5" w:rsidP="009226C5">
            <w:pPr>
              <w:spacing w:line="240" w:lineRule="auto"/>
              <w:jc w:val="both"/>
              <w:rPr>
                <w:rFonts w:ascii="Times New Roman" w:hAnsi="Times New Roman"/>
              </w:rPr>
            </w:pPr>
            <w:r w:rsidRPr="005D6998">
              <w:rPr>
                <w:rFonts w:ascii="Times New Roman" w:hAnsi="Times New Roman"/>
              </w:rPr>
              <w:t>„f) relațiile Băncii Naționale a Moldovei cu autoritățile de supraveghere din statele membre sau din statele terțe, cu Autoritatea Bancară Europeană, cu Comisia Europeană și cu alte autorităţi, instituţii sau organisme.”</w:t>
            </w:r>
          </w:p>
          <w:p w14:paraId="2AA2BACC" w14:textId="0F9EA534" w:rsidR="00B51A44" w:rsidRPr="005D6998" w:rsidRDefault="00B51A44" w:rsidP="00B51A44">
            <w:pPr>
              <w:tabs>
                <w:tab w:val="left" w:pos="284"/>
              </w:tabs>
              <w:spacing w:after="160" w:line="240" w:lineRule="auto"/>
              <w:jc w:val="both"/>
              <w:rPr>
                <w:rFonts w:ascii="Times New Roman" w:hAnsi="Times New Roman"/>
              </w:rPr>
            </w:pPr>
          </w:p>
        </w:tc>
        <w:tc>
          <w:tcPr>
            <w:tcW w:w="1559" w:type="dxa"/>
            <w:gridSpan w:val="3"/>
            <w:shd w:val="clear" w:color="auto" w:fill="FFFFFF"/>
          </w:tcPr>
          <w:p w14:paraId="59CACFFA"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CNPF</w:t>
            </w:r>
          </w:p>
          <w:p w14:paraId="54997D97" w14:textId="022C40CE" w:rsidR="00B51A44" w:rsidRPr="005D6998" w:rsidRDefault="00B51A44" w:rsidP="00B51A44">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03-4/2736 din 01.07.2026 din 15.06.2026</w:t>
            </w:r>
          </w:p>
          <w:p w14:paraId="3FE4E3A6" w14:textId="77777777" w:rsidR="00B51A44" w:rsidRPr="005D6998" w:rsidRDefault="00B51A44" w:rsidP="00B51A44">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4AFE3258" w14:textId="1484EDD9"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23E777BE" w14:textId="1AF36C63" w:rsidR="00B51A44" w:rsidRPr="005D6998" w:rsidRDefault="00B51A44" w:rsidP="00B51A44">
            <w:pPr>
              <w:spacing w:after="0" w:line="240" w:lineRule="auto"/>
              <w:jc w:val="both"/>
              <w:rPr>
                <w:rFonts w:ascii="Times New Roman" w:hAnsi="Times New Roman"/>
              </w:rPr>
            </w:pPr>
            <w:r w:rsidRPr="005D6998">
              <w:rPr>
                <w:rFonts w:ascii="Times New Roman" w:hAnsi="Times New Roman"/>
                <w:b/>
                <w:bCs/>
              </w:rPr>
              <w:t>Se propune excluderea referinței de la art. 1 lit. c) la Comisia Națională a Pieței Financiare</w:t>
            </w:r>
            <w:r w:rsidRPr="005D6998">
              <w:rPr>
                <w:rFonts w:ascii="Times New Roman" w:hAnsi="Times New Roman"/>
              </w:rPr>
              <w:t>, pentru a evita interpretarea eronată a competențelor autorităților de supraveghere.</w:t>
            </w:r>
          </w:p>
          <w:p w14:paraId="2C53F0AE" w14:textId="417C69B4" w:rsidR="00B51A44" w:rsidRPr="005D6998" w:rsidRDefault="00B51A44" w:rsidP="00B51A44">
            <w:pPr>
              <w:spacing w:after="0" w:line="240" w:lineRule="auto"/>
              <w:jc w:val="both"/>
              <w:rPr>
                <w:rFonts w:ascii="Times New Roman" w:hAnsi="Times New Roman"/>
              </w:rPr>
            </w:pPr>
            <w:r w:rsidRPr="005D6998">
              <w:rPr>
                <w:rFonts w:ascii="Times New Roman" w:hAnsi="Times New Roman"/>
              </w:rPr>
              <w:t>Se precizează că atribuțiile CNPF în raport cu entitățile respective sunt limitate la autorizarea, reglementarea și supravegherea activităților desfășurate pe piața de capital, precum și la supravegherea prudențială a firmelor de investiții în condițiile legislației speciale. Se argumentează că supravegherea instituțiilor de credit sub aspectul respectării cerințelor prudențiale prevăzute de legislația bancară ține de competența exclusivă a Băncii Naționale a Moldovei.</w:t>
            </w:r>
          </w:p>
          <w:p w14:paraId="6CCDCB6F"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Totodată, potrivit art. 2 alin. (2) din Directiva (UE) 2019/2034 privind supravegherea prudențială a firmelor de investiții și art. 1 alin. (2) și (5) din Regulamentul (UE) 2019/2033 privind cerințele prudențiale ale </w:t>
            </w:r>
            <w:r w:rsidRPr="005D6998">
              <w:rPr>
                <w:rFonts w:ascii="Times New Roman" w:hAnsi="Times New Roman"/>
              </w:rPr>
              <w:lastRenderedPageBreak/>
              <w:t xml:space="preserve">firmelor de investiții, anumite firme de investiții, în funcție de natura și dimensiunea activității desfășurate, pot face obiectul aplicării cerințelor prudențiale prevăzute pentru instituțiile de credit. </w:t>
            </w:r>
          </w:p>
          <w:p w14:paraId="2CB4C62C" w14:textId="77777777" w:rsidR="00B51A44" w:rsidRPr="005D6998" w:rsidRDefault="00B51A44" w:rsidP="00B51A44">
            <w:pPr>
              <w:spacing w:after="0" w:line="240" w:lineRule="auto"/>
              <w:jc w:val="both"/>
              <w:rPr>
                <w:rFonts w:ascii="Times New Roman" w:hAnsi="Times New Roman"/>
              </w:rPr>
            </w:pPr>
          </w:p>
          <w:p w14:paraId="14DE280C" w14:textId="050072EA"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Cu toate acestea, supravegherea acestor entități nu se realizează în temeiul legislației bancare generale, ci în condițiile cadrului normativ special aplicabil firmelor de investiții. În acest sens, proiectul Legii privind supravegherea prudențială a firmelor de investiții atribuie CNPF competențe de supraveghere prudențială asupra acestor categorii de firme de investiții. </w:t>
            </w:r>
          </w:p>
        </w:tc>
        <w:tc>
          <w:tcPr>
            <w:tcW w:w="5012" w:type="dxa"/>
            <w:gridSpan w:val="3"/>
            <w:shd w:val="clear" w:color="auto" w:fill="FFFFFF"/>
          </w:tcPr>
          <w:p w14:paraId="0F55FC98" w14:textId="77777777"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1A48151D" w14:textId="77777777"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Aplicarea cerințelor prudențiale prevăzute de CRR și CRD, transpuse în acest proiect de lege  nu presupune, în mod automat, transferul competenței de supraveghere către autoritatea bancară. Competența ar trebui să urmeze natura activității desfășurate, nu doar regimul prudențial aplicabil. </w:t>
            </w:r>
          </w:p>
          <w:p w14:paraId="67AF244B" w14:textId="525ECF6B"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CNPF dispune de expertiza necesară pentru supravegherea firmelor de investiții și a activităților specifice pieței de capital, în timp ce BNM este specializată în supravegherea activității bancare. </w:t>
            </w:r>
          </w:p>
          <w:p w14:paraId="12DECE0C" w14:textId="77777777"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În plus, schimbarea autorității competente exclusiv ca urmare a depășirii unui prag de active ar conduce la fragmentarea supravegherii, deși activitatea entității rămâne aceeași. Obiectivele prudențiale pot fi atinse și prin menținerea competenței CNPF, cu atribuirea competențelor necesare pentru aplicarea și supravegherea cerințelor prudențiale stabilite în prezentul proiect.</w:t>
            </w:r>
          </w:p>
          <w:p w14:paraId="2C50E5B9" w14:textId="77777777"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Opinăm că dimensiunea unei firme de investiții nu modifică natura activității desfășurate. Chiar dacă, din </w:t>
            </w:r>
            <w:r w:rsidRPr="005D6998">
              <w:rPr>
                <w:rFonts w:ascii="Times New Roman" w:hAnsi="Times New Roman"/>
              </w:rPr>
              <w:lastRenderedPageBreak/>
              <w:t xml:space="preserve">considerente prudențiale, aceste entități sunt supuse cerințelor prevăzute pentru instituțiile de credit, ele continuă să desfășoare preponderent servicii și activități de investiții specifice pieței de capital, fără a avea modelul de afaceri caracteristic instituțiilor de credit. În consecință, supravegherea lor ar trebui să rămână la autoritatea specializată în piața de capital, adică CNPF, care dispune de expertiza necesară privind riscurile operațiunilor de investiții, conduita pe piață și protecția investitorilor. </w:t>
            </w:r>
          </w:p>
          <w:p w14:paraId="29B3122D" w14:textId="0926F3C3"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Această abordare este confirmată și de legislația României. </w:t>
            </w:r>
            <w:r w:rsidRPr="005D6998">
              <w:rPr>
                <w:rFonts w:ascii="Times New Roman" w:hAnsi="Times New Roman"/>
                <w:lang w:val="ro-MD"/>
              </w:rPr>
              <w:t xml:space="preserve"> În cadrul implementării pachetului CRD IV/CRR, Autoritatea de Supraveghere Financiară (ASF) este autoritatea competentă pentru firmele de investiții, în timp ce Banca Națională a României exercită supravegherea instituțiilor de credit. Cu toate acestea, legislația și documentația oficială ASF fac referire expresă la Directiva 2013/36/UE și Regulamentul nr. 575/2013 ca fiind aplicabile și firmelor de investiții calificate ca instituții de credit, iar ASF emite reglementări și exercită atribuții de supraveghere prudențială în acest domeniu.</w:t>
            </w:r>
          </w:p>
        </w:tc>
      </w:tr>
      <w:tr w:rsidR="00B51A44" w:rsidRPr="005D6998" w14:paraId="33D817CE" w14:textId="77777777" w:rsidTr="00651F58">
        <w:trPr>
          <w:gridAfter w:val="1"/>
          <w:wAfter w:w="10" w:type="dxa"/>
          <w:trHeight w:val="105"/>
        </w:trPr>
        <w:tc>
          <w:tcPr>
            <w:tcW w:w="899" w:type="dxa"/>
            <w:gridSpan w:val="3"/>
            <w:shd w:val="clear" w:color="auto" w:fill="FFFFFF"/>
          </w:tcPr>
          <w:p w14:paraId="3A65ED42"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FDB3DB1" w14:textId="3DA6D3CC" w:rsidR="00B51A44" w:rsidRPr="005D6998" w:rsidRDefault="00B51A44" w:rsidP="00B51A44">
            <w:pPr>
              <w:tabs>
                <w:tab w:val="left" w:pos="284"/>
              </w:tabs>
              <w:spacing w:after="160" w:line="240" w:lineRule="auto"/>
              <w:jc w:val="both"/>
              <w:rPr>
                <w:rFonts w:ascii="Times New Roman" w:hAnsi="Times New Roman"/>
              </w:rPr>
            </w:pPr>
            <w:r w:rsidRPr="005D6998">
              <w:rPr>
                <w:rFonts w:ascii="Times New Roman" w:hAnsi="Times New Roman"/>
                <w:b/>
                <w:bCs/>
              </w:rPr>
              <w:t>4.</w:t>
            </w:r>
            <w:r w:rsidRPr="005D6998">
              <w:rPr>
                <w:rFonts w:ascii="Times New Roman" w:hAnsi="Times New Roman"/>
              </w:rPr>
              <w:t xml:space="preserve"> Articolul 2 </w:t>
            </w:r>
          </w:p>
          <w:p w14:paraId="51FFE4EE" w14:textId="20DBE44F" w:rsidR="00B51A44" w:rsidRPr="005D6998" w:rsidRDefault="00B51A44" w:rsidP="00B51A44">
            <w:pPr>
              <w:tabs>
                <w:tab w:val="left" w:pos="284"/>
              </w:tabs>
              <w:spacing w:after="160" w:line="240" w:lineRule="auto"/>
              <w:jc w:val="both"/>
              <w:rPr>
                <w:rFonts w:ascii="Times New Roman" w:hAnsi="Times New Roman"/>
                <w:lang w:val="pt-BR"/>
              </w:rPr>
            </w:pPr>
            <w:r w:rsidRPr="005D6998">
              <w:rPr>
                <w:rFonts w:ascii="Times New Roman" w:hAnsi="Times New Roman"/>
              </w:rPr>
              <w:t>[...</w:t>
            </w:r>
            <w:r w:rsidRPr="005D6998">
              <w:rPr>
                <w:rFonts w:ascii="Times New Roman" w:hAnsi="Times New Roman"/>
                <w:lang w:val="pt-BR"/>
              </w:rPr>
              <w:t>]</w:t>
            </w:r>
          </w:p>
          <w:p w14:paraId="60FE6FE7"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se completează cu două alineate (1</w:t>
            </w:r>
            <w:r w:rsidRPr="005D6998">
              <w:rPr>
                <w:rFonts w:ascii="Times New Roman" w:hAnsi="Times New Roman"/>
                <w:vertAlign w:val="superscript"/>
              </w:rPr>
              <w:t>1</w:t>
            </w:r>
            <w:r w:rsidRPr="005D6998">
              <w:rPr>
                <w:rFonts w:ascii="Times New Roman" w:hAnsi="Times New Roman"/>
              </w:rPr>
              <w:t>) și (1</w:t>
            </w:r>
            <w:r w:rsidRPr="005D6998">
              <w:rPr>
                <w:rFonts w:ascii="Times New Roman" w:hAnsi="Times New Roman"/>
                <w:vertAlign w:val="superscript"/>
              </w:rPr>
              <w:t>2</w:t>
            </w:r>
            <w:r w:rsidRPr="005D6998">
              <w:rPr>
                <w:rFonts w:ascii="Times New Roman" w:hAnsi="Times New Roman"/>
              </w:rPr>
              <w:t>) cu următorul cuprins:</w:t>
            </w:r>
          </w:p>
          <w:p w14:paraId="1C17CAE9"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(1</w:t>
            </w:r>
            <w:r w:rsidRPr="005D6998">
              <w:rPr>
                <w:rFonts w:ascii="Times New Roman" w:hAnsi="Times New Roman"/>
                <w:vertAlign w:val="superscript"/>
              </w:rPr>
              <w:t>1</w:t>
            </w:r>
            <w:r w:rsidRPr="005D6998">
              <w:rPr>
                <w:rFonts w:ascii="Times New Roman" w:hAnsi="Times New Roman"/>
              </w:rPr>
              <w:t>) Prezenta lege nu se aplică:</w:t>
            </w:r>
          </w:p>
          <w:p w14:paraId="57D005E3"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a) băncilor centrale;</w:t>
            </w:r>
          </w:p>
          <w:p w14:paraId="627ECCF9"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b) oficiilor poștale care efectuează operațiuni de virament;  </w:t>
            </w:r>
          </w:p>
          <w:p w14:paraId="734BDB89" w14:textId="70F834CC" w:rsidR="00B51A44" w:rsidRPr="005D6998" w:rsidRDefault="00B51A44" w:rsidP="00B51A44">
            <w:pPr>
              <w:spacing w:after="0" w:line="240" w:lineRule="auto"/>
              <w:jc w:val="both"/>
              <w:rPr>
                <w:rFonts w:ascii="Times New Roman" w:hAnsi="Times New Roman"/>
              </w:rPr>
            </w:pPr>
            <w:r w:rsidRPr="005D6998">
              <w:rPr>
                <w:rFonts w:ascii="Times New Roman" w:hAnsi="Times New Roman"/>
                <w:b/>
                <w:bCs/>
              </w:rPr>
              <w:t>c)  instituțiilor excluse de la aplicarea Directivei UE 2013/36</w:t>
            </w:r>
            <w:r w:rsidRPr="005D6998">
              <w:rPr>
                <w:rFonts w:ascii="Times New Roman" w:hAnsi="Times New Roman"/>
              </w:rPr>
              <w:t>.</w:t>
            </w:r>
          </w:p>
        </w:tc>
        <w:tc>
          <w:tcPr>
            <w:tcW w:w="1559" w:type="dxa"/>
            <w:gridSpan w:val="3"/>
            <w:shd w:val="clear" w:color="auto" w:fill="FFFFFF"/>
          </w:tcPr>
          <w:p w14:paraId="0415FF43"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5AEE58C2"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4031F973" w14:textId="37DFD47D"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583B9328" w14:textId="4AA55CEC"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5B3D567" w14:textId="1FE2D12E" w:rsidR="00B51A44" w:rsidRPr="005D6998" w:rsidRDefault="00B51A44" w:rsidP="00B51A44">
            <w:pPr>
              <w:spacing w:after="0" w:line="240" w:lineRule="auto"/>
              <w:jc w:val="both"/>
              <w:rPr>
                <w:rFonts w:ascii="Times New Roman" w:hAnsi="Times New Roman"/>
              </w:rPr>
            </w:pPr>
            <w:r w:rsidRPr="005D6998">
              <w:rPr>
                <w:rFonts w:ascii="Times New Roman" w:hAnsi="Times New Roman"/>
              </w:rPr>
              <w:t>Se recomandă substituirea trimiterii generice la „instituțiile excluse de la aplicarea Directivei UE 2013/36” cu o trimitere expresă la dispozițiile relevante ale Directivei 2013/36/UE, după caz, art. 2 sau art. 2 alin. (5) din directiva invocată.</w:t>
            </w:r>
          </w:p>
          <w:p w14:paraId="465631E9" w14:textId="77777777" w:rsidR="00B51A44" w:rsidRPr="005D6998" w:rsidRDefault="00B51A44" w:rsidP="00B51A44">
            <w:pPr>
              <w:spacing w:after="0" w:line="240" w:lineRule="auto"/>
              <w:jc w:val="both"/>
              <w:rPr>
                <w:rFonts w:ascii="Times New Roman" w:hAnsi="Times New Roman"/>
              </w:rPr>
            </w:pPr>
          </w:p>
          <w:p w14:paraId="00895255" w14:textId="50B4A83C"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consideră că această formulare îngreunează identificarea cu suficientă claritate a sferei entităților vizate. </w:t>
            </w:r>
          </w:p>
        </w:tc>
        <w:tc>
          <w:tcPr>
            <w:tcW w:w="5012" w:type="dxa"/>
            <w:gridSpan w:val="3"/>
            <w:shd w:val="clear" w:color="auto" w:fill="FFFFFF"/>
          </w:tcPr>
          <w:p w14:paraId="0BDBCDF9" w14:textId="5F592C1D"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0FD6F7C6" w14:textId="4C0148A1"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Art. 2 alin. (1</w:t>
            </w:r>
            <w:r w:rsidRPr="005D6998">
              <w:rPr>
                <w:rFonts w:ascii="Times New Roman" w:hAnsi="Times New Roman"/>
                <w:vertAlign w:val="superscript"/>
              </w:rPr>
              <w:t>1</w:t>
            </w:r>
            <w:r w:rsidRPr="005D6998">
              <w:rPr>
                <w:rFonts w:ascii="Times New Roman" w:hAnsi="Times New Roman"/>
              </w:rPr>
              <w:t>) lit. c) din proiect modificat după cum urmează:</w:t>
            </w:r>
          </w:p>
          <w:p w14:paraId="2F283077" w14:textId="4377D18E"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lang w:val="en-US"/>
              </w:rPr>
              <w:t>“</w:t>
            </w:r>
            <w:bookmarkStart w:id="2" w:name="_Hlk234836280"/>
            <w:r w:rsidRPr="005D6998">
              <w:rPr>
                <w:rFonts w:ascii="Times New Roman" w:hAnsi="Times New Roman"/>
              </w:rPr>
              <w:t>c) instituțiile prevăzute la art. 2 alin. (5) pct. 4-23 din Directiva UE 2013/36</w:t>
            </w:r>
            <w:bookmarkEnd w:id="2"/>
            <w:r w:rsidRPr="005D6998">
              <w:rPr>
                <w:rFonts w:ascii="Times New Roman" w:hAnsi="Times New Roman"/>
              </w:rPr>
              <w:t>.”</w:t>
            </w:r>
          </w:p>
        </w:tc>
      </w:tr>
      <w:tr w:rsidR="00B51A44" w:rsidRPr="005D6998" w14:paraId="14C99977" w14:textId="77777777" w:rsidTr="00651F58">
        <w:trPr>
          <w:gridAfter w:val="1"/>
          <w:wAfter w:w="10" w:type="dxa"/>
          <w:trHeight w:val="105"/>
        </w:trPr>
        <w:tc>
          <w:tcPr>
            <w:tcW w:w="899" w:type="dxa"/>
            <w:gridSpan w:val="3"/>
            <w:shd w:val="clear" w:color="auto" w:fill="FFFFFF"/>
          </w:tcPr>
          <w:p w14:paraId="720B9C72"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5AC3CAD" w14:textId="1E1F00F1" w:rsidR="00B51A44" w:rsidRPr="005D6998" w:rsidRDefault="00B51A44" w:rsidP="00B51A44">
            <w:pPr>
              <w:spacing w:after="0" w:line="240" w:lineRule="auto"/>
              <w:jc w:val="both"/>
              <w:rPr>
                <w:rFonts w:ascii="Times New Roman" w:hAnsi="Times New Roman"/>
              </w:rPr>
            </w:pPr>
            <w:r w:rsidRPr="005D6998">
              <w:rPr>
                <w:rFonts w:ascii="Times New Roman" w:hAnsi="Times New Roman"/>
              </w:rPr>
              <w:t>după noțiunea “</w:t>
            </w:r>
            <w:r w:rsidRPr="005D6998">
              <w:rPr>
                <w:rFonts w:ascii="Times New Roman" w:hAnsi="Times New Roman"/>
                <w:i/>
                <w:iCs/>
              </w:rPr>
              <w:t>client</w:t>
            </w:r>
            <w:r w:rsidRPr="005D6998">
              <w:rPr>
                <w:rFonts w:ascii="Times New Roman" w:hAnsi="Times New Roman"/>
              </w:rPr>
              <w:t>” se completează cu noțiunile „</w:t>
            </w:r>
            <w:r w:rsidRPr="005D6998">
              <w:rPr>
                <w:rFonts w:ascii="Times New Roman" w:hAnsi="Times New Roman"/>
                <w:i/>
                <w:iCs/>
              </w:rPr>
              <w:t>coordonatori ai funcțiilor de control intern</w:t>
            </w:r>
            <w:r w:rsidRPr="005D6998">
              <w:rPr>
                <w:rFonts w:ascii="Times New Roman" w:hAnsi="Times New Roman"/>
              </w:rPr>
              <w:t>”, [...] cu următorul cuprins:</w:t>
            </w:r>
          </w:p>
          <w:p w14:paraId="427DC1C4" w14:textId="63D1D650" w:rsidR="00B51A44" w:rsidRPr="005D6998" w:rsidRDefault="00B51A44" w:rsidP="00B51A44">
            <w:pPr>
              <w:spacing w:after="0" w:line="240" w:lineRule="auto"/>
              <w:jc w:val="both"/>
              <w:rPr>
                <w:rFonts w:ascii="Times New Roman" w:hAnsi="Times New Roman"/>
              </w:rPr>
            </w:pPr>
            <w:r w:rsidRPr="005D6998">
              <w:rPr>
                <w:rFonts w:ascii="Times New Roman" w:hAnsi="Times New Roman"/>
              </w:rPr>
              <w:lastRenderedPageBreak/>
              <w:t>„</w:t>
            </w:r>
            <w:r w:rsidRPr="005D6998">
              <w:rPr>
                <w:rFonts w:ascii="Times New Roman" w:hAnsi="Times New Roman"/>
                <w:i/>
                <w:iCs/>
              </w:rPr>
              <w:t xml:space="preserve">coordonatori ai funcțiilor de control intern </w:t>
            </w:r>
            <w:r w:rsidRPr="005D6998">
              <w:rPr>
                <w:rFonts w:ascii="Times New Roman" w:hAnsi="Times New Roman"/>
              </w:rPr>
              <w:t>– persoanele de la cel mai înalt nivel ierarhic responsabile cu gestionarea efectivă a desfășurării curente a funcțiilor de control intern ale unei instituții de credit;</w:t>
            </w:r>
          </w:p>
        </w:tc>
        <w:tc>
          <w:tcPr>
            <w:tcW w:w="1559" w:type="dxa"/>
            <w:gridSpan w:val="3"/>
            <w:shd w:val="clear" w:color="auto" w:fill="FFFFFF"/>
          </w:tcPr>
          <w:p w14:paraId="5C151330"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2F8E0635"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6D7F5BE2" w14:textId="6E84DC9A"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Cs/>
              </w:rPr>
              <w:lastRenderedPageBreak/>
              <w:t>Aviz nr. 02-06/188 din 07.07.2026</w:t>
            </w:r>
          </w:p>
        </w:tc>
        <w:tc>
          <w:tcPr>
            <w:tcW w:w="426" w:type="dxa"/>
            <w:shd w:val="clear" w:color="auto" w:fill="FFFFFF"/>
          </w:tcPr>
          <w:p w14:paraId="49F4EB95" w14:textId="783BD3F3"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8E85702" w14:textId="769C33D3"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propune să se precizeze dacă noțiunea se referă exclusiv la conducătorii de nivel superior ai funcțiilor de control intern sau dacă poate include și alte poziții din cadrul </w:t>
            </w:r>
            <w:r w:rsidRPr="005D6998">
              <w:rPr>
                <w:rFonts w:ascii="Times New Roman" w:hAnsi="Times New Roman"/>
              </w:rPr>
              <w:lastRenderedPageBreak/>
              <w:t>acestor funcții, în funcție de atribuțiile și responsabilitățile exercitate.</w:t>
            </w:r>
          </w:p>
          <w:p w14:paraId="53FE7DFB" w14:textId="1701C8C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 </w:t>
            </w:r>
          </w:p>
        </w:tc>
        <w:tc>
          <w:tcPr>
            <w:tcW w:w="5012" w:type="dxa"/>
            <w:gridSpan w:val="3"/>
            <w:shd w:val="clear" w:color="auto" w:fill="FFFFFF"/>
          </w:tcPr>
          <w:p w14:paraId="20976F1F" w14:textId="3D0DED67"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1937CD5E" w14:textId="77777777"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Noțiunea urmează a fi interpretată în sensul substanței responsabilităților exercitate, și nu exclusiv în funcție de denumirea formală a funcției sau a poziției deținute. </w:t>
            </w:r>
            <w:r w:rsidRPr="005D6998">
              <w:rPr>
                <w:rFonts w:ascii="Times New Roman" w:hAnsi="Times New Roman"/>
              </w:rPr>
              <w:lastRenderedPageBreak/>
              <w:t>Sintagma „</w:t>
            </w:r>
            <w:r w:rsidRPr="005D6998">
              <w:rPr>
                <w:rFonts w:ascii="Times New Roman" w:hAnsi="Times New Roman"/>
                <w:i/>
                <w:iCs/>
              </w:rPr>
              <w:t>persoanele de la cel mai înalt nivel ierarhic responsabile cu gestionarea efectivă a desfășurării curente a funcțiilor de control intern</w:t>
            </w:r>
            <w:r w:rsidRPr="005D6998">
              <w:rPr>
                <w:rFonts w:ascii="Times New Roman" w:hAnsi="Times New Roman"/>
              </w:rPr>
              <w:t>” este utilizată în mod intenționat pentru a viza persoanele care dețin responsabilitatea efectivă pentru organizarea și funcționarea acestor funcții.</w:t>
            </w:r>
          </w:p>
          <w:p w14:paraId="6533F1A1" w14:textId="20807F60"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Respectiv, la stabilirea coordonatorilor funcțiilor de control intern se va lua în considerare nu doar conducerea formală a unei subdiviziuni, dar efectiv persoanele care asigură gestionarea curentă a funcțiilor respective care au cel mai înalt nivel ierarhic, chiar și în lipsa unei desemnări formale.</w:t>
            </w:r>
          </w:p>
        </w:tc>
      </w:tr>
      <w:tr w:rsidR="00B51A44" w:rsidRPr="005D6998" w14:paraId="37BBCDB7" w14:textId="77777777" w:rsidTr="00651F58">
        <w:trPr>
          <w:gridAfter w:val="1"/>
          <w:wAfter w:w="10" w:type="dxa"/>
          <w:trHeight w:val="105"/>
        </w:trPr>
        <w:tc>
          <w:tcPr>
            <w:tcW w:w="899" w:type="dxa"/>
            <w:gridSpan w:val="3"/>
            <w:shd w:val="clear" w:color="auto" w:fill="FFFFFF"/>
          </w:tcPr>
          <w:p w14:paraId="450E5C01"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7631041"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w:t>
            </w:r>
          </w:p>
          <w:p w14:paraId="52EC7AF6" w14:textId="446B95A1" w:rsidR="00B51A44" w:rsidRPr="005D6998" w:rsidRDefault="00B51A44" w:rsidP="00B51A44">
            <w:pPr>
              <w:spacing w:after="0" w:line="240" w:lineRule="auto"/>
              <w:jc w:val="both"/>
              <w:rPr>
                <w:rFonts w:ascii="Times New Roman" w:hAnsi="Times New Roman"/>
              </w:rPr>
            </w:pPr>
            <w:r w:rsidRPr="005D6998">
              <w:rPr>
                <w:rFonts w:ascii="Times New Roman" w:hAnsi="Times New Roman"/>
                <w:i/>
                <w:iCs/>
              </w:rPr>
              <w:t>„conducere superioară</w:t>
            </w:r>
            <w:r w:rsidRPr="005D6998">
              <w:rPr>
                <w:rFonts w:ascii="Times New Roman" w:hAnsi="Times New Roman"/>
              </w:rPr>
              <w:t xml:space="preserve"> - persoanele fizice care exercită funcţii de conducere în cadrul unei instituţii de credit și care răspund direct în faţa organului de conducere, dar nu sunt membri ai organului respectiv, și care sunt responsabile cu gestionarea curentă a instituţiei de credit sub conducerea organului de conducere.”</w:t>
            </w:r>
          </w:p>
        </w:tc>
        <w:tc>
          <w:tcPr>
            <w:tcW w:w="1559" w:type="dxa"/>
            <w:gridSpan w:val="3"/>
            <w:shd w:val="clear" w:color="auto" w:fill="FFFFFF"/>
          </w:tcPr>
          <w:p w14:paraId="57BAD975"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36354F05"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55361F16" w14:textId="4F6D2B62"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1853622A" w14:textId="2A3F1993"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D28FF3B" w14:textId="03D69913" w:rsidR="00B51A44" w:rsidRPr="005D6998" w:rsidRDefault="00B51A44" w:rsidP="00B51A44">
            <w:pPr>
              <w:spacing w:after="0" w:line="240" w:lineRule="auto"/>
              <w:jc w:val="both"/>
              <w:rPr>
                <w:rFonts w:ascii="Times New Roman" w:hAnsi="Times New Roman"/>
              </w:rPr>
            </w:pPr>
            <w:r w:rsidRPr="005D6998">
              <w:rPr>
                <w:rFonts w:ascii="Times New Roman" w:hAnsi="Times New Roman"/>
              </w:rPr>
              <w:t>Se consideră oportună stabilirea unor criterii clare și obiective de delimitare a persoanelor care se încadrează în categoria de conducere superioară, în vederea asigurării unei interpretări și aplicări uniforme a prevederilor legale.</w:t>
            </w:r>
          </w:p>
          <w:p w14:paraId="51E9B08F" w14:textId="05ADF04E"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arată că sunt necesare clarificări noțiunea vizează exclusiv membrii managementului executiv de nivel superior sau poate cuprinde și alți conducători de funcții care raportează direct organului de conducere. </w:t>
            </w:r>
          </w:p>
        </w:tc>
        <w:tc>
          <w:tcPr>
            <w:tcW w:w="5012" w:type="dxa"/>
            <w:gridSpan w:val="3"/>
            <w:shd w:val="clear" w:color="auto" w:fill="FFFFFF"/>
          </w:tcPr>
          <w:p w14:paraId="5E5BE3ED" w14:textId="6BEC685D" w:rsidR="00B51A44" w:rsidRPr="005D6998" w:rsidRDefault="00B51A44" w:rsidP="00B51A44">
            <w:pPr>
              <w:tabs>
                <w:tab w:val="left" w:pos="884"/>
                <w:tab w:val="left" w:pos="1196"/>
              </w:tabs>
              <w:spacing w:after="0" w:line="240" w:lineRule="auto"/>
              <w:jc w:val="both"/>
              <w:rPr>
                <w:rFonts w:ascii="Times New Roman" w:hAnsi="Times New Roman"/>
                <w:b/>
                <w:bCs/>
                <w:lang w:val="ro-MD"/>
              </w:rPr>
            </w:pPr>
            <w:r w:rsidRPr="005D6998">
              <w:rPr>
                <w:rFonts w:ascii="Times New Roman" w:hAnsi="Times New Roman"/>
                <w:b/>
                <w:bCs/>
                <w:lang w:val="ro-MD"/>
              </w:rPr>
              <w:t>Nu se acceptă.</w:t>
            </w:r>
          </w:p>
          <w:p w14:paraId="5C9CE265" w14:textId="6E7374FC"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Nu se consideră necesară stabilirea unor criterii suplimentare și exhaustive pentru delimitarea persoanelor care se încadrează în categoria „conducerii superioare”. Definiția preluată din CRD VI are un caracter funcțional și urmărește să acopere diversitatea modelelor de organizare și guvernanță existente la nivelul instituțiilor de credit.</w:t>
            </w:r>
          </w:p>
          <w:p w14:paraId="09A622BF" w14:textId="6343FF6C"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Astfel, calificarea unei persoane drept conducere superioară urmează să fie realizată de la caz la caz, în funcție de atribuțiile efectiv exercitate, de responsabilitatea pentru gestionarea curentă a activității instituției de credit și de poziția acesteia în structura de raportare și conducere. O abordare bazată pe criterii exhaustive sau pe enumerarea unor funcții determinate ar putea conduce la excluderea unor persoane care, în fapt, exercită responsabilități specifice conducerii superioare, dar dețin denumiri diferite ale funcției în cadrul unor instituții.</w:t>
            </w:r>
          </w:p>
          <w:p w14:paraId="0D274CD9" w14:textId="45EBED87" w:rsidR="00B51A44" w:rsidRPr="005D6998" w:rsidRDefault="00B51A44" w:rsidP="00B51A44">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Totodată, din conținutul definiției rezultă în mod expres că persoanele încadrate în categoria conducerii superioare sunt cele care „</w:t>
            </w:r>
            <w:r w:rsidRPr="005D6998">
              <w:rPr>
                <w:rFonts w:ascii="Times New Roman" w:hAnsi="Times New Roman"/>
                <w:i/>
                <w:iCs/>
                <w:lang w:val="ro-MD"/>
              </w:rPr>
              <w:t>răspund direct în fața organului de conducere, dar nu sunt membri ai organului respectiv</w:t>
            </w:r>
            <w:r w:rsidRPr="005D6998">
              <w:rPr>
                <w:rFonts w:ascii="Times New Roman" w:hAnsi="Times New Roman"/>
                <w:lang w:val="ro-MD"/>
              </w:rPr>
              <w:t xml:space="preserve">”. Prin urmare, noțiunea nu se suprapune cu cea a membrilor organului de conducere și nu este limitată exclusiv la membrii managementului </w:t>
            </w:r>
            <w:r w:rsidRPr="005D6998">
              <w:rPr>
                <w:rFonts w:ascii="Times New Roman" w:hAnsi="Times New Roman"/>
                <w:lang w:val="ro-MD"/>
              </w:rPr>
              <w:lastRenderedPageBreak/>
              <w:t>executiv. Definiția poate include și alte persoane care nu fac parte din organul de conducere, dar care îndeplinesc cumulativ condițiile de a răspunde direct în fața acestuia și de a fi responsabile de gestionarea curentă a instituției sub coordonarea organului de conducere.</w:t>
            </w:r>
          </w:p>
        </w:tc>
      </w:tr>
      <w:tr w:rsidR="00B51A44" w:rsidRPr="005D6998" w14:paraId="5B1FAA6D" w14:textId="77777777" w:rsidTr="00651F58">
        <w:trPr>
          <w:gridAfter w:val="1"/>
          <w:wAfter w:w="10" w:type="dxa"/>
          <w:trHeight w:val="105"/>
        </w:trPr>
        <w:tc>
          <w:tcPr>
            <w:tcW w:w="899" w:type="dxa"/>
            <w:gridSpan w:val="3"/>
            <w:shd w:val="clear" w:color="auto" w:fill="FFFFFF"/>
          </w:tcPr>
          <w:p w14:paraId="7F78DC66"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5FEAD2B" w14:textId="77777777" w:rsidR="00780E38" w:rsidRPr="005D6998" w:rsidRDefault="00780E38" w:rsidP="00780E38">
            <w:pPr>
              <w:spacing w:after="0" w:line="240" w:lineRule="auto"/>
              <w:jc w:val="both"/>
              <w:rPr>
                <w:rFonts w:ascii="Times New Roman" w:hAnsi="Times New Roman"/>
              </w:rPr>
            </w:pPr>
            <w:r w:rsidRPr="005D6998">
              <w:rPr>
                <w:rFonts w:ascii="Times New Roman" w:hAnsi="Times New Roman"/>
              </w:rPr>
              <w:t>după noțiunea „</w:t>
            </w:r>
            <w:r w:rsidRPr="005D6998">
              <w:rPr>
                <w:rFonts w:ascii="Times New Roman" w:hAnsi="Times New Roman"/>
                <w:i/>
                <w:iCs/>
              </w:rPr>
              <w:t>credit</w:t>
            </w:r>
            <w:r w:rsidRPr="005D6998">
              <w:rPr>
                <w:rFonts w:ascii="Times New Roman" w:hAnsi="Times New Roman"/>
              </w:rPr>
              <w:t>” se completează cu noțiunea „</w:t>
            </w:r>
            <w:r w:rsidRPr="005D6998">
              <w:rPr>
                <w:rFonts w:ascii="Times New Roman" w:hAnsi="Times New Roman"/>
                <w:i/>
                <w:iCs/>
              </w:rPr>
              <w:t xml:space="preserve">criptoactiv” </w:t>
            </w:r>
            <w:r w:rsidRPr="005D6998">
              <w:rPr>
                <w:rFonts w:ascii="Times New Roman" w:hAnsi="Times New Roman"/>
              </w:rPr>
              <w:t>cu următorul cuprins:</w:t>
            </w:r>
          </w:p>
          <w:p w14:paraId="5AAC2213" w14:textId="1645EE5D" w:rsidR="00B51A44" w:rsidRPr="005D6998" w:rsidRDefault="00780E38" w:rsidP="00780E38">
            <w:pPr>
              <w:tabs>
                <w:tab w:val="left" w:pos="284"/>
              </w:tabs>
              <w:spacing w:after="160" w:line="240" w:lineRule="auto"/>
              <w:jc w:val="both"/>
              <w:rPr>
                <w:rFonts w:ascii="Times New Roman" w:hAnsi="Times New Roman"/>
              </w:rPr>
            </w:pPr>
            <w:r w:rsidRPr="005D6998">
              <w:rPr>
                <w:rFonts w:ascii="Times New Roman" w:hAnsi="Times New Roman"/>
              </w:rPr>
              <w:t>„</w:t>
            </w:r>
            <w:r w:rsidRPr="005D6998">
              <w:rPr>
                <w:rFonts w:ascii="Times New Roman" w:hAnsi="Times New Roman"/>
                <w:i/>
                <w:iCs/>
              </w:rPr>
              <w:t xml:space="preserve">criptoactiv </w:t>
            </w:r>
            <w:r w:rsidRPr="005D6998">
              <w:rPr>
                <w:rFonts w:ascii="Times New Roman" w:hAnsi="Times New Roman"/>
              </w:rPr>
              <w:t>– un criptoactiv astfel cum este definit de legislația privind piața criptoactivelor și care nu este o monedă digitală emisă de o bancă centrală.”;</w:t>
            </w:r>
          </w:p>
        </w:tc>
        <w:tc>
          <w:tcPr>
            <w:tcW w:w="1559" w:type="dxa"/>
            <w:gridSpan w:val="3"/>
            <w:shd w:val="clear" w:color="auto" w:fill="FFFFFF"/>
          </w:tcPr>
          <w:p w14:paraId="2D18A005"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24BFB53D"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18A417D5" w14:textId="1665B7A8"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6A33138E" w14:textId="08BDA184"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4820BDF" w14:textId="3C19960C" w:rsidR="00B51A44" w:rsidRPr="005D6998" w:rsidRDefault="00B51A44" w:rsidP="00B51A44">
            <w:pPr>
              <w:spacing w:after="0" w:line="240" w:lineRule="auto"/>
              <w:jc w:val="both"/>
              <w:rPr>
                <w:rFonts w:ascii="Times New Roman" w:hAnsi="Times New Roman"/>
              </w:rPr>
            </w:pPr>
            <w:r w:rsidRPr="005D6998">
              <w:rPr>
                <w:rFonts w:ascii="Times New Roman" w:hAnsi="Times New Roman"/>
              </w:rPr>
              <w:t>Se consideră că introducerea noțiunii reprezintă un risc juridic, întrucât introducerea noțiunii la art. 3 și a obligației BNM de a solicita simulări de criză/scenarii pentru expuneri la criptoactive la art. 139 alin. (3) lit. s) presupune că instituția trebuie să aibă sau să dezvolte un cadru intern de evaluare a expunerilor la criptoactive. De asemenea, se consideră necesară concretizarea/detalierea textului „legislația privind piața criptoactivelor”.</w:t>
            </w:r>
          </w:p>
        </w:tc>
        <w:tc>
          <w:tcPr>
            <w:tcW w:w="5012" w:type="dxa"/>
            <w:gridSpan w:val="3"/>
            <w:shd w:val="clear" w:color="auto" w:fill="FFFFFF"/>
          </w:tcPr>
          <w:p w14:paraId="51FAB840" w14:textId="49BAF7F5"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4A1D68D6" w14:textId="2670D727"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Luând în considerare definiția de “expunere la criptoactive” din Regulamentul UE nr. 575/2013 care va fi transpusă în cadrul secundar aprobat de BNM și care reprezintă un activ sau un element extrabilanțier legat de un criptoactiv care generează risc de credit, risc de credit al contrapărții, risc de piață, risc operațional sau risc de lichiditate, trebuie reținute următoarele.</w:t>
            </w:r>
          </w:p>
          <w:p w14:paraId="57FA9665" w14:textId="52F1F035"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Din definiția „expunerii la criptoactive” rezultă că aceasta este una bazată pe risc. Astfel se delimitează categoria de active sau elemente extrabilanțiere care pot genera riscuri prudențiale (credit, contraparte, piață, operațional, lichiditate). Prin urmare, instituțiile de credit trebuie să implementeze politici sau metodologii dedicate, doar atunci când astfel de expuneri există, iar acestea vor intra în sfera supravegherii prudențiale și pot face obiectul unor măsuri adecvate din partea autorității competente.</w:t>
            </w:r>
          </w:p>
          <w:p w14:paraId="2BBFCE06" w14:textId="57FF2135"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În acest sens, proiectul regulamentului BNM de modificare a Regulamentului nr. 322/2018 privind cadrul de administrare a BNM (care a fost supus consultării publice în perioada 13.05.2026-03.06.2026) stabilește obligații exprese ale instituțiilor de credit să efectueze o evaluare a expunerilor la criptoactive, spre exemplu, în contextul gestionării riscului de piață, riscului operațional, riscului de concentrare (a se vedea în acest sens pct. 253</w:t>
            </w:r>
            <w:r w:rsidRPr="005D6998">
              <w:rPr>
                <w:rFonts w:ascii="Times New Roman" w:hAnsi="Times New Roman"/>
                <w:vertAlign w:val="superscript"/>
              </w:rPr>
              <w:t>1</w:t>
            </w:r>
            <w:r w:rsidRPr="005D6998">
              <w:rPr>
                <w:rFonts w:ascii="Times New Roman" w:hAnsi="Times New Roman"/>
              </w:rPr>
              <w:t>, pct. 258</w:t>
            </w:r>
            <w:r w:rsidRPr="005D6998">
              <w:rPr>
                <w:rFonts w:ascii="Times New Roman" w:hAnsi="Times New Roman"/>
                <w:vertAlign w:val="superscript"/>
              </w:rPr>
              <w:t>1</w:t>
            </w:r>
            <w:r w:rsidRPr="005D6998">
              <w:rPr>
                <w:rFonts w:ascii="Times New Roman" w:hAnsi="Times New Roman"/>
              </w:rPr>
              <w:t>, pct. 308</w:t>
            </w:r>
            <w:r w:rsidRPr="005D6998">
              <w:rPr>
                <w:rFonts w:ascii="Times New Roman" w:hAnsi="Times New Roman"/>
                <w:vertAlign w:val="superscript"/>
              </w:rPr>
              <w:t>1</w:t>
            </w:r>
            <w:r w:rsidRPr="005D6998">
              <w:rPr>
                <w:rFonts w:ascii="Times New Roman" w:hAnsi="Times New Roman"/>
              </w:rPr>
              <w:t xml:space="preserve">). Corelativ, astfel cum a fost preluat din Directiva UE 2013/36, art. 139 alin. (3) lit. s) stabilește dreptul BNM de a solicita efectuarea unor simulări de </w:t>
            </w:r>
            <w:r w:rsidRPr="005D6998">
              <w:rPr>
                <w:rFonts w:ascii="Times New Roman" w:hAnsi="Times New Roman"/>
              </w:rPr>
              <w:lastRenderedPageBreak/>
              <w:t>criză sau analiza scenariilor pentru a evalua impactul riscurilor care decurg din asemenea expuneri.</w:t>
            </w:r>
          </w:p>
          <w:p w14:paraId="1F6EF8AC" w14:textId="77777777" w:rsidR="00B51A44" w:rsidRPr="005D6998" w:rsidRDefault="00B51A44" w:rsidP="00B51A44">
            <w:pPr>
              <w:tabs>
                <w:tab w:val="left" w:pos="884"/>
                <w:tab w:val="left" w:pos="1196"/>
              </w:tabs>
              <w:spacing w:after="0" w:line="240" w:lineRule="auto"/>
              <w:jc w:val="both"/>
              <w:rPr>
                <w:rFonts w:ascii="Times New Roman" w:hAnsi="Times New Roman"/>
              </w:rPr>
            </w:pPr>
          </w:p>
          <w:p w14:paraId="4C0E4952" w14:textId="76BDD7FB"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În ceea ce privește textul “legislația privind piața criptoactivelor”, având în vedere că, la momentul actual, Legea privind piața criptoactivelor încă nu a fost adoptată (consultarea publică desfășurată în perioada 10.04.2026-08.05.2026), proiectul supus examinării utilizează o formulă generală.</w:t>
            </w:r>
          </w:p>
        </w:tc>
      </w:tr>
      <w:tr w:rsidR="00B51A44" w:rsidRPr="005D6998" w14:paraId="214FFA2C" w14:textId="77777777" w:rsidTr="00651F58">
        <w:trPr>
          <w:gridAfter w:val="1"/>
          <w:wAfter w:w="10" w:type="dxa"/>
          <w:trHeight w:val="105"/>
        </w:trPr>
        <w:tc>
          <w:tcPr>
            <w:tcW w:w="899" w:type="dxa"/>
            <w:gridSpan w:val="3"/>
            <w:shd w:val="clear" w:color="auto" w:fill="FFFFFF"/>
          </w:tcPr>
          <w:p w14:paraId="18128A56" w14:textId="77777777" w:rsidR="00B51A44" w:rsidRPr="005D6998" w:rsidRDefault="00B51A44" w:rsidP="00B51A44">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A51BB45" w14:textId="1FDBFA30" w:rsidR="00B51A44" w:rsidRPr="005D6998" w:rsidRDefault="009226C5" w:rsidP="00B51A44">
            <w:pPr>
              <w:spacing w:after="0" w:line="240" w:lineRule="auto"/>
              <w:jc w:val="both"/>
              <w:rPr>
                <w:rFonts w:ascii="Times New Roman" w:hAnsi="Times New Roman"/>
                <w:i/>
              </w:rPr>
            </w:pPr>
            <w:r w:rsidRPr="005D6998">
              <w:rPr>
                <w:rFonts w:ascii="Times New Roman" w:hAnsi="Times New Roman"/>
              </w:rPr>
              <w:t>la noțiunea „</w:t>
            </w:r>
            <w:r w:rsidRPr="005D6998">
              <w:rPr>
                <w:rFonts w:ascii="Times New Roman" w:hAnsi="Times New Roman"/>
                <w:i/>
                <w:iCs/>
              </w:rPr>
              <w:t>deținere calificată</w:t>
            </w:r>
            <w:r w:rsidRPr="005D6998">
              <w:rPr>
                <w:rFonts w:ascii="Times New Roman" w:hAnsi="Times New Roman"/>
              </w:rPr>
              <w:t>”, textul „1%” se substituie cu textul “„10%” iar după cuvintele „influențe” se completează cu cuvântul „semnificative” iar textul “la luarea deciziilor în adunarea generală sau în organul de conducere, reprezentînd mai puţin de 1% din capitalul social ori din drepturile de vot” se substituie cu textul “respective, astfel cum este definită în actele normative ale Băncii Naționale a Moldovei”;</w:t>
            </w:r>
          </w:p>
        </w:tc>
        <w:tc>
          <w:tcPr>
            <w:tcW w:w="1559" w:type="dxa"/>
            <w:gridSpan w:val="3"/>
            <w:shd w:val="clear" w:color="auto" w:fill="FFFFFF"/>
          </w:tcPr>
          <w:p w14:paraId="31163373" w14:textId="77777777"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3BC09BDE" w14:textId="77777777" w:rsidR="00B51A44" w:rsidRPr="005D6998" w:rsidRDefault="00B51A44" w:rsidP="00B51A44">
            <w:pPr>
              <w:tabs>
                <w:tab w:val="left" w:pos="884"/>
                <w:tab w:val="left" w:pos="1196"/>
              </w:tabs>
              <w:spacing w:after="0" w:line="240" w:lineRule="auto"/>
              <w:jc w:val="center"/>
              <w:rPr>
                <w:rFonts w:ascii="Times New Roman" w:hAnsi="Times New Roman"/>
                <w:b/>
              </w:rPr>
            </w:pPr>
          </w:p>
          <w:p w14:paraId="4C89F81E" w14:textId="4D00A892" w:rsidR="00B51A44" w:rsidRPr="005D6998" w:rsidRDefault="00B51A44" w:rsidP="00B51A44">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64007DA0" w14:textId="41E13D2C" w:rsidR="00B51A44" w:rsidRPr="005D6998" w:rsidRDefault="00B51A44"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3AE4FF4" w14:textId="77777777" w:rsidR="00B51A44" w:rsidRPr="005D6998" w:rsidRDefault="00B51A44" w:rsidP="00B51A44">
            <w:pPr>
              <w:spacing w:after="0" w:line="240" w:lineRule="auto"/>
              <w:jc w:val="both"/>
              <w:rPr>
                <w:rFonts w:ascii="Times New Roman" w:hAnsi="Times New Roman"/>
              </w:rPr>
            </w:pPr>
            <w:r w:rsidRPr="005D6998">
              <w:rPr>
                <w:rFonts w:ascii="Times New Roman" w:hAnsi="Times New Roman"/>
              </w:rPr>
              <w:t xml:space="preserve">Se consideră că se introduce o schimbare semnificativă prin modificarea pragului de la 1% la 10% și instituția trebuie să verifice dacă are acționari cu dețineri între 1% și 10% care, după intrarea în vigoare a legii, nu vor mai necesita aprobarea prealabilă a BNM. </w:t>
            </w:r>
          </w:p>
          <w:p w14:paraId="01E03E18" w14:textId="4F0D1368" w:rsidR="00B51A44" w:rsidRPr="005D6998" w:rsidRDefault="00B51A44" w:rsidP="00B51A44">
            <w:pPr>
              <w:spacing w:after="0" w:line="240" w:lineRule="auto"/>
              <w:jc w:val="both"/>
              <w:rPr>
                <w:rFonts w:ascii="Times New Roman" w:hAnsi="Times New Roman"/>
              </w:rPr>
            </w:pPr>
            <w:r w:rsidRPr="005D6998">
              <w:rPr>
                <w:rFonts w:ascii="Times New Roman" w:hAnsi="Times New Roman"/>
              </w:rPr>
              <w:t>Totodată, se menționează că, conform art. V alin. (7), la aderarea Republicii Moldova la UE, pragul crește la 15%, ceea ce va reprezenta un impact suplimentar semnificativ asupra structurii acționariatului.</w:t>
            </w:r>
          </w:p>
        </w:tc>
        <w:tc>
          <w:tcPr>
            <w:tcW w:w="5012" w:type="dxa"/>
            <w:gridSpan w:val="3"/>
            <w:shd w:val="clear" w:color="auto" w:fill="FFFFFF"/>
          </w:tcPr>
          <w:p w14:paraId="1C957CE0" w14:textId="77777777" w:rsidR="00B51A44" w:rsidRPr="005D6998" w:rsidRDefault="00B51A44" w:rsidP="00B51A44">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2546D36F" w14:textId="424A728E"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De la data intrării în vigoare a pragului de 10% - la data aderării – potențialii acționarii cu dețineri sub acest prag nu vor trebui să solicite aprobarea prealabilă a BNM. </w:t>
            </w:r>
          </w:p>
          <w:p w14:paraId="12BABF77" w14:textId="4D04D8FD" w:rsidR="00B51A44" w:rsidRPr="005D6998" w:rsidRDefault="00B51A44" w:rsidP="00B51A44">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În ceea ce privește modificarea pragului de 15% (conform proiectului, Art. </w:t>
            </w:r>
            <w:r w:rsidR="00663664" w:rsidRPr="005D6998">
              <w:rPr>
                <w:rFonts w:ascii="Times New Roman" w:hAnsi="Times New Roman"/>
              </w:rPr>
              <w:t>I</w:t>
            </w:r>
            <w:r w:rsidRPr="005D6998">
              <w:rPr>
                <w:rFonts w:ascii="Times New Roman" w:hAnsi="Times New Roman"/>
              </w:rPr>
              <w:t xml:space="preserve">V –  pct. 48, în partea care se referă la </w:t>
            </w:r>
            <w:r w:rsidRPr="005D6998">
              <w:rPr>
                <w:rFonts w:ascii="Times New Roman" w:hAnsi="Times New Roman"/>
                <w:b/>
                <w:bCs/>
              </w:rPr>
              <w:t>pragul de 15% de la alin. (1)</w:t>
            </w:r>
            <w:r w:rsidRPr="005D6998">
              <w:rPr>
                <w:rFonts w:ascii="Times New Roman" w:hAnsi="Times New Roman"/>
              </w:rPr>
              <w:t xml:space="preserve"> și la modificarea la alin. (2) în ceea ce privește pragul de 60% </w:t>
            </w:r>
            <w:r w:rsidRPr="005D6998">
              <w:rPr>
                <w:rFonts w:ascii="Times New Roman" w:hAnsi="Times New Roman"/>
                <w:b/>
                <w:bCs/>
              </w:rPr>
              <w:t xml:space="preserve">a art. 55 </w:t>
            </w:r>
            <w:r w:rsidRPr="005D6998">
              <w:rPr>
                <w:rFonts w:ascii="Times New Roman" w:hAnsi="Times New Roman"/>
              </w:rPr>
              <w:t>coroborat cu</w:t>
            </w:r>
            <w:r w:rsidRPr="005D6998">
              <w:rPr>
                <w:rFonts w:ascii="Times New Roman" w:hAnsi="Times New Roman"/>
                <w:b/>
                <w:bCs/>
              </w:rPr>
              <w:t xml:space="preserve"> </w:t>
            </w:r>
            <w:r w:rsidRPr="005D6998">
              <w:rPr>
                <w:rFonts w:ascii="Times New Roman" w:hAnsi="Times New Roman"/>
              </w:rPr>
              <w:t xml:space="preserve">Art. IV alin. (7) din proiect), aceasta se referă la o alta modificare, si anume referinta este la  </w:t>
            </w:r>
            <w:r w:rsidRPr="005D6998">
              <w:rPr>
                <w:rFonts w:ascii="Times New Roman" w:hAnsi="Times New Roman"/>
                <w:b/>
                <w:bCs/>
              </w:rPr>
              <w:t xml:space="preserve">dețineri calificate a instituțiilor de credit în entități din afara sectorului </w:t>
            </w:r>
            <w:r w:rsidRPr="005D6998">
              <w:rPr>
                <w:rFonts w:ascii="Times New Roman" w:hAnsi="Times New Roman"/>
              </w:rPr>
              <w:t xml:space="preserve">care la momentul actual reprezintă 10% din capitalul eligibil al băncii, dar nu a deținerii calificate </w:t>
            </w:r>
            <w:r w:rsidRPr="005D6998">
              <w:rPr>
                <w:rFonts w:ascii="Times New Roman" w:hAnsi="Times New Roman"/>
                <w:b/>
                <w:bCs/>
              </w:rPr>
              <w:t>în capitalul instituției de credit</w:t>
            </w:r>
            <w:r w:rsidRPr="005D6998">
              <w:rPr>
                <w:rFonts w:ascii="Times New Roman" w:hAnsi="Times New Roman"/>
              </w:rPr>
              <w:t>.</w:t>
            </w:r>
          </w:p>
        </w:tc>
      </w:tr>
      <w:tr w:rsidR="00E07C20" w:rsidRPr="005D6998" w14:paraId="1C20583B" w14:textId="77777777" w:rsidTr="00651F58">
        <w:trPr>
          <w:gridAfter w:val="1"/>
          <w:wAfter w:w="10" w:type="dxa"/>
          <w:trHeight w:val="105"/>
        </w:trPr>
        <w:tc>
          <w:tcPr>
            <w:tcW w:w="899" w:type="dxa"/>
            <w:gridSpan w:val="3"/>
            <w:shd w:val="clear" w:color="auto" w:fill="FFFFFF"/>
          </w:tcPr>
          <w:p w14:paraId="265A967E" w14:textId="77777777" w:rsidR="00E07C20" w:rsidRPr="005D6998" w:rsidRDefault="00E07C20" w:rsidP="00E07C20">
            <w:pPr>
              <w:pStyle w:val="a7"/>
              <w:tabs>
                <w:tab w:val="left" w:pos="884"/>
                <w:tab w:val="left" w:pos="1196"/>
              </w:tabs>
              <w:spacing w:after="0" w:line="240" w:lineRule="auto"/>
              <w:ind w:left="142"/>
              <w:jc w:val="both"/>
              <w:rPr>
                <w:rFonts w:ascii="Times New Roman" w:hAnsi="Times New Roman"/>
                <w:b/>
              </w:rPr>
            </w:pPr>
          </w:p>
        </w:tc>
        <w:tc>
          <w:tcPr>
            <w:tcW w:w="3637" w:type="dxa"/>
            <w:vMerge w:val="restart"/>
            <w:shd w:val="clear" w:color="auto" w:fill="FFFFFF"/>
          </w:tcPr>
          <w:p w14:paraId="72E5A510" w14:textId="77777777" w:rsidR="00E07C20" w:rsidRPr="005D6998" w:rsidRDefault="00E07C20" w:rsidP="00E07C20">
            <w:pPr>
              <w:spacing w:after="0" w:line="240" w:lineRule="auto"/>
              <w:jc w:val="both"/>
              <w:rPr>
                <w:rFonts w:ascii="Times New Roman" w:hAnsi="Times New Roman"/>
              </w:rPr>
            </w:pPr>
            <w:r w:rsidRPr="005D6998">
              <w:rPr>
                <w:rFonts w:ascii="Times New Roman" w:hAnsi="Times New Roman"/>
                <w:i/>
              </w:rPr>
              <w:t>instituție de credit</w:t>
            </w:r>
            <w:r w:rsidRPr="005D6998">
              <w:rPr>
                <w:rFonts w:ascii="Times New Roman" w:hAnsi="Times New Roman"/>
              </w:rPr>
              <w:t xml:space="preserve"> – persoană juridică a cărei activitate constă în oricare dintre  următoarele activități:</w:t>
            </w:r>
          </w:p>
          <w:p w14:paraId="6EFA3F56" w14:textId="77777777" w:rsidR="00E07C20" w:rsidRPr="005D6998" w:rsidRDefault="00E07C20" w:rsidP="00E07C20">
            <w:pPr>
              <w:pStyle w:val="a7"/>
              <w:numPr>
                <w:ilvl w:val="0"/>
                <w:numId w:val="4"/>
              </w:numPr>
              <w:tabs>
                <w:tab w:val="left" w:pos="426"/>
              </w:tabs>
              <w:spacing w:after="0" w:line="240" w:lineRule="auto"/>
              <w:ind w:left="0" w:hanging="11"/>
              <w:jc w:val="both"/>
              <w:rPr>
                <w:rFonts w:ascii="Times New Roman" w:hAnsi="Times New Roman"/>
              </w:rPr>
            </w:pPr>
            <w:r w:rsidRPr="005D6998">
              <w:rPr>
                <w:rFonts w:ascii="Times New Roman" w:hAnsi="Times New Roman"/>
              </w:rPr>
              <w:t>atragerea de depozite sau de alte fonduri rambursabile de la public şi în acordarea de credite în cont propriu</w:t>
            </w:r>
          </w:p>
          <w:p w14:paraId="115CAF12" w14:textId="77777777" w:rsidR="00E07C20" w:rsidRPr="005D6998" w:rsidRDefault="00E07C20" w:rsidP="00E07C20">
            <w:pPr>
              <w:pStyle w:val="a7"/>
              <w:numPr>
                <w:ilvl w:val="0"/>
                <w:numId w:val="4"/>
              </w:numPr>
              <w:tabs>
                <w:tab w:val="left" w:pos="426"/>
              </w:tabs>
              <w:spacing w:after="0" w:line="240" w:lineRule="auto"/>
              <w:ind w:left="0" w:firstLine="0"/>
              <w:jc w:val="both"/>
              <w:rPr>
                <w:rFonts w:ascii="Times New Roman" w:hAnsi="Times New Roman"/>
              </w:rPr>
            </w:pPr>
            <w:r w:rsidRPr="005D6998">
              <w:rPr>
                <w:rFonts w:ascii="Times New Roman" w:hAnsi="Times New Roman"/>
              </w:rPr>
              <w:t xml:space="preserve">desfășurarea oricăreia dintre activităţile menţionate la art. 33 alin. (1) lit. (c) și lit. (f) din Legea nr. 171/2012 privind piața de capital în cazul în care este îndeplinită una dintre condiţiile următoare, dar întreprinderea </w:t>
            </w:r>
            <w:r w:rsidRPr="005D6998">
              <w:rPr>
                <w:rFonts w:ascii="Times New Roman" w:hAnsi="Times New Roman"/>
              </w:rPr>
              <w:lastRenderedPageBreak/>
              <w:t xml:space="preserve">nu este un comerciant de mărfuri și de certificate de emisii, un organism de plasament colectiv sau o societate de asigurare: </w:t>
            </w:r>
          </w:p>
          <w:p w14:paraId="2BB4FD83" w14:textId="77777777" w:rsidR="00E07C20" w:rsidRPr="005D6998" w:rsidRDefault="00E07C20" w:rsidP="00E07C20">
            <w:pPr>
              <w:spacing w:after="0" w:line="240" w:lineRule="auto"/>
              <w:jc w:val="both"/>
              <w:rPr>
                <w:rFonts w:ascii="Times New Roman" w:hAnsi="Times New Roman"/>
              </w:rPr>
            </w:pPr>
            <w:r w:rsidRPr="005D6998">
              <w:rPr>
                <w:rFonts w:ascii="Times New Roman" w:hAnsi="Times New Roman"/>
              </w:rPr>
              <w:t xml:space="preserve">(i) valoarea totală a activelor consolidate ale întreprinderii este mai mare sau egală cu echivalentul în MDL a 30 de miliarde EUR; </w:t>
            </w:r>
          </w:p>
          <w:p w14:paraId="596E585D" w14:textId="77777777" w:rsidR="00E07C20" w:rsidRPr="005D6998" w:rsidRDefault="00E07C20" w:rsidP="00E07C20">
            <w:pPr>
              <w:spacing w:after="0" w:line="240" w:lineRule="auto"/>
              <w:jc w:val="both"/>
              <w:rPr>
                <w:rFonts w:ascii="Times New Roman" w:hAnsi="Times New Roman"/>
              </w:rPr>
            </w:pPr>
            <w:r w:rsidRPr="005D6998">
              <w:rPr>
                <w:rFonts w:ascii="Times New Roman" w:hAnsi="Times New Roman"/>
              </w:rPr>
              <w:t xml:space="preserve">(ii) valoarea totală a activelor întreprinderii este mai mică de echivalentul în MDL a 30 de miliarde EUR, întreprinderea face parte dintr-un grup, iar valoarea totală a activelor consolidate ale tuturor întreprinderilor din grupul respectiv, care la nivel individual au active totale mai mici de echivalentul în MDL a 30 de miliarde EUR și care desfășoară oricare dintre activităţile menţionate la art. 33 alin. (1) lit. (c) și lit. (f) din Legea nr. 171/2012, este mai mare sau egală cu echivalentul în MDL a 30 de miliarde EUR; sau </w:t>
            </w:r>
          </w:p>
          <w:p w14:paraId="7940D673" w14:textId="77777777" w:rsidR="00E07C20" w:rsidRPr="005D6998" w:rsidRDefault="00E07C20" w:rsidP="00E07C20">
            <w:pPr>
              <w:spacing w:line="240" w:lineRule="auto"/>
              <w:jc w:val="both"/>
            </w:pPr>
            <w:r w:rsidRPr="005D6998">
              <w:rPr>
                <w:rFonts w:ascii="Times New Roman" w:hAnsi="Times New Roman"/>
              </w:rPr>
              <w:t>(iii) valoarea totală a activelor întreprinderii este mai mică de echivalentul în MDL a</w:t>
            </w:r>
            <w:r w:rsidRPr="005D6998" w:rsidDel="009E13C0">
              <w:rPr>
                <w:rFonts w:ascii="Times New Roman" w:hAnsi="Times New Roman"/>
              </w:rPr>
              <w:t xml:space="preserve"> </w:t>
            </w:r>
            <w:r w:rsidRPr="005D6998">
              <w:rPr>
                <w:rFonts w:ascii="Times New Roman" w:hAnsi="Times New Roman"/>
              </w:rPr>
              <w:t xml:space="preserve">30 de miliarde EUR, întreprinderea face parte dintr-un grup, iar valoarea totală a activelor consolidate ale tuturor întreprinderilor din grup care desfășoară oricare dintre activităţile menţionate la art. 33 alin. (1) lit. (c) și lit. (f) din Legea nr. 171/2012 este mai mare sau egală cu echivalentul în MDL a 30 de miliarde EUR, în cazul în care supraveghetorul consolidant, în consultare cu colegiul de supraveghetori, decide astfel pentru a contracara eventualele riscuri de </w:t>
            </w:r>
            <w:r w:rsidRPr="005D6998">
              <w:rPr>
                <w:rFonts w:ascii="Times New Roman" w:hAnsi="Times New Roman"/>
              </w:rPr>
              <w:lastRenderedPageBreak/>
              <w:t xml:space="preserve">eludare sau eventualele riscuri la adresa stabilităţii financiare a UE; </w:t>
            </w:r>
          </w:p>
          <w:p w14:paraId="7C4C20E2" w14:textId="477004D8" w:rsidR="00E07C20" w:rsidRPr="005D6998" w:rsidRDefault="00E07C20" w:rsidP="00E07C20">
            <w:pPr>
              <w:tabs>
                <w:tab w:val="left" w:pos="284"/>
              </w:tabs>
              <w:spacing w:after="160" w:line="240" w:lineRule="auto"/>
              <w:jc w:val="both"/>
              <w:rPr>
                <w:rFonts w:ascii="Times New Roman" w:hAnsi="Times New Roman"/>
                <w:b/>
                <w:bCs/>
              </w:rPr>
            </w:pPr>
            <w:r w:rsidRPr="005D6998">
              <w:rPr>
                <w:rFonts w:ascii="Times New Roman" w:hAnsi="Times New Roman"/>
              </w:rPr>
              <w:t>în sensul literei (b) punctele (ii) și (iii), în cazul în care întreprinderea face parte dintr-un grup dintr-un stat terţ, activele totale ale fiecărei sucursale a grupului dintr-un stat terţ autorizate în UE sunt incluse în valoarea totală combinată a activelor tuturor întreprinderilor din grup, iar în sensul literei (b) subpunctul (iii), supraveghetorul consolidant poate solicita întreprinderii toate informațiile relevante pentru a lua o decizie.</w:t>
            </w:r>
          </w:p>
        </w:tc>
        <w:tc>
          <w:tcPr>
            <w:tcW w:w="1559" w:type="dxa"/>
            <w:gridSpan w:val="3"/>
            <w:shd w:val="clear" w:color="auto" w:fill="FFFFFF"/>
          </w:tcPr>
          <w:p w14:paraId="1FE5859C" w14:textId="77777777" w:rsidR="00E07C20" w:rsidRPr="005D6998" w:rsidRDefault="00E07C20" w:rsidP="00E07C20">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CNPF</w:t>
            </w:r>
          </w:p>
          <w:p w14:paraId="434371A9" w14:textId="77777777" w:rsidR="00E07C20" w:rsidRPr="005D6998" w:rsidRDefault="00E07C20" w:rsidP="00E07C20">
            <w:pPr>
              <w:tabs>
                <w:tab w:val="left" w:pos="884"/>
                <w:tab w:val="left" w:pos="1196"/>
              </w:tabs>
              <w:spacing w:after="0" w:line="240" w:lineRule="auto"/>
              <w:jc w:val="center"/>
              <w:rPr>
                <w:rFonts w:ascii="Times New Roman" w:hAnsi="Times New Roman"/>
                <w:b/>
              </w:rPr>
            </w:pPr>
          </w:p>
          <w:p w14:paraId="0F967863" w14:textId="0DDC27C3" w:rsidR="00E07C20" w:rsidRPr="005D6998" w:rsidRDefault="00E07C20" w:rsidP="00E07C20">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03-4/2736 din 01.07.2026 din 15.06.2026</w:t>
            </w:r>
          </w:p>
        </w:tc>
        <w:tc>
          <w:tcPr>
            <w:tcW w:w="426" w:type="dxa"/>
            <w:shd w:val="clear" w:color="auto" w:fill="FFFFFF"/>
          </w:tcPr>
          <w:p w14:paraId="1A95323A" w14:textId="583E00D8" w:rsidR="00E07C20" w:rsidRPr="005D6998" w:rsidRDefault="00E07C20"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8B4A0C0" w14:textId="1B54E3CC" w:rsidR="00E07C20" w:rsidRPr="005D6998" w:rsidRDefault="00E07C20" w:rsidP="00E07C20">
            <w:pPr>
              <w:spacing w:after="0" w:line="240" w:lineRule="auto"/>
              <w:jc w:val="both"/>
              <w:rPr>
                <w:rFonts w:ascii="Times New Roman" w:hAnsi="Times New Roman"/>
              </w:rPr>
            </w:pPr>
            <w:r w:rsidRPr="005D6998">
              <w:rPr>
                <w:rFonts w:ascii="Times New Roman" w:hAnsi="Times New Roman"/>
              </w:rPr>
              <w:t>La noțiunea de „instituție de credit” lit.</w:t>
            </w:r>
            <w:r w:rsidR="00780E38" w:rsidRPr="005D6998">
              <w:rPr>
                <w:rFonts w:ascii="Times New Roman" w:hAnsi="Times New Roman"/>
              </w:rPr>
              <w:t xml:space="preserve"> </w:t>
            </w:r>
            <w:r w:rsidRPr="005D6998">
              <w:rPr>
                <w:rFonts w:ascii="Times New Roman" w:hAnsi="Times New Roman"/>
              </w:rPr>
              <w:t>b) de la art. 3 din lege – se arată faptul că autorul proiectului de lege la transpunerea noțiunii respective, după textul „o societate de asigurare”, a omis expresia „sau o firmă de investiții pentru care se acordă o derogare de la autorizarea ca instituție de credit în conformitate cu articolul 8a din Directiva 2013/36/UE”.</w:t>
            </w:r>
          </w:p>
        </w:tc>
        <w:tc>
          <w:tcPr>
            <w:tcW w:w="5012" w:type="dxa"/>
            <w:gridSpan w:val="3"/>
            <w:shd w:val="clear" w:color="auto" w:fill="FFFFFF"/>
          </w:tcPr>
          <w:p w14:paraId="7796F8EB" w14:textId="77777777" w:rsidR="00780E38" w:rsidRPr="005D6998" w:rsidRDefault="00780E38" w:rsidP="00780E38">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 xml:space="preserve">Nu se acceptă. </w:t>
            </w:r>
          </w:p>
          <w:p w14:paraId="75D8381E" w14:textId="77777777" w:rsidR="00780E38" w:rsidRPr="005D6998" w:rsidRDefault="00780E38" w:rsidP="00780E38">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Articolul 8a din Directiva 2013/36/UE reprezintă o dispoziție tranzitorie introdusă prin Regulamentul (UE) 2019/2033 și Directiva (UE) 2019/2034. Alineatul (3) al acestui articol a stabilit exclusiv obligația întreprinderilor vizate de art. 4 alin. (1) pct. 1 lit. (b) din Regulamentul (UE) nr. 575/2013, care la 24 decembrie 2019 erau autorizate ca firme de investiții, de a solicita autorizație ca instituții de credit </w:t>
            </w:r>
            <w:r w:rsidRPr="005D6998">
              <w:rPr>
                <w:rFonts w:ascii="Times New Roman" w:hAnsi="Times New Roman"/>
                <w:b/>
                <w:bCs/>
              </w:rPr>
              <w:t>până la 27 decembrie 2020</w:t>
            </w:r>
            <w:r w:rsidRPr="005D6998">
              <w:rPr>
                <w:rFonts w:ascii="Times New Roman" w:hAnsi="Times New Roman"/>
              </w:rPr>
              <w:t xml:space="preserve">. Prin urmare, prevederea și-a epuizat efectele juridice odată cu depășirea termenului stabilit. Respectiv, lipsa preluării exprese a acestei </w:t>
            </w:r>
            <w:r w:rsidRPr="005D6998">
              <w:rPr>
                <w:rFonts w:ascii="Times New Roman" w:hAnsi="Times New Roman"/>
              </w:rPr>
              <w:lastRenderedPageBreak/>
              <w:t>derogări nu reprezintă o lacună de conformitate cu textul UE.</w:t>
            </w:r>
          </w:p>
          <w:p w14:paraId="7487E31A" w14:textId="5BD431B9" w:rsidR="00E07C20" w:rsidRPr="005D6998" w:rsidRDefault="00E07C20" w:rsidP="00E07C20">
            <w:pPr>
              <w:tabs>
                <w:tab w:val="left" w:pos="884"/>
                <w:tab w:val="left" w:pos="1196"/>
              </w:tabs>
              <w:spacing w:after="0" w:line="240" w:lineRule="auto"/>
              <w:jc w:val="both"/>
              <w:rPr>
                <w:rFonts w:ascii="Times New Roman" w:hAnsi="Times New Roman"/>
              </w:rPr>
            </w:pPr>
          </w:p>
        </w:tc>
      </w:tr>
      <w:tr w:rsidR="00E07C20" w:rsidRPr="005D6998" w14:paraId="26E71AAF" w14:textId="77777777" w:rsidTr="00651F58">
        <w:trPr>
          <w:gridAfter w:val="1"/>
          <w:wAfter w:w="10" w:type="dxa"/>
          <w:trHeight w:val="105"/>
        </w:trPr>
        <w:tc>
          <w:tcPr>
            <w:tcW w:w="899" w:type="dxa"/>
            <w:gridSpan w:val="3"/>
            <w:shd w:val="clear" w:color="auto" w:fill="FFFFFF"/>
          </w:tcPr>
          <w:p w14:paraId="7C4360A5" w14:textId="77777777" w:rsidR="00E07C20" w:rsidRPr="005D6998" w:rsidRDefault="00E07C20" w:rsidP="00E07C20">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3FDF94D3" w14:textId="77777777" w:rsidR="00E07C20" w:rsidRPr="005D6998" w:rsidRDefault="00E07C20" w:rsidP="00E07C20">
            <w:pPr>
              <w:tabs>
                <w:tab w:val="left" w:pos="284"/>
              </w:tabs>
              <w:spacing w:after="160" w:line="240" w:lineRule="auto"/>
              <w:jc w:val="both"/>
              <w:rPr>
                <w:rFonts w:ascii="Times New Roman" w:hAnsi="Times New Roman"/>
                <w:b/>
                <w:bCs/>
              </w:rPr>
            </w:pPr>
          </w:p>
        </w:tc>
        <w:tc>
          <w:tcPr>
            <w:tcW w:w="1559" w:type="dxa"/>
            <w:gridSpan w:val="3"/>
            <w:shd w:val="clear" w:color="auto" w:fill="FFFFFF"/>
          </w:tcPr>
          <w:p w14:paraId="7BA95791" w14:textId="77777777" w:rsidR="00E07C20" w:rsidRPr="005D6998" w:rsidRDefault="00E07C20" w:rsidP="00E07C20">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2A914399" w14:textId="77777777" w:rsidR="00E07C20" w:rsidRPr="005D6998" w:rsidRDefault="00E07C20" w:rsidP="00E07C20">
            <w:pPr>
              <w:tabs>
                <w:tab w:val="left" w:pos="884"/>
                <w:tab w:val="left" w:pos="1196"/>
              </w:tabs>
              <w:spacing w:after="0" w:line="240" w:lineRule="auto"/>
              <w:jc w:val="center"/>
              <w:rPr>
                <w:rFonts w:ascii="Times New Roman" w:hAnsi="Times New Roman"/>
                <w:b/>
              </w:rPr>
            </w:pPr>
          </w:p>
          <w:p w14:paraId="7F5D384B" w14:textId="6AEAE144" w:rsidR="00E07C20" w:rsidRPr="005D6998" w:rsidRDefault="00E07C20" w:rsidP="00E07C20">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364586B0" w14:textId="5DB3457E" w:rsidR="00E07C20" w:rsidRPr="005D6998" w:rsidRDefault="00E07C20"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A95C254" w14:textId="2B15AEF9" w:rsidR="00E07C20" w:rsidRPr="005D6998" w:rsidRDefault="00E07C20" w:rsidP="00E07C20">
            <w:pPr>
              <w:spacing w:after="0" w:line="240" w:lineRule="auto"/>
              <w:jc w:val="both"/>
              <w:rPr>
                <w:rFonts w:ascii="Times New Roman" w:hAnsi="Times New Roman"/>
              </w:rPr>
            </w:pPr>
            <w:r w:rsidRPr="005D6998">
              <w:rPr>
                <w:rFonts w:ascii="Times New Roman" w:hAnsi="Times New Roman"/>
              </w:rPr>
              <w:t xml:space="preserve">Se propune ajustarea textului de la lit. b) subpct. i),  „echivalentul în MDL a 30 de miliarde euro”, întrucât nu se precizează mecanismul de calcul al echivalentului, respectiv data la care se va lua în considerare cursul oficial al BNM. </w:t>
            </w:r>
          </w:p>
          <w:p w14:paraId="244CE814" w14:textId="47A83D2E" w:rsidR="00E07C20" w:rsidRPr="005D6998" w:rsidRDefault="00E07C20" w:rsidP="00E07C20">
            <w:pPr>
              <w:spacing w:after="0" w:line="240" w:lineRule="auto"/>
              <w:jc w:val="both"/>
              <w:rPr>
                <w:rFonts w:ascii="Times New Roman" w:hAnsi="Times New Roman"/>
              </w:rPr>
            </w:pPr>
            <w:r w:rsidRPr="005D6998">
              <w:rPr>
                <w:rFonts w:ascii="Times New Roman" w:hAnsi="Times New Roman"/>
              </w:rPr>
              <w:t>Pentru claritate și previzibilitate juridică, se recomandă completarea textului cu sintagma: „calculat la cursul oficial al BNM la data de 31 decembrie a anului precedent”.</w:t>
            </w:r>
          </w:p>
        </w:tc>
        <w:tc>
          <w:tcPr>
            <w:tcW w:w="5012" w:type="dxa"/>
            <w:gridSpan w:val="3"/>
            <w:shd w:val="clear" w:color="auto" w:fill="FFFFFF"/>
          </w:tcPr>
          <w:p w14:paraId="798818F0" w14:textId="77777777" w:rsidR="00E07C20" w:rsidRPr="005D6998" w:rsidRDefault="00E07C20" w:rsidP="00E07C20">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 parțial.</w:t>
            </w:r>
          </w:p>
          <w:p w14:paraId="3E112E93" w14:textId="3C56C4AA" w:rsidR="00E07C20" w:rsidRPr="005D6998" w:rsidRDefault="00E07C20" w:rsidP="00E07C20">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Art. </w:t>
            </w:r>
            <w:r w:rsidR="00663664" w:rsidRPr="005D6998">
              <w:rPr>
                <w:rFonts w:ascii="Times New Roman" w:hAnsi="Times New Roman"/>
              </w:rPr>
              <w:t>I</w:t>
            </w:r>
            <w:r w:rsidRPr="005D6998">
              <w:rPr>
                <w:rFonts w:ascii="Times New Roman" w:hAnsi="Times New Roman"/>
              </w:rPr>
              <w:t xml:space="preserve">V Dispoziții finale a fost completat cu o alin. (6) care prevede că în actele normative ale BNM va fi stabilit punctual, în funcție de subiect, data care va fi luată în considerare cursul oficial al leului moldovenesc stabilit de Banca Națională a Moldovei. </w:t>
            </w:r>
          </w:p>
          <w:p w14:paraId="2E726DE5" w14:textId="77777777" w:rsidR="00E07C20" w:rsidRPr="005D6998" w:rsidRDefault="00E07C20" w:rsidP="00E07C20">
            <w:pPr>
              <w:spacing w:after="0"/>
              <w:jc w:val="both"/>
              <w:rPr>
                <w:rFonts w:ascii="Times New Roman" w:hAnsi="Times New Roman"/>
              </w:rPr>
            </w:pPr>
          </w:p>
          <w:p w14:paraId="33444746" w14:textId="3B545CA1" w:rsidR="00E07C20" w:rsidRPr="005D6998" w:rsidRDefault="00E07C20" w:rsidP="00E07C20">
            <w:pPr>
              <w:spacing w:after="0"/>
              <w:jc w:val="both"/>
              <w:rPr>
                <w:rFonts w:ascii="Times New Roman" w:hAnsi="Times New Roman"/>
              </w:rPr>
            </w:pPr>
            <w:r w:rsidRPr="005D6998">
              <w:rPr>
                <w:rFonts w:ascii="Times New Roman" w:hAnsi="Times New Roman"/>
              </w:rPr>
              <w:t>(6) Echivalentul în lei moldovenești a pragurilor stabilite în euro din prezenta lege se va calcula la cursul oficial al leului moldovenesc stabilit de Banca Națională a Moldovei conform actelor normative emise în aplicarea prezentei legi.</w:t>
            </w:r>
          </w:p>
          <w:p w14:paraId="35700E73" w14:textId="4E4BF9B1" w:rsidR="00E07C20" w:rsidRPr="005D6998" w:rsidRDefault="00E07C20" w:rsidP="00E07C20">
            <w:pPr>
              <w:tabs>
                <w:tab w:val="left" w:pos="884"/>
                <w:tab w:val="left" w:pos="1196"/>
              </w:tabs>
              <w:spacing w:after="0" w:line="240" w:lineRule="auto"/>
              <w:jc w:val="both"/>
              <w:rPr>
                <w:rFonts w:ascii="Times New Roman" w:hAnsi="Times New Roman"/>
              </w:rPr>
            </w:pPr>
          </w:p>
        </w:tc>
      </w:tr>
      <w:tr w:rsidR="00513EDC" w:rsidRPr="005D6998" w14:paraId="0D87DC52" w14:textId="77777777" w:rsidTr="00651F58">
        <w:trPr>
          <w:gridAfter w:val="1"/>
          <w:wAfter w:w="10" w:type="dxa"/>
          <w:trHeight w:val="105"/>
        </w:trPr>
        <w:tc>
          <w:tcPr>
            <w:tcW w:w="899" w:type="dxa"/>
            <w:gridSpan w:val="3"/>
            <w:shd w:val="clear" w:color="auto" w:fill="FFFFFF"/>
          </w:tcPr>
          <w:p w14:paraId="6FE1F662"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B433BF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noțiunea „</w:t>
            </w:r>
            <w:r w:rsidRPr="005D6998">
              <w:rPr>
                <w:rFonts w:ascii="Times New Roman" w:hAnsi="Times New Roman"/>
                <w:i/>
                <w:iCs/>
              </w:rPr>
              <w:t xml:space="preserve">întreprindere prestatoare de servicii auxiliare” </w:t>
            </w:r>
            <w:r w:rsidRPr="005D6998">
              <w:rPr>
                <w:rFonts w:ascii="Times New Roman" w:hAnsi="Times New Roman"/>
              </w:rPr>
              <w:t xml:space="preserve">va avea următorul cuprins: </w:t>
            </w:r>
          </w:p>
          <w:p w14:paraId="7D60B19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r w:rsidRPr="005D6998">
              <w:rPr>
                <w:rFonts w:ascii="Times New Roman" w:hAnsi="Times New Roman"/>
                <w:i/>
                <w:iCs/>
              </w:rPr>
              <w:t xml:space="preserve">întreprindere prestatoare de servicii auxiliare </w:t>
            </w:r>
            <w:r w:rsidRPr="005D6998">
              <w:rPr>
                <w:rFonts w:ascii="Times New Roman" w:hAnsi="Times New Roman"/>
              </w:rPr>
              <w:t>– întreprindere a cărei activitate principală, indiferent dacă este furnizată unor întreprinderi din cadrul grupului sau unor clienți din afara grupului, constă în oricare dintre următoarele:</w:t>
            </w:r>
          </w:p>
          <w:p w14:paraId="0189206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 o prelungire directă a serviciilor bancare;</w:t>
            </w:r>
          </w:p>
          <w:p w14:paraId="04AC0A4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b) activități de leasing operațional, deţinere sau administrare de bunuri, prestare de servicii de prelucrare a datelor sau o activitate similară care este auxiliară serviciilor bancare;</w:t>
            </w:r>
          </w:p>
          <w:p w14:paraId="5712DB8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 orice altă activitate considerată de Banca Națională a Moldovei similară cu cele menționate la lit. a) și b);</w:t>
            </w:r>
          </w:p>
          <w:p w14:paraId="4AB60736" w14:textId="097C7C95" w:rsidR="00513EDC" w:rsidRPr="005D6998" w:rsidRDefault="00513EDC" w:rsidP="00513EDC">
            <w:pPr>
              <w:spacing w:after="0" w:line="240" w:lineRule="auto"/>
              <w:jc w:val="both"/>
              <w:rPr>
                <w:rFonts w:ascii="Times New Roman" w:hAnsi="Times New Roman"/>
                <w:i/>
                <w:iCs/>
              </w:rPr>
            </w:pPr>
            <w:r w:rsidRPr="005D6998">
              <w:rPr>
                <w:rFonts w:ascii="Times New Roman" w:hAnsi="Times New Roman"/>
              </w:rPr>
              <w:t>d) orice altă activitate considerată de Autoritatea Bancară Europeană</w:t>
            </w:r>
            <w:r w:rsidRPr="005D6998">
              <w:rPr>
                <w:rFonts w:ascii="Times New Roman" w:hAnsi="Times New Roman"/>
                <w:color w:val="FF0000"/>
              </w:rPr>
              <w:t xml:space="preserve"> </w:t>
            </w:r>
            <w:r w:rsidRPr="005D6998">
              <w:rPr>
                <w:rFonts w:ascii="Times New Roman" w:hAnsi="Times New Roman"/>
              </w:rPr>
              <w:lastRenderedPageBreak/>
              <w:t>similară cu cele menționate la lit. a) și b);”;</w:t>
            </w:r>
          </w:p>
        </w:tc>
        <w:tc>
          <w:tcPr>
            <w:tcW w:w="1559" w:type="dxa"/>
            <w:gridSpan w:val="3"/>
            <w:shd w:val="clear" w:color="auto" w:fill="FFFFFF"/>
          </w:tcPr>
          <w:p w14:paraId="3ADD1EEE"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4FF8558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43F74F7" w14:textId="1B21879A"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5176F31C" w14:textId="103F30D5"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B5948AB" w14:textId="1DAE0E5D"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recomandă corelarea sintagmei „prelungire directă a serviciilor bancare” cu terminologia utilizată actualmente la art. 14 alin. (1</w:t>
            </w:r>
            <w:r w:rsidRPr="005D6998">
              <w:rPr>
                <w:rFonts w:ascii="Times New Roman" w:hAnsi="Times New Roman"/>
                <w:vertAlign w:val="superscript"/>
              </w:rPr>
              <w:t>1</w:t>
            </w:r>
            <w:r w:rsidRPr="005D6998">
              <w:rPr>
                <w:rFonts w:ascii="Times New Roman" w:hAnsi="Times New Roman"/>
              </w:rPr>
              <w:t>) din Legea nr. 202/2017, care se referă la „prelungirea operațiunilor bancare”.</w:t>
            </w:r>
          </w:p>
        </w:tc>
        <w:tc>
          <w:tcPr>
            <w:tcW w:w="5012" w:type="dxa"/>
            <w:gridSpan w:val="3"/>
            <w:shd w:val="clear" w:color="auto" w:fill="FFFFFF"/>
          </w:tcPr>
          <w:p w14:paraId="2DF09732"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0B45BD9D" w14:textId="1CA03F5F"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Sintagma „prelungire directă a serviciilor bancare” corespunde terminologiei utilizate de Regulamentul (UE) nr. 575/2013. Termenul „servicii bancare” are o sferă mai largă decât „operațiuni bancare”, reflectând mai fidel sensul noțiunilor utilizate în versiunile autentice ale regulamentului (de exemplu, „banking”/„activités bancaires”). Respectiv, nu se consideră oportună înlocuirea acestei sintagme.</w:t>
            </w:r>
          </w:p>
        </w:tc>
      </w:tr>
      <w:tr w:rsidR="00513EDC" w:rsidRPr="005D6998" w14:paraId="55AB1A1A" w14:textId="77777777" w:rsidTr="00651F58">
        <w:trPr>
          <w:gridAfter w:val="1"/>
          <w:wAfter w:w="10" w:type="dxa"/>
          <w:trHeight w:val="105"/>
        </w:trPr>
        <w:tc>
          <w:tcPr>
            <w:tcW w:w="899" w:type="dxa"/>
            <w:gridSpan w:val="3"/>
            <w:shd w:val="clear" w:color="auto" w:fill="FFFFFF"/>
          </w:tcPr>
          <w:p w14:paraId="4E771A1A"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01534BC" w14:textId="77777777" w:rsidR="00513EDC" w:rsidRPr="005D6998" w:rsidRDefault="00513EDC" w:rsidP="00513EDC">
            <w:pPr>
              <w:tabs>
                <w:tab w:val="left" w:pos="284"/>
              </w:tabs>
              <w:spacing w:after="160" w:line="240" w:lineRule="auto"/>
              <w:jc w:val="both"/>
              <w:rPr>
                <w:rFonts w:ascii="Times New Roman" w:hAnsi="Times New Roman"/>
              </w:rPr>
            </w:pPr>
            <w:r w:rsidRPr="005D6998">
              <w:rPr>
                <w:rFonts w:ascii="Times New Roman" w:hAnsi="Times New Roman"/>
                <w:b/>
                <w:bCs/>
              </w:rPr>
              <w:t>5.</w:t>
            </w:r>
            <w:r w:rsidRPr="005D6998">
              <w:rPr>
                <w:rFonts w:ascii="Times New Roman" w:hAnsi="Times New Roman"/>
              </w:rPr>
              <w:t xml:space="preserve"> Articolul 3 se modifică și se completează după cum urmează:</w:t>
            </w:r>
          </w:p>
          <w:p w14:paraId="45462384" w14:textId="73C09D8F"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2DF86548" w14:textId="77777777" w:rsidR="00513EDC" w:rsidRPr="005D6998" w:rsidRDefault="00513EDC" w:rsidP="00513EDC">
            <w:pPr>
              <w:spacing w:after="0"/>
              <w:jc w:val="both"/>
              <w:rPr>
                <w:rFonts w:ascii="Times New Roman" w:hAnsi="Times New Roman"/>
              </w:rPr>
            </w:pPr>
            <w:r w:rsidRPr="005D6998">
              <w:rPr>
                <w:rFonts w:ascii="Times New Roman" w:hAnsi="Times New Roman"/>
                <w:i/>
                <w:iCs/>
              </w:rPr>
              <w:t xml:space="preserve">instituție mică și cu un grad redus de complexitate </w:t>
            </w:r>
            <w:r w:rsidRPr="005D6998">
              <w:rPr>
                <w:rFonts w:ascii="Times New Roman" w:hAnsi="Times New Roman"/>
              </w:rPr>
              <w:t>– instituție de credit care îndeplinește cumulativ următoarele condiții:</w:t>
            </w:r>
          </w:p>
          <w:p w14:paraId="2D523A9F" w14:textId="77777777" w:rsidR="00513EDC" w:rsidRPr="005D6998" w:rsidRDefault="00513EDC" w:rsidP="00513EDC">
            <w:pPr>
              <w:spacing w:after="0"/>
              <w:jc w:val="both"/>
              <w:rPr>
                <w:rFonts w:ascii="Times New Roman" w:hAnsi="Times New Roman"/>
              </w:rPr>
            </w:pPr>
            <w:r w:rsidRPr="005D6998">
              <w:rPr>
                <w:rFonts w:ascii="Times New Roman" w:hAnsi="Times New Roman"/>
              </w:rPr>
              <w:t>a) nu este o instituţie mare;</w:t>
            </w:r>
          </w:p>
          <w:p w14:paraId="469FB9D5" w14:textId="77777777" w:rsidR="00513EDC" w:rsidRPr="005D6998" w:rsidRDefault="00513EDC" w:rsidP="00513EDC">
            <w:pPr>
              <w:spacing w:after="0"/>
              <w:jc w:val="both"/>
              <w:rPr>
                <w:rFonts w:ascii="Times New Roman" w:hAnsi="Times New Roman"/>
              </w:rPr>
            </w:pPr>
            <w:r w:rsidRPr="005D6998">
              <w:rPr>
                <w:rFonts w:ascii="Times New Roman" w:hAnsi="Times New Roman"/>
              </w:rPr>
              <w:t>b) valoarea totală a activelor sale pe bază individuală sau, după caz, pe bază consolidată în conformitate cu prezenta lege și cu actele normative emise în aplicarea acesteia este în medie mai mică sau egală cu echivalentul în MDL a 5 miliarde EUR în perioada de patru ani imediat anterioară perioadei anuale curente de raportare;</w:t>
            </w:r>
          </w:p>
          <w:p w14:paraId="78A8F292" w14:textId="77777777" w:rsidR="00513EDC" w:rsidRPr="005D6998" w:rsidRDefault="00513EDC" w:rsidP="00513EDC">
            <w:pPr>
              <w:spacing w:after="0"/>
              <w:jc w:val="both"/>
              <w:rPr>
                <w:rFonts w:ascii="Times New Roman" w:hAnsi="Times New Roman"/>
              </w:rPr>
            </w:pPr>
            <w:r w:rsidRPr="005D6998">
              <w:rPr>
                <w:rFonts w:ascii="Times New Roman" w:hAnsi="Times New Roman"/>
              </w:rPr>
              <w:t>c) nu face obiectul unor cerințe sau face obiectul unor cerințe simplificate în ceea ce privește planificarea redresării și a rezoluţiei în conformitate cu articolul 8 din Legea nr. 232/2016 privind redresarea și rezoluția instituțiilor de credit;</w:t>
            </w:r>
          </w:p>
          <w:p w14:paraId="046ED536" w14:textId="77777777" w:rsidR="00513EDC" w:rsidRPr="005D6998" w:rsidRDefault="00513EDC" w:rsidP="00513EDC">
            <w:pPr>
              <w:spacing w:after="0"/>
              <w:jc w:val="both"/>
              <w:rPr>
                <w:rFonts w:ascii="Times New Roman" w:hAnsi="Times New Roman"/>
              </w:rPr>
            </w:pPr>
            <w:r w:rsidRPr="005D6998">
              <w:rPr>
                <w:rFonts w:ascii="Times New Roman" w:hAnsi="Times New Roman"/>
              </w:rPr>
              <w:t>d) portofoliul său de tranzacţionare este clasificat ca fiind de mici dimensiuni în sensul actelor normative ale Băncii Naționale a Moldovei;</w:t>
            </w:r>
          </w:p>
          <w:p w14:paraId="2AF629FF"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e) valoarea totală a poziţiilor sale pe instrumente financiare derivate deţinute cu intenţia tranzacţionării nu </w:t>
            </w:r>
            <w:r w:rsidRPr="005D6998">
              <w:rPr>
                <w:rFonts w:ascii="Times New Roman" w:hAnsi="Times New Roman"/>
              </w:rPr>
              <w:lastRenderedPageBreak/>
              <w:t>depășește 2 % din totalul activelor sale bilanţiere și extrabilanţiere și valoarea totală a poziţiilor sale globale pe instrumente financiare derivate nu depășește 5 %, ambele calculate în conformitate cu actele normative ale Băncii Naționale a Moldovei;</w:t>
            </w:r>
          </w:p>
          <w:p w14:paraId="40B5EA03" w14:textId="77777777" w:rsidR="00513EDC" w:rsidRPr="005D6998" w:rsidRDefault="00513EDC" w:rsidP="00513EDC">
            <w:pPr>
              <w:spacing w:after="0"/>
              <w:jc w:val="both"/>
              <w:rPr>
                <w:rFonts w:ascii="Times New Roman" w:hAnsi="Times New Roman"/>
              </w:rPr>
            </w:pPr>
            <w:r w:rsidRPr="005D6998">
              <w:rPr>
                <w:rFonts w:ascii="Times New Roman" w:hAnsi="Times New Roman"/>
              </w:rPr>
              <w:t>f) activele sau pasivele consolidate ale instituţiei de credit legate de activităţile cu contrapărţi situate în Spaţiul Economic European, cu excepţia expunerilor intragrup din Spaţiul Economic European, depășesc 75 % din totalul activelor și pasivelor consolidate ale instituţiei de credit, excluzând, în ambele cazuri, expunerile intragrup;</w:t>
            </w:r>
          </w:p>
          <w:p w14:paraId="1DDF4EC8" w14:textId="77777777" w:rsidR="00513EDC" w:rsidRPr="005D6998" w:rsidRDefault="00513EDC" w:rsidP="00513EDC">
            <w:pPr>
              <w:spacing w:after="0"/>
              <w:jc w:val="both"/>
              <w:rPr>
                <w:rFonts w:ascii="Times New Roman" w:hAnsi="Times New Roman"/>
              </w:rPr>
            </w:pPr>
            <w:r w:rsidRPr="005D6998">
              <w:rPr>
                <w:rFonts w:ascii="Times New Roman" w:hAnsi="Times New Roman"/>
              </w:rPr>
              <w:t>g) instituţia de credit nu utilizează modele interne pentru a îndeplini cerinţele prudenţiale în conformitate cu prezenta lege, cu excepţia filialelor care folosesc modele interne elaborate la nivel de grup, cu condiţia ca grupul să fie supus cerinţelor de publicare prevăzute de actele normative ale Băncii Naționale a Moldovei pe bază consolidată;</w:t>
            </w:r>
          </w:p>
          <w:p w14:paraId="1ADE1265" w14:textId="77777777" w:rsidR="00513EDC" w:rsidRPr="005D6998" w:rsidRDefault="00513EDC" w:rsidP="00513EDC">
            <w:pPr>
              <w:spacing w:after="0"/>
              <w:jc w:val="both"/>
              <w:rPr>
                <w:rFonts w:ascii="Times New Roman" w:hAnsi="Times New Roman"/>
              </w:rPr>
            </w:pPr>
            <w:r w:rsidRPr="005D6998">
              <w:rPr>
                <w:rFonts w:ascii="Times New Roman" w:hAnsi="Times New Roman"/>
              </w:rPr>
              <w:t>h) instituţia de credit nu a contestat la Banca Națională a Moldovei calificarea ca instituţie mică și cu un grad redus de complexitate;</w:t>
            </w:r>
          </w:p>
          <w:p w14:paraId="4A313747" w14:textId="35E1B086" w:rsidR="00513EDC" w:rsidRPr="005D6998" w:rsidRDefault="00513EDC" w:rsidP="00513EDC">
            <w:pPr>
              <w:spacing w:after="0"/>
              <w:jc w:val="both"/>
              <w:rPr>
                <w:rFonts w:ascii="Times New Roman" w:hAnsi="Times New Roman"/>
                <w:i/>
                <w:iCs/>
                <w:color w:val="0F9ED5" w:themeColor="accent4"/>
              </w:rPr>
            </w:pPr>
            <w:r w:rsidRPr="005D6998">
              <w:rPr>
                <w:rFonts w:ascii="Times New Roman" w:hAnsi="Times New Roman"/>
              </w:rPr>
              <w:t xml:space="preserve">i) Banca Națională a Moldovei nu a decis, pe baza analizei dimensiunii, a </w:t>
            </w:r>
            <w:r w:rsidRPr="005D6998">
              <w:rPr>
                <w:rFonts w:ascii="Times New Roman" w:hAnsi="Times New Roman"/>
              </w:rPr>
              <w:lastRenderedPageBreak/>
              <w:t xml:space="preserve">interconectării, a complexităţii sau a profilului de risc, că instituţia nu trebuie să fie calificată ca instituţie mică și cu un grad redus de complexitate; </w:t>
            </w:r>
          </w:p>
        </w:tc>
        <w:tc>
          <w:tcPr>
            <w:tcW w:w="1559" w:type="dxa"/>
            <w:gridSpan w:val="3"/>
            <w:shd w:val="clear" w:color="auto" w:fill="FFFFFF"/>
          </w:tcPr>
          <w:p w14:paraId="321B285C"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AmCham</w:t>
            </w:r>
          </w:p>
          <w:p w14:paraId="56E80F63"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1FA32B2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1BA1C27" w14:textId="23017073"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5D2284D8"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104F3B72" w14:textId="7798D286"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A349BE2" w14:textId="77777777"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bCs/>
              </w:rPr>
              <w:t>Se propune completarea art. 3 din Legea nr. 202/2017 cu un alineat nou, cu următorul cuprins:</w:t>
            </w:r>
          </w:p>
          <w:p w14:paraId="54489112" w14:textId="727D410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„Banca Națională poate adapta prin acte normative criteriile prevăzute la lit. f)-g), ținând cont de dimensiunea și specificul pieței financiare din Republica Moldova.”.</w:t>
            </w:r>
          </w:p>
          <w:p w14:paraId="7EF234E1" w14:textId="77777777" w:rsidR="00513EDC" w:rsidRPr="005D6998" w:rsidRDefault="00513EDC" w:rsidP="00513EDC">
            <w:pPr>
              <w:spacing w:after="0" w:line="240" w:lineRule="auto"/>
              <w:jc w:val="both"/>
              <w:rPr>
                <w:rFonts w:ascii="Times New Roman" w:hAnsi="Times New Roman"/>
                <w:i/>
                <w:iCs/>
              </w:rPr>
            </w:pPr>
          </w:p>
          <w:p w14:paraId="381DA38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menționează, cu referire la noțiunea „instituție mică și cu un grad redus de complexitate, că proiectul preia integral criteriile prevăzute de Regulamentul (UE) nr. 575/2013 (CRR) pentru definirea noțiunii de „instituție mică și cu un grad redus de complexitate”, inclusiv criteriile prevăzute la lit. f)–g), care fac referire la nivelul expunerilor în Spațiul Economic European (SEE), utilizarea modelelor interne și desfășurarea activităților transfrontaliere.</w:t>
            </w:r>
          </w:p>
          <w:p w14:paraId="4AA84A3F" w14:textId="7E55AEB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 Deși aceste criterii sunt relevante în contextul pieței financiare a Uniunii Europene, aplicabilitatea lor în Republica Moldova este limitată, având în vedere dimensiunea redusă a sectorului bancar, gradul redus de internaționalizare a activităților și faptul că utilizarea modelelor interne avansate nu reprezintă o practică răspândită pe piața locală. În forma propusă, există riscul ca anumite criterii să nu reflecte în mod adecvat profilul de risc și nivelul de complexitate al instituțiilor de credit din Republica Moldova, ceea ce poate conduce la dificultăți de interpretare și aplicare.</w:t>
            </w:r>
          </w:p>
        </w:tc>
        <w:tc>
          <w:tcPr>
            <w:tcW w:w="5012" w:type="dxa"/>
            <w:gridSpan w:val="3"/>
            <w:shd w:val="clear" w:color="auto" w:fill="FFFFFF"/>
          </w:tcPr>
          <w:p w14:paraId="0B09B1A7"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0DF1026D"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Propunerea nu poate fi acceptată, întrucât noțiunea este preluată din Regulamentul (UE) nr. 575/2013, act cu aplicabilitate directă în UE, pe care Republica Moldova și-a asumat să îl preia integral în cadrul procesului de aliniere legislativă.</w:t>
            </w:r>
          </w:p>
          <w:p w14:paraId="71F6D042" w14:textId="552DE53A"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Definiția stabilește criterii clare și cumulative pentru calificarea unei instituții drept mică și cu grad redus de complexitate. Într-un sector bancar de dimensiuni și complexitate reduse, cum este cel din Republica Moldova, instituțiile de credit vor îndeplini în mod natural aceste criterii, fără a fi necesară introducerea unor condiții suplimentare.</w:t>
            </w:r>
          </w:p>
          <w:p w14:paraId="353537D1" w14:textId="66E4C7D8"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În mod similar, definiția instituțiilor mari (preluată din același regulament) utilizează criterii cantitative privind dimensiunea activelor, însă acestea se aplică alternativ, dar nu cumulativ. În consecință, doar un număr limitat de instituții de credit vor fi încadrate ca „mari” (trei dintre cele mai mari instituții de credit în funcție de valoarea activelor), iar restul vor intra în categoria instituțiilor mici și cu grad redus de complexitate.</w:t>
            </w:r>
          </w:p>
        </w:tc>
      </w:tr>
      <w:tr w:rsidR="00513EDC" w:rsidRPr="005D6998" w14:paraId="2BDADC79" w14:textId="77777777" w:rsidTr="00651F58">
        <w:trPr>
          <w:gridAfter w:val="1"/>
          <w:wAfter w:w="10" w:type="dxa"/>
          <w:trHeight w:val="105"/>
        </w:trPr>
        <w:tc>
          <w:tcPr>
            <w:tcW w:w="899" w:type="dxa"/>
            <w:gridSpan w:val="3"/>
            <w:shd w:val="clear" w:color="auto" w:fill="FFFFFF"/>
          </w:tcPr>
          <w:p w14:paraId="79A365F1"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73DE2BE" w14:textId="77777777" w:rsidR="00513EDC" w:rsidRPr="005D6998" w:rsidRDefault="00513EDC" w:rsidP="00513EDC">
            <w:pPr>
              <w:tabs>
                <w:tab w:val="left" w:pos="284"/>
              </w:tabs>
              <w:spacing w:after="160" w:line="240" w:lineRule="auto"/>
              <w:jc w:val="both"/>
              <w:rPr>
                <w:rFonts w:ascii="Times New Roman" w:hAnsi="Times New Roman"/>
                <w:b/>
                <w:bCs/>
              </w:rPr>
            </w:pPr>
            <w:r w:rsidRPr="005D6998">
              <w:rPr>
                <w:rFonts w:ascii="Times New Roman" w:hAnsi="Times New Roman"/>
                <w:b/>
                <w:bCs/>
              </w:rPr>
              <w:t xml:space="preserve">7. </w:t>
            </w:r>
            <w:r w:rsidRPr="005D6998">
              <w:rPr>
                <w:rFonts w:ascii="Times New Roman" w:hAnsi="Times New Roman"/>
              </w:rPr>
              <w:t>Articolul 5:</w:t>
            </w:r>
          </w:p>
          <w:p w14:paraId="62BF61F2" w14:textId="4F3CB909" w:rsidR="00513EDC" w:rsidRPr="005D6998" w:rsidRDefault="00513EDC" w:rsidP="00513EDC">
            <w:pPr>
              <w:tabs>
                <w:tab w:val="left" w:pos="284"/>
              </w:tabs>
              <w:spacing w:after="160" w:line="240" w:lineRule="auto"/>
              <w:jc w:val="both"/>
              <w:rPr>
                <w:rFonts w:ascii="Times New Roman" w:hAnsi="Times New Roman"/>
              </w:rPr>
            </w:pPr>
            <w:r w:rsidRPr="005D6998">
              <w:rPr>
                <w:rFonts w:ascii="Times New Roman" w:hAnsi="Times New Roman"/>
              </w:rPr>
              <w:t>[…]</w:t>
            </w:r>
          </w:p>
          <w:p w14:paraId="747DA1EE" w14:textId="77777777" w:rsidR="00513EDC" w:rsidRPr="005D6998" w:rsidRDefault="00513EDC" w:rsidP="00513EDC">
            <w:pPr>
              <w:spacing w:line="240" w:lineRule="auto"/>
              <w:jc w:val="both"/>
              <w:rPr>
                <w:rFonts w:ascii="Times New Roman" w:hAnsi="Times New Roman"/>
              </w:rPr>
            </w:pPr>
            <w:r w:rsidRPr="005D6998">
              <w:rPr>
                <w:rFonts w:ascii="Times New Roman" w:hAnsi="Times New Roman"/>
              </w:rPr>
              <w:t>se completează cu alineatul (7) cu următorul cuprins:</w:t>
            </w:r>
          </w:p>
          <w:p w14:paraId="0C8AD221" w14:textId="698724AE" w:rsidR="00513EDC" w:rsidRPr="005D6998" w:rsidRDefault="00513EDC" w:rsidP="00513EDC">
            <w:pPr>
              <w:spacing w:line="240" w:lineRule="auto"/>
              <w:jc w:val="both"/>
              <w:rPr>
                <w:rFonts w:ascii="Times New Roman" w:hAnsi="Times New Roman"/>
                <w:b/>
                <w:bCs/>
              </w:rPr>
            </w:pPr>
            <w:r w:rsidRPr="005D6998">
              <w:rPr>
                <w:rFonts w:ascii="Times New Roman" w:hAnsi="Times New Roman"/>
              </w:rPr>
              <w:t>„(7) În exercitarea atribuțiilor conferite prin prezenta lege, Banca Națională a Moldovei ia în calcul în mod corespunzător efectul potențial al deciziilor sale asupra stabilității financiare din statele membre a UE și, în special în situații de urgență, pe baza informațiilor disponibile din momentul respectiv.”</w:t>
            </w:r>
          </w:p>
        </w:tc>
        <w:tc>
          <w:tcPr>
            <w:tcW w:w="1559" w:type="dxa"/>
            <w:gridSpan w:val="3"/>
            <w:shd w:val="clear" w:color="auto" w:fill="FFFFFF"/>
          </w:tcPr>
          <w:p w14:paraId="0648D00C"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326217C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4ABEDF7" w14:textId="10FA0480"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12D4FC7E" w14:textId="3CD14EEC"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rPr>
            </w:pPr>
          </w:p>
        </w:tc>
        <w:tc>
          <w:tcPr>
            <w:tcW w:w="4201" w:type="dxa"/>
            <w:gridSpan w:val="3"/>
            <w:shd w:val="clear" w:color="auto" w:fill="FFFFFF"/>
          </w:tcPr>
          <w:p w14:paraId="0FE7267F" w14:textId="54221D4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recomandă intrarea în vigoare prevederilor propuse în art. 5 alin. (7) la data aderării Republicii Moldova la Uniunea Europeană, întrucât clauzele extind obligația Băncii Naționale a Moldovei de a avea în vedere impactul deciziilor sale asupra stabilității financiare din toate celelalte state implicate înainte de aderarea Republicii Moldova la UE.</w:t>
            </w:r>
          </w:p>
        </w:tc>
        <w:tc>
          <w:tcPr>
            <w:tcW w:w="5012" w:type="dxa"/>
            <w:gridSpan w:val="3"/>
            <w:shd w:val="clear" w:color="auto" w:fill="FFFFFF"/>
          </w:tcPr>
          <w:p w14:paraId="4B0ADCD2" w14:textId="7BBEA72E"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31BC9CDF" w14:textId="0ED0D4A7" w:rsidR="00513EDC" w:rsidRPr="005D6998" w:rsidRDefault="00513EDC" w:rsidP="00513EDC">
            <w:pPr>
              <w:spacing w:after="0"/>
              <w:jc w:val="both"/>
              <w:rPr>
                <w:rFonts w:ascii="Times New Roman" w:hAnsi="Times New Roman"/>
                <w:b/>
              </w:rPr>
            </w:pPr>
            <w:r w:rsidRPr="005D6998">
              <w:rPr>
                <w:rFonts w:ascii="Times New Roman" w:hAnsi="Times New Roman"/>
              </w:rPr>
              <w:t xml:space="preserve">Art. </w:t>
            </w:r>
            <w:r w:rsidR="00663664" w:rsidRPr="005D6998">
              <w:rPr>
                <w:rFonts w:ascii="Times New Roman" w:hAnsi="Times New Roman"/>
              </w:rPr>
              <w:t>I</w:t>
            </w:r>
            <w:r w:rsidRPr="005D6998">
              <w:rPr>
                <w:rFonts w:ascii="Times New Roman" w:hAnsi="Times New Roman"/>
              </w:rPr>
              <w:t>V. Dispoziții finale alin. (3) lit. a) deja stabilește că pct. 7, în partea care se referă la completarea cu alin. (5</w:t>
            </w:r>
            <w:r w:rsidRPr="005D6998">
              <w:rPr>
                <w:rFonts w:ascii="Times New Roman" w:hAnsi="Times New Roman"/>
                <w:vertAlign w:val="superscript"/>
              </w:rPr>
              <w:t>2</w:t>
            </w:r>
            <w:r w:rsidRPr="005D6998">
              <w:rPr>
                <w:rFonts w:ascii="Times New Roman" w:hAnsi="Times New Roman"/>
              </w:rPr>
              <w:t>) și (7) a art. 5 din Legea nr. 202/2017 va intra în vigoare la data aderării.</w:t>
            </w:r>
          </w:p>
        </w:tc>
      </w:tr>
      <w:tr w:rsidR="00513EDC" w:rsidRPr="005D6998" w14:paraId="71074D83" w14:textId="77777777" w:rsidTr="00651F58">
        <w:trPr>
          <w:gridAfter w:val="1"/>
          <w:wAfter w:w="10" w:type="dxa"/>
          <w:trHeight w:val="70"/>
        </w:trPr>
        <w:tc>
          <w:tcPr>
            <w:tcW w:w="899" w:type="dxa"/>
            <w:gridSpan w:val="3"/>
            <w:vMerge w:val="restart"/>
            <w:shd w:val="clear" w:color="auto" w:fill="FFFFFF"/>
          </w:tcPr>
          <w:p w14:paraId="14D95331"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val="restart"/>
            <w:shd w:val="clear" w:color="auto" w:fill="FFFFFF"/>
          </w:tcPr>
          <w:p w14:paraId="7FD71B8D" w14:textId="77777777" w:rsidR="00513EDC" w:rsidRPr="005D6998" w:rsidRDefault="00513EDC" w:rsidP="00513EDC">
            <w:pPr>
              <w:tabs>
                <w:tab w:val="left" w:pos="426"/>
              </w:tabs>
              <w:spacing w:after="160" w:line="240" w:lineRule="auto"/>
              <w:jc w:val="both"/>
              <w:rPr>
                <w:rFonts w:ascii="Times New Roman" w:hAnsi="Times New Roman"/>
              </w:rPr>
            </w:pPr>
            <w:r w:rsidRPr="005D6998">
              <w:rPr>
                <w:rFonts w:ascii="Times New Roman" w:hAnsi="Times New Roman"/>
                <w:b/>
                <w:bCs/>
              </w:rPr>
              <w:t>8.</w:t>
            </w:r>
            <w:r w:rsidRPr="005D6998">
              <w:rPr>
                <w:rFonts w:ascii="Times New Roman" w:hAnsi="Times New Roman"/>
              </w:rPr>
              <w:t xml:space="preserve"> Se completează cu articolul 5</w:t>
            </w:r>
            <w:r w:rsidRPr="005D6998">
              <w:rPr>
                <w:rFonts w:ascii="Times New Roman" w:hAnsi="Times New Roman"/>
                <w:vertAlign w:val="superscript"/>
              </w:rPr>
              <w:t xml:space="preserve">1 </w:t>
            </w:r>
            <w:r w:rsidRPr="005D6998">
              <w:rPr>
                <w:rFonts w:ascii="Times New Roman" w:hAnsi="Times New Roman"/>
              </w:rPr>
              <w:t>cu următorul cuprins:</w:t>
            </w:r>
          </w:p>
          <w:p w14:paraId="7A48F2D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r w:rsidRPr="005D6998">
              <w:rPr>
                <w:rFonts w:ascii="Times New Roman" w:hAnsi="Times New Roman"/>
                <w:b/>
                <w:bCs/>
              </w:rPr>
              <w:t>Articolul 5</w:t>
            </w:r>
            <w:r w:rsidRPr="005D6998">
              <w:rPr>
                <w:rFonts w:ascii="Times New Roman" w:hAnsi="Times New Roman"/>
                <w:b/>
                <w:bCs/>
                <w:vertAlign w:val="superscript"/>
              </w:rPr>
              <w:t>1</w:t>
            </w:r>
            <w:r w:rsidRPr="005D6998">
              <w:rPr>
                <w:rFonts w:ascii="Times New Roman" w:hAnsi="Times New Roman"/>
                <w:b/>
                <w:bCs/>
              </w:rPr>
              <w:t>.</w:t>
            </w:r>
            <w:r w:rsidRPr="005D6998">
              <w:rPr>
                <w:rFonts w:ascii="Times New Roman" w:hAnsi="Times New Roman"/>
              </w:rPr>
              <w:t xml:space="preserve"> Atribuţiile de autorizare, reglementare și supraveghere ale Comisiei Naționale a Pieței Financiare în calitate de autoritate competentă </w:t>
            </w:r>
          </w:p>
          <w:p w14:paraId="5B98533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 Comisia Națională a Pieței Financiare realizează autorizarea, reglementarea și supravegherea prudențială a instituțiilor de credit care desfășoară activitățile prevăzute la art. 3 noțiunea „</w:t>
            </w:r>
            <w:r w:rsidRPr="005D6998">
              <w:rPr>
                <w:rFonts w:ascii="Times New Roman" w:hAnsi="Times New Roman"/>
                <w:i/>
                <w:iCs/>
              </w:rPr>
              <w:t>instituție de credit</w:t>
            </w:r>
            <w:r w:rsidRPr="005D6998">
              <w:rPr>
                <w:rFonts w:ascii="Times New Roman" w:hAnsi="Times New Roman"/>
              </w:rPr>
              <w:t xml:space="preserve">” lit. b) pe teritoriul Republicii Moldova potrivit prevederilor prezentei legi şi </w:t>
            </w:r>
            <w:r w:rsidRPr="005D6998">
              <w:rPr>
                <w:rFonts w:ascii="Times New Roman" w:hAnsi="Times New Roman"/>
              </w:rPr>
              <w:lastRenderedPageBreak/>
              <w:t>actelor normative emise în aplicarea acesteia.</w:t>
            </w:r>
          </w:p>
          <w:p w14:paraId="7DBCE7E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(2) În aplicarea dispozițiilor alin.(1), competențele și atribuțiile Băncii Naționale a Moldovei aferente cerințelor prevăzute de prezenta lege se consideră aplicabile Comisiei Naționale a Pieței Financiare.</w:t>
            </w:r>
          </w:p>
          <w:p w14:paraId="531965F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(3) Comisia Națională a Pieței Financiare monitorizează activităţile instituţiilor de credit prevăzute la art. 3 noțiunea “</w:t>
            </w:r>
            <w:r w:rsidRPr="005D6998">
              <w:rPr>
                <w:rFonts w:ascii="Times New Roman" w:hAnsi="Times New Roman"/>
                <w:i/>
                <w:iCs/>
              </w:rPr>
              <w:t>instituție de credit</w:t>
            </w:r>
            <w:r w:rsidRPr="005D6998">
              <w:rPr>
                <w:rFonts w:ascii="Times New Roman" w:hAnsi="Times New Roman"/>
              </w:rPr>
              <w:t>” lit. b) pe teritoriul Republicii Moldova, precum şi, în cazul în care este autoritate responsabilă cu supravegherea pe bază consolidată, activităţile societăţilor financiare holding şi ale societăţilor financiare holding mixte, pentru prevederile aplicabile acestora, în scopul evaluării conformării la cerinţele prudenţiale prevăzute de prezenta lege şi de actele normative emise în aplicarea acesteia.</w:t>
            </w:r>
          </w:p>
          <w:p w14:paraId="106A18B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(4) În exercitarea competenţelor sale prevăzute de lege, Comisia Națională a Pieței Financiare colectează şi procesează orice date şi informaţii relevante, inclusiv de natura datelor cu caracter personal, necesare pentru evaluarea conformării instituţiilor de credit prevăzute la art. 3 noțiunea „</w:t>
            </w:r>
            <w:r w:rsidRPr="005D6998">
              <w:rPr>
                <w:rFonts w:ascii="Times New Roman" w:hAnsi="Times New Roman"/>
                <w:i/>
                <w:iCs/>
              </w:rPr>
              <w:t>instituție de credit</w:t>
            </w:r>
            <w:r w:rsidRPr="005D6998">
              <w:rPr>
                <w:rFonts w:ascii="Times New Roman" w:hAnsi="Times New Roman"/>
              </w:rPr>
              <w:t xml:space="preserve">” lit. b) pe teritoriul Republicii Moldova, precum şi, în cazul în care este autoritate responsabilă cu supravegherea pe bază consolidată a societăţilor financiare holding şi a societăţilor financiare holding mixte, la cerinţele prudenţiale </w:t>
            </w:r>
            <w:r w:rsidRPr="005D6998">
              <w:rPr>
                <w:rFonts w:ascii="Times New Roman" w:hAnsi="Times New Roman"/>
              </w:rPr>
              <w:lastRenderedPageBreak/>
              <w:t>prevăzute de prezenta lege şi de actele normative emise în aplicarea acesteia.</w:t>
            </w:r>
          </w:p>
          <w:p w14:paraId="5143DA3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(5) În îndeplinirea funcţiilor cu privire la supravegherea prudenţială și aplicarea sancţiunilor prevăzute de prezenta lege, Comisiei Națională a Pieței Financiare dispune de competenţele necesare şi acţionează în mod independent. În acest sens, Comisia Națională a Pieței Financiare dispune de cunoştinţele de specialitate, resursele şi capacitatea operaţională necesare. </w:t>
            </w:r>
          </w:p>
          <w:p w14:paraId="331805E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(6) În exercitarea atribuţiilor sale de supraveghere prudenţială, Comisia Națională a Pieței Financiare are în vedere, în mod corespunzător, impactul potenţial al deciziilor sale asupra stabilităţii sistemului financiar din toate celelalte state membre implicate, în special în situaţii de urgenţă, pe baza informaţiilor disponibile la momentul respectiv. </w:t>
            </w:r>
          </w:p>
          <w:p w14:paraId="3BA6CA5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(7) În exercitarea competenţelor sale, Comisia Națională a Pieței Financiare se asigură că atribuţiile de supraveghere sunt exercitate în mod distinct şi independent de atribuţiile privind rezoluţia instituţiilor de credit prevăzute la art. 3 noțiunea „</w:t>
            </w:r>
            <w:r w:rsidRPr="005D6998">
              <w:rPr>
                <w:rFonts w:ascii="Times New Roman" w:hAnsi="Times New Roman"/>
                <w:i/>
                <w:iCs/>
              </w:rPr>
              <w:t>instituție de credit</w:t>
            </w:r>
            <w:r w:rsidRPr="005D6998">
              <w:rPr>
                <w:rFonts w:ascii="Times New Roman" w:hAnsi="Times New Roman"/>
              </w:rPr>
              <w:t>” lit. b) pe teritoriul Republicii Moldova.</w:t>
            </w:r>
          </w:p>
          <w:p w14:paraId="08ADC65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(8) În aplicarea prezentei legi și a actelor normative emise în aplicarea acesteia, orice referire la Banca Naţională a Moldovei în raport cu instituțiile de credit prevăzute la art. 3 noțiunea „</w:t>
            </w:r>
            <w:r w:rsidRPr="005D6998">
              <w:rPr>
                <w:rFonts w:ascii="Times New Roman" w:hAnsi="Times New Roman"/>
                <w:i/>
                <w:iCs/>
              </w:rPr>
              <w:t>instituție de credit</w:t>
            </w:r>
            <w:r w:rsidRPr="005D6998">
              <w:rPr>
                <w:rFonts w:ascii="Times New Roman" w:hAnsi="Times New Roman"/>
              </w:rPr>
              <w:t xml:space="preserve">” lit. b) se </w:t>
            </w:r>
            <w:r w:rsidRPr="005D6998">
              <w:rPr>
                <w:rFonts w:ascii="Times New Roman" w:hAnsi="Times New Roman"/>
              </w:rPr>
              <w:lastRenderedPageBreak/>
              <w:t>consideră a fi făcută la Comisia Națională a Pieței Financiare.</w:t>
            </w:r>
          </w:p>
          <w:p w14:paraId="7059496E" w14:textId="0D9E19A6" w:rsidR="00513EDC" w:rsidRPr="005D6998" w:rsidRDefault="00513EDC" w:rsidP="00513EDC">
            <w:pPr>
              <w:tabs>
                <w:tab w:val="left" w:pos="284"/>
              </w:tabs>
              <w:spacing w:after="160" w:line="240" w:lineRule="auto"/>
              <w:jc w:val="both"/>
              <w:rPr>
                <w:rFonts w:ascii="Times New Roman" w:hAnsi="Times New Roman"/>
              </w:rPr>
            </w:pPr>
            <w:r w:rsidRPr="005D6998">
              <w:rPr>
                <w:rFonts w:ascii="Times New Roman" w:hAnsi="Times New Roman"/>
              </w:rPr>
              <w:t>(9) Comisia Națională a Pieței Financiare cooperează în mod strâns cu Banca Naţională a Moldovei în aplicarea dispoziţiilor prezentei legi și actelor normative emise în aplicarea acesteia şi fac schimb de orice informaţii esenţiale pentru exercitarea atribuțiilor lor, cu respectarea cerinţelor referitoare la secretul profesional.”</w:t>
            </w:r>
          </w:p>
        </w:tc>
        <w:tc>
          <w:tcPr>
            <w:tcW w:w="1559" w:type="dxa"/>
            <w:gridSpan w:val="3"/>
            <w:shd w:val="clear" w:color="auto" w:fill="FFFFFF"/>
          </w:tcPr>
          <w:p w14:paraId="054AB153"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AmCham</w:t>
            </w:r>
          </w:p>
          <w:p w14:paraId="1D818396"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0CA1E17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9527E9F" w14:textId="03CE0071"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7B9C766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42720F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7FBC0A5"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EECFBB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CC8503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3345AB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793D5F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208778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25AB71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FB4CA5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D9782E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4445AD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69686C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5DBEF95"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B5B69A9"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0A1DCD5"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0D6917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78E5B0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ACE2A1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FF57F4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B4B14B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9FAEF0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0F6A0B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478CBB5"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F5C498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DB1EE39"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E7F3AA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B80467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12B59B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CE669F4"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402E174"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591FAE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02DA11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62D46E1"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2975BE9"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534218C"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B93C47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A27BEB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886A64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F99AC3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F14304C"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5479FD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DE15CD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5B3F204"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765FAF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A42AAB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CAB351C"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4928E7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973962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5855F2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4B9EBA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BB94E7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535C7E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FD3799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8787AF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9521D9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E6D349C"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641023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D138E2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C62EE8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6A64BA48" w14:textId="3D204378"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865956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b/>
                <w:bCs/>
              </w:rPr>
              <w:t>Se propune completarea art. 5</w:t>
            </w:r>
            <w:r w:rsidRPr="005D6998">
              <w:rPr>
                <w:rFonts w:ascii="Times New Roman" w:hAnsi="Times New Roman"/>
                <w:b/>
                <w:bCs/>
                <w:vertAlign w:val="superscript"/>
              </w:rPr>
              <w:t>1</w:t>
            </w:r>
            <w:r w:rsidRPr="005D6998">
              <w:rPr>
                <w:rFonts w:ascii="Times New Roman" w:hAnsi="Times New Roman"/>
                <w:b/>
                <w:bCs/>
              </w:rPr>
              <w:t xml:space="preserve"> din Legea nr. 202/2017 cu un alineat nou</w:t>
            </w:r>
            <w:r w:rsidRPr="005D6998">
              <w:rPr>
                <w:rFonts w:ascii="Times New Roman" w:hAnsi="Times New Roman"/>
              </w:rPr>
              <w:t>, după alin. (9), cu următorul cuprins:</w:t>
            </w:r>
          </w:p>
          <w:p w14:paraId="2C20BF0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cazul grupurilor care includ entități aflate sub supravegherea atât a Băncii Naționale a Moldovei, cât și a Comisiei Naționale a Pieței Financiare, Banca Națională a Moldovei exercită rolul de coordonator al supravegherii consolidate și al schimbului de informații cu autoritățile competente externe.”.</w:t>
            </w:r>
          </w:p>
          <w:p w14:paraId="7F4DFF28" w14:textId="77777777" w:rsidR="00513EDC" w:rsidRPr="005D6998" w:rsidRDefault="00513EDC" w:rsidP="00513EDC">
            <w:pPr>
              <w:spacing w:after="0" w:line="240" w:lineRule="auto"/>
              <w:jc w:val="both"/>
              <w:rPr>
                <w:rFonts w:ascii="Times New Roman" w:hAnsi="Times New Roman"/>
              </w:rPr>
            </w:pPr>
          </w:p>
          <w:p w14:paraId="6E428C8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Prin modificările propuse la art. 4 alin. (2</w:t>
            </w:r>
            <w:r w:rsidRPr="005D6998">
              <w:rPr>
                <w:rFonts w:ascii="Times New Roman" w:hAnsi="Times New Roman"/>
                <w:vertAlign w:val="superscript"/>
              </w:rPr>
              <w:t>5</w:t>
            </w:r>
            <w:r w:rsidRPr="005D6998">
              <w:rPr>
                <w:rFonts w:ascii="Times New Roman" w:hAnsi="Times New Roman"/>
              </w:rPr>
              <w:t>) din Legea nr. 192/1998, precum și prin introducerea art. 4 alin. (1</w:t>
            </w:r>
            <w:r w:rsidRPr="005D6998">
              <w:rPr>
                <w:rFonts w:ascii="Times New Roman" w:hAnsi="Times New Roman"/>
                <w:vertAlign w:val="superscript"/>
              </w:rPr>
              <w:t>1</w:t>
            </w:r>
            <w:r w:rsidRPr="005D6998">
              <w:rPr>
                <w:rFonts w:ascii="Times New Roman" w:hAnsi="Times New Roman"/>
              </w:rPr>
              <w:t>) și (2</w:t>
            </w:r>
            <w:r w:rsidRPr="005D6998">
              <w:rPr>
                <w:rFonts w:ascii="Times New Roman" w:hAnsi="Times New Roman"/>
                <w:vertAlign w:val="superscript"/>
              </w:rPr>
              <w:t>1</w:t>
            </w:r>
            <w:r w:rsidRPr="005D6998">
              <w:rPr>
                <w:rFonts w:ascii="Times New Roman" w:hAnsi="Times New Roman"/>
              </w:rPr>
              <w:t>) și a art. 5</w:t>
            </w:r>
            <w:r w:rsidRPr="005D6998">
              <w:rPr>
                <w:rFonts w:ascii="Times New Roman" w:hAnsi="Times New Roman"/>
                <w:vertAlign w:val="superscript"/>
              </w:rPr>
              <w:t>1</w:t>
            </w:r>
            <w:r w:rsidRPr="005D6998">
              <w:rPr>
                <w:rFonts w:ascii="Times New Roman" w:hAnsi="Times New Roman"/>
              </w:rPr>
              <w:t xml:space="preserve"> alin. (1)–(9) din Legea nr. 202/2017, proiectul instituie un model de supraveghere în care </w:t>
            </w:r>
            <w:r w:rsidRPr="005D6998">
              <w:rPr>
                <w:rFonts w:ascii="Times New Roman" w:hAnsi="Times New Roman"/>
              </w:rPr>
              <w:lastRenderedPageBreak/>
              <w:t>Banca Națională a Moldovei și Comisia Națională a Pieței Financiare exercită competențe de reglementare, autorizare și supraveghere asupra unor categorii distincte de instituții de credit.</w:t>
            </w:r>
          </w:p>
          <w:p w14:paraId="0A15FF9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Totuși, proiectul nu reglementează expres mecanismul de coordonare între cele două autorități în situațiile în care entitățile supravegheate fac parte din același grup financiar, nici nu stabilește rolurile și responsabilitățile aferente supravegherii consolidate, cooperării interinstituționale și schimbului de informații cu autoritățile competente din alte jurisdicții.</w:t>
            </w:r>
          </w:p>
          <w:p w14:paraId="09D889B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lipsa unor prevederi clare, pot apărea incertitudini privind repartizarea competențelor între autoritățile de supraveghere, în special în cazul grupurilor financiare mixte sau al structurilor transfrontaliere.</w:t>
            </w:r>
          </w:p>
          <w:p w14:paraId="63C96A6F" w14:textId="77777777" w:rsidR="00513EDC" w:rsidRPr="005D6998" w:rsidRDefault="00513EDC" w:rsidP="00513EDC">
            <w:pPr>
              <w:spacing w:after="0" w:line="240" w:lineRule="auto"/>
              <w:jc w:val="both"/>
              <w:rPr>
                <w:rFonts w:ascii="Times New Roman" w:hAnsi="Times New Roman"/>
              </w:rPr>
            </w:pPr>
          </w:p>
          <w:p w14:paraId="7B37D927" w14:textId="77777777" w:rsidR="00513EDC" w:rsidRPr="005D6998" w:rsidRDefault="00513EDC" w:rsidP="00513EDC">
            <w:pPr>
              <w:spacing w:after="0" w:line="240" w:lineRule="auto"/>
              <w:jc w:val="both"/>
              <w:rPr>
                <w:rFonts w:ascii="Times New Roman" w:hAnsi="Times New Roman"/>
              </w:rPr>
            </w:pPr>
          </w:p>
          <w:p w14:paraId="1FBE33EB" w14:textId="77777777" w:rsidR="00513EDC" w:rsidRPr="005D6998" w:rsidRDefault="00513EDC" w:rsidP="00513EDC">
            <w:pPr>
              <w:spacing w:after="0" w:line="240" w:lineRule="auto"/>
              <w:jc w:val="both"/>
              <w:rPr>
                <w:rFonts w:ascii="Times New Roman" w:hAnsi="Times New Roman"/>
              </w:rPr>
            </w:pPr>
          </w:p>
          <w:p w14:paraId="7D3484AA" w14:textId="77777777" w:rsidR="00513EDC" w:rsidRPr="005D6998" w:rsidRDefault="00513EDC" w:rsidP="00513EDC">
            <w:pPr>
              <w:spacing w:after="0" w:line="240" w:lineRule="auto"/>
              <w:jc w:val="both"/>
              <w:rPr>
                <w:rFonts w:ascii="Times New Roman" w:hAnsi="Times New Roman"/>
              </w:rPr>
            </w:pPr>
          </w:p>
          <w:p w14:paraId="3D8F2B04" w14:textId="77777777" w:rsidR="00513EDC" w:rsidRPr="005D6998" w:rsidRDefault="00513EDC" w:rsidP="00513EDC">
            <w:pPr>
              <w:spacing w:after="0" w:line="240" w:lineRule="auto"/>
              <w:jc w:val="both"/>
              <w:rPr>
                <w:rFonts w:ascii="Times New Roman" w:hAnsi="Times New Roman"/>
              </w:rPr>
            </w:pPr>
          </w:p>
          <w:p w14:paraId="08185CBF" w14:textId="77777777" w:rsidR="00513EDC" w:rsidRPr="005D6998" w:rsidRDefault="00513EDC" w:rsidP="00513EDC">
            <w:pPr>
              <w:spacing w:after="0" w:line="240" w:lineRule="auto"/>
              <w:jc w:val="both"/>
              <w:rPr>
                <w:rFonts w:ascii="Times New Roman" w:hAnsi="Times New Roman"/>
              </w:rPr>
            </w:pPr>
          </w:p>
          <w:p w14:paraId="14F066E7" w14:textId="77777777" w:rsidR="00513EDC" w:rsidRPr="005D6998" w:rsidRDefault="00513EDC" w:rsidP="00513EDC">
            <w:pPr>
              <w:spacing w:after="0" w:line="240" w:lineRule="auto"/>
              <w:jc w:val="both"/>
              <w:rPr>
                <w:rFonts w:ascii="Times New Roman" w:hAnsi="Times New Roman"/>
              </w:rPr>
            </w:pPr>
          </w:p>
          <w:p w14:paraId="07B9935C" w14:textId="77777777" w:rsidR="00513EDC" w:rsidRPr="005D6998" w:rsidRDefault="00513EDC" w:rsidP="00513EDC">
            <w:pPr>
              <w:spacing w:after="0" w:line="240" w:lineRule="auto"/>
              <w:jc w:val="both"/>
              <w:rPr>
                <w:rFonts w:ascii="Times New Roman" w:hAnsi="Times New Roman"/>
              </w:rPr>
            </w:pPr>
          </w:p>
          <w:p w14:paraId="1F7AB6DC" w14:textId="77777777" w:rsidR="00513EDC" w:rsidRPr="005D6998" w:rsidRDefault="00513EDC" w:rsidP="00513EDC">
            <w:pPr>
              <w:spacing w:after="0" w:line="240" w:lineRule="auto"/>
              <w:jc w:val="both"/>
              <w:rPr>
                <w:rFonts w:ascii="Times New Roman" w:hAnsi="Times New Roman"/>
              </w:rPr>
            </w:pPr>
          </w:p>
          <w:p w14:paraId="60556B7A" w14:textId="77777777" w:rsidR="00513EDC" w:rsidRPr="005D6998" w:rsidRDefault="00513EDC" w:rsidP="00513EDC">
            <w:pPr>
              <w:spacing w:after="0" w:line="240" w:lineRule="auto"/>
              <w:jc w:val="both"/>
              <w:rPr>
                <w:rFonts w:ascii="Times New Roman" w:hAnsi="Times New Roman"/>
              </w:rPr>
            </w:pPr>
          </w:p>
          <w:p w14:paraId="1FE26C83" w14:textId="77777777" w:rsidR="00513EDC" w:rsidRPr="005D6998" w:rsidRDefault="00513EDC" w:rsidP="00513EDC">
            <w:pPr>
              <w:spacing w:after="0" w:line="240" w:lineRule="auto"/>
              <w:jc w:val="both"/>
              <w:rPr>
                <w:rFonts w:ascii="Times New Roman" w:hAnsi="Times New Roman"/>
              </w:rPr>
            </w:pPr>
          </w:p>
          <w:p w14:paraId="0C13E6A4" w14:textId="77777777" w:rsidR="00513EDC" w:rsidRPr="005D6998" w:rsidRDefault="00513EDC" w:rsidP="00513EDC">
            <w:pPr>
              <w:spacing w:after="0" w:line="240" w:lineRule="auto"/>
              <w:jc w:val="both"/>
              <w:rPr>
                <w:rFonts w:ascii="Times New Roman" w:hAnsi="Times New Roman"/>
              </w:rPr>
            </w:pPr>
          </w:p>
          <w:p w14:paraId="460D11B5" w14:textId="77777777" w:rsidR="00513EDC" w:rsidRPr="005D6998" w:rsidRDefault="00513EDC" w:rsidP="00513EDC">
            <w:pPr>
              <w:spacing w:after="0" w:line="240" w:lineRule="auto"/>
              <w:jc w:val="both"/>
              <w:rPr>
                <w:rFonts w:ascii="Times New Roman" w:hAnsi="Times New Roman"/>
              </w:rPr>
            </w:pPr>
          </w:p>
          <w:p w14:paraId="3C06EB8C" w14:textId="77777777" w:rsidR="00513EDC" w:rsidRPr="005D6998" w:rsidRDefault="00513EDC" w:rsidP="00513EDC">
            <w:pPr>
              <w:spacing w:after="0" w:line="240" w:lineRule="auto"/>
              <w:jc w:val="both"/>
              <w:rPr>
                <w:rFonts w:ascii="Times New Roman" w:hAnsi="Times New Roman"/>
              </w:rPr>
            </w:pPr>
          </w:p>
          <w:p w14:paraId="0D083504" w14:textId="77777777" w:rsidR="00513EDC" w:rsidRPr="005D6998" w:rsidRDefault="00513EDC" w:rsidP="00513EDC">
            <w:pPr>
              <w:spacing w:after="0" w:line="240" w:lineRule="auto"/>
              <w:jc w:val="both"/>
              <w:rPr>
                <w:rFonts w:ascii="Times New Roman" w:hAnsi="Times New Roman"/>
              </w:rPr>
            </w:pPr>
          </w:p>
          <w:p w14:paraId="3C4D473D" w14:textId="77777777" w:rsidR="00513EDC" w:rsidRPr="005D6998" w:rsidRDefault="00513EDC" w:rsidP="00513EDC">
            <w:pPr>
              <w:spacing w:after="0" w:line="240" w:lineRule="auto"/>
              <w:jc w:val="both"/>
              <w:rPr>
                <w:rFonts w:ascii="Times New Roman" w:hAnsi="Times New Roman"/>
              </w:rPr>
            </w:pPr>
          </w:p>
          <w:p w14:paraId="14FE14DD" w14:textId="77777777" w:rsidR="00513EDC" w:rsidRPr="005D6998" w:rsidRDefault="00513EDC" w:rsidP="00513EDC">
            <w:pPr>
              <w:spacing w:after="0" w:line="240" w:lineRule="auto"/>
              <w:jc w:val="both"/>
              <w:rPr>
                <w:rFonts w:ascii="Times New Roman" w:hAnsi="Times New Roman"/>
              </w:rPr>
            </w:pPr>
          </w:p>
          <w:p w14:paraId="46DF8B70" w14:textId="77777777" w:rsidR="00513EDC" w:rsidRPr="005D6998" w:rsidRDefault="00513EDC" w:rsidP="00513EDC">
            <w:pPr>
              <w:spacing w:after="0" w:line="240" w:lineRule="auto"/>
              <w:jc w:val="both"/>
              <w:rPr>
                <w:rFonts w:ascii="Times New Roman" w:hAnsi="Times New Roman"/>
              </w:rPr>
            </w:pPr>
          </w:p>
          <w:p w14:paraId="41197270" w14:textId="77777777" w:rsidR="00513EDC" w:rsidRPr="005D6998" w:rsidRDefault="00513EDC" w:rsidP="00513EDC">
            <w:pPr>
              <w:spacing w:after="0" w:line="240" w:lineRule="auto"/>
              <w:jc w:val="both"/>
              <w:rPr>
                <w:rFonts w:ascii="Times New Roman" w:hAnsi="Times New Roman"/>
              </w:rPr>
            </w:pPr>
          </w:p>
          <w:p w14:paraId="4D15BFBC" w14:textId="77777777" w:rsidR="00513EDC" w:rsidRPr="005D6998" w:rsidRDefault="00513EDC" w:rsidP="00513EDC">
            <w:pPr>
              <w:spacing w:after="0" w:line="240" w:lineRule="auto"/>
              <w:jc w:val="both"/>
              <w:rPr>
                <w:rFonts w:ascii="Times New Roman" w:hAnsi="Times New Roman"/>
              </w:rPr>
            </w:pPr>
          </w:p>
          <w:p w14:paraId="0C82ED2A" w14:textId="77777777" w:rsidR="00513EDC" w:rsidRPr="005D6998" w:rsidRDefault="00513EDC" w:rsidP="00513EDC">
            <w:pPr>
              <w:spacing w:after="0" w:line="240" w:lineRule="auto"/>
              <w:jc w:val="both"/>
              <w:rPr>
                <w:rFonts w:ascii="Times New Roman" w:hAnsi="Times New Roman"/>
              </w:rPr>
            </w:pPr>
          </w:p>
          <w:p w14:paraId="14B8B43E" w14:textId="77777777" w:rsidR="00513EDC" w:rsidRPr="005D6998" w:rsidRDefault="00513EDC" w:rsidP="00513EDC">
            <w:pPr>
              <w:spacing w:after="0" w:line="240" w:lineRule="auto"/>
              <w:jc w:val="both"/>
              <w:rPr>
                <w:rFonts w:ascii="Times New Roman" w:hAnsi="Times New Roman"/>
              </w:rPr>
            </w:pPr>
          </w:p>
          <w:p w14:paraId="266A8BDC" w14:textId="77777777" w:rsidR="00513EDC" w:rsidRPr="005D6998" w:rsidRDefault="00513EDC" w:rsidP="00513EDC">
            <w:pPr>
              <w:spacing w:after="0" w:line="240" w:lineRule="auto"/>
              <w:jc w:val="both"/>
              <w:rPr>
                <w:rFonts w:ascii="Times New Roman" w:hAnsi="Times New Roman"/>
              </w:rPr>
            </w:pPr>
          </w:p>
          <w:p w14:paraId="4C97377B" w14:textId="77777777" w:rsidR="00513EDC" w:rsidRPr="005D6998" w:rsidRDefault="00513EDC" w:rsidP="00513EDC">
            <w:pPr>
              <w:spacing w:after="0" w:line="240" w:lineRule="auto"/>
              <w:jc w:val="both"/>
              <w:rPr>
                <w:rFonts w:ascii="Times New Roman" w:hAnsi="Times New Roman"/>
              </w:rPr>
            </w:pPr>
          </w:p>
          <w:p w14:paraId="69CDF9FD" w14:textId="77777777" w:rsidR="00513EDC" w:rsidRPr="005D6998" w:rsidRDefault="00513EDC" w:rsidP="00513EDC">
            <w:pPr>
              <w:spacing w:after="0" w:line="240" w:lineRule="auto"/>
              <w:jc w:val="both"/>
              <w:rPr>
                <w:rFonts w:ascii="Times New Roman" w:hAnsi="Times New Roman"/>
              </w:rPr>
            </w:pPr>
          </w:p>
          <w:p w14:paraId="7139627D" w14:textId="77777777" w:rsidR="00513EDC" w:rsidRPr="005D6998" w:rsidRDefault="00513EDC" w:rsidP="00513EDC">
            <w:pPr>
              <w:spacing w:after="0" w:line="240" w:lineRule="auto"/>
              <w:jc w:val="both"/>
              <w:rPr>
                <w:rFonts w:ascii="Times New Roman" w:hAnsi="Times New Roman"/>
              </w:rPr>
            </w:pPr>
          </w:p>
          <w:p w14:paraId="087FABB5" w14:textId="77777777" w:rsidR="00513EDC" w:rsidRPr="005D6998" w:rsidRDefault="00513EDC" w:rsidP="00513EDC">
            <w:pPr>
              <w:spacing w:after="0" w:line="240" w:lineRule="auto"/>
              <w:jc w:val="both"/>
              <w:rPr>
                <w:rFonts w:ascii="Times New Roman" w:hAnsi="Times New Roman"/>
              </w:rPr>
            </w:pPr>
          </w:p>
          <w:p w14:paraId="25942E25" w14:textId="77777777" w:rsidR="00513EDC" w:rsidRPr="005D6998" w:rsidRDefault="00513EDC" w:rsidP="00513EDC">
            <w:pPr>
              <w:spacing w:after="0" w:line="240" w:lineRule="auto"/>
              <w:jc w:val="both"/>
              <w:rPr>
                <w:rFonts w:ascii="Times New Roman" w:hAnsi="Times New Roman"/>
              </w:rPr>
            </w:pPr>
          </w:p>
          <w:p w14:paraId="64EA2CA3" w14:textId="77777777" w:rsidR="00513EDC" w:rsidRPr="005D6998" w:rsidRDefault="00513EDC" w:rsidP="00513EDC">
            <w:pPr>
              <w:spacing w:after="0" w:line="240" w:lineRule="auto"/>
              <w:jc w:val="both"/>
              <w:rPr>
                <w:rFonts w:ascii="Times New Roman" w:hAnsi="Times New Roman"/>
              </w:rPr>
            </w:pPr>
          </w:p>
          <w:p w14:paraId="7550A12A" w14:textId="77777777" w:rsidR="00513EDC" w:rsidRPr="005D6998" w:rsidRDefault="00513EDC" w:rsidP="00513EDC">
            <w:pPr>
              <w:spacing w:after="0" w:line="240" w:lineRule="auto"/>
              <w:jc w:val="both"/>
              <w:rPr>
                <w:rFonts w:ascii="Times New Roman" w:hAnsi="Times New Roman"/>
              </w:rPr>
            </w:pPr>
          </w:p>
          <w:p w14:paraId="0FF56E0D" w14:textId="77777777" w:rsidR="00513EDC" w:rsidRPr="005D6998" w:rsidRDefault="00513EDC" w:rsidP="00513EDC">
            <w:pPr>
              <w:spacing w:after="0" w:line="240" w:lineRule="auto"/>
              <w:jc w:val="both"/>
              <w:rPr>
                <w:rFonts w:ascii="Times New Roman" w:hAnsi="Times New Roman"/>
              </w:rPr>
            </w:pPr>
          </w:p>
          <w:p w14:paraId="1C610F8C" w14:textId="77777777" w:rsidR="00513EDC" w:rsidRPr="005D6998" w:rsidRDefault="00513EDC" w:rsidP="00513EDC">
            <w:pPr>
              <w:spacing w:after="0" w:line="240" w:lineRule="auto"/>
              <w:jc w:val="both"/>
              <w:rPr>
                <w:rFonts w:ascii="Times New Roman" w:hAnsi="Times New Roman"/>
              </w:rPr>
            </w:pPr>
          </w:p>
          <w:p w14:paraId="1ADE6A79" w14:textId="77777777" w:rsidR="00513EDC" w:rsidRPr="005D6998" w:rsidRDefault="00513EDC" w:rsidP="00513EDC">
            <w:pPr>
              <w:spacing w:after="0" w:line="240" w:lineRule="auto"/>
              <w:jc w:val="both"/>
              <w:rPr>
                <w:rFonts w:ascii="Times New Roman" w:hAnsi="Times New Roman"/>
              </w:rPr>
            </w:pPr>
          </w:p>
          <w:p w14:paraId="6D1CA01F" w14:textId="77777777" w:rsidR="00513EDC" w:rsidRPr="005D6998" w:rsidRDefault="00513EDC" w:rsidP="00513EDC">
            <w:pPr>
              <w:spacing w:after="0" w:line="240" w:lineRule="auto"/>
              <w:jc w:val="both"/>
              <w:rPr>
                <w:rFonts w:ascii="Times New Roman" w:hAnsi="Times New Roman"/>
              </w:rPr>
            </w:pPr>
          </w:p>
          <w:p w14:paraId="413B000F" w14:textId="77777777" w:rsidR="00513EDC" w:rsidRPr="005D6998" w:rsidRDefault="00513EDC" w:rsidP="00513EDC">
            <w:pPr>
              <w:spacing w:after="0" w:line="240" w:lineRule="auto"/>
              <w:jc w:val="both"/>
              <w:rPr>
                <w:rFonts w:ascii="Times New Roman" w:hAnsi="Times New Roman"/>
              </w:rPr>
            </w:pPr>
          </w:p>
          <w:p w14:paraId="73BC9C21" w14:textId="77777777" w:rsidR="00513EDC" w:rsidRPr="005D6998" w:rsidRDefault="00513EDC" w:rsidP="00513EDC">
            <w:pPr>
              <w:spacing w:after="0" w:line="240" w:lineRule="auto"/>
              <w:jc w:val="both"/>
              <w:rPr>
                <w:rFonts w:ascii="Times New Roman" w:hAnsi="Times New Roman"/>
              </w:rPr>
            </w:pPr>
          </w:p>
          <w:p w14:paraId="1BAAFC47" w14:textId="77777777" w:rsidR="00513EDC" w:rsidRPr="005D6998" w:rsidRDefault="00513EDC" w:rsidP="00513EDC">
            <w:pPr>
              <w:spacing w:after="0" w:line="240" w:lineRule="auto"/>
              <w:jc w:val="both"/>
              <w:rPr>
                <w:rFonts w:ascii="Times New Roman" w:hAnsi="Times New Roman"/>
              </w:rPr>
            </w:pPr>
          </w:p>
          <w:p w14:paraId="665C967B" w14:textId="77777777" w:rsidR="00513EDC" w:rsidRPr="005D6998" w:rsidRDefault="00513EDC" w:rsidP="00513EDC">
            <w:pPr>
              <w:spacing w:after="0" w:line="240" w:lineRule="auto"/>
              <w:jc w:val="both"/>
              <w:rPr>
                <w:rFonts w:ascii="Times New Roman" w:hAnsi="Times New Roman"/>
              </w:rPr>
            </w:pPr>
          </w:p>
          <w:p w14:paraId="41C284A1" w14:textId="77777777" w:rsidR="00513EDC" w:rsidRPr="005D6998" w:rsidRDefault="00513EDC" w:rsidP="00513EDC">
            <w:pPr>
              <w:spacing w:after="0" w:line="240" w:lineRule="auto"/>
              <w:jc w:val="both"/>
              <w:rPr>
                <w:rFonts w:ascii="Times New Roman" w:hAnsi="Times New Roman"/>
              </w:rPr>
            </w:pPr>
          </w:p>
          <w:p w14:paraId="2FD4670A" w14:textId="77777777" w:rsidR="00513EDC" w:rsidRPr="005D6998" w:rsidRDefault="00513EDC" w:rsidP="00513EDC">
            <w:pPr>
              <w:spacing w:after="0" w:line="240" w:lineRule="auto"/>
              <w:jc w:val="both"/>
              <w:rPr>
                <w:rFonts w:ascii="Times New Roman" w:hAnsi="Times New Roman"/>
              </w:rPr>
            </w:pPr>
          </w:p>
          <w:p w14:paraId="2EA39CA7" w14:textId="77777777" w:rsidR="00513EDC" w:rsidRPr="005D6998" w:rsidRDefault="00513EDC" w:rsidP="00513EDC">
            <w:pPr>
              <w:spacing w:after="0" w:line="240" w:lineRule="auto"/>
              <w:jc w:val="both"/>
              <w:rPr>
                <w:rFonts w:ascii="Times New Roman" w:hAnsi="Times New Roman"/>
              </w:rPr>
            </w:pPr>
          </w:p>
          <w:p w14:paraId="63039190" w14:textId="77777777" w:rsidR="00513EDC" w:rsidRPr="005D6998" w:rsidRDefault="00513EDC" w:rsidP="00513EDC">
            <w:pPr>
              <w:spacing w:after="0" w:line="240" w:lineRule="auto"/>
              <w:jc w:val="both"/>
              <w:rPr>
                <w:rFonts w:ascii="Times New Roman" w:hAnsi="Times New Roman"/>
              </w:rPr>
            </w:pPr>
          </w:p>
          <w:p w14:paraId="22D38C8E" w14:textId="77777777" w:rsidR="00513EDC" w:rsidRPr="005D6998" w:rsidRDefault="00513EDC" w:rsidP="00513EDC">
            <w:pPr>
              <w:spacing w:after="0" w:line="240" w:lineRule="auto"/>
              <w:jc w:val="both"/>
              <w:rPr>
                <w:rFonts w:ascii="Times New Roman" w:hAnsi="Times New Roman"/>
              </w:rPr>
            </w:pPr>
          </w:p>
          <w:p w14:paraId="009EFEA1" w14:textId="77777777" w:rsidR="00513EDC" w:rsidRPr="005D6998" w:rsidRDefault="00513EDC" w:rsidP="00513EDC">
            <w:pPr>
              <w:spacing w:after="0" w:line="240" w:lineRule="auto"/>
              <w:jc w:val="both"/>
              <w:rPr>
                <w:rFonts w:ascii="Times New Roman" w:hAnsi="Times New Roman"/>
              </w:rPr>
            </w:pPr>
          </w:p>
          <w:p w14:paraId="4EBE9039" w14:textId="77777777" w:rsidR="00513EDC" w:rsidRPr="005D6998" w:rsidRDefault="00513EDC" w:rsidP="00513EDC">
            <w:pPr>
              <w:spacing w:after="0" w:line="240" w:lineRule="auto"/>
              <w:jc w:val="both"/>
              <w:rPr>
                <w:rFonts w:ascii="Times New Roman" w:hAnsi="Times New Roman"/>
              </w:rPr>
            </w:pPr>
          </w:p>
          <w:p w14:paraId="13662842" w14:textId="77777777" w:rsidR="00513EDC" w:rsidRPr="005D6998" w:rsidRDefault="00513EDC" w:rsidP="00513EDC">
            <w:pPr>
              <w:spacing w:after="0" w:line="240" w:lineRule="auto"/>
              <w:jc w:val="both"/>
              <w:rPr>
                <w:rFonts w:ascii="Times New Roman" w:hAnsi="Times New Roman"/>
              </w:rPr>
            </w:pPr>
          </w:p>
          <w:p w14:paraId="4C26EF0D" w14:textId="77777777" w:rsidR="00513EDC" w:rsidRPr="005D6998" w:rsidRDefault="00513EDC" w:rsidP="00513EDC">
            <w:pPr>
              <w:spacing w:after="0" w:line="240" w:lineRule="auto"/>
              <w:jc w:val="both"/>
              <w:rPr>
                <w:rFonts w:ascii="Times New Roman" w:hAnsi="Times New Roman"/>
              </w:rPr>
            </w:pPr>
          </w:p>
          <w:p w14:paraId="7EEE4507" w14:textId="77777777" w:rsidR="00513EDC" w:rsidRPr="005D6998" w:rsidRDefault="00513EDC" w:rsidP="00513EDC">
            <w:pPr>
              <w:spacing w:after="0" w:line="240" w:lineRule="auto"/>
              <w:jc w:val="both"/>
              <w:rPr>
                <w:rFonts w:ascii="Times New Roman" w:hAnsi="Times New Roman"/>
              </w:rPr>
            </w:pPr>
          </w:p>
          <w:p w14:paraId="12C8F1DC" w14:textId="77777777" w:rsidR="00513EDC" w:rsidRPr="005D6998" w:rsidRDefault="00513EDC" w:rsidP="00513EDC">
            <w:pPr>
              <w:spacing w:after="0" w:line="240" w:lineRule="auto"/>
              <w:jc w:val="both"/>
              <w:rPr>
                <w:rFonts w:ascii="Times New Roman" w:hAnsi="Times New Roman"/>
              </w:rPr>
            </w:pPr>
          </w:p>
          <w:p w14:paraId="2C797F33" w14:textId="77777777" w:rsidR="00513EDC" w:rsidRPr="005D6998" w:rsidRDefault="00513EDC" w:rsidP="00513EDC">
            <w:pPr>
              <w:spacing w:after="0" w:line="240" w:lineRule="auto"/>
              <w:jc w:val="both"/>
              <w:rPr>
                <w:rFonts w:ascii="Times New Roman" w:hAnsi="Times New Roman"/>
              </w:rPr>
            </w:pPr>
          </w:p>
          <w:p w14:paraId="5A125435" w14:textId="77777777" w:rsidR="00513EDC" w:rsidRPr="005D6998" w:rsidRDefault="00513EDC" w:rsidP="00513EDC">
            <w:pPr>
              <w:spacing w:after="0" w:line="240" w:lineRule="auto"/>
              <w:jc w:val="both"/>
              <w:rPr>
                <w:rFonts w:ascii="Times New Roman" w:hAnsi="Times New Roman"/>
              </w:rPr>
            </w:pPr>
          </w:p>
          <w:p w14:paraId="78978A4E" w14:textId="77777777" w:rsidR="00513EDC" w:rsidRPr="005D6998" w:rsidRDefault="00513EDC" w:rsidP="00513EDC">
            <w:pPr>
              <w:spacing w:after="0" w:line="240" w:lineRule="auto"/>
              <w:jc w:val="both"/>
              <w:rPr>
                <w:rFonts w:ascii="Times New Roman" w:hAnsi="Times New Roman"/>
              </w:rPr>
            </w:pPr>
          </w:p>
          <w:p w14:paraId="208A472A" w14:textId="77777777" w:rsidR="00513EDC" w:rsidRPr="005D6998" w:rsidRDefault="00513EDC" w:rsidP="00513EDC">
            <w:pPr>
              <w:spacing w:after="0" w:line="240" w:lineRule="auto"/>
              <w:jc w:val="both"/>
              <w:rPr>
                <w:rFonts w:ascii="Times New Roman" w:hAnsi="Times New Roman"/>
              </w:rPr>
            </w:pPr>
          </w:p>
          <w:p w14:paraId="354B39D1" w14:textId="08FA4681" w:rsidR="00513EDC" w:rsidRPr="005D6998" w:rsidRDefault="00513EDC" w:rsidP="00513EDC">
            <w:pPr>
              <w:spacing w:after="0" w:line="240" w:lineRule="auto"/>
              <w:jc w:val="both"/>
              <w:rPr>
                <w:rFonts w:ascii="Times New Roman" w:hAnsi="Times New Roman"/>
                <w:b/>
                <w:bCs/>
              </w:rPr>
            </w:pPr>
          </w:p>
        </w:tc>
        <w:tc>
          <w:tcPr>
            <w:tcW w:w="5012" w:type="dxa"/>
            <w:gridSpan w:val="3"/>
            <w:shd w:val="clear" w:color="auto" w:fill="FFFFFF"/>
          </w:tcPr>
          <w:p w14:paraId="046F7AC4"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43C551A6"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Propunerea de a introduce o prevedere generală potrivit căreia Banca Națională a Moldovei ar exercita, în toate cazurile, rolul de coordonator al supravegherii consolidate pentru grupurile care includ entități supravegheate atât de BNM, cât și de CNPF, nu poate fi acceptată, întrucât contravine mecanismului deja instituit în lege, inclusiv cu modificările propuse prin prezentul proiect pentru stabilirea supraveghetorului consolidant.</w:t>
            </w:r>
          </w:p>
          <w:p w14:paraId="03DA19BC" w14:textId="7F6B1C34"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Acest mecanism este preluat fidel din Directiva 2013/36/UE.</w:t>
            </w:r>
          </w:p>
          <w:p w14:paraId="6119FF43"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Legea stabilește în mod detaliat criteriile de identificare a autorității competente responsabile cu supravegherea pe bază consolidată (art. 109), inclusiv în situațiile în care grupurile includ entități din sectoare </w:t>
            </w:r>
            <w:r w:rsidRPr="005D6998">
              <w:rPr>
                <w:rFonts w:ascii="Times New Roman" w:hAnsi="Times New Roman"/>
              </w:rPr>
              <w:lastRenderedPageBreak/>
              <w:t>diferite. Aceste criterii au caracter exhaustiv și sunt bazate pe structura grupului și pe ponderea instituțiilor de credit, nepermițând o desemnare automată a unei autorități (art. 109 alin. (1), (11)–(16)).</w:t>
            </w:r>
          </w:p>
          <w:p w14:paraId="3D628F7F"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plus, legea prevede expres situații în care CNPF este supraveghetor consolidant, în special atunci când grupul nu include instituții de credit (art. 109 alin. (11), alin. (13) teza a doua).</w:t>
            </w:r>
          </w:p>
          <w:p w14:paraId="0927D308" w14:textId="5C207E3B"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Totodată, rolul de coordonare a supravegherii consolidate și al schimbului de informații reiese din calitatea de supraveghetor consolidant, fiind reglementat în mod explicit (art. 110 alin. (1) lit. a)–c)).</w:t>
            </w:r>
          </w:p>
          <w:p w14:paraId="57D78FDA"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De asemenea, legea stabilește prevederi aferente cooperării dintre BNM și CNPF, inclusiv obligații de schimb de informații și acorduri de cooperare (art. 113, art. 114), ceea ce asigură repartizarea competențelor adecvată.</w:t>
            </w:r>
          </w:p>
          <w:p w14:paraId="21F5E2B7" w14:textId="55ECA43A"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Prin urmare, propunerea ar fi contrară spiritului directivei, care consacră o abordare bazată pe criterii și cooperare, nu pe atribuirea automată a rolului de coordonator.</w:t>
            </w:r>
          </w:p>
        </w:tc>
      </w:tr>
      <w:tr w:rsidR="00513EDC" w:rsidRPr="005D6998" w14:paraId="71C0E0FC" w14:textId="77777777" w:rsidTr="00651F58">
        <w:trPr>
          <w:gridAfter w:val="1"/>
          <w:wAfter w:w="10" w:type="dxa"/>
          <w:trHeight w:val="105"/>
        </w:trPr>
        <w:tc>
          <w:tcPr>
            <w:tcW w:w="899" w:type="dxa"/>
            <w:gridSpan w:val="3"/>
            <w:vMerge/>
            <w:shd w:val="clear" w:color="auto" w:fill="FFFFFF"/>
          </w:tcPr>
          <w:p w14:paraId="7E7F9BCE" w14:textId="77777777" w:rsidR="00513EDC" w:rsidRPr="005D6998" w:rsidRDefault="00513EDC" w:rsidP="00513EDC">
            <w:p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00891B76" w14:textId="77777777" w:rsidR="00513EDC" w:rsidRPr="005D6998" w:rsidRDefault="00513EDC" w:rsidP="00513EDC">
            <w:pPr>
              <w:tabs>
                <w:tab w:val="left" w:pos="426"/>
              </w:tabs>
              <w:spacing w:after="160" w:line="240" w:lineRule="auto"/>
              <w:jc w:val="both"/>
              <w:rPr>
                <w:rFonts w:ascii="Times New Roman" w:hAnsi="Times New Roman"/>
                <w:b/>
                <w:bCs/>
              </w:rPr>
            </w:pPr>
          </w:p>
        </w:tc>
        <w:tc>
          <w:tcPr>
            <w:tcW w:w="1559" w:type="dxa"/>
            <w:gridSpan w:val="3"/>
            <w:shd w:val="clear" w:color="auto" w:fill="FFFFFF"/>
          </w:tcPr>
          <w:p w14:paraId="25A0A0D9"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CNPF</w:t>
            </w:r>
          </w:p>
          <w:p w14:paraId="1E4777A1"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lastRenderedPageBreak/>
              <w:t>Aviz nr. 03-4/2736 din 01.07.2026 din 15.06.2026</w:t>
            </w:r>
          </w:p>
          <w:p w14:paraId="26EF2774"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3FC95FB7" w14:textId="44CD9178"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52B859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excluderea completării Legii nr. 202/2017 cu art. 5</w:t>
            </w:r>
            <w:r w:rsidRPr="005D6998">
              <w:rPr>
                <w:rFonts w:ascii="Times New Roman" w:hAnsi="Times New Roman"/>
                <w:vertAlign w:val="superscript"/>
              </w:rPr>
              <w:t>1</w:t>
            </w:r>
            <w:r w:rsidRPr="005D6998">
              <w:rPr>
                <w:rFonts w:ascii="Times New Roman" w:hAnsi="Times New Roman"/>
              </w:rPr>
              <w:t xml:space="preserve">, întrucât supravegherea </w:t>
            </w:r>
            <w:r w:rsidRPr="005D6998">
              <w:rPr>
                <w:rFonts w:ascii="Times New Roman" w:hAnsi="Times New Roman"/>
              </w:rPr>
              <w:lastRenderedPageBreak/>
              <w:t>prudențială a instituțiilor de credit ține exclusiv de atribuțiile și competența BNM în conformitate cu Directiva UE 2013/36.</w:t>
            </w:r>
          </w:p>
          <w:p w14:paraId="2B69B4E7" w14:textId="5C27E4C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argumentează că firmele de investiții care obțin o autorizație de instituție de credit urmează să fie supravegheate de BNM, deoarece activitatea și profilul lor de risc sunt comparabile cu cele ale băncilor. În conformitate cu cadrul european, aceste entități sunt supuse regimului prudențial aplicabil instituțiilor de credit, iar supravegherea lor de către BNM asigură aplicarea uniformă a cerințelor de capital, lichiditate și administrare a riscurilor, contribuind la menținerea stabilității sistemului financiar și la evitarea arbitrajului de reglementare.</w:t>
            </w:r>
          </w:p>
        </w:tc>
        <w:tc>
          <w:tcPr>
            <w:tcW w:w="5012" w:type="dxa"/>
            <w:gridSpan w:val="3"/>
            <w:shd w:val="clear" w:color="auto" w:fill="FFFFFF"/>
          </w:tcPr>
          <w:p w14:paraId="777DCBBD" w14:textId="3A7EA72D"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2FFE044D"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 xml:space="preserve">Aplicarea cerințelor prudențiale prevăzute de CRR și CRD, transpuse în acest proiect de lege  nu presupune, în mod automat, transferul competenței de supraveghere către autoritatea bancară. Competența ar trebui să urmeze natura activității desfășurate, nu doar regimul prudențial aplicabil. </w:t>
            </w:r>
          </w:p>
          <w:p w14:paraId="3EF7D484"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CNPF dispune de expertiza necesară pentru supravegherea firmelor de investiții și a activităților specifice pieței de capital, în timp ce BNM este specializată în supravegherea activității bancare. </w:t>
            </w:r>
          </w:p>
          <w:p w14:paraId="44A09DED" w14:textId="58E3FAE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plus, schimbarea autorității competente exclusiv ca urmare a depășirii unui prag de active ar conduce la fragmentarea supravegherii, deși activitatea entității  rămâne aceeași. Obiectivele prudențiale pot fi atinse și prin menținerea competenței CNPF, cu atribuirea competențelor necesare pentru aplicarea și supravegherea cerințelor prudențiale stabilite în prezentul proiect.</w:t>
            </w:r>
          </w:p>
          <w:p w14:paraId="60D75BFF"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Opinăm că dimensiunea unei firme de investiții nu modifică natura activității desfășurate. Chiar dacă, din considerente prudențiale, aceste entități sunt supuse cerințelor prevăzute pentru instituțiile de credit, ele continuă să desfășoare preponderent servicii și activități de investiții specifice pieței de capital, fără a avea modelul de afaceri caracteristic instituțiilor de credit. În consecință, supravegherea lor ar trebui să rămână la autoritatea specializată în piața de capital, adică CNPF, care dispune de expertiza necesară privind riscurile operațiunilor de investiții, conduita pe piață și protecția investitorilor. </w:t>
            </w:r>
          </w:p>
          <w:p w14:paraId="114DD3BE" w14:textId="40F129BE"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 xml:space="preserve">Această abordare este confirmată și de legislația României. </w:t>
            </w:r>
            <w:r w:rsidRPr="005D6998">
              <w:rPr>
                <w:rFonts w:ascii="Times New Roman" w:hAnsi="Times New Roman"/>
                <w:lang w:val="ro-MD"/>
              </w:rPr>
              <w:t xml:space="preserve"> În cadrul implementării pachetului CRD IV/CRR, Autoritatea de Supraveghere Financiară (ASF) este autoritatea competentă pentru firmele de investiții, în timp ce Banca Națională a României exercită supravegherea instituțiilor de credit. Cu toate acestea, legislația și documentația oficială ASF fac referire expresă la Directiva 2013/36/UE și </w:t>
            </w:r>
            <w:r w:rsidRPr="005D6998">
              <w:rPr>
                <w:rFonts w:ascii="Times New Roman" w:hAnsi="Times New Roman"/>
                <w:lang w:val="ro-MD"/>
              </w:rPr>
              <w:lastRenderedPageBreak/>
              <w:t xml:space="preserve">Regulamentul nr. 575/2013 ca fiind aplicabile și firmelor de investiții, iar ASF emite reglementări și exercită atribuții de supraveghere prudențială în acest domeniu. </w:t>
            </w:r>
          </w:p>
        </w:tc>
      </w:tr>
      <w:tr w:rsidR="00513EDC" w:rsidRPr="005D6998" w14:paraId="25C56CB1" w14:textId="77777777" w:rsidTr="00651F58">
        <w:trPr>
          <w:gridAfter w:val="1"/>
          <w:wAfter w:w="10" w:type="dxa"/>
          <w:trHeight w:val="105"/>
        </w:trPr>
        <w:tc>
          <w:tcPr>
            <w:tcW w:w="899" w:type="dxa"/>
            <w:gridSpan w:val="3"/>
            <w:vMerge/>
            <w:shd w:val="clear" w:color="auto" w:fill="FFFFFF"/>
          </w:tcPr>
          <w:p w14:paraId="0096542F" w14:textId="77777777" w:rsidR="00513EDC" w:rsidRPr="005D6998" w:rsidRDefault="00513EDC" w:rsidP="00513EDC">
            <w:p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22283DAF" w14:textId="77777777" w:rsidR="00513EDC" w:rsidRPr="005D6998" w:rsidRDefault="00513EDC" w:rsidP="00513EDC">
            <w:pPr>
              <w:tabs>
                <w:tab w:val="left" w:pos="426"/>
              </w:tabs>
              <w:spacing w:after="160" w:line="240" w:lineRule="auto"/>
              <w:jc w:val="both"/>
              <w:rPr>
                <w:rFonts w:ascii="Times New Roman" w:hAnsi="Times New Roman"/>
                <w:b/>
                <w:bCs/>
              </w:rPr>
            </w:pPr>
          </w:p>
        </w:tc>
        <w:tc>
          <w:tcPr>
            <w:tcW w:w="1559" w:type="dxa"/>
            <w:gridSpan w:val="3"/>
            <w:shd w:val="clear" w:color="auto" w:fill="FFFFFF"/>
          </w:tcPr>
          <w:p w14:paraId="1F38E9D0"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656E9AE4"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CD3154C" w14:textId="16ECA3CE"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48E50F30" w14:textId="1D528B5A"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C62BC1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reformularea prevederilor art. 5</w:t>
            </w:r>
            <w:r w:rsidRPr="005D6998">
              <w:rPr>
                <w:rFonts w:ascii="Times New Roman" w:hAnsi="Times New Roman"/>
                <w:vertAlign w:val="superscript"/>
              </w:rPr>
              <w:t>1</w:t>
            </w:r>
            <w:r w:rsidRPr="005D6998">
              <w:rPr>
                <w:rFonts w:ascii="Times New Roman" w:hAnsi="Times New Roman"/>
              </w:rPr>
              <w:t xml:space="preserve"> alin. (2) și (8),  potrivit cărora competențele și atribuțiile BNM aferente cerințelor prevăzute de prezenta lege se consideră aplicabile CNPF. </w:t>
            </w:r>
          </w:p>
          <w:p w14:paraId="47CDA41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că o asemenea tehnică de reglementare nu delimitează expres competențele transferate și, dimpotrivă, generează incertitudini privind sfera atribuțiilor exercitate de fiecare autoritate. Subsidiar, cu privire la alin. (8), menționăm că norma de „echivalență” generală („orice referire la BNM (...) se consideră a fi făcută la CNPF”) este formulată foarte larg și generează incertitudine atunci când prevederi ulterioare ale legii atribuie BNM competențe care nu sunt, prin natura lor, transferabile mecanic CNPF. </w:t>
            </w:r>
          </w:p>
          <w:p w14:paraId="16848F5D" w14:textId="288E9ED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apreciază necesitatea restrângerii exprese a echivalenței la competențele de autorizare, reglementare și supraveghere, cu exceptarea expresă a atribuțiilor cu caracter sistemic care rămân, prin natura lor, de competența BNM.</w:t>
            </w:r>
          </w:p>
        </w:tc>
        <w:tc>
          <w:tcPr>
            <w:tcW w:w="5012" w:type="dxa"/>
            <w:gridSpan w:val="3"/>
            <w:shd w:val="clear" w:color="auto" w:fill="FFFFFF"/>
          </w:tcPr>
          <w:p w14:paraId="63C0E61A"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4E56CF30" w14:textId="1A48113F"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Se consideră pentru moment justificată menținerea soluției propuse, având în vedere că instituțiile de credit care desfășoară activitățile prevăzute la lit. b) din definiția noțiunii de „instituție de credit”, aflate în competența CNPF urmează să li se aplice cerințe prudențiale similare celor prevăzute pentru instituțiile de credit. </w:t>
            </w:r>
          </w:p>
          <w:p w14:paraId="735737FB"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7E54359F"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De asemenea, se precizează că la nivelul actual de dezvoltare și de particularități ale pieței financiare din Republica Moldova, inclusiv de dimensiunea și complexitatea firmelor de investiții, această soluție pare a fi rezonabilă.</w:t>
            </w:r>
          </w:p>
          <w:p w14:paraId="767C9DFA" w14:textId="05863DE4"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BNM rămâne în continuare responsabilă de autorizarea, reglementarea și supravegherea instituțiilor de credit care desfășoară activitate bancară.</w:t>
            </w:r>
          </w:p>
        </w:tc>
      </w:tr>
      <w:tr w:rsidR="00513EDC" w:rsidRPr="005D6998" w14:paraId="5297441C" w14:textId="77777777" w:rsidTr="00651F58">
        <w:trPr>
          <w:gridAfter w:val="1"/>
          <w:wAfter w:w="10" w:type="dxa"/>
          <w:trHeight w:val="105"/>
        </w:trPr>
        <w:tc>
          <w:tcPr>
            <w:tcW w:w="899" w:type="dxa"/>
            <w:gridSpan w:val="3"/>
            <w:vMerge/>
            <w:shd w:val="clear" w:color="auto" w:fill="FFFFFF"/>
          </w:tcPr>
          <w:p w14:paraId="1C5870AE" w14:textId="77777777" w:rsidR="00513EDC" w:rsidRPr="005D6998" w:rsidRDefault="00513EDC" w:rsidP="00513EDC">
            <w:p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07E77DA9" w14:textId="77777777" w:rsidR="00513EDC" w:rsidRPr="005D6998" w:rsidRDefault="00513EDC" w:rsidP="00513EDC">
            <w:pPr>
              <w:tabs>
                <w:tab w:val="left" w:pos="426"/>
              </w:tabs>
              <w:spacing w:after="160" w:line="240" w:lineRule="auto"/>
              <w:jc w:val="both"/>
              <w:rPr>
                <w:rFonts w:ascii="Times New Roman" w:hAnsi="Times New Roman"/>
                <w:b/>
                <w:bCs/>
              </w:rPr>
            </w:pPr>
          </w:p>
        </w:tc>
        <w:tc>
          <w:tcPr>
            <w:tcW w:w="1559" w:type="dxa"/>
            <w:gridSpan w:val="3"/>
            <w:shd w:val="clear" w:color="auto" w:fill="FFFFFF"/>
          </w:tcPr>
          <w:p w14:paraId="67898158"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21340395"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6CC6395" w14:textId="443D0268"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7A1524E4" w14:textId="02B8BE9C"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8352FE6" w14:textId="3C65C1C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Recomandăm intrarea în vigoare a prevederilor art. 5</w:t>
            </w:r>
            <w:r w:rsidRPr="005D6998">
              <w:rPr>
                <w:rFonts w:ascii="Times New Roman" w:hAnsi="Times New Roman"/>
                <w:vertAlign w:val="superscript"/>
              </w:rPr>
              <w:t>1</w:t>
            </w:r>
            <w:r w:rsidRPr="005D6998">
              <w:rPr>
                <w:rFonts w:ascii="Times New Roman" w:hAnsi="Times New Roman"/>
              </w:rPr>
              <w:t xml:space="preserve"> alin. (6) la data aderării Republicii Moldova la Uniunea Europeană, întrucât clauzele extind obligația Băncii Naționale a Moldovei de a avea în vedere impactul deciziilor sale asupra stabilității financiare din toate celelalte state implicate înainte de aderarea Republicii Moldova la UE.</w:t>
            </w:r>
          </w:p>
        </w:tc>
        <w:tc>
          <w:tcPr>
            <w:tcW w:w="5012" w:type="dxa"/>
            <w:gridSpan w:val="3"/>
            <w:shd w:val="clear" w:color="auto" w:fill="FFFFFF"/>
          </w:tcPr>
          <w:p w14:paraId="1EFC49C5"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4B7B41C7" w14:textId="7F7C59C8"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Art. </w:t>
            </w:r>
            <w:r w:rsidR="00663664" w:rsidRPr="005D6998">
              <w:rPr>
                <w:rFonts w:ascii="Times New Roman" w:hAnsi="Times New Roman"/>
              </w:rPr>
              <w:t>I</w:t>
            </w:r>
            <w:r w:rsidRPr="005D6998">
              <w:rPr>
                <w:rFonts w:ascii="Times New Roman" w:hAnsi="Times New Roman"/>
              </w:rPr>
              <w:t>V Dispoziții finale alin. (3) lit</w:t>
            </w:r>
            <w:r w:rsidR="00663664" w:rsidRPr="005D6998">
              <w:rPr>
                <w:rFonts w:ascii="Times New Roman" w:hAnsi="Times New Roman"/>
              </w:rPr>
              <w:t>.</w:t>
            </w:r>
            <w:r w:rsidRPr="005D6998">
              <w:rPr>
                <w:rFonts w:ascii="Times New Roman" w:hAnsi="Times New Roman"/>
              </w:rPr>
              <w:t xml:space="preserve"> a) se completează cu textul </w:t>
            </w:r>
            <w:r w:rsidRPr="005D6998">
              <w:rPr>
                <w:rFonts w:ascii="Times New Roman" w:hAnsi="Times New Roman"/>
                <w:lang w:val="it-CH"/>
              </w:rPr>
              <w:t xml:space="preserve">“pct. 8, </w:t>
            </w:r>
            <w:r w:rsidRPr="005D6998">
              <w:rPr>
                <w:rFonts w:ascii="Times New Roman" w:hAnsi="Times New Roman"/>
              </w:rPr>
              <w:t>în partea care se referă la completarea cu alin. (6) a art. 5</w:t>
            </w:r>
            <w:r w:rsidRPr="005D6998">
              <w:rPr>
                <w:rFonts w:ascii="Times New Roman" w:hAnsi="Times New Roman"/>
                <w:vertAlign w:val="superscript"/>
              </w:rPr>
              <w:t>1</w:t>
            </w:r>
            <w:r w:rsidRPr="005D6998">
              <w:rPr>
                <w:rFonts w:ascii="Times New Roman" w:hAnsi="Times New Roman"/>
                <w:lang w:val="it-CH"/>
              </w:rPr>
              <w:t>”</w:t>
            </w:r>
            <w:r w:rsidRPr="005D6998">
              <w:rPr>
                <w:rFonts w:ascii="Times New Roman" w:hAnsi="Times New Roman"/>
              </w:rPr>
              <w:t>.</w:t>
            </w:r>
          </w:p>
        </w:tc>
      </w:tr>
      <w:tr w:rsidR="00513EDC" w:rsidRPr="005D6998" w14:paraId="7406CFB1" w14:textId="77777777" w:rsidTr="00651F58">
        <w:trPr>
          <w:gridAfter w:val="1"/>
          <w:wAfter w:w="10" w:type="dxa"/>
          <w:trHeight w:val="105"/>
        </w:trPr>
        <w:tc>
          <w:tcPr>
            <w:tcW w:w="899" w:type="dxa"/>
            <w:gridSpan w:val="3"/>
            <w:shd w:val="clear" w:color="auto" w:fill="FFFFFF"/>
          </w:tcPr>
          <w:p w14:paraId="31E91356"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6D20C1C" w14:textId="634C65DC" w:rsidR="00513EDC" w:rsidRPr="005D6998" w:rsidRDefault="00513EDC" w:rsidP="00513EDC">
            <w:pPr>
              <w:tabs>
                <w:tab w:val="left" w:pos="426"/>
              </w:tabs>
              <w:spacing w:after="160" w:line="240" w:lineRule="auto"/>
              <w:jc w:val="both"/>
              <w:rPr>
                <w:rFonts w:ascii="Times New Roman" w:hAnsi="Times New Roman"/>
              </w:rPr>
            </w:pPr>
            <w:r w:rsidRPr="005D6998">
              <w:rPr>
                <w:rFonts w:ascii="Times New Roman" w:hAnsi="Times New Roman"/>
                <w:b/>
                <w:bCs/>
              </w:rPr>
              <w:t>15.</w:t>
            </w:r>
            <w:r w:rsidRPr="005D6998">
              <w:rPr>
                <w:rFonts w:ascii="Times New Roman" w:hAnsi="Times New Roman"/>
              </w:rPr>
              <w:t xml:space="preserve"> La articolul 14 alineatul (1), lit. m) și n), cuvântul „servicii” se substituie cu cuvintele „prestarea serviciilor”.</w:t>
            </w:r>
          </w:p>
          <w:p w14:paraId="559793E6" w14:textId="77777777" w:rsidR="00513EDC" w:rsidRPr="005D6998" w:rsidRDefault="00513EDC" w:rsidP="00513EDC">
            <w:pPr>
              <w:spacing w:after="0" w:line="240" w:lineRule="auto"/>
              <w:jc w:val="both"/>
              <w:rPr>
                <w:rFonts w:ascii="Times New Roman" w:hAnsi="Times New Roman"/>
                <w:b/>
                <w:bCs/>
              </w:rPr>
            </w:pPr>
          </w:p>
        </w:tc>
        <w:tc>
          <w:tcPr>
            <w:tcW w:w="1559" w:type="dxa"/>
            <w:gridSpan w:val="3"/>
            <w:shd w:val="clear" w:color="auto" w:fill="FFFFFF"/>
          </w:tcPr>
          <w:p w14:paraId="0D5FF495"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CNPF</w:t>
            </w:r>
          </w:p>
          <w:p w14:paraId="35369F78"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311B2BD" w14:textId="60383158"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03-4/2736 din 01.07.2026 din 15.06.2026</w:t>
            </w:r>
          </w:p>
        </w:tc>
        <w:tc>
          <w:tcPr>
            <w:tcW w:w="426" w:type="dxa"/>
            <w:shd w:val="clear" w:color="auto" w:fill="FFFFFF"/>
          </w:tcPr>
          <w:p w14:paraId="4902C617" w14:textId="04752205"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7DE5522" w14:textId="5B9D904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completarea pct. 15, care modifică art. 14 din Legea nr. 202/2017 cu textul „, iar după lit. o) se completează lit. o</w:t>
            </w:r>
            <w:r w:rsidRPr="005D6998">
              <w:rPr>
                <w:rFonts w:ascii="Times New Roman" w:hAnsi="Times New Roman"/>
                <w:vertAlign w:val="superscript"/>
              </w:rPr>
              <w:t>1</w:t>
            </w:r>
            <w:r w:rsidRPr="005D6998">
              <w:rPr>
                <w:rFonts w:ascii="Times New Roman" w:hAnsi="Times New Roman"/>
              </w:rPr>
              <w:t>) cu următorul cuprins:</w:t>
            </w:r>
          </w:p>
          <w:p w14:paraId="0A763A7F" w14:textId="3DFDACE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„o</w:t>
            </w:r>
            <w:r w:rsidRPr="005D6998">
              <w:rPr>
                <w:rFonts w:ascii="Times New Roman" w:hAnsi="Times New Roman"/>
                <w:vertAlign w:val="superscript"/>
              </w:rPr>
              <w:t>1</w:t>
            </w:r>
            <w:r w:rsidRPr="005D6998">
              <w:rPr>
                <w:rFonts w:ascii="Times New Roman" w:hAnsi="Times New Roman"/>
              </w:rPr>
              <w:t>) prestarea serviciului de criptoactive, în conformitate cu legislația privind piața criptoactivelor;”.</w:t>
            </w:r>
          </w:p>
        </w:tc>
        <w:tc>
          <w:tcPr>
            <w:tcW w:w="5012" w:type="dxa"/>
            <w:gridSpan w:val="3"/>
            <w:shd w:val="clear" w:color="auto" w:fill="FFFFFF"/>
          </w:tcPr>
          <w:p w14:paraId="7CD61442"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384F8BD7" w14:textId="4FA4BB2F"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Proiectul de Lege privind piața criptoactivelor, apro</w:t>
            </w:r>
            <w:r w:rsidR="00663664" w:rsidRPr="005D6998">
              <w:rPr>
                <w:rFonts w:ascii="Times New Roman" w:hAnsi="Times New Roman"/>
              </w:rPr>
              <w:t>b</w:t>
            </w:r>
            <w:r w:rsidRPr="005D6998">
              <w:rPr>
                <w:rFonts w:ascii="Times New Roman" w:hAnsi="Times New Roman"/>
              </w:rPr>
              <w:t>at în Lectura I</w:t>
            </w:r>
            <w:r w:rsidR="000D2399" w:rsidRPr="005D6998">
              <w:rPr>
                <w:rFonts w:ascii="Times New Roman" w:hAnsi="Times New Roman"/>
              </w:rPr>
              <w:t>I</w:t>
            </w:r>
            <w:r w:rsidRPr="005D6998">
              <w:rPr>
                <w:rFonts w:ascii="Times New Roman" w:hAnsi="Times New Roman"/>
              </w:rPr>
              <w:t xml:space="preserve"> de către Parlament la data de </w:t>
            </w:r>
            <w:r w:rsidR="000D2399" w:rsidRPr="005D6998">
              <w:rPr>
                <w:rFonts w:ascii="Times New Roman" w:hAnsi="Times New Roman"/>
              </w:rPr>
              <w:t>24.08</w:t>
            </w:r>
            <w:r w:rsidRPr="005D6998">
              <w:rPr>
                <w:rFonts w:ascii="Times New Roman" w:hAnsi="Times New Roman"/>
              </w:rPr>
              <w:t>.2026</w:t>
            </w:r>
            <w:r w:rsidR="000D2399" w:rsidRPr="005D6998">
              <w:rPr>
                <w:rFonts w:ascii="Times New Roman" w:hAnsi="Times New Roman"/>
              </w:rPr>
              <w:t xml:space="preserve"> cu numărul 180</w:t>
            </w:r>
            <w:r w:rsidRPr="005D6998">
              <w:rPr>
                <w:rFonts w:ascii="Times New Roman" w:hAnsi="Times New Roman"/>
              </w:rPr>
              <w:t xml:space="preserve"> stabilește modificarea Legii nr. 202/2017 după cum urmează:</w:t>
            </w:r>
          </w:p>
          <w:p w14:paraId="667E1C0C"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4.1. La articolul 14:</w:t>
            </w:r>
          </w:p>
          <w:p w14:paraId="0F06D3DA"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alineatul (1), după litera o), se completează cu literele o</w:t>
            </w:r>
            <w:r w:rsidRPr="005D6998">
              <w:rPr>
                <w:rFonts w:ascii="Times New Roman" w:hAnsi="Times New Roman"/>
                <w:vertAlign w:val="superscript"/>
              </w:rPr>
              <w:t>1</w:t>
            </w:r>
            <w:r w:rsidRPr="005D6998">
              <w:rPr>
                <w:rFonts w:ascii="Times New Roman" w:hAnsi="Times New Roman"/>
              </w:rPr>
              <w:t>), o</w:t>
            </w:r>
            <w:r w:rsidRPr="005D6998">
              <w:rPr>
                <w:rFonts w:ascii="Times New Roman" w:hAnsi="Times New Roman"/>
                <w:vertAlign w:val="superscript"/>
              </w:rPr>
              <w:t>2</w:t>
            </w:r>
            <w:r w:rsidRPr="005D6998">
              <w:rPr>
                <w:rFonts w:ascii="Times New Roman" w:hAnsi="Times New Roman"/>
              </w:rPr>
              <w:t>) și o</w:t>
            </w:r>
            <w:r w:rsidRPr="005D6998">
              <w:rPr>
                <w:rFonts w:ascii="Times New Roman" w:hAnsi="Times New Roman"/>
                <w:vertAlign w:val="superscript"/>
              </w:rPr>
              <w:t>3</w:t>
            </w:r>
            <w:r w:rsidRPr="005D6998">
              <w:rPr>
                <w:rFonts w:ascii="Times New Roman" w:hAnsi="Times New Roman"/>
              </w:rPr>
              <w:t xml:space="preserve">) cu următorul cuprins: </w:t>
            </w:r>
          </w:p>
          <w:p w14:paraId="13F9FD5B"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„o</w:t>
            </w:r>
            <w:r w:rsidRPr="005D6998">
              <w:rPr>
                <w:rFonts w:ascii="Times New Roman" w:hAnsi="Times New Roman"/>
                <w:vertAlign w:val="superscript"/>
              </w:rPr>
              <w:t>1</w:t>
            </w:r>
            <w:r w:rsidRPr="005D6998">
              <w:rPr>
                <w:rFonts w:ascii="Times New Roman" w:hAnsi="Times New Roman"/>
              </w:rPr>
              <w:t>). emiterea de tokenului raportate la active, realizarea ofertei publice și/sau admiterea la tranzacționare a respectivului token raportat la active, în conformitate cu legislația privind piața criptoactivelor.”</w:t>
            </w:r>
          </w:p>
          <w:p w14:paraId="78795782"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„o</w:t>
            </w:r>
            <w:r w:rsidRPr="005D6998">
              <w:rPr>
                <w:rFonts w:ascii="Times New Roman" w:hAnsi="Times New Roman"/>
                <w:vertAlign w:val="superscript"/>
              </w:rPr>
              <w:t>2</w:t>
            </w:r>
            <w:r w:rsidRPr="005D6998">
              <w:rPr>
                <w:rFonts w:ascii="Times New Roman" w:hAnsi="Times New Roman"/>
              </w:rPr>
              <w:t>). emiterea tokenului de monedă electronică, realizarea ofertei publice și/sau admiterea la tranzacționare a respectivului token de monedă electronică, în conformitate cu legislația privind piața criptoactivelor.”</w:t>
            </w:r>
          </w:p>
          <w:p w14:paraId="74AEE151" w14:textId="790851F0"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„o</w:t>
            </w:r>
            <w:r w:rsidRPr="005D6998">
              <w:rPr>
                <w:rFonts w:ascii="Times New Roman" w:hAnsi="Times New Roman"/>
                <w:vertAlign w:val="superscript"/>
              </w:rPr>
              <w:t>3</w:t>
            </w:r>
            <w:r w:rsidRPr="005D6998">
              <w:rPr>
                <w:rFonts w:ascii="Times New Roman" w:hAnsi="Times New Roman"/>
              </w:rPr>
              <w:t>). furnizarea serviciilor de criptoactive, în limitele și în condițiile stabilite în conformitate cu legislația privind piața criptoactivelor.”.</w:t>
            </w:r>
          </w:p>
        </w:tc>
      </w:tr>
      <w:tr w:rsidR="00513EDC" w:rsidRPr="005D6998" w14:paraId="786FF767" w14:textId="77777777" w:rsidTr="00651F58">
        <w:trPr>
          <w:gridAfter w:val="1"/>
          <w:wAfter w:w="10" w:type="dxa"/>
          <w:trHeight w:val="105"/>
        </w:trPr>
        <w:tc>
          <w:tcPr>
            <w:tcW w:w="899" w:type="dxa"/>
            <w:gridSpan w:val="3"/>
            <w:shd w:val="clear" w:color="auto" w:fill="FFFFFF"/>
          </w:tcPr>
          <w:p w14:paraId="6BBEFF91"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A732BF7" w14:textId="75017947" w:rsidR="00513EDC" w:rsidRPr="005D6998" w:rsidRDefault="00513EDC" w:rsidP="00513EDC">
            <w:pPr>
              <w:tabs>
                <w:tab w:val="left" w:pos="426"/>
              </w:tabs>
              <w:spacing w:after="160" w:line="240" w:lineRule="auto"/>
              <w:jc w:val="both"/>
              <w:rPr>
                <w:rFonts w:ascii="Times New Roman" w:hAnsi="Times New Roman"/>
              </w:rPr>
            </w:pPr>
            <w:r w:rsidRPr="005D6998">
              <w:rPr>
                <w:rFonts w:ascii="Times New Roman" w:hAnsi="Times New Roman"/>
                <w:b/>
                <w:bCs/>
              </w:rPr>
              <w:t>21.</w:t>
            </w:r>
            <w:r w:rsidRPr="005D6998">
              <w:rPr>
                <w:rFonts w:ascii="Times New Roman" w:hAnsi="Times New Roman"/>
              </w:rPr>
              <w:t xml:space="preserve"> Se completează cu articolul 23</w:t>
            </w:r>
            <w:r w:rsidRPr="005D6998">
              <w:rPr>
                <w:rFonts w:ascii="Times New Roman" w:hAnsi="Times New Roman"/>
                <w:vertAlign w:val="superscript"/>
              </w:rPr>
              <w:t xml:space="preserve">1 </w:t>
            </w:r>
            <w:r w:rsidRPr="005D6998">
              <w:rPr>
                <w:rFonts w:ascii="Times New Roman" w:hAnsi="Times New Roman"/>
              </w:rPr>
              <w:t>cu următorul cuprins:</w:t>
            </w:r>
          </w:p>
          <w:p w14:paraId="073BCCB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bookmarkStart w:id="3" w:name="_Hlk215479223"/>
            <w:r w:rsidRPr="005D6998">
              <w:rPr>
                <w:rFonts w:ascii="Times New Roman" w:hAnsi="Times New Roman"/>
                <w:b/>
                <w:bCs/>
              </w:rPr>
              <w:t xml:space="preserve">Articolul </w:t>
            </w:r>
            <w:r w:rsidRPr="005D6998">
              <w:rPr>
                <w:rFonts w:ascii="Times New Roman" w:hAnsi="Times New Roman"/>
                <w:b/>
              </w:rPr>
              <w:t>23</w:t>
            </w:r>
            <w:r w:rsidRPr="005D6998">
              <w:rPr>
                <w:rFonts w:ascii="Times New Roman" w:hAnsi="Times New Roman"/>
                <w:b/>
                <w:vertAlign w:val="superscript"/>
              </w:rPr>
              <w:t>1</w:t>
            </w:r>
            <w:r w:rsidRPr="005D6998">
              <w:rPr>
                <w:rFonts w:ascii="Times New Roman" w:hAnsi="Times New Roman"/>
                <w:b/>
              </w:rPr>
              <w:t>.</w:t>
            </w:r>
            <w:r w:rsidRPr="005D6998">
              <w:rPr>
                <w:rFonts w:ascii="Times New Roman" w:hAnsi="Times New Roman"/>
              </w:rPr>
              <w:t xml:space="preserve"> Cerințe specifice pentru autorizarea întreprinderilor menționate la art. 3 noțiunea “</w:t>
            </w:r>
            <w:r w:rsidRPr="005D6998">
              <w:rPr>
                <w:rFonts w:ascii="Times New Roman" w:hAnsi="Times New Roman"/>
                <w:i/>
                <w:iCs/>
              </w:rPr>
              <w:t>instituție de credit</w:t>
            </w:r>
            <w:r w:rsidRPr="005D6998">
              <w:rPr>
                <w:rFonts w:ascii="Times New Roman" w:hAnsi="Times New Roman"/>
              </w:rPr>
              <w:t>” lit. b) ca instituții de credit</w:t>
            </w:r>
          </w:p>
          <w:p w14:paraId="67487BD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 Întreprinderile menționate la art. 3 noțiunea “</w:t>
            </w:r>
            <w:r w:rsidRPr="005D6998">
              <w:rPr>
                <w:rFonts w:ascii="Times New Roman" w:hAnsi="Times New Roman"/>
                <w:i/>
                <w:iCs/>
              </w:rPr>
              <w:t>instituție de credit</w:t>
            </w:r>
            <w:r w:rsidRPr="005D6998">
              <w:rPr>
                <w:rFonts w:ascii="Times New Roman" w:hAnsi="Times New Roman"/>
              </w:rPr>
              <w:t xml:space="preserve">” lit. b) care desfășoară activitățile prevăzute la art. 33 alin. (1) lit. (c) și lit. (f) din Legea nr. 171/2012 trebuie să solicite Comisiei Naționale a Pieței Financiare eliberarea autorizației ca instituție de credit în conformitate cu dispozițiile prezentei secțiuni și cu actele normative emise în aplicarea acesteia </w:t>
            </w:r>
            <w:r w:rsidRPr="005D6998">
              <w:rPr>
                <w:rFonts w:ascii="Times New Roman" w:hAnsi="Times New Roman"/>
              </w:rPr>
              <w:lastRenderedPageBreak/>
              <w:t>cel târziu la data la care are loc oricare din următoarele evenimente:</w:t>
            </w:r>
          </w:p>
          <w:p w14:paraId="62C5034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  media activelor totale lunare, calculată pe o perioadă de 12 luni consecutive, este mai mare sau egală cu 30 de miliarde EUR; sau</w:t>
            </w:r>
          </w:p>
          <w:p w14:paraId="3B1BE93A" w14:textId="77777777" w:rsidR="00513EDC" w:rsidRPr="005D6998" w:rsidRDefault="00513EDC" w:rsidP="00513EDC">
            <w:pPr>
              <w:spacing w:after="0" w:line="240" w:lineRule="auto"/>
              <w:jc w:val="both"/>
              <w:rPr>
                <w:rFonts w:ascii="Times New Roman" w:hAnsi="Times New Roman"/>
                <w:color w:val="0F9ED5" w:themeColor="accent4"/>
              </w:rPr>
            </w:pPr>
            <w:r w:rsidRPr="005D6998">
              <w:rPr>
                <w:rFonts w:ascii="Times New Roman" w:hAnsi="Times New Roman"/>
              </w:rPr>
              <w:t xml:space="preserve">(b) media activelor totale lunare, calculată pe o perioadă de 12 luni consecutive, este mai mică de 30 de miliarde EUR, iar întreprinderea face parte dintr-un grup în cadrul căruia valoarea totală a activelor consolidate ale tuturor întreprinderilor din grup stabilite în UE, incluzând oricare din sucursalele și filialele lor stabilite într-un stat terț, care în mod individual au active a căror valoare totală este mai mică de </w:t>
            </w:r>
            <w:bookmarkStart w:id="4" w:name="_Hlk204871362"/>
            <w:r w:rsidRPr="005D6998">
              <w:rPr>
                <w:rFonts w:ascii="Times New Roman" w:hAnsi="Times New Roman"/>
              </w:rPr>
              <w:t xml:space="preserve">echivalentul în MDL a 30 de miliarde EUR </w:t>
            </w:r>
            <w:bookmarkEnd w:id="4"/>
            <w:r w:rsidRPr="005D6998">
              <w:rPr>
                <w:rFonts w:ascii="Times New Roman" w:hAnsi="Times New Roman"/>
              </w:rPr>
              <w:t>și care desfășoară oricare dintre activitățile menționate la art. 33 alin. (1) lit. (c) și lit. (f) din Legea nr. 171/2012 privind piața de capital, este mai mare sau egală cu echivalentul în MDL a 30 de miliarde EUR, ambele cuantumuri fiind calculate ca medie pe o perioadă de 12 luni consecutive.</w:t>
            </w:r>
          </w:p>
          <w:bookmarkEnd w:id="3"/>
          <w:p w14:paraId="1D0B2761"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b/>
                <w:bCs/>
                <w:color w:val="FF0000"/>
              </w:rPr>
              <w:t xml:space="preserve"> </w:t>
            </w:r>
            <w:r w:rsidRPr="005D6998">
              <w:rPr>
                <w:rFonts w:ascii="Times New Roman" w:hAnsi="Times New Roman"/>
              </w:rPr>
              <w:t>(2) Întreprinderile menționate la alin. (1) pot desfășura în continuare activităţile menţionate la art. 33 alin. (1) lit. (c) și lit. (f) din Legea nr. 171/2012 până la obţinerea autorizației  menţionate la alin. (1).</w:t>
            </w:r>
            <w:r w:rsidRPr="005D6998">
              <w:rPr>
                <w:rFonts w:ascii="Times New Roman" w:hAnsi="Times New Roman"/>
                <w:b/>
                <w:bCs/>
                <w:color w:val="FF0000"/>
              </w:rPr>
              <w:t xml:space="preserve"> </w:t>
            </w:r>
          </w:p>
          <w:p w14:paraId="195F4C33" w14:textId="4FF26E4F" w:rsidR="00513EDC" w:rsidRPr="005D6998" w:rsidRDefault="00513EDC" w:rsidP="00513EDC">
            <w:pPr>
              <w:tabs>
                <w:tab w:val="left" w:pos="426"/>
              </w:tabs>
              <w:spacing w:line="240" w:lineRule="auto"/>
              <w:jc w:val="both"/>
              <w:rPr>
                <w:rFonts w:ascii="Times New Roman" w:hAnsi="Times New Roman"/>
              </w:rPr>
            </w:pPr>
            <w:r w:rsidRPr="005D6998">
              <w:rPr>
                <w:rFonts w:ascii="Times New Roman" w:hAnsi="Times New Roman"/>
              </w:rPr>
              <w:t xml:space="preserve">(3) Prin derogare de la alin. (1), în baza solicitării eliberării autorizației ca instituție de credit și a informațiilor corespunzătoare, Comisa Națională a Pieței Financiare poate, după </w:t>
            </w:r>
            <w:r w:rsidRPr="005D6998">
              <w:rPr>
                <w:rFonts w:ascii="Times New Roman" w:hAnsi="Times New Roman"/>
              </w:rPr>
              <w:lastRenderedPageBreak/>
              <w:t>recepționarea unei cereri din partea unei întreprinderi menționate la alin. (1) să acorde o derogare întreprinderii respective de la cerința de a obține autorizația ca instituție de credit în conformitate cu prezenta lege.</w:t>
            </w:r>
          </w:p>
        </w:tc>
        <w:tc>
          <w:tcPr>
            <w:tcW w:w="1559" w:type="dxa"/>
            <w:gridSpan w:val="3"/>
            <w:shd w:val="clear" w:color="auto" w:fill="FFFFFF"/>
          </w:tcPr>
          <w:p w14:paraId="69A92C50"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1A15F4F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20FFBA6"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02-06/188 din 07.07.2026</w:t>
            </w:r>
          </w:p>
          <w:p w14:paraId="743779DE" w14:textId="77777777" w:rsidR="00513EDC" w:rsidRPr="005D6998" w:rsidRDefault="00513EDC" w:rsidP="00513EDC">
            <w:pPr>
              <w:tabs>
                <w:tab w:val="left" w:pos="884"/>
                <w:tab w:val="left" w:pos="1196"/>
              </w:tabs>
              <w:spacing w:after="0" w:line="240" w:lineRule="auto"/>
              <w:jc w:val="center"/>
              <w:rPr>
                <w:rFonts w:ascii="Times New Roman" w:hAnsi="Times New Roman"/>
                <w:bCs/>
              </w:rPr>
            </w:pPr>
          </w:p>
          <w:p w14:paraId="77FAF101" w14:textId="06086059"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 xml:space="preserve"> </w:t>
            </w:r>
          </w:p>
        </w:tc>
        <w:tc>
          <w:tcPr>
            <w:tcW w:w="426" w:type="dxa"/>
            <w:shd w:val="clear" w:color="auto" w:fill="FFFFFF"/>
          </w:tcPr>
          <w:p w14:paraId="70FCA135" w14:textId="1CA6C7E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26C1532F" w14:textId="0120BFC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necesară reevaluarea regimului aplicabil întreprinderilor prevăzute la alin. (1), având în vedere că acestea pot continua desfășurarea activităților menționate la art. 33 alin. (1) lit. c) și f) din Legea nr. 171/2012 până la obținerea autorizației, iar Comisia Națională a Pieței Financiare poate acorda o derogare de la obligația de autorizare, fără ca proiectul să stabilească expres condițiile materiale de acordare a derogării, durata acesteia sau consecințele refuzului autorizației.</w:t>
            </w:r>
          </w:p>
        </w:tc>
        <w:tc>
          <w:tcPr>
            <w:tcW w:w="5012" w:type="dxa"/>
            <w:gridSpan w:val="3"/>
            <w:shd w:val="clear" w:color="auto" w:fill="FFFFFF"/>
          </w:tcPr>
          <w:p w14:paraId="26293187" w14:textId="014866E1"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 xml:space="preserve">Comentariu </w:t>
            </w:r>
          </w:p>
          <w:p w14:paraId="2E3A0D5B"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Regimul derogării este preluat din art. 8a din Directiva (UE) 2024/1619 (CRD VI), care stabilește cadrul general al acordării acesteia, iar condițiile detaliate urmează să fie armonizate la nivelul Uniunii Europene prin standarde tehnice de reglementare (RTS) elaborate de Autoritatea Bancară Europeană (EBA), în conformitate cu alin. (7) al aceluiași articol. </w:t>
            </w:r>
          </w:p>
          <w:p w14:paraId="5D24B845"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39F6A629" w14:textId="7926B618"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Deși directiva prevedea transmiterea proiectului de RTS către Comisia Europeană până la 10 ianuarie 2026, la acest moment acestea nu au fost încă publicate sau adoptate. </w:t>
            </w:r>
          </w:p>
          <w:p w14:paraId="69BEBA12"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39134D4C" w14:textId="64BE0B2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Prin urmare, stabilirea la nivel național a unor condiții materiale suplimentare, a unei durate a derogării sau a altor criterii care urmează să facă obiectul armonizării </w:t>
            </w:r>
            <w:r w:rsidRPr="005D6998">
              <w:rPr>
                <w:rFonts w:ascii="Times New Roman" w:hAnsi="Times New Roman"/>
              </w:rPr>
              <w:lastRenderedPageBreak/>
              <w:t xml:space="preserve">la nivelul Uniunii ar risca să conducă la neconcordanțe cu viitorul cadru european. </w:t>
            </w:r>
          </w:p>
          <w:p w14:paraId="5F020E36"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61A0FF53" w14:textId="54F53BC0"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consecință, proiectul transpune dispozițiile directivei în limitele impuse de textul acesteia, urmând ca eventualele ajustări necesare să fie examinate după adoptarea RTS de către Comisia Europeană.</w:t>
            </w:r>
          </w:p>
        </w:tc>
      </w:tr>
      <w:tr w:rsidR="00513EDC" w:rsidRPr="005D6998" w14:paraId="6F54E818" w14:textId="77777777" w:rsidTr="00651F58">
        <w:trPr>
          <w:gridAfter w:val="1"/>
          <w:wAfter w:w="10" w:type="dxa"/>
          <w:trHeight w:val="105"/>
        </w:trPr>
        <w:tc>
          <w:tcPr>
            <w:tcW w:w="899" w:type="dxa"/>
            <w:gridSpan w:val="3"/>
            <w:shd w:val="clear" w:color="auto" w:fill="FFFFFF"/>
          </w:tcPr>
          <w:p w14:paraId="64D02226"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0FE9BB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(4) Comisia Națională a Pieței Financiare informează Autoritatea Bancară Europeană despre recepționarea unei cereri de derogare în conformitate cu alin. (3) și decide cu privire la respectiva cerere, luând în considerare avizul recepționat din partea Autorității Bancare Europene, precum și următoarele elemente:</w:t>
            </w:r>
          </w:p>
          <w:p w14:paraId="22A7E8E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 în cazul în care întreprinderea face parte dintr-un grup, structura organizatorică a grupului, practicile de contabilizare predominante în cadrul grupului și alocarea activelor între entitățile din grup; </w:t>
            </w:r>
          </w:p>
          <w:p w14:paraId="1E9F060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b) natura, amploarea și complexitatea activităților desfășurate de întreprindere în statul membru în care este stabilită și în Uniunea Europeană în general; </w:t>
            </w:r>
          </w:p>
          <w:p w14:paraId="55B78DD7"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c) importanța și riscul sistemic pe care îl prezintă activitățile desfășurate de întreprindere în statul membru în care este stabilită și în Uniunea Europeană în ansamblu.</w:t>
            </w:r>
            <w:r w:rsidRPr="005D6998">
              <w:rPr>
                <w:rFonts w:ascii="Times New Roman" w:hAnsi="Times New Roman"/>
                <w:i/>
                <w:iCs/>
              </w:rPr>
              <w:t xml:space="preserve"> </w:t>
            </w:r>
          </w:p>
          <w:p w14:paraId="7DC953A2"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(5) În cazul în care hotărârea Comisiei Naționale a Pieței Financiare nu corespunde cu avizul Autorității Bancare Europene, aceasta va cuprinde în mod expres motivele abaterii. </w:t>
            </w:r>
          </w:p>
          <w:p w14:paraId="1FBB07D0" w14:textId="2F9A6896" w:rsidR="00513EDC" w:rsidRPr="005D6998" w:rsidRDefault="00513EDC" w:rsidP="00513EDC">
            <w:pPr>
              <w:tabs>
                <w:tab w:val="left" w:pos="426"/>
              </w:tabs>
              <w:spacing w:after="160" w:line="240" w:lineRule="auto"/>
              <w:jc w:val="both"/>
              <w:rPr>
                <w:rFonts w:ascii="Times New Roman" w:hAnsi="Times New Roman"/>
                <w:b/>
                <w:bCs/>
              </w:rPr>
            </w:pPr>
            <w:r w:rsidRPr="005D6998">
              <w:rPr>
                <w:rFonts w:ascii="Times New Roman" w:hAnsi="Times New Roman"/>
              </w:rPr>
              <w:lastRenderedPageBreak/>
              <w:t>(6) Comisia Națională a Pieței Financiare notifică hotărârea menționată la alin. (4) întreprinderii în cauză și Autorității Bancare Europene și reevaluează hotărârea respectivă o dată la trei ani.”.</w:t>
            </w:r>
          </w:p>
        </w:tc>
        <w:tc>
          <w:tcPr>
            <w:tcW w:w="1559" w:type="dxa"/>
            <w:gridSpan w:val="3"/>
            <w:shd w:val="clear" w:color="auto" w:fill="FFFFFF"/>
          </w:tcPr>
          <w:p w14:paraId="30107922"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CNPF</w:t>
            </w:r>
          </w:p>
          <w:p w14:paraId="0303CCB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3D26220"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03-4/2736 din 01.07.2026 din 15.06.2026</w:t>
            </w:r>
          </w:p>
          <w:p w14:paraId="652781A4" w14:textId="51DDB265"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37A54A91" w14:textId="454FA839"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3E6BDE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efectuarea modificărilor corespunzătoare în vederea excluderii referințelor la CNPF, ca fiind autoritatea investită cu atribuții de supraveghere prudențială a instituțiilor de credit, întrucât supravegherea prudențială a instituțiilor de credit ține exclusiv de atribuțiile și competența BNM în conformitate cu Directiva UE 2013/36.</w:t>
            </w:r>
          </w:p>
          <w:p w14:paraId="5B2A7C48" w14:textId="26113EE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argumentează că firmele de investiții care obțin o autorizație de instituție de credit urmează să fie supravegheate de BNM, deoarece activitatea și profilul lor de risc sunt comparabile cu cele ale băncilor. În conformitate cu cadrul european, aceste entități sunt supuse regimului prudențial aplicabil instituțiilor de credit, iar supravegherea lor de către BNM asigură aplicarea uniformă a cerințelor de capital, lichiditate și administrare a riscurilor, contribuind la menținerea stabilității sistemului financiar și la evitarea arbitrajului de reglementare.</w:t>
            </w:r>
          </w:p>
        </w:tc>
        <w:tc>
          <w:tcPr>
            <w:tcW w:w="5012" w:type="dxa"/>
            <w:gridSpan w:val="3"/>
            <w:shd w:val="clear" w:color="auto" w:fill="FFFFFF"/>
          </w:tcPr>
          <w:p w14:paraId="19E8EC84"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17C64CB6" w14:textId="7E7E1AF6"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Propunerea privind excluderea CNPF nu poate fi acceptată în baza  argumentelor aduse din perspectiva atribuțiilor de supraveghere a firmelor de investiții care cad cub incidența alin. (1), deoarece punctul dat se referă la informarea Autorității Bancare Europene despre recepționarea unei cereri de derogare în conformitate cu alin. (3). Totodată, reiterăm că aplicarea cerințelor prudențiale prevăzute de CRR și CRD, transpuse în acest proiect de lege  nu presupune, în mod automat, transferul competenței de supraveghere către autoritatea bancară. Competența ar trebui să urmeze natura activității desfășurate, nu doar regimul prudențial aplicabil. </w:t>
            </w:r>
          </w:p>
          <w:p w14:paraId="2D79A3E8"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CNPF dispune de expertiza necesară pentru supravegherea firmelor de investiții și a activităților specifice pieței de capital, în timp ce BNM este specializată în supravegherea activității bancare. </w:t>
            </w:r>
          </w:p>
          <w:p w14:paraId="2E91C131"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plus, schimbarea autorității competente exclusiv ca urmare a depășirii unui prag de active ar conduce la fragmentarea supravegherii, deși activitatea entității rămâne aceeași. Obiectivele prudențiale pot fi atinse și prin menținerea competenței CNPF, cu atribuirea competențelor necesare pentru aplicarea și supravegherea cerințelor prudențiale stabilite în prezentul proiect.</w:t>
            </w:r>
          </w:p>
          <w:p w14:paraId="28AD3A56"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Opinăm că dimensiunea unei firme de investiții nu modifică natura activității desfășurate. Chiar dacă, din considerente prudențiale, aceste entități sunt supuse cerințelor prevăzute pentru instituțiile de credit, ele continuă să desfășoare preponderent servicii și </w:t>
            </w:r>
            <w:r w:rsidRPr="005D6998">
              <w:rPr>
                <w:rFonts w:ascii="Times New Roman" w:hAnsi="Times New Roman"/>
              </w:rPr>
              <w:lastRenderedPageBreak/>
              <w:t xml:space="preserve">activități de investiții specifice pieței de capital, fără a avea modelul de afaceri caracteristic instituțiilor de credit. În consecință, supravegherea lor ar trebui să rămână la autoritatea specializată în piața de capital, adică CNPF, care dispune de expertiza necesară privind riscurile operațiunilor de investiții, conduita pe piață și protecția investitorilor. </w:t>
            </w:r>
          </w:p>
          <w:p w14:paraId="07EECDAC" w14:textId="18A3BE4D"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 xml:space="preserve">Această abordare este confirmată și de legislația României. </w:t>
            </w:r>
            <w:r w:rsidRPr="005D6998">
              <w:rPr>
                <w:rFonts w:ascii="Times New Roman" w:hAnsi="Times New Roman"/>
                <w:lang w:val="ro-MD"/>
              </w:rPr>
              <w:t xml:space="preserve"> În cadrul implementării pachetului CRD IV/CRR, Autoritatea de Supraveghere Financiară (ASF) este autoritatea competentă pentru firmele de investiții, în timp ce Banca Națională a României exercită supravegherea instituțiilor de credit. Cu toate acestea, legislația și documentația oficială ASF fac referire expresă la Directiva 2013/36/UE și Regulamentul nr. 575/2013 ca fiind aplicabile și firmelor de investiții, iar ASF emite reglementări și exercită atribuții de supraveghere prudențială în acest domeniu. </w:t>
            </w:r>
          </w:p>
        </w:tc>
      </w:tr>
      <w:tr w:rsidR="00513EDC" w:rsidRPr="005D6998" w14:paraId="62D8627B" w14:textId="77777777" w:rsidTr="00651F58">
        <w:trPr>
          <w:gridAfter w:val="1"/>
          <w:wAfter w:w="10" w:type="dxa"/>
          <w:trHeight w:val="105"/>
        </w:trPr>
        <w:tc>
          <w:tcPr>
            <w:tcW w:w="899" w:type="dxa"/>
            <w:gridSpan w:val="3"/>
            <w:shd w:val="clear" w:color="auto" w:fill="FFFFFF"/>
          </w:tcPr>
          <w:p w14:paraId="773A1CBA"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070EF3B"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22.</w:t>
            </w:r>
            <w:r w:rsidRPr="005D6998">
              <w:rPr>
                <w:rFonts w:ascii="Times New Roman" w:hAnsi="Times New Roman"/>
              </w:rPr>
              <w:t xml:space="preserve"> Titlul II se completează cu capitolul 2</w:t>
            </w:r>
            <w:r w:rsidRPr="005D6998">
              <w:rPr>
                <w:rFonts w:ascii="Times New Roman" w:hAnsi="Times New Roman"/>
                <w:vertAlign w:val="superscript"/>
              </w:rPr>
              <w:t>1</w:t>
            </w:r>
            <w:r w:rsidRPr="005D6998">
              <w:rPr>
                <w:rFonts w:ascii="Times New Roman" w:hAnsi="Times New Roman"/>
                <w:b/>
                <w:bCs/>
              </w:rPr>
              <w:t xml:space="preserve"> </w:t>
            </w:r>
            <w:r w:rsidRPr="005D6998">
              <w:rPr>
                <w:rFonts w:ascii="Times New Roman" w:hAnsi="Times New Roman"/>
              </w:rPr>
              <w:t>cu următorul cuprins:</w:t>
            </w:r>
            <w:r w:rsidRPr="005D6998">
              <w:rPr>
                <w:rFonts w:ascii="Times New Roman" w:hAnsi="Times New Roman"/>
                <w:b/>
                <w:bCs/>
              </w:rPr>
              <w:t xml:space="preserve"> </w:t>
            </w:r>
          </w:p>
          <w:p w14:paraId="6796A47D" w14:textId="77777777" w:rsidR="00513EDC" w:rsidRPr="005D6998" w:rsidRDefault="00513EDC" w:rsidP="00513EDC">
            <w:pPr>
              <w:spacing w:after="0" w:line="240" w:lineRule="auto"/>
              <w:jc w:val="center"/>
              <w:rPr>
                <w:rFonts w:ascii="Times New Roman" w:hAnsi="Times New Roman"/>
                <w:b/>
                <w:bCs/>
              </w:rPr>
            </w:pPr>
            <w:r w:rsidRPr="005D6998">
              <w:rPr>
                <w:rFonts w:ascii="Times New Roman" w:hAnsi="Times New Roman"/>
              </w:rPr>
              <w:t>“</w:t>
            </w:r>
            <w:r w:rsidRPr="005D6998">
              <w:rPr>
                <w:rFonts w:ascii="Times New Roman" w:hAnsi="Times New Roman"/>
                <w:b/>
                <w:bCs/>
              </w:rPr>
              <w:t>Capitolul 2</w:t>
            </w:r>
            <w:r w:rsidRPr="005D6998">
              <w:rPr>
                <w:rFonts w:ascii="Times New Roman" w:hAnsi="Times New Roman"/>
                <w:b/>
                <w:bCs/>
                <w:vertAlign w:val="superscript"/>
              </w:rPr>
              <w:t>1</w:t>
            </w:r>
            <w:r w:rsidRPr="005D6998">
              <w:rPr>
                <w:rFonts w:ascii="Times New Roman" w:hAnsi="Times New Roman"/>
                <w:b/>
                <w:bCs/>
              </w:rPr>
              <w:t xml:space="preserve"> </w:t>
            </w:r>
          </w:p>
          <w:p w14:paraId="19314B7E" w14:textId="77777777" w:rsidR="00513EDC" w:rsidRPr="005D6998" w:rsidRDefault="00513EDC" w:rsidP="00513EDC">
            <w:pPr>
              <w:spacing w:after="0" w:line="240" w:lineRule="auto"/>
              <w:jc w:val="center"/>
              <w:rPr>
                <w:rFonts w:ascii="Times New Roman" w:hAnsi="Times New Roman"/>
                <w:b/>
                <w:bCs/>
              </w:rPr>
            </w:pPr>
            <w:r w:rsidRPr="005D6998">
              <w:rPr>
                <w:rFonts w:ascii="Times New Roman" w:hAnsi="Times New Roman"/>
                <w:b/>
                <w:bCs/>
              </w:rPr>
              <w:t>REGIMUL INSTITUȚIILOR DE CREDIT ŞI AL INSTITUŢIILOR</w:t>
            </w:r>
          </w:p>
          <w:p w14:paraId="117213DE" w14:textId="16303395"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bCs/>
              </w:rPr>
              <w:t xml:space="preserve">FINANCIARE DIN ALTE STATE MEMBRE </w:t>
            </w:r>
          </w:p>
          <w:p w14:paraId="131FED6F" w14:textId="2452A434"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101015E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(12) Înfiinţarea și supravegherea sucursalelor instituțiilor de credit din alte state membre se face în conformitate cu prezentul capitol și art. 38, art. 39 și art. 99 alin. (1), (1</w:t>
            </w:r>
            <w:r w:rsidRPr="005D6998">
              <w:rPr>
                <w:rFonts w:ascii="Times New Roman" w:hAnsi="Times New Roman"/>
                <w:vertAlign w:val="superscript"/>
              </w:rPr>
              <w:t>1</w:t>
            </w:r>
            <w:r w:rsidRPr="005D6998">
              <w:rPr>
                <w:rFonts w:ascii="Times New Roman" w:hAnsi="Times New Roman"/>
              </w:rPr>
              <w:t>) și (1</w:t>
            </w:r>
            <w:r w:rsidRPr="005D6998">
              <w:rPr>
                <w:rFonts w:ascii="Times New Roman" w:hAnsi="Times New Roman"/>
                <w:vertAlign w:val="superscript"/>
              </w:rPr>
              <w:t>3</w:t>
            </w:r>
            <w:r w:rsidRPr="005D6998">
              <w:rPr>
                <w:rFonts w:ascii="Times New Roman" w:hAnsi="Times New Roman"/>
              </w:rPr>
              <w:t xml:space="preserve">). </w:t>
            </w:r>
          </w:p>
          <w:p w14:paraId="0B6D155E" w14:textId="419DD9F3" w:rsidR="00513EDC" w:rsidRPr="005D6998" w:rsidRDefault="00513EDC" w:rsidP="00513EDC">
            <w:pPr>
              <w:spacing w:after="0" w:line="240" w:lineRule="auto"/>
              <w:jc w:val="both"/>
              <w:rPr>
                <w:rFonts w:ascii="Times New Roman" w:hAnsi="Times New Roman"/>
                <w:i/>
                <w:color w:val="0F9ED5" w:themeColor="accent4"/>
              </w:rPr>
            </w:pPr>
            <w:r w:rsidRPr="005D6998">
              <w:rPr>
                <w:rFonts w:ascii="Times New Roman" w:hAnsi="Times New Roman"/>
              </w:rPr>
              <w:t>[…]</w:t>
            </w:r>
          </w:p>
        </w:tc>
        <w:tc>
          <w:tcPr>
            <w:tcW w:w="1559" w:type="dxa"/>
            <w:gridSpan w:val="3"/>
            <w:shd w:val="clear" w:color="auto" w:fill="FFFFFF"/>
          </w:tcPr>
          <w:p w14:paraId="4D9988A1"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161B6B79"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2D96C1F" w14:textId="5C9DD945"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1A15CB37" w14:textId="1BF56FF5"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549A17C" w14:textId="77777777" w:rsidR="00513EDC" w:rsidRPr="005D6998" w:rsidRDefault="00513EDC" w:rsidP="00513EDC">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Se recomandă verificarea corelării trimiterii la art. 99 alin. (1</w:t>
            </w:r>
            <w:r w:rsidRPr="005D6998">
              <w:rPr>
                <w:rFonts w:ascii="Times New Roman" w:eastAsia="Calibri" w:hAnsi="Times New Roman"/>
                <w:bCs/>
                <w:vertAlign w:val="superscript"/>
                <w:lang w:eastAsia="en-US"/>
              </w:rPr>
              <w:t>1</w:t>
            </w:r>
            <w:r w:rsidRPr="005D6998">
              <w:rPr>
                <w:rFonts w:ascii="Times New Roman" w:eastAsia="Calibri" w:hAnsi="Times New Roman"/>
                <w:bCs/>
                <w:lang w:eastAsia="en-US"/>
              </w:rPr>
              <w:t>) și (1</w:t>
            </w:r>
            <w:r w:rsidRPr="005D6998">
              <w:rPr>
                <w:rFonts w:ascii="Times New Roman" w:eastAsia="Calibri" w:hAnsi="Times New Roman"/>
                <w:bCs/>
                <w:vertAlign w:val="superscript"/>
                <w:lang w:eastAsia="en-US"/>
              </w:rPr>
              <w:t>3</w:t>
            </w:r>
            <w:r w:rsidRPr="005D6998">
              <w:rPr>
                <w:rFonts w:ascii="Times New Roman" w:eastAsia="Calibri" w:hAnsi="Times New Roman"/>
                <w:bCs/>
                <w:lang w:eastAsia="en-US"/>
              </w:rPr>
              <w:t>) din articolul 23</w:t>
            </w:r>
            <w:r w:rsidRPr="005D6998">
              <w:rPr>
                <w:rFonts w:ascii="Times New Roman" w:eastAsia="Calibri" w:hAnsi="Times New Roman"/>
                <w:bCs/>
                <w:vertAlign w:val="superscript"/>
                <w:lang w:eastAsia="en-US"/>
              </w:rPr>
              <w:t>2</w:t>
            </w:r>
            <w:r w:rsidRPr="005D6998">
              <w:rPr>
                <w:rFonts w:ascii="Times New Roman" w:eastAsia="Calibri" w:hAnsi="Times New Roman"/>
                <w:bCs/>
                <w:lang w:eastAsia="en-US"/>
              </w:rPr>
              <w:t xml:space="preserve"> alin. (12) propus, având în vedere că art. 23</w:t>
            </w:r>
            <w:r w:rsidRPr="005D6998">
              <w:rPr>
                <w:rFonts w:ascii="Times New Roman" w:eastAsia="Calibri" w:hAnsi="Times New Roman"/>
                <w:bCs/>
                <w:vertAlign w:val="superscript"/>
                <w:lang w:eastAsia="en-US"/>
              </w:rPr>
              <w:t>2</w:t>
            </w:r>
            <w:r w:rsidRPr="005D6998">
              <w:rPr>
                <w:rFonts w:ascii="Times New Roman" w:eastAsia="Calibri" w:hAnsi="Times New Roman"/>
                <w:bCs/>
                <w:lang w:eastAsia="en-US"/>
              </w:rPr>
              <w:t xml:space="preserve"> intră în vigoare la data aderării Republicii Moldova la UE, în timp ce art. 99 alin. (1</w:t>
            </w:r>
            <w:r w:rsidRPr="005D6998">
              <w:rPr>
                <w:rFonts w:ascii="Times New Roman" w:eastAsia="Calibri" w:hAnsi="Times New Roman"/>
                <w:bCs/>
                <w:vertAlign w:val="superscript"/>
                <w:lang w:eastAsia="en-US"/>
              </w:rPr>
              <w:t>1</w:t>
            </w:r>
            <w:r w:rsidRPr="005D6998">
              <w:rPr>
                <w:rFonts w:ascii="Times New Roman" w:eastAsia="Calibri" w:hAnsi="Times New Roman"/>
                <w:bCs/>
                <w:lang w:eastAsia="en-US"/>
              </w:rPr>
              <w:t>) și (1</w:t>
            </w:r>
            <w:r w:rsidRPr="005D6998">
              <w:rPr>
                <w:rFonts w:ascii="Times New Roman" w:eastAsia="Calibri" w:hAnsi="Times New Roman"/>
                <w:bCs/>
                <w:vertAlign w:val="superscript"/>
                <w:lang w:eastAsia="en-US"/>
              </w:rPr>
              <w:t>3</w:t>
            </w:r>
            <w:r w:rsidRPr="005D6998">
              <w:rPr>
                <w:rFonts w:ascii="Times New Roman" w:eastAsia="Calibri" w:hAnsi="Times New Roman"/>
                <w:bCs/>
                <w:lang w:eastAsia="en-US"/>
              </w:rPr>
              <w:t xml:space="preserve">) intră în vigoare la 5 ani de la data aderării. În forma propusă, norma face trimitere la dispoziții care nu vor fi încă aplicabile la momentul intrării sale în vigoare. </w:t>
            </w:r>
          </w:p>
          <w:p w14:paraId="50669218" w14:textId="77777777" w:rsidR="00513EDC" w:rsidRPr="005D6998" w:rsidRDefault="00513EDC" w:rsidP="00513EDC">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p>
          <w:p w14:paraId="5121AA76" w14:textId="7753440D" w:rsidR="00513EDC" w:rsidRPr="005D6998" w:rsidRDefault="00513EDC" w:rsidP="00513EDC">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Această necorelare poate genera dificultăți de aplicare a normei în perioada tranzitorie.</w:t>
            </w:r>
          </w:p>
        </w:tc>
        <w:tc>
          <w:tcPr>
            <w:tcW w:w="5012" w:type="dxa"/>
            <w:gridSpan w:val="3"/>
            <w:shd w:val="clear" w:color="auto" w:fill="FFFFFF"/>
          </w:tcPr>
          <w:p w14:paraId="56DB3FA3" w14:textId="337EC2FF"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 parțial.</w:t>
            </w:r>
          </w:p>
          <w:p w14:paraId="09A43297" w14:textId="356D8031"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Conform Art. </w:t>
            </w:r>
            <w:r w:rsidR="00663664" w:rsidRPr="005D6998">
              <w:rPr>
                <w:rFonts w:ascii="Times New Roman" w:hAnsi="Times New Roman"/>
              </w:rPr>
              <w:t>I</w:t>
            </w:r>
            <w:r w:rsidRPr="005D6998">
              <w:rPr>
                <w:rFonts w:ascii="Times New Roman" w:hAnsi="Times New Roman"/>
              </w:rPr>
              <w:t>V alin. (2) lit. b) din proiect, pct. 22 prin care Titlul II al Legii nr. 202/2017 se completează cu capitolul 2</w:t>
            </w:r>
            <w:r w:rsidRPr="005D6998">
              <w:rPr>
                <w:rFonts w:ascii="Times New Roman" w:hAnsi="Times New Roman"/>
                <w:vertAlign w:val="superscript"/>
              </w:rPr>
              <w:t>1</w:t>
            </w:r>
            <w:r w:rsidRPr="005D6998">
              <w:rPr>
                <w:rFonts w:ascii="Times New Roman" w:hAnsi="Times New Roman"/>
              </w:rPr>
              <w:t xml:space="preserve"> (art. 23</w:t>
            </w:r>
            <w:r w:rsidRPr="005D6998">
              <w:rPr>
                <w:rFonts w:ascii="Times New Roman" w:hAnsi="Times New Roman"/>
                <w:vertAlign w:val="superscript"/>
              </w:rPr>
              <w:t>2</w:t>
            </w:r>
            <w:r w:rsidRPr="005D6998">
              <w:rPr>
                <w:rFonts w:ascii="Times New Roman" w:hAnsi="Times New Roman"/>
              </w:rPr>
              <w:t>-23</w:t>
            </w:r>
            <w:r w:rsidRPr="005D6998">
              <w:rPr>
                <w:rFonts w:ascii="Times New Roman" w:hAnsi="Times New Roman"/>
                <w:vertAlign w:val="superscript"/>
              </w:rPr>
              <w:t>5</w:t>
            </w:r>
            <w:r w:rsidRPr="005D6998">
              <w:rPr>
                <w:rFonts w:ascii="Times New Roman" w:hAnsi="Times New Roman"/>
              </w:rPr>
              <w:t>) va intra în vigoare în termen de 5 ani de la data intrării în vigoare a Tratatului de aderare a Republicii Moldova la Uniunea Europeană (dar nu la data aderării).</w:t>
            </w:r>
          </w:p>
          <w:p w14:paraId="7E05A832"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672E3F86" w14:textId="77A85B61"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Se menționează că proiectul prevede în Art. </w:t>
            </w:r>
            <w:r w:rsidR="00663664" w:rsidRPr="005D6998">
              <w:rPr>
                <w:rFonts w:ascii="Times New Roman" w:hAnsi="Times New Roman"/>
              </w:rPr>
              <w:t>I</w:t>
            </w:r>
            <w:r w:rsidRPr="005D6998">
              <w:rPr>
                <w:rFonts w:ascii="Times New Roman" w:hAnsi="Times New Roman"/>
              </w:rPr>
              <w:t>V Dispoziții finale lit. a) intrarea în vigoare a pct. 75 în partea care se referă la modificările alin. (1) din art. 99 în ceea ce privește “state terțe”. Cu alte cuvinte, la data aderării vor intra în vigoare modificările art. 99 în partea care se referă la statele terțe, în afară de titlul articolului.</w:t>
            </w:r>
          </w:p>
          <w:p w14:paraId="5038E3CE" w14:textId="09A65340" w:rsidR="00513EDC" w:rsidRPr="005D6998" w:rsidRDefault="00513EDC" w:rsidP="00513EDC">
            <w:pPr>
              <w:tabs>
                <w:tab w:val="left" w:pos="884"/>
                <w:tab w:val="left" w:pos="1196"/>
              </w:tabs>
              <w:spacing w:after="0" w:line="240" w:lineRule="auto"/>
              <w:jc w:val="both"/>
              <w:rPr>
                <w:rFonts w:ascii="Times New Roman" w:hAnsi="Times New Roman"/>
                <w:lang w:val="it-CH"/>
              </w:rPr>
            </w:pPr>
            <w:r w:rsidRPr="005D6998">
              <w:rPr>
                <w:rFonts w:ascii="Times New Roman" w:hAnsi="Times New Roman"/>
              </w:rPr>
              <w:t xml:space="preserve">În consecință, se completează lit. a) a Art. </w:t>
            </w:r>
            <w:r w:rsidR="00663664" w:rsidRPr="005D6998">
              <w:rPr>
                <w:rFonts w:ascii="Times New Roman" w:hAnsi="Times New Roman"/>
              </w:rPr>
              <w:t>I</w:t>
            </w:r>
            <w:r w:rsidRPr="005D6998">
              <w:rPr>
                <w:rFonts w:ascii="Times New Roman" w:hAnsi="Times New Roman"/>
              </w:rPr>
              <w:t xml:space="preserve">V alin. (2) în ceea ce privește pct. 75 din proiect cu textul </w:t>
            </w:r>
            <w:r w:rsidRPr="005D6998">
              <w:rPr>
                <w:rFonts w:ascii="Times New Roman" w:hAnsi="Times New Roman"/>
                <w:lang w:val="it-CH"/>
              </w:rPr>
              <w:t>“</w:t>
            </w:r>
            <w:r w:rsidRPr="005D6998">
              <w:rPr>
                <w:rFonts w:ascii="Times New Roman" w:hAnsi="Times New Roman"/>
              </w:rPr>
              <w:t xml:space="preserve">în partea care se referă la modificarea titlului art. 99 referitoare la </w:t>
            </w:r>
            <w:r w:rsidRPr="005D6998">
              <w:rPr>
                <w:rFonts w:ascii="Times New Roman" w:hAnsi="Times New Roman"/>
                <w:lang w:val="it-CH"/>
              </w:rPr>
              <w:t>“</w:t>
            </w:r>
            <w:r w:rsidRPr="005D6998">
              <w:rPr>
                <w:rFonts w:ascii="Times New Roman" w:hAnsi="Times New Roman"/>
              </w:rPr>
              <w:t>statele terțe</w:t>
            </w:r>
            <w:r w:rsidRPr="005D6998">
              <w:rPr>
                <w:rFonts w:ascii="Times New Roman" w:hAnsi="Times New Roman"/>
                <w:lang w:val="it-CH"/>
              </w:rPr>
              <w:t>”.</w:t>
            </w:r>
          </w:p>
          <w:p w14:paraId="5CFC62AB" w14:textId="77777777" w:rsidR="00513EDC" w:rsidRPr="005D6998" w:rsidRDefault="00513EDC" w:rsidP="00513EDC">
            <w:pPr>
              <w:tabs>
                <w:tab w:val="left" w:pos="884"/>
                <w:tab w:val="left" w:pos="1196"/>
              </w:tabs>
              <w:spacing w:after="0" w:line="240" w:lineRule="auto"/>
              <w:jc w:val="both"/>
              <w:rPr>
                <w:rFonts w:ascii="Times New Roman" w:hAnsi="Times New Roman"/>
                <w:lang w:val="it-CH"/>
              </w:rPr>
            </w:pPr>
          </w:p>
          <w:p w14:paraId="6CC34519" w14:textId="17AE6B92"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lang w:val="it-CH"/>
              </w:rPr>
              <w:t xml:space="preserve">În ceea ce privește sucursaele instituțiilor de credit deschise în statele membre, proiectul prevede la Art. </w:t>
            </w:r>
            <w:r w:rsidR="00663664" w:rsidRPr="005D6998">
              <w:rPr>
                <w:rFonts w:ascii="Times New Roman" w:hAnsi="Times New Roman"/>
                <w:lang w:val="it-CH"/>
              </w:rPr>
              <w:t>I</w:t>
            </w:r>
            <w:r w:rsidRPr="005D6998">
              <w:rPr>
                <w:rFonts w:ascii="Times New Roman" w:hAnsi="Times New Roman"/>
                <w:lang w:val="it-CH"/>
              </w:rPr>
              <w:t xml:space="preserve">V, alin. (2) lit b) că </w:t>
            </w:r>
            <w:r w:rsidRPr="005D6998">
              <w:rPr>
                <w:rFonts w:ascii="Times New Roman" w:hAnsi="Times New Roman"/>
              </w:rPr>
              <w:t>pct. 75, în partea care se referă la modificarea titlului art. 99, la modificările alin. (1) din art. 99, care se referă la statele membre sau state terțe, precum și la completarea cu alin. (1</w:t>
            </w:r>
            <w:r w:rsidRPr="005D6998">
              <w:rPr>
                <w:rFonts w:ascii="Times New Roman" w:hAnsi="Times New Roman"/>
                <w:vertAlign w:val="superscript"/>
              </w:rPr>
              <w:t>1</w:t>
            </w:r>
            <w:r w:rsidRPr="005D6998">
              <w:rPr>
                <w:rFonts w:ascii="Times New Roman" w:hAnsi="Times New Roman"/>
              </w:rPr>
              <w:t>)-(1</w:t>
            </w:r>
            <w:r w:rsidRPr="005D6998">
              <w:rPr>
                <w:rFonts w:ascii="Times New Roman" w:hAnsi="Times New Roman"/>
                <w:vertAlign w:val="superscript"/>
              </w:rPr>
              <w:t>3</w:t>
            </w:r>
            <w:r w:rsidRPr="005D6998">
              <w:rPr>
                <w:rFonts w:ascii="Times New Roman" w:hAnsi="Times New Roman"/>
              </w:rPr>
              <w:t xml:space="preserve">) din art. 99. </w:t>
            </w:r>
          </w:p>
          <w:p w14:paraId="363734B4" w14:textId="4E6DBB74"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Respectiv, se redactează lit. b) după cum urmează:</w:t>
            </w:r>
          </w:p>
          <w:p w14:paraId="13955486" w14:textId="1321B0C5" w:rsidR="00513EDC" w:rsidRPr="005D6998" w:rsidRDefault="00513EDC" w:rsidP="00513EDC">
            <w:pPr>
              <w:tabs>
                <w:tab w:val="left" w:pos="884"/>
                <w:tab w:val="left" w:pos="1196"/>
              </w:tabs>
              <w:spacing w:after="0" w:line="240" w:lineRule="auto"/>
              <w:jc w:val="both"/>
              <w:rPr>
                <w:rFonts w:ascii="Times New Roman" w:hAnsi="Times New Roman"/>
                <w:lang w:val="it-CH"/>
              </w:rPr>
            </w:pPr>
            <w:r w:rsidRPr="005D6998">
              <w:rPr>
                <w:rFonts w:ascii="Times New Roman" w:hAnsi="Times New Roman"/>
                <w:lang w:val="it-CH"/>
              </w:rPr>
              <w:t>“</w:t>
            </w:r>
            <w:r w:rsidRPr="005D6998">
              <w:rPr>
                <w:rFonts w:ascii="Times New Roman" w:hAnsi="Times New Roman"/>
              </w:rPr>
              <w:t>în termen de 5 ani de la data intrării în vigoare a Tratatului de aderare a Republicii Moldova la Uniunea Europeană – [...] pct. 75, în partea care se referă la modificarea titlului art. 99 referitoare la statele membre, la modificările alin. (1) din art. 99 care se referă la statele membre, precum și la completarea cu alin. (1</w:t>
            </w:r>
            <w:r w:rsidRPr="005D6998">
              <w:rPr>
                <w:rFonts w:ascii="Times New Roman" w:hAnsi="Times New Roman"/>
                <w:vertAlign w:val="superscript"/>
              </w:rPr>
              <w:t>1</w:t>
            </w:r>
            <w:r w:rsidRPr="005D6998">
              <w:rPr>
                <w:rFonts w:ascii="Times New Roman" w:hAnsi="Times New Roman"/>
              </w:rPr>
              <w:t>)-(1</w:t>
            </w:r>
            <w:r w:rsidRPr="005D6998">
              <w:rPr>
                <w:rFonts w:ascii="Times New Roman" w:hAnsi="Times New Roman"/>
                <w:vertAlign w:val="superscript"/>
              </w:rPr>
              <w:t>3</w:t>
            </w:r>
            <w:r w:rsidRPr="005D6998">
              <w:rPr>
                <w:rFonts w:ascii="Times New Roman" w:hAnsi="Times New Roman"/>
              </w:rPr>
              <w:t>) din art. 99[...].</w:t>
            </w:r>
          </w:p>
        </w:tc>
      </w:tr>
      <w:tr w:rsidR="00513EDC" w:rsidRPr="005D6998" w14:paraId="75955A29" w14:textId="77777777" w:rsidTr="00651F58">
        <w:trPr>
          <w:gridAfter w:val="1"/>
          <w:wAfter w:w="10" w:type="dxa"/>
          <w:trHeight w:val="105"/>
        </w:trPr>
        <w:tc>
          <w:tcPr>
            <w:tcW w:w="899" w:type="dxa"/>
            <w:gridSpan w:val="3"/>
            <w:shd w:val="clear" w:color="auto" w:fill="FFFFFF"/>
          </w:tcPr>
          <w:p w14:paraId="1BE5EA6D"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BC92F19" w14:textId="77777777" w:rsidR="00513EDC" w:rsidRPr="005D6998" w:rsidRDefault="00513EDC" w:rsidP="00513EDC">
            <w:pPr>
              <w:spacing w:after="0" w:line="240" w:lineRule="auto"/>
              <w:jc w:val="both"/>
              <w:rPr>
                <w:rFonts w:ascii="Times New Roman" w:hAnsi="Times New Roman"/>
                <w:b/>
                <w:bCs/>
              </w:rPr>
            </w:pPr>
            <w:bookmarkStart w:id="5" w:name="_Hlk215480271"/>
            <w:r w:rsidRPr="005D6998">
              <w:rPr>
                <w:rFonts w:ascii="Times New Roman" w:hAnsi="Times New Roman"/>
                <w:b/>
              </w:rPr>
              <w:t>Articolul 23</w:t>
            </w:r>
            <w:r w:rsidRPr="005D6998">
              <w:rPr>
                <w:rFonts w:ascii="Times New Roman" w:hAnsi="Times New Roman"/>
                <w:b/>
                <w:vertAlign w:val="superscript"/>
              </w:rPr>
              <w:t>3</w:t>
            </w:r>
            <w:r w:rsidRPr="005D6998">
              <w:rPr>
                <w:rFonts w:ascii="Times New Roman" w:hAnsi="Times New Roman"/>
                <w:b/>
              </w:rPr>
              <w:t>.</w:t>
            </w:r>
            <w:r w:rsidRPr="005D6998">
              <w:rPr>
                <w:rFonts w:ascii="Times New Roman" w:hAnsi="Times New Roman"/>
                <w:b/>
                <w:bCs/>
              </w:rPr>
              <w:t xml:space="preserve"> </w:t>
            </w:r>
            <w:r w:rsidRPr="005D6998">
              <w:rPr>
                <w:rFonts w:ascii="Times New Roman" w:hAnsi="Times New Roman"/>
              </w:rPr>
              <w:t>Cerințe de raportare pentru instituțiile de credit din statele membre care își desfășoară activitatea pe teritoriul Republicii Moldova</w:t>
            </w:r>
            <w:r w:rsidRPr="005D6998">
              <w:rPr>
                <w:rFonts w:ascii="Times New Roman" w:hAnsi="Times New Roman"/>
                <w:b/>
                <w:bCs/>
                <w:color w:val="FF0000"/>
              </w:rPr>
              <w:t xml:space="preserve"> </w:t>
            </w:r>
          </w:p>
          <w:bookmarkEnd w:id="5"/>
          <w:p w14:paraId="5E5F285E" w14:textId="6582C3D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(1) Instituțiile de credit din statele membre care au înființat o sucursală pe teritoriul Republicii Moldova transmit periodic rapoarte Băncii Naționale a Moldovei în scop statistic sau informativ ori în scopuri de întreprindere a măsurilor necesare pentru realizarea supravegherii de către autoritatea competentă din statul membru de origine, date şi informaţii privind activităţile desfăşurate în Republica Moldova, potrivit actelor normative emise în aplicarea prezentei legi. </w:t>
            </w:r>
          </w:p>
        </w:tc>
        <w:tc>
          <w:tcPr>
            <w:tcW w:w="1559" w:type="dxa"/>
            <w:gridSpan w:val="3"/>
            <w:shd w:val="clear" w:color="auto" w:fill="FFFFFF"/>
          </w:tcPr>
          <w:p w14:paraId="476B3E1E"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783ADFA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39C9703" w14:textId="0ED1851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295A010B" w14:textId="31D4D2AF"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CE6CA40" w14:textId="39C90A5C" w:rsidR="00513EDC" w:rsidRPr="005D6998" w:rsidRDefault="00513EDC" w:rsidP="00513EDC">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Se consideră necesară, în privința art. 23</w:t>
            </w:r>
            <w:r w:rsidRPr="005D6998">
              <w:rPr>
                <w:rFonts w:ascii="Times New Roman" w:eastAsia="Calibri" w:hAnsi="Times New Roman"/>
                <w:bCs/>
                <w:vertAlign w:val="superscript"/>
                <w:lang w:eastAsia="en-US"/>
              </w:rPr>
              <w:t>3</w:t>
            </w:r>
            <w:r w:rsidRPr="005D6998">
              <w:rPr>
                <w:rFonts w:ascii="Times New Roman" w:eastAsia="Calibri" w:hAnsi="Times New Roman"/>
                <w:bCs/>
                <w:lang w:eastAsia="en-US"/>
              </w:rPr>
              <w:t xml:space="preserve"> alin. (1), evaluarea oportunității extinderii scopurilor pentru care BNM poate solicita raportări de la instituțiile de credit din statele membre, inclusiv pentru exercitarea atribuțiilor sale prevăzute de prezenta lege.</w:t>
            </w:r>
          </w:p>
        </w:tc>
        <w:tc>
          <w:tcPr>
            <w:tcW w:w="5012" w:type="dxa"/>
            <w:gridSpan w:val="3"/>
            <w:shd w:val="clear" w:color="auto" w:fill="FFFFFF"/>
          </w:tcPr>
          <w:p w14:paraId="37D08B60"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775C4E32" w14:textId="0ED4DFB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Art. 23</w:t>
            </w:r>
            <w:r w:rsidRPr="005D6998">
              <w:rPr>
                <w:rFonts w:ascii="Times New Roman" w:hAnsi="Times New Roman"/>
                <w:vertAlign w:val="superscript"/>
                <w:lang w:val="ro-MD"/>
              </w:rPr>
              <w:t>3</w:t>
            </w:r>
            <w:r w:rsidRPr="005D6998">
              <w:rPr>
                <w:rFonts w:ascii="Times New Roman" w:hAnsi="Times New Roman"/>
                <w:lang w:val="ro-MD"/>
              </w:rPr>
              <w:t xml:space="preserve"> reprezintă o transpunere a art. 40 din Directiva 2013/36/UE, care stabilește în mod expres scopurile pentru care autoritatea competentă din statul membru gazdă poate solicita rapoarte de la instituțiile de credit care desfășoară activitate prin intermediul unei sucursale pe teritoriul său.</w:t>
            </w:r>
          </w:p>
          <w:p w14:paraId="08B7E9B3" w14:textId="69B241FC"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Având în vedere principiul pașaportului unic și repartizarea competențelor de supraveghere prevăzute de Directivă, responsabilitatea principală pentru supravegherea prudențială revine autorității competente din statul membru de origine. </w:t>
            </w:r>
          </w:p>
          <w:p w14:paraId="24266579" w14:textId="567FA8C2"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În acest context, BNM, în calitate de autoritate competentă din statul membru gazdă, nu exercită atribuții de supraveghere prudențială asupra sucursalei unei instituții de credit autorizate într-un alt stat membru.</w:t>
            </w:r>
          </w:p>
          <w:p w14:paraId="5ABC9AE0"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700FA54D"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Extinderea temeiurilor de solicitare a raportărilor prin introducerea formulării generale „pentru exercitarea atribuțiilor sale prevăzute de prezenta lege” ar permite solicitarea unor informații în alte scopuri decât cele stabilite de art. 40 din Directivă și ar putea conduce la </w:t>
            </w:r>
            <w:r w:rsidRPr="005D6998">
              <w:rPr>
                <w:rFonts w:ascii="Times New Roman" w:hAnsi="Times New Roman"/>
                <w:lang w:val="ro-MD"/>
              </w:rPr>
              <w:lastRenderedPageBreak/>
              <w:t>impunerea unor obligații suplimentare instituțiilor de credit din alte state membre.</w:t>
            </w:r>
          </w:p>
          <w:p w14:paraId="23456CB7" w14:textId="05F48E90"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Totodată, ultima teză a art. 40 din Directivă prevede că informațiile solicitate de autoritatea din statul membru gazdă sunt destinate inclusiv evaluării caracterului semnificativ al sucursalei, ceea ce confirmă că mecanismul instituit urmărește facilitarea cooperării între autorități, și nu extinderea competențelor de supraveghere ale autorității gazdă.</w:t>
            </w:r>
          </w:p>
          <w:p w14:paraId="37F9C6E9"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Această abordare este susținută , de exemplu, și de Ghidul EBA privind supravegherea sucursalelor semnificative (</w:t>
            </w:r>
            <w:hyperlink r:id="rId11" w:history="1">
              <w:r w:rsidRPr="005D6998">
                <w:rPr>
                  <w:rStyle w:val="afb"/>
                  <w:rFonts w:ascii="Times New Roman" w:hAnsi="Times New Roman"/>
                  <w:lang w:val="ro-MD"/>
                </w:rPr>
                <w:t>EBA/GL/2017/14</w:t>
              </w:r>
            </w:hyperlink>
            <w:r w:rsidRPr="005D6998">
              <w:rPr>
                <w:rFonts w:ascii="Times New Roman" w:hAnsi="Times New Roman"/>
                <w:lang w:val="ro-MD"/>
              </w:rPr>
              <w:t>).Prin respectivul Ghid se urmărește facilitarea cooperării și coordonării între autoritățile competente implicate în supravegherea sucursalelor instituțiilor de credit din alte state membre, fără a modifica repartizarea competențelor stabilită de CRD între autoritatea din statul membru de origine și cea din statul membru gazdă.</w:t>
            </w:r>
          </w:p>
          <w:p w14:paraId="3CE9EF7D" w14:textId="4BA87299"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Prin urmare, necesitățile de informații ale BNM, în calitate de autoritate din statul membru gazdă trebuie soluționate prin mecanisme de cooperare și schimb de informații între autorități, dar nu prin extinderea scopurilor de raportare.</w:t>
            </w:r>
          </w:p>
        </w:tc>
      </w:tr>
      <w:tr w:rsidR="00513EDC" w:rsidRPr="005D6998" w14:paraId="5A990D77" w14:textId="77777777" w:rsidTr="00651F58">
        <w:trPr>
          <w:gridAfter w:val="1"/>
          <w:wAfter w:w="10" w:type="dxa"/>
          <w:trHeight w:val="105"/>
        </w:trPr>
        <w:tc>
          <w:tcPr>
            <w:tcW w:w="899" w:type="dxa"/>
            <w:gridSpan w:val="3"/>
            <w:shd w:val="clear" w:color="auto" w:fill="FFFFFF"/>
          </w:tcPr>
          <w:p w14:paraId="4C2D1E4F"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8C82435" w14:textId="73121A4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546856BF" w14:textId="303412F6"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rPr>
              <w:t>Articolul 23</w:t>
            </w:r>
            <w:r w:rsidRPr="005D6998">
              <w:rPr>
                <w:rFonts w:ascii="Times New Roman" w:hAnsi="Times New Roman"/>
                <w:b/>
                <w:vertAlign w:val="superscript"/>
              </w:rPr>
              <w:t>4</w:t>
            </w:r>
            <w:r w:rsidRPr="005D6998">
              <w:rPr>
                <w:rFonts w:ascii="Times New Roman" w:hAnsi="Times New Roman"/>
                <w:b/>
              </w:rPr>
              <w:t>.</w:t>
            </w:r>
            <w:r w:rsidRPr="005D6998">
              <w:rPr>
                <w:rFonts w:ascii="Times New Roman" w:hAnsi="Times New Roman"/>
                <w:b/>
                <w:bCs/>
              </w:rPr>
              <w:t xml:space="preserve"> </w:t>
            </w:r>
            <w:r w:rsidRPr="005D6998">
              <w:rPr>
                <w:rFonts w:ascii="Times New Roman" w:hAnsi="Times New Roman"/>
              </w:rPr>
              <w:t>Măsurile luate de Banca Națională a Moldovei cu privire la activitatea instituțiilor de credit din statele membre care își desfășoară activitatea pe teritoriul Republicii Moldova</w:t>
            </w:r>
            <w:r w:rsidRPr="005D6998">
              <w:rPr>
                <w:rFonts w:ascii="Times New Roman" w:hAnsi="Times New Roman"/>
                <w:b/>
                <w:bCs/>
              </w:rPr>
              <w:t xml:space="preserve"> </w:t>
            </w:r>
          </w:p>
          <w:p w14:paraId="555A2F6F" w14:textId="407DCDDD"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bCs/>
              </w:rPr>
              <w:t>[…]</w:t>
            </w:r>
          </w:p>
          <w:p w14:paraId="79F09C61" w14:textId="3FCE1EA1"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rPr>
              <w:t>(2)</w:t>
            </w:r>
            <w:r w:rsidRPr="005D6998">
              <w:rPr>
                <w:rFonts w:ascii="Times New Roman" w:hAnsi="Times New Roman"/>
                <w:b/>
                <w:bCs/>
              </w:rPr>
              <w:t xml:space="preserve"> Banca Națională a Moldovei poate să sesizeze Autoritatea Bancară Europeană pentru a solicita asistență,</w:t>
            </w:r>
            <w:r w:rsidRPr="005D6998">
              <w:rPr>
                <w:rFonts w:ascii="Times New Roman" w:hAnsi="Times New Roman"/>
              </w:rPr>
              <w:t xml:space="preserve"> în cazul în care consideră că autoritatea competentă din statul membru de origine a instituției de </w:t>
            </w:r>
            <w:r w:rsidRPr="005D6998">
              <w:rPr>
                <w:rFonts w:ascii="Times New Roman" w:hAnsi="Times New Roman"/>
              </w:rPr>
              <w:lastRenderedPageBreak/>
              <w:t xml:space="preserve">credit care își desfășoară activitatea pe teritoriul Republicii Moldova nu și-a îndeplinit obligațiile de luare măsurilor menționate la alin. (1). </w:t>
            </w:r>
          </w:p>
        </w:tc>
        <w:tc>
          <w:tcPr>
            <w:tcW w:w="1559" w:type="dxa"/>
            <w:gridSpan w:val="3"/>
            <w:shd w:val="clear" w:color="auto" w:fill="FFFFFF"/>
          </w:tcPr>
          <w:p w14:paraId="3DCEEF1B"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46B7BF7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EAC33B8" w14:textId="4A55AE42"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4F48E4B2" w14:textId="4CA364C1"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977A312" w14:textId="689D2FAA" w:rsidR="00513EDC" w:rsidRPr="005D6998" w:rsidRDefault="00513EDC" w:rsidP="00513EDC">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 xml:space="preserve">Se propune reevaluarea momentului intrării în vigoare a acestei prevederi și corelarea acestuia cu regimul aplicabil celorlalte dispoziții privind cooperarea cu ABE/Comisia Europeană. </w:t>
            </w:r>
          </w:p>
          <w:p w14:paraId="3DB7CCD2" w14:textId="51F0F09F" w:rsidR="00513EDC" w:rsidRPr="005D6998" w:rsidRDefault="00513EDC" w:rsidP="00513EDC">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Alternativ, se recomandă clarificarea expresă a temeiului juridic și a cadrului instituțional în baza cărora se va realiza schimbul de informații cu Autoritatea Bancară Europeană înainte de aderarea Republicii Moldova la UE.</w:t>
            </w:r>
          </w:p>
          <w:p w14:paraId="120CCE0D" w14:textId="77777777" w:rsidR="00513EDC" w:rsidRPr="005D6998" w:rsidRDefault="00513EDC" w:rsidP="00513EDC">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p>
          <w:p w14:paraId="0A16DEB3" w14:textId="5FC77B60" w:rsidR="00513EDC" w:rsidRPr="005D6998" w:rsidRDefault="00513EDC" w:rsidP="00513EDC">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 xml:space="preserve">Aceste prevederi prevăd că BNM „consultă”, „solicită asistența” sau „depune eforturi, cu </w:t>
            </w:r>
            <w:r w:rsidRPr="005D6998">
              <w:rPr>
                <w:rFonts w:ascii="Times New Roman" w:eastAsia="Calibri" w:hAnsi="Times New Roman"/>
                <w:bCs/>
                <w:lang w:eastAsia="en-US"/>
              </w:rPr>
              <w:lastRenderedPageBreak/>
              <w:t>asistența” Autorității Bancare Europene, inclusiv în cadrul procedurilor de mediere obligatorie care, în dreptul UE, sunt reglementate de Regulamentul (UE) nr. 1093/2010 și au caracter obligatoriu între autoritățile competente din statele membre.</w:t>
            </w:r>
          </w:p>
          <w:p w14:paraId="5AD48382" w14:textId="77777777" w:rsidR="00513EDC" w:rsidRPr="005D6998" w:rsidRDefault="00513EDC" w:rsidP="00513EDC">
            <w:pPr>
              <w:spacing w:after="0" w:line="240" w:lineRule="auto"/>
              <w:jc w:val="both"/>
              <w:rPr>
                <w:rFonts w:ascii="Times New Roman" w:hAnsi="Times New Roman"/>
              </w:rPr>
            </w:pPr>
          </w:p>
          <w:p w14:paraId="3A7A6C1D" w14:textId="3CE0F984"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22ECDC9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7E970160"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48086B7E" w14:textId="5C9479AF" w:rsidR="00513EDC" w:rsidRPr="005D6998" w:rsidRDefault="00513EDC" w:rsidP="00513EDC">
            <w:pPr>
              <w:tabs>
                <w:tab w:val="left" w:pos="884"/>
                <w:tab w:val="left" w:pos="1196"/>
              </w:tabs>
              <w:spacing w:after="0" w:line="240" w:lineRule="auto"/>
              <w:jc w:val="both"/>
            </w:pPr>
            <w:r w:rsidRPr="005D6998">
              <w:rPr>
                <w:rFonts w:ascii="Times New Roman" w:hAnsi="Times New Roman"/>
              </w:rPr>
              <w:t xml:space="preserve">Conform Art. </w:t>
            </w:r>
            <w:r w:rsidR="00663664" w:rsidRPr="005D6998">
              <w:rPr>
                <w:rFonts w:ascii="Times New Roman" w:hAnsi="Times New Roman"/>
              </w:rPr>
              <w:t>I</w:t>
            </w:r>
            <w:r w:rsidRPr="005D6998">
              <w:rPr>
                <w:rFonts w:ascii="Times New Roman" w:hAnsi="Times New Roman"/>
              </w:rPr>
              <w:t>V alin. (2) lit. b) din proiect, pct. 22 prin care Titlul II al Legii nr. 202/2017 se completează cu capitolul 2</w:t>
            </w:r>
            <w:r w:rsidRPr="005D6998">
              <w:rPr>
                <w:rFonts w:ascii="Times New Roman" w:hAnsi="Times New Roman"/>
                <w:vertAlign w:val="superscript"/>
              </w:rPr>
              <w:t>1</w:t>
            </w:r>
            <w:r w:rsidRPr="005D6998">
              <w:rPr>
                <w:rFonts w:ascii="Times New Roman" w:hAnsi="Times New Roman"/>
              </w:rPr>
              <w:t xml:space="preserve"> (art. 23</w:t>
            </w:r>
            <w:r w:rsidRPr="005D6998">
              <w:rPr>
                <w:rFonts w:ascii="Times New Roman" w:hAnsi="Times New Roman"/>
                <w:vertAlign w:val="superscript"/>
              </w:rPr>
              <w:t>2</w:t>
            </w:r>
            <w:r w:rsidRPr="005D6998">
              <w:rPr>
                <w:rFonts w:ascii="Times New Roman" w:hAnsi="Times New Roman"/>
              </w:rPr>
              <w:t>-23</w:t>
            </w:r>
            <w:r w:rsidRPr="005D6998">
              <w:rPr>
                <w:rFonts w:ascii="Times New Roman" w:hAnsi="Times New Roman"/>
                <w:vertAlign w:val="superscript"/>
              </w:rPr>
              <w:t>5</w:t>
            </w:r>
            <w:r w:rsidRPr="005D6998">
              <w:rPr>
                <w:rFonts w:ascii="Times New Roman" w:hAnsi="Times New Roman"/>
              </w:rPr>
              <w:t>) va intra în vigoare în termen de 5 ani de la data intrării în vigoare a Tratatului de aderare a Republicii Moldova la Uniunea Europeană. Deci art. 23</w:t>
            </w:r>
            <w:r w:rsidRPr="005D6998">
              <w:rPr>
                <w:rFonts w:ascii="Times New Roman" w:hAnsi="Times New Roman"/>
                <w:vertAlign w:val="superscript"/>
              </w:rPr>
              <w:t>4</w:t>
            </w:r>
            <w:r w:rsidRPr="005D6998">
              <w:rPr>
                <w:rFonts w:ascii="Times New Roman" w:hAnsi="Times New Roman"/>
              </w:rPr>
              <w:t xml:space="preserve"> nu va fi aplicabil înainte de aderarea R. Moldova la UE.</w:t>
            </w:r>
            <w:r w:rsidRPr="005D6998">
              <w:t xml:space="preserve"> </w:t>
            </w:r>
          </w:p>
          <w:p w14:paraId="021CAD0D" w14:textId="48B0F734"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Art. 23</w:t>
            </w:r>
            <w:r w:rsidRPr="005D6998">
              <w:rPr>
                <w:rFonts w:ascii="Times New Roman" w:hAnsi="Times New Roman"/>
                <w:vertAlign w:val="superscript"/>
              </w:rPr>
              <w:t>4</w:t>
            </w:r>
            <w:r w:rsidRPr="005D6998">
              <w:rPr>
                <w:rFonts w:ascii="Times New Roman" w:hAnsi="Times New Roman"/>
              </w:rPr>
              <w:t xml:space="preserve"> alin. (2) reprezintă o transpunere a art. 41 din Directiva 2013/36/UE. Acesta reglementează cooperarea dintre autoritățile competente în contextul supravegherii sucursalelor instituțiilor de credit autorizate în alte state membre.</w:t>
            </w:r>
          </w:p>
          <w:p w14:paraId="21A6B625" w14:textId="6AB3800D"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lastRenderedPageBreak/>
              <w:t>Aceste mecanisme de cooperare presupun existența regimului de pașaport european.</w:t>
            </w:r>
          </w:p>
          <w:p w14:paraId="13A66949" w14:textId="45430EED"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Luând în considerare că, conform proiectului de lege care corespunde abordării din Poziția de Negociere, regimul de pașaport european va intra în vigoare în termen de 5 ani de la data aderării, instituțiile de credit din statele membre ale UE nu vor putea deschide sucursale pe teritoriul Republicii Moldova în temeiul mecanismelor europene de recunoaștere reciprocă a autorizației. În consecință, nu vor exista raporturile juridice și instituționale pentru care legislația UE impune consultarea, asistența sau intervenția ABE.</w:t>
            </w:r>
          </w:p>
          <w:p w14:paraId="05925A26" w14:textId="75075239"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Prin urmare, dispozițiile referitoare la cooperarea cu ABE în materia supravegherii sucursalelor instituțiilor de credit din alte state membre dobândesc relevanță practică numai odată cu integrarea Republicii Moldova în piața internă a Uniunii Europene și aplicarea efectivă a regimului de pașaport european, moment din care BNM va exercita atribuțiile specifice unei autorități competente a statului membru gazdă și va participa la mecanismele de cooperare prevăzute de dreptul Uniunii.</w:t>
            </w:r>
          </w:p>
        </w:tc>
      </w:tr>
      <w:tr w:rsidR="00513EDC" w:rsidRPr="005D6998" w14:paraId="4A139612" w14:textId="77777777" w:rsidTr="00651F58">
        <w:trPr>
          <w:gridAfter w:val="1"/>
          <w:wAfter w:w="10" w:type="dxa"/>
          <w:trHeight w:val="105"/>
        </w:trPr>
        <w:tc>
          <w:tcPr>
            <w:tcW w:w="899" w:type="dxa"/>
            <w:gridSpan w:val="3"/>
            <w:shd w:val="clear" w:color="auto" w:fill="FFFFFF"/>
          </w:tcPr>
          <w:p w14:paraId="0B0E181E"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7E4FA43" w14:textId="77777777" w:rsidR="00513EDC" w:rsidRPr="005D6998" w:rsidRDefault="00513EDC" w:rsidP="00513EDC">
            <w:pPr>
              <w:pStyle w:val="a7"/>
              <w:tabs>
                <w:tab w:val="left" w:pos="426"/>
              </w:tabs>
              <w:spacing w:after="0" w:line="240" w:lineRule="auto"/>
              <w:ind w:left="0"/>
              <w:jc w:val="both"/>
              <w:rPr>
                <w:rFonts w:ascii="Times New Roman" w:hAnsi="Times New Roman"/>
              </w:rPr>
            </w:pPr>
            <w:bookmarkStart w:id="6" w:name="_Hlk215480348"/>
            <w:r w:rsidRPr="005D6998">
              <w:rPr>
                <w:rFonts w:ascii="Times New Roman" w:hAnsi="Times New Roman"/>
                <w:b/>
              </w:rPr>
              <w:t>Articolul 23</w:t>
            </w:r>
            <w:r w:rsidRPr="005D6998">
              <w:rPr>
                <w:rFonts w:ascii="Times New Roman" w:hAnsi="Times New Roman"/>
                <w:b/>
                <w:vertAlign w:val="superscript"/>
              </w:rPr>
              <w:t>5</w:t>
            </w:r>
            <w:r w:rsidRPr="005D6998">
              <w:rPr>
                <w:rFonts w:ascii="Times New Roman" w:hAnsi="Times New Roman"/>
                <w:b/>
              </w:rPr>
              <w:t>.</w:t>
            </w:r>
            <w:r w:rsidRPr="005D6998">
              <w:rPr>
                <w:rFonts w:ascii="Times New Roman" w:hAnsi="Times New Roman"/>
                <w:b/>
                <w:bCs/>
              </w:rPr>
              <w:t xml:space="preserve"> </w:t>
            </w:r>
            <w:r w:rsidRPr="005D6998">
              <w:rPr>
                <w:rFonts w:ascii="Times New Roman" w:hAnsi="Times New Roman"/>
              </w:rPr>
              <w:t>Desfășurarea activității instituțiilor financiare din state membre pe teritoriul Republicii Moldova</w:t>
            </w:r>
            <w:bookmarkEnd w:id="6"/>
          </w:p>
          <w:p w14:paraId="157FC495" w14:textId="63128754"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36BFDFCF" w14:textId="70804D4D"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(3) În cazul în care Banca Naţională a Moldovei este informată de către autoritatea competentă din statul membru de origine cu privire la faptul că o instituţie financiară nu mai îndeplineşte oricare dintre condiţiile prevăzute la alin. (1), activităţile desfăşurate în Republica Moldova de respectiva instituţie financiară nu mai beneficiază de regimul prevăzut în prezentul articol, iar instituția </w:t>
            </w:r>
            <w:r w:rsidRPr="005D6998">
              <w:rPr>
                <w:rFonts w:ascii="Times New Roman" w:hAnsi="Times New Roman"/>
              </w:rPr>
              <w:lastRenderedPageBreak/>
              <w:t xml:space="preserve">financiară trebuie să respecte cerințele aplicabile activității desfășurate prevăzute de actele normative relevante. </w:t>
            </w:r>
          </w:p>
        </w:tc>
        <w:tc>
          <w:tcPr>
            <w:tcW w:w="1559" w:type="dxa"/>
            <w:gridSpan w:val="3"/>
            <w:shd w:val="clear" w:color="auto" w:fill="FFFFFF"/>
          </w:tcPr>
          <w:p w14:paraId="7796F6B6"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75839C4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9F9E8C7" w14:textId="40D14646"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03641FAB" w14:textId="335D3082"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B1E0177" w14:textId="6E59AE6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prevederea respectivă nu clarifică suficient consecințele juridice aplicabile situației în care instituția financiară nu mai îndeplinește condițiile prevăzute la alin. (1) din art. 23</w:t>
            </w:r>
            <w:r w:rsidRPr="005D6998">
              <w:rPr>
                <w:rFonts w:ascii="Times New Roman" w:hAnsi="Times New Roman"/>
                <w:vertAlign w:val="superscript"/>
              </w:rPr>
              <w:t>5</w:t>
            </w:r>
            <w:r w:rsidRPr="005D6998">
              <w:rPr>
                <w:rFonts w:ascii="Times New Roman" w:hAnsi="Times New Roman"/>
              </w:rPr>
              <w:t xml:space="preserve"> și se propune completarea finalului cu următorul text: „iar instituția financiară trebuie să respecte cerințele aplicabile activității desfășurate prevăzute de actele normative relevante din Republica Moldova”. </w:t>
            </w:r>
          </w:p>
          <w:p w14:paraId="331FA2E3" w14:textId="373C12A1"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De asemenea, se propune reglementarea expresă a consecințelor neîndeplinirii condițiilor prevăzute la alin. (1), inclusiv pierderea dreptului de a activa în regimul juridic prevăzut de prezentul articol, obligația de conformare la cerințele aplicabile noului </w:t>
            </w:r>
            <w:r w:rsidRPr="005D6998">
              <w:rPr>
                <w:rFonts w:ascii="Times New Roman" w:hAnsi="Times New Roman"/>
              </w:rPr>
              <w:lastRenderedPageBreak/>
              <w:t>regim juridic și termenele aferente acestei conformări.</w:t>
            </w:r>
          </w:p>
        </w:tc>
        <w:tc>
          <w:tcPr>
            <w:tcW w:w="5012" w:type="dxa"/>
            <w:gridSpan w:val="3"/>
            <w:shd w:val="clear" w:color="auto" w:fill="FFFFFF"/>
          </w:tcPr>
          <w:p w14:paraId="30DBA3AF"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3661E193" w14:textId="33A780F2"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Textul alin. (3) prevede deja consecința neîndeplinirii condițiilor prevăzute la alin. (1), stabilind că activitățile desfășurate în Republica Moldova de instituția financiară respectivă nu mai beneficiază de regimul prevăzut de prezentul articol și că instituția financiară trebuie să respecte cerințele aplicabile activității desfășurate, prevăzute de actele normative relevante.</w:t>
            </w:r>
          </w:p>
          <w:p w14:paraId="5FB8A80B" w14:textId="4B2E49B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Cu alte cuvinte, odată cu pierderea condițiilor care justifică aplicarea regimului de pașaportizare, instituția financiară urmează să își desfășoare activitatea în conformitate cu regimul juridic general aplicabil pe teritoriul Republicii Moldova. Reglementarea suplimentară a obligației de conformare nu este necesară, aceasta rezultând deja din prevedere.</w:t>
            </w:r>
          </w:p>
        </w:tc>
      </w:tr>
      <w:tr w:rsidR="00513EDC" w:rsidRPr="005D6998" w14:paraId="18E867F3" w14:textId="77777777" w:rsidTr="00651F58">
        <w:trPr>
          <w:gridAfter w:val="1"/>
          <w:wAfter w:w="10" w:type="dxa"/>
          <w:trHeight w:val="105"/>
        </w:trPr>
        <w:tc>
          <w:tcPr>
            <w:tcW w:w="899" w:type="dxa"/>
            <w:gridSpan w:val="3"/>
            <w:shd w:val="clear" w:color="auto" w:fill="FFFFFF"/>
          </w:tcPr>
          <w:p w14:paraId="5B25335F"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9C885A7"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23.</w:t>
            </w:r>
            <w:r w:rsidRPr="005D6998">
              <w:rPr>
                <w:rFonts w:ascii="Times New Roman" w:hAnsi="Times New Roman"/>
              </w:rPr>
              <w:t xml:space="preserve"> La titlul II capitolul 3 va avea următorul cuprins:</w:t>
            </w:r>
          </w:p>
          <w:p w14:paraId="1CBC4477" w14:textId="77777777" w:rsidR="00513EDC" w:rsidRPr="005D6998" w:rsidRDefault="00513EDC" w:rsidP="00513EDC">
            <w:pPr>
              <w:pStyle w:val="a7"/>
              <w:tabs>
                <w:tab w:val="left" w:pos="426"/>
              </w:tabs>
              <w:spacing w:after="0" w:line="240" w:lineRule="auto"/>
              <w:ind w:left="0"/>
              <w:jc w:val="center"/>
              <w:rPr>
                <w:rFonts w:ascii="Times New Roman" w:hAnsi="Times New Roman"/>
                <w:b/>
              </w:rPr>
            </w:pPr>
            <w:r w:rsidRPr="005D6998">
              <w:rPr>
                <w:rFonts w:ascii="Times New Roman" w:hAnsi="Times New Roman"/>
              </w:rPr>
              <w:t xml:space="preserve"> „</w:t>
            </w:r>
            <w:r w:rsidRPr="005D6998">
              <w:rPr>
                <w:rFonts w:ascii="Times New Roman" w:hAnsi="Times New Roman"/>
                <w:b/>
              </w:rPr>
              <w:t>Capitolul 3</w:t>
            </w:r>
          </w:p>
          <w:p w14:paraId="7D9B592D" w14:textId="77777777" w:rsidR="00513EDC" w:rsidRPr="005D6998" w:rsidRDefault="00513EDC" w:rsidP="00513EDC">
            <w:pPr>
              <w:pStyle w:val="a7"/>
              <w:tabs>
                <w:tab w:val="left" w:pos="426"/>
              </w:tabs>
              <w:spacing w:after="0" w:line="240" w:lineRule="auto"/>
              <w:ind w:left="0"/>
              <w:jc w:val="center"/>
              <w:rPr>
                <w:rFonts w:ascii="Times New Roman" w:hAnsi="Times New Roman"/>
              </w:rPr>
            </w:pPr>
            <w:r w:rsidRPr="005D6998">
              <w:rPr>
                <w:rFonts w:ascii="Times New Roman" w:hAnsi="Times New Roman"/>
                <w:b/>
              </w:rPr>
              <w:t>REGIMUL</w:t>
            </w:r>
            <w:r w:rsidRPr="005D6998">
              <w:rPr>
                <w:rFonts w:ascii="Times New Roman" w:hAnsi="Times New Roman"/>
                <w:b/>
                <w:bCs/>
              </w:rPr>
              <w:t xml:space="preserve"> SUCURSALELOR  DIN STATE TERȚE ȘI RELAȚIILE CU STATE TERȚE</w:t>
            </w:r>
          </w:p>
          <w:p w14:paraId="4BB90C48" w14:textId="77777777" w:rsidR="00513EDC" w:rsidRPr="005D6998" w:rsidRDefault="00513EDC" w:rsidP="00513EDC">
            <w:pPr>
              <w:spacing w:after="0" w:line="240" w:lineRule="auto"/>
              <w:jc w:val="center"/>
              <w:rPr>
                <w:rFonts w:ascii="Times New Roman" w:hAnsi="Times New Roman"/>
                <w:b/>
                <w:bCs/>
              </w:rPr>
            </w:pPr>
            <w:r w:rsidRPr="005D6998">
              <w:rPr>
                <w:rFonts w:ascii="Times New Roman" w:hAnsi="Times New Roman"/>
                <w:b/>
                <w:bCs/>
              </w:rPr>
              <w:t>Secţiunea 1. Cerințe de autorizare pentru sucursalele din state terțe</w:t>
            </w:r>
          </w:p>
          <w:p w14:paraId="2E06B696" w14:textId="77777777"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rPr>
              <w:t>Articolul 24.</w:t>
            </w:r>
            <w:bookmarkStart w:id="7" w:name="_Hlk215487720"/>
            <w:r w:rsidRPr="005D6998">
              <w:rPr>
                <w:rFonts w:ascii="Times New Roman" w:hAnsi="Times New Roman"/>
              </w:rPr>
              <w:t xml:space="preserve"> </w:t>
            </w:r>
            <w:bookmarkEnd w:id="7"/>
            <w:r w:rsidRPr="005D6998">
              <w:rPr>
                <w:rFonts w:ascii="Times New Roman" w:hAnsi="Times New Roman"/>
              </w:rPr>
              <w:t>Condiții de desfășurare a activității sucursalelor dintr-un stat terț</w:t>
            </w:r>
          </w:p>
          <w:p w14:paraId="5297518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 Pentru a începe sau a continua să desfășoare în Republica Moldova activitățile prevăzute la art. 27 alin. (1), întreprinderile stabilite într-un stat terț, astfel cum sunt menționate la art.</w:t>
            </w:r>
            <w:r w:rsidRPr="005D6998">
              <w:rPr>
                <w:rFonts w:ascii="Times New Roman" w:hAnsi="Times New Roman"/>
                <w:b/>
                <w:bCs/>
              </w:rPr>
              <w:t xml:space="preserve"> </w:t>
            </w:r>
            <w:r w:rsidRPr="005D6998">
              <w:rPr>
                <w:rFonts w:ascii="Times New Roman" w:hAnsi="Times New Roman"/>
              </w:rPr>
              <w:t xml:space="preserve">24 alin. (8) trebuie să înființeze o sucursală pe teritoriul Republicii Moldova și să solicite autorizarea conform prezentului capitol. </w:t>
            </w:r>
          </w:p>
          <w:p w14:paraId="121EF13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(2) Alineatul (1) nu se aplică în cazul în care întreprinderea stabilită într-un stat terț furnizează un serviciu sau o activitate unui client sau unei contrapărți stabilite sau situate în Uniunea Europeană care este: </w:t>
            </w:r>
          </w:p>
          <w:p w14:paraId="4817E68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 un client de retail, o contraparte eligibilă sau un client profesional în sensul art. 137 din Legea nr. 171/2012 stabilit sau situat în Uniunea Europeană, dacă clientul respectiv sau contrapartea respectivă se adresează, din proprie inițiativă, unei întreprinderi stabilite într-un stat terț solicitându-i furnizarea oricărui serviciu sau a </w:t>
            </w:r>
            <w:r w:rsidRPr="005D6998">
              <w:rPr>
                <w:rFonts w:ascii="Times New Roman" w:hAnsi="Times New Roman"/>
              </w:rPr>
              <w:lastRenderedPageBreak/>
              <w:t>oricărei activități menționate la art.</w:t>
            </w:r>
            <w:r w:rsidRPr="005D6998">
              <w:rPr>
                <w:rFonts w:ascii="Times New Roman" w:hAnsi="Times New Roman"/>
                <w:b/>
                <w:bCs/>
              </w:rPr>
              <w:t xml:space="preserve"> </w:t>
            </w:r>
            <w:r w:rsidRPr="005D6998">
              <w:rPr>
                <w:rFonts w:ascii="Times New Roman" w:hAnsi="Times New Roman"/>
              </w:rPr>
              <w:t>31</w:t>
            </w:r>
            <w:r w:rsidRPr="005D6998">
              <w:rPr>
                <w:rFonts w:ascii="Times New Roman" w:hAnsi="Times New Roman"/>
                <w:vertAlign w:val="superscript"/>
              </w:rPr>
              <w:t>2</w:t>
            </w:r>
            <w:r w:rsidRPr="005D6998">
              <w:rPr>
                <w:rFonts w:ascii="Times New Roman" w:hAnsi="Times New Roman"/>
              </w:rPr>
              <w:t xml:space="preserve"> alin. (2); </w:t>
            </w:r>
          </w:p>
          <w:p w14:paraId="57F2A67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b) o instituție de credit; </w:t>
            </w:r>
          </w:p>
          <w:p w14:paraId="12E85D7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 o întreprindere din același grup din care face parte și întreprinderea stabilită într-un stat terț.</w:t>
            </w:r>
            <w:r w:rsidRPr="005D6998">
              <w:rPr>
                <w:rFonts w:ascii="Times New Roman" w:hAnsi="Times New Roman"/>
                <w:b/>
                <w:bCs/>
                <w:color w:val="FF0000"/>
              </w:rPr>
              <w:t xml:space="preserve"> </w:t>
            </w:r>
          </w:p>
          <w:p w14:paraId="7756C0A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(3) Fără a aduce atingere literei (c) de la alin. (2), cazul în care o întreprindere dintr-un stat terț contactează un client sau o contraparte ori un potențial client sau o potențială contraparte, astfel cum se menționează la alin. (2) lit. a), prin intermediul unei entități care acționează în nume propriu sau care are legături strânse cu respectiva întreprindere dintr-un stat terț ori prin intermediul oricărei alte persoane care acționează în numele întreprinderii, nu se consideră a fi un serviciu furnizat la inițiativa exclusivă a clientului sau a contrapărții ori a potențialului client sau a potențialei contrapărți.</w:t>
            </w:r>
          </w:p>
          <w:p w14:paraId="562A7EE5"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(4) Instituțiile de credit și sucursalele stabilite pe teritoriul Republicii Moldova trebuie să furnizeze Băncii Naționale a Moldovei informațiile necesare pentru a monitoriza serviciile furnizate </w:t>
            </w:r>
            <w:r w:rsidRPr="005D6998">
              <w:rPr>
                <w:rFonts w:ascii="Times New Roman" w:hAnsi="Times New Roman"/>
                <w:b/>
                <w:bCs/>
              </w:rPr>
              <w:t>la inițiativa exclusivă a clientului</w:t>
            </w:r>
            <w:r w:rsidRPr="005D6998">
              <w:rPr>
                <w:rFonts w:ascii="Times New Roman" w:hAnsi="Times New Roman"/>
              </w:rPr>
              <w:t xml:space="preserve"> sau a contrapărții stabilite sau situate pe teritoriul Republicii Moldova, în cazul în care astfel de servicii sunt furnizate de întreprinderi stabilite în state terțe care fac parte din același grup.</w:t>
            </w:r>
            <w:r w:rsidRPr="005D6998">
              <w:rPr>
                <w:rFonts w:ascii="Times New Roman" w:hAnsi="Times New Roman"/>
                <w:b/>
                <w:bCs/>
                <w:color w:val="FF0000"/>
              </w:rPr>
              <w:t xml:space="preserve"> </w:t>
            </w:r>
          </w:p>
          <w:p w14:paraId="3752ED2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(5) Întreprinderea dintr-un stat terț nu are dreptul să comercializeze alte categorii de produse, activități sau servicii decât cele solicitate de client </w:t>
            </w:r>
            <w:r w:rsidRPr="005D6998">
              <w:rPr>
                <w:rFonts w:ascii="Times New Roman" w:hAnsi="Times New Roman"/>
              </w:rPr>
              <w:lastRenderedPageBreak/>
              <w:t xml:space="preserve">sau de contraparte, astfel cum se menționează la alin. (2), altfel decât prin intermediul unei sucursale dintr-un stat terț stabilite pe teritoriul Republicii Moldova. </w:t>
            </w:r>
          </w:p>
          <w:p w14:paraId="0360184F"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(6) Alin. (5) nu se aplică în cazul în care întreprinderea dintr-un stat terț prestează servicii, activități sau comercializează un produs necesar pentru furnizarea serviciilor, a produselor sau a activităților solicitate inițial de client sau de contraparte sau strâns legate de acestea, inclusiv în cazul în care astfel de servicii, activități sau produse strâns legate sunt furnizate ulterior celor solicitate inițial. </w:t>
            </w:r>
          </w:p>
          <w:p w14:paraId="189131D8"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(7) Prevederile alin. (1) nu se aplică în cazul serviciilor sau al activităților prevăzute de art. 33 din Legea nr. 171/2012 și nici serviciilor auxiliare, cum ar fi atragerea de depozite conexe sau acordarea de credite ori împrumuturi al căror scop este de a furniza servicii în temeiul legii respective.</w:t>
            </w:r>
            <w:r w:rsidRPr="005D6998">
              <w:rPr>
                <w:rFonts w:ascii="Times New Roman" w:hAnsi="Times New Roman"/>
                <w:b/>
                <w:bCs/>
                <w:color w:val="FF0000"/>
              </w:rPr>
              <w:t xml:space="preserve"> </w:t>
            </w:r>
          </w:p>
          <w:p w14:paraId="1531E63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(8) În sensul prezentului capitol, sucursala dintr-un stat terț reprezintă sucursala înființată în Republica Moldova de către:</w:t>
            </w:r>
          </w:p>
          <w:p w14:paraId="36598F0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 o întreprindere care își are sediul central într-un stat terț, în scopul desfășurării oricăreia dintre activitățile menționate la alin. (1); sau </w:t>
            </w:r>
          </w:p>
          <w:p w14:paraId="3D309B41" w14:textId="24D16247" w:rsidR="00513EDC" w:rsidRPr="005D6998" w:rsidRDefault="00513EDC" w:rsidP="00513EDC">
            <w:pPr>
              <w:pStyle w:val="a7"/>
              <w:tabs>
                <w:tab w:val="left" w:pos="426"/>
              </w:tabs>
              <w:spacing w:after="0" w:line="240" w:lineRule="auto"/>
              <w:ind w:left="0"/>
              <w:jc w:val="both"/>
              <w:rPr>
                <w:rFonts w:ascii="Times New Roman" w:hAnsi="Times New Roman"/>
                <w:b/>
              </w:rPr>
            </w:pPr>
            <w:r w:rsidRPr="005D6998">
              <w:rPr>
                <w:rFonts w:ascii="Times New Roman" w:hAnsi="Times New Roman"/>
              </w:rPr>
              <w:t xml:space="preserve">b) o instituție de credit care își are sediul central într-un stat terț, iar întreprinderea principală reprezintă întreprindere care își are sediul central într-un stat terț și care a înființat o </w:t>
            </w:r>
            <w:r w:rsidRPr="005D6998">
              <w:rPr>
                <w:rFonts w:ascii="Times New Roman" w:hAnsi="Times New Roman"/>
              </w:rPr>
              <w:lastRenderedPageBreak/>
              <w:t>sucursală pe teritoriul Republicii Moldova, precum și întreprinderile-mamă intermediare sau de cel mai înalt rang ale întreprinderii respective, după caz.</w:t>
            </w:r>
          </w:p>
        </w:tc>
        <w:tc>
          <w:tcPr>
            <w:tcW w:w="1559" w:type="dxa"/>
            <w:gridSpan w:val="3"/>
            <w:shd w:val="clear" w:color="auto" w:fill="FFFFFF"/>
          </w:tcPr>
          <w:p w14:paraId="616005CE"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3BCB935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CC0DAFE" w14:textId="08573B4B"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5D9DF599" w14:textId="191AB063"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22CAFA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recomandă clarificarea criteriilor utilizate pentru determinarea caracterului „la inițiativa exclusivă a clientului” și a limitelor în care serviciile, activitățile sau produsele pot fi considerate „necesare” sau „strâns legate” de solicitarea inițială. </w:t>
            </w:r>
          </w:p>
          <w:p w14:paraId="626380F1" w14:textId="77777777" w:rsidR="00513EDC" w:rsidRPr="005D6998" w:rsidRDefault="00513EDC" w:rsidP="00513EDC">
            <w:pPr>
              <w:spacing w:after="0" w:line="240" w:lineRule="auto"/>
              <w:jc w:val="both"/>
              <w:rPr>
                <w:rFonts w:ascii="Times New Roman" w:hAnsi="Times New Roman"/>
              </w:rPr>
            </w:pPr>
          </w:p>
          <w:p w14:paraId="1EEB8599" w14:textId="775A686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Mai mult decât atât, dispozițiile care reglementează excepțiile de la obligația de înființare a unei sucursale sunt raportate la clienți și contrapărți „stabiliți sau situați în Uniunea Europeană”, în timp ce alin. (4) utilizează criteriul „stabilit sau situat pe teritoriul Republicii Moldova”. </w:t>
            </w:r>
          </w:p>
          <w:p w14:paraId="24679699" w14:textId="77777777" w:rsidR="00513EDC" w:rsidRPr="005D6998" w:rsidRDefault="00513EDC" w:rsidP="00513EDC">
            <w:pPr>
              <w:spacing w:after="0" w:line="240" w:lineRule="auto"/>
              <w:jc w:val="both"/>
              <w:rPr>
                <w:rFonts w:ascii="Times New Roman" w:hAnsi="Times New Roman"/>
              </w:rPr>
            </w:pPr>
          </w:p>
          <w:p w14:paraId="419B45A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consecință, se consideră că nu rezultă cu suficientă claritate dacă excepția prevăzută de articol este destinată serviciilor prestate unor clienți din Uniunea Europeană sau unor clienți stabiliți ori situați pe teritoriul Republicii Moldova, sau dacă alin. (2) lit. a) și alin. (4) stabilesc situații diferite. </w:t>
            </w:r>
          </w:p>
          <w:p w14:paraId="21C12E75" w14:textId="77777777" w:rsidR="00513EDC" w:rsidRPr="005D6998" w:rsidRDefault="00513EDC" w:rsidP="00513EDC">
            <w:pPr>
              <w:spacing w:after="0" w:line="240" w:lineRule="auto"/>
              <w:jc w:val="both"/>
              <w:rPr>
                <w:rFonts w:ascii="Times New Roman" w:hAnsi="Times New Roman"/>
              </w:rPr>
            </w:pPr>
          </w:p>
          <w:p w14:paraId="7BA40A2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recomandă clarificarea sferei teritoriale de aplicare a excepției și corelarea corespunzătoare a dispozițiilor articolului. </w:t>
            </w:r>
          </w:p>
          <w:p w14:paraId="5933B29C" w14:textId="1E569BCF"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Subsidiar, prevederea de la alin. (4) stabilește că instituțiile de credit și sucursalele stabilite în Republica Moldova trebuie să furnizeze BNM „informațiile necesare” pentru a monitoriza serviciile furnizate la inițiativa exclusivă a clientului sau a contrapărții, însă prevederea nu stabilește care sunt acele informații necesare pentru monitorizare. </w:t>
            </w:r>
          </w:p>
          <w:p w14:paraId="5C0E2E6E" w14:textId="77777777" w:rsidR="00513EDC" w:rsidRPr="005D6998" w:rsidRDefault="00513EDC" w:rsidP="00513EDC">
            <w:pPr>
              <w:spacing w:after="0" w:line="240" w:lineRule="auto"/>
              <w:jc w:val="both"/>
              <w:rPr>
                <w:rFonts w:ascii="Times New Roman" w:hAnsi="Times New Roman"/>
              </w:rPr>
            </w:pPr>
          </w:p>
          <w:p w14:paraId="0FE3D8AF" w14:textId="6E0959AF" w:rsidR="00513EDC" w:rsidRPr="005D6998" w:rsidRDefault="00513EDC" w:rsidP="00513EDC">
            <w:pPr>
              <w:spacing w:after="0" w:line="240" w:lineRule="auto"/>
              <w:jc w:val="both"/>
              <w:rPr>
                <w:rFonts w:ascii="Times New Roman" w:hAnsi="Times New Roman"/>
              </w:rPr>
            </w:pPr>
            <w:r w:rsidRPr="005D6998">
              <w:rPr>
                <w:rFonts w:ascii="Times New Roman" w:hAnsi="Times New Roman"/>
              </w:rPr>
              <w:t>Respectiv, se recomandă delimitarea expresă a informațiilor care pot fi solicitate și limitarea obligației la informațiile aflate în posesia sau sub controlul instituției de credit.</w:t>
            </w:r>
          </w:p>
        </w:tc>
        <w:tc>
          <w:tcPr>
            <w:tcW w:w="5012" w:type="dxa"/>
            <w:gridSpan w:val="3"/>
            <w:shd w:val="clear" w:color="auto" w:fill="FFFFFF"/>
          </w:tcPr>
          <w:p w14:paraId="40DB931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0267EF4C"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La alin. (2) sintagma „situate în Uniunea Europeană” se substituie cu textul „situate în Republica Moldova”.</w:t>
            </w:r>
          </w:p>
          <w:p w14:paraId="760602A3"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22AB60FF" w14:textId="2ADD204C"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În ceea ce privește clarificarea criteriilor „la inițiativa exclusivă a clientului sau contrapărții”, „servicii bancare strâns legate” și „informațiile necesare” se menționează că </w:t>
            </w:r>
            <w:r w:rsidRPr="005D6998">
              <w:rPr>
                <w:rFonts w:ascii="Times New Roman" w:hAnsi="Times New Roman"/>
                <w:lang w:val="ro-MD"/>
              </w:rPr>
              <w:t>prevederea transpune fidel art. 21c din Directiva (UE) 2013/36/UE (CRD VI), iar acesta nu stabilește criterii suplimentare sau o listă exhaustivă a informațiilor ce pot fi solicitate.</w:t>
            </w:r>
          </w:p>
          <w:p w14:paraId="537D7EDB"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5BD8FF7F"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Notăm că caracterul existenței unei solicitări formulate la inițiativa exclusivă a clientului se va aprecia de la caz la caz, în funcție de documentele justificative disponibile. </w:t>
            </w:r>
          </w:p>
          <w:p w14:paraId="23B4D7C0" w14:textId="2075DA5C"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În susținerea acestei teze, recent EBA a respins o solicitare de clarificare privind documentele care pot demonstra existența </w:t>
            </w:r>
            <w:r w:rsidRPr="005D6998">
              <w:rPr>
                <w:rFonts w:ascii="Times New Roman" w:hAnsi="Times New Roman"/>
                <w:i/>
                <w:iCs/>
                <w:lang w:val="ro-MD"/>
              </w:rPr>
              <w:t>reverse solicitation</w:t>
            </w:r>
            <w:r w:rsidRPr="005D6998">
              <w:rPr>
                <w:rFonts w:ascii="Times New Roman" w:hAnsi="Times New Roman"/>
                <w:lang w:val="ro-MD"/>
              </w:rPr>
              <w:t>, considerând că nu sunt necesare orientări suplimentare (</w:t>
            </w:r>
            <w:hyperlink r:id="rId12" w:history="1">
              <w:r w:rsidRPr="005D6998">
                <w:rPr>
                  <w:rStyle w:val="afb"/>
                  <w:rFonts w:ascii="Times New Roman" w:hAnsi="Times New Roman"/>
                  <w:lang w:val="ro-MD"/>
                </w:rPr>
                <w:t>link</w:t>
              </w:r>
            </w:hyperlink>
            <w:r w:rsidRPr="005D6998">
              <w:rPr>
                <w:rFonts w:ascii="Times New Roman" w:hAnsi="Times New Roman"/>
                <w:lang w:val="ro-MD"/>
              </w:rPr>
              <w:t>).</w:t>
            </w:r>
          </w:p>
          <w:p w14:paraId="32FC6CD8" w14:textId="4EAF3385"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Totodată, în ceea ce privește obligația prevăzută la alin. (4), nu se interpretează că prin aceasta se impune furnizarea unor informații care nu se află în posesia sau sub controlul instituției de credit. Această limitare rezultă din însăși natura obligației de raportare și supraveghere, nefiind necesară reglementarea sa expresă în cuprinsul articolului. </w:t>
            </w:r>
          </w:p>
        </w:tc>
      </w:tr>
      <w:tr w:rsidR="00513EDC" w:rsidRPr="005D6998" w14:paraId="5DD23069" w14:textId="77777777" w:rsidTr="00651F58">
        <w:trPr>
          <w:gridAfter w:val="1"/>
          <w:wAfter w:w="10" w:type="dxa"/>
          <w:trHeight w:val="105"/>
        </w:trPr>
        <w:tc>
          <w:tcPr>
            <w:tcW w:w="899" w:type="dxa"/>
            <w:gridSpan w:val="3"/>
            <w:shd w:val="clear" w:color="auto" w:fill="FFFFFF"/>
          </w:tcPr>
          <w:p w14:paraId="1D154D34"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762AF4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b/>
                <w:bCs/>
              </w:rPr>
              <w:t xml:space="preserve">Articolul 25. </w:t>
            </w:r>
            <w:r w:rsidRPr="005D6998">
              <w:rPr>
                <w:rFonts w:ascii="Times New Roman" w:hAnsi="Times New Roman"/>
              </w:rPr>
              <w:t>Condiții minime de autorizare a sucursalelor din state terțe</w:t>
            </w:r>
          </w:p>
          <w:p w14:paraId="42873A9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58DF472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(3) Banca Națională a Moldovei eliberează autorizația prevăzută la alin. (1) sucursalei dintr-un stat terț numai în cazul în care, sunt îndeplinite, cel puțin, următoarele condiții: </w:t>
            </w:r>
          </w:p>
          <w:p w14:paraId="08B9D25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5BC79418"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f) nu există motive rezonabile pentru a suspecta că sucursala dintr-un stat terț ar fi utilizată pentru a săvârși sau a facilita săvârșirea de fapte de spălare de bani sau de finanțare a terorismului.</w:t>
            </w:r>
            <w:r w:rsidRPr="005D6998">
              <w:rPr>
                <w:rFonts w:ascii="Times New Roman" w:hAnsi="Times New Roman"/>
                <w:b/>
                <w:bCs/>
                <w:color w:val="FF0000"/>
              </w:rPr>
              <w:t xml:space="preserve"> </w:t>
            </w:r>
          </w:p>
          <w:p w14:paraId="43D26A51" w14:textId="77777777" w:rsidR="00513EDC" w:rsidRPr="005D6998" w:rsidRDefault="00513EDC" w:rsidP="00513EDC">
            <w:pPr>
              <w:spacing w:after="0" w:line="240" w:lineRule="auto"/>
              <w:jc w:val="both"/>
              <w:rPr>
                <w:rFonts w:ascii="Times New Roman" w:hAnsi="Times New Roman"/>
              </w:rPr>
            </w:pPr>
          </w:p>
          <w:p w14:paraId="54B7C1D3" w14:textId="77777777" w:rsidR="00513EDC" w:rsidRPr="005D6998" w:rsidRDefault="00513EDC" w:rsidP="00513EDC">
            <w:pPr>
              <w:spacing w:after="0" w:line="240" w:lineRule="auto"/>
              <w:jc w:val="both"/>
              <w:rPr>
                <w:rFonts w:ascii="Times New Roman" w:hAnsi="Times New Roman"/>
              </w:rPr>
            </w:pPr>
          </w:p>
          <w:p w14:paraId="12894EEA" w14:textId="7A456EC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(4) Banca Națională a Moldovei consultă </w:t>
            </w:r>
            <w:r w:rsidRPr="005D6998">
              <w:rPr>
                <w:rFonts w:ascii="Times New Roman" w:hAnsi="Times New Roman"/>
                <w:b/>
                <w:bCs/>
              </w:rPr>
              <w:t>autoritatea responsabilă cu supravegherea combaterii spălării banilor sau a combaterii finanțării terorismului,</w:t>
            </w:r>
            <w:r w:rsidRPr="005D6998">
              <w:rPr>
                <w:rFonts w:ascii="Times New Roman" w:hAnsi="Times New Roman"/>
              </w:rPr>
              <w:t xml:space="preserve"> pentru a evalua dacă este îndeplinită condiția prevăzută la alin. (3) lit. f) și </w:t>
            </w:r>
            <w:r w:rsidRPr="005D6998">
              <w:rPr>
                <w:rFonts w:ascii="Times New Roman" w:hAnsi="Times New Roman"/>
                <w:b/>
                <w:bCs/>
              </w:rPr>
              <w:t>a obține confirmarea scrisă a îndeplinirii condiției</w:t>
            </w:r>
            <w:r w:rsidRPr="005D6998">
              <w:rPr>
                <w:rFonts w:ascii="Times New Roman" w:hAnsi="Times New Roman"/>
              </w:rPr>
              <w:t xml:space="preserve"> înainte de a acorda autorizarea sucursalei dintr-un stat terț.</w:t>
            </w:r>
          </w:p>
          <w:p w14:paraId="70E2A956" w14:textId="77777777" w:rsidR="00513EDC" w:rsidRPr="005D6998" w:rsidRDefault="00513EDC" w:rsidP="00513EDC">
            <w:pPr>
              <w:spacing w:after="0" w:line="240" w:lineRule="auto"/>
              <w:jc w:val="both"/>
              <w:rPr>
                <w:rFonts w:ascii="Times New Roman" w:hAnsi="Times New Roman"/>
              </w:rPr>
            </w:pPr>
          </w:p>
          <w:p w14:paraId="553F7D96" w14:textId="0BC9B825" w:rsidR="00513EDC" w:rsidRPr="005D6998" w:rsidRDefault="00513EDC" w:rsidP="00513EDC">
            <w:pPr>
              <w:pStyle w:val="a7"/>
              <w:tabs>
                <w:tab w:val="left" w:pos="426"/>
              </w:tabs>
              <w:spacing w:after="0" w:line="240" w:lineRule="auto"/>
              <w:ind w:left="0"/>
              <w:jc w:val="both"/>
              <w:rPr>
                <w:rFonts w:ascii="Times New Roman" w:hAnsi="Times New Roman"/>
                <w:b/>
                <w:bCs/>
                <w:color w:val="FF0000"/>
              </w:rPr>
            </w:pPr>
          </w:p>
        </w:tc>
        <w:tc>
          <w:tcPr>
            <w:tcW w:w="1559" w:type="dxa"/>
            <w:gridSpan w:val="3"/>
            <w:shd w:val="clear" w:color="auto" w:fill="FFFFFF"/>
          </w:tcPr>
          <w:p w14:paraId="5E727FA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1E62015"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EE0D53C"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05BDF1D3" w14:textId="126162D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p w14:paraId="195B72B1"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4B73C6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058744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F85D84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A7BB05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BF2E8B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0DA2F7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20999A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7A48B1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52DAA1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8C47B8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F9057A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D12BA0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FC1B815" w14:textId="0E919203"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45C0009B" w14:textId="481BAA66"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E664AA9" w14:textId="7E194FD0"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25, alin. (3), lit. f) și alin. (4), care reglementează condițiile minime de autorizare a sucursalelor din state terțe, se constată că proiectul prevede consultarea „autorității responsabile cu supravegherea combaterii spălării banilor sau a combaterii finanțării terorismului” pentru evaluarea inexistenței unor motive rezonabile de a suspecta utilizarea sucursalei pentru săvârșirea sau facilitarea spălării banilor sau finanțării terorismului și pentru obținerea unei confirmări scrise a îndeplinirii condiției. </w:t>
            </w:r>
          </w:p>
          <w:p w14:paraId="354B37E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norma este insuficient de precisă, întrucât nu delimitează dacă autoritatea consultată este Serviciul sau un alt organ cu funcții de supraveghere, în limitele competențelor prevăzute de Legea nr. 308/2017.</w:t>
            </w:r>
          </w:p>
          <w:p w14:paraId="1D858A23" w14:textId="21DC9E9B"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Or, pentru instituțiile de credit, Banca Națională a Moldovei exercită atribuții de supraveghere, iar Serviciul deține atribuții distincte de primire, înregistrare, analiză, prelucrare, diseminare, cooperare și coordonare în domeniul prevenirii și combaterii spălării banilor și finanțării terorismului. </w:t>
            </w:r>
          </w:p>
          <w:p w14:paraId="30333584" w14:textId="77777777" w:rsidR="00513EDC" w:rsidRPr="005D6998" w:rsidRDefault="00513EDC" w:rsidP="00513EDC">
            <w:pPr>
              <w:spacing w:after="0" w:line="240" w:lineRule="auto"/>
              <w:jc w:val="both"/>
              <w:rPr>
                <w:rFonts w:ascii="Times New Roman" w:hAnsi="Times New Roman"/>
              </w:rPr>
            </w:pPr>
          </w:p>
          <w:p w14:paraId="10FE5475" w14:textId="6F4B302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legătură cu confirmarea scrisă a îndeplinirii condiției în contextul normei din alin. (4) din art. 25, se propune reformularea acesteia în sensul că Banca Națională a Moldovei solicită Serviciului </w:t>
            </w:r>
            <w:r w:rsidRPr="005D6998">
              <w:rPr>
                <w:rFonts w:ascii="Times New Roman" w:hAnsi="Times New Roman"/>
                <w:b/>
                <w:bCs/>
              </w:rPr>
              <w:t>comunicarea informațiilor relevante disponibile</w:t>
            </w:r>
            <w:r w:rsidRPr="005D6998">
              <w:rPr>
                <w:rFonts w:ascii="Times New Roman" w:hAnsi="Times New Roman"/>
              </w:rPr>
              <w:t xml:space="preserve">, în </w:t>
            </w:r>
            <w:r w:rsidRPr="005D6998">
              <w:rPr>
                <w:rFonts w:ascii="Times New Roman" w:hAnsi="Times New Roman"/>
              </w:rPr>
              <w:lastRenderedPageBreak/>
              <w:t xml:space="preserve">limita competențelor acestuia și cu respectarea regimului informațiilor protejate prin lege, iar evaluarea finală privind îndeplinirea condiției rămâne în sarcina Băncii Naționale a Moldovei, în calitate de autoritate competentă pentru autorizare și supraveghere prudențială. </w:t>
            </w:r>
          </w:p>
          <w:p w14:paraId="71E40143" w14:textId="3880CE41"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sintagma „confirmarea scrisă a îndeplinirii condiției” este improprie, deoarece Serviciul nu poate certifica inexistența absolută a riscurilor și nu poate garanta că o sucursală, întreprindere principală sau grup nu va fi utilizat ulterior în scopuri ilicite. Rolul Serviciului poate consta în comunicarea informațiilor relevante disponibile, în limita competențelor deținute și cu respectarea regimului special prevăzut de art. 16 din Legea nr. 308/2017, nu în emiterea unei confirmări cu valoare de garanție juridică.</w:t>
            </w:r>
          </w:p>
        </w:tc>
        <w:tc>
          <w:tcPr>
            <w:tcW w:w="5012" w:type="dxa"/>
            <w:gridSpan w:val="3"/>
            <w:shd w:val="clear" w:color="auto" w:fill="FFFFFF"/>
          </w:tcPr>
          <w:p w14:paraId="4D156F0D" w14:textId="50690B2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4A521D9D"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4B46EC59" w14:textId="0E21F573"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Alin. 4 din art. 25 redactat după cum urmează, care transpune fidel prevederea din CRD:</w:t>
            </w:r>
          </w:p>
          <w:p w14:paraId="7AE5E3C7" w14:textId="033598A9"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„Banca Națională a Moldovei, </w:t>
            </w:r>
            <w:r w:rsidRPr="005D6998">
              <w:rPr>
                <w:rFonts w:ascii="Times New Roman" w:hAnsi="Times New Roman"/>
                <w:b/>
                <w:bCs/>
              </w:rPr>
              <w:t>în calitate de autoritate competentă, consultă organul cu funcții de supraveghere în domeniul combaterii spălării banilor sau a combaterii finanțării terorismului din Republica Moldova, potrivit Legii nr. 308/2012,</w:t>
            </w:r>
            <w:r w:rsidRPr="005D6998">
              <w:rPr>
                <w:rFonts w:ascii="Times New Roman" w:hAnsi="Times New Roman"/>
              </w:rPr>
              <w:t xml:space="preserve"> pentru a evalua dacă este îndeplinită condiția prevăzută la alin (3) lit. f) și de a obține confirmarea scrisă a îndeplinirii condiției înainte de a acorda autorizarea sucursalei dintr-un stat terț.”</w:t>
            </w:r>
          </w:p>
          <w:p w14:paraId="78F03AFF"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42089848" w14:textId="662A15EC"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ceea ce privește confirmarea scrisă a îndeplinirii condiției, a fost păstrată redacția din directivă. Respectiv, confirmarea va fi dată, în cazul unei sucursale a instituției de credit, de către BNM, în calitate de organ cu funcții de supraveghere a instituțiilor de credit din punct de vedere al spălării banilor sau a combaterii finanțării terorismului, în conformitate cu Legea nr. 308/2012. Această confirmare nu înlătură relația de colaborare dintre BNM și Serviciu pentru ca BNM să poată lua o decizie de evaluare a corespunderii cu criteriile stabilite cu ajutorul informațiilor recepționate de la Serviciu, cu atât mai mult în situația în care în cadrul cererii sunt evaluate persoane din alte state sau alte domenii de activitate din RM.</w:t>
            </w:r>
          </w:p>
          <w:p w14:paraId="49F18590" w14:textId="77777777" w:rsidR="00513EDC" w:rsidRPr="005D6998" w:rsidRDefault="00513EDC" w:rsidP="00513EDC">
            <w:pPr>
              <w:tabs>
                <w:tab w:val="left" w:pos="884"/>
                <w:tab w:val="left" w:pos="1196"/>
              </w:tabs>
              <w:spacing w:after="0" w:line="240" w:lineRule="auto"/>
              <w:jc w:val="both"/>
              <w:rPr>
                <w:rFonts w:ascii="Times New Roman" w:hAnsi="Times New Roman"/>
                <w:b/>
                <w:sz w:val="24"/>
                <w:szCs w:val="24"/>
              </w:rPr>
            </w:pPr>
          </w:p>
          <w:p w14:paraId="53116811"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3B1D1C04" w14:textId="77777777" w:rsidTr="00651F58">
        <w:trPr>
          <w:gridAfter w:val="1"/>
          <w:wAfter w:w="10" w:type="dxa"/>
          <w:trHeight w:val="105"/>
        </w:trPr>
        <w:tc>
          <w:tcPr>
            <w:tcW w:w="899" w:type="dxa"/>
            <w:gridSpan w:val="3"/>
            <w:shd w:val="clear" w:color="auto" w:fill="FFFFFF"/>
          </w:tcPr>
          <w:p w14:paraId="577D7F52"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48A5C49" w14:textId="2FBA01F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(5) Banca Națională a Moldovei depune eforturi pentru a încheia acorduri cu autoritățile competente din statul terț relevant înainte ca o sucursală dintr-un stat terț să își înceapă activitatea pe teritoriul Republicii Moldova, bazate pe modelele de acorduri administrative elaborate de Autoritatea Bancară Europeană, în cazul în care sucursalele din state terțe fac obiectul unor cerințe naționale mai puțin stricte. </w:t>
            </w:r>
            <w:r w:rsidRPr="005D6998">
              <w:rPr>
                <w:rFonts w:ascii="Times New Roman" w:hAnsi="Times New Roman"/>
                <w:b/>
                <w:bCs/>
              </w:rPr>
              <w:t>Banca Națională a Moldovei transmite fără întârziere Autorității Bancare Europene informații cu privire la orice acorduri încheiate cu autoritățile competente din statele terțe.</w:t>
            </w:r>
            <w:r w:rsidRPr="005D6998">
              <w:rPr>
                <w:rFonts w:ascii="Times New Roman" w:hAnsi="Times New Roman"/>
                <w:b/>
                <w:bCs/>
                <w:color w:val="FF0000"/>
              </w:rPr>
              <w:t xml:space="preserve"> </w:t>
            </w:r>
            <w:r w:rsidRPr="005D6998">
              <w:rPr>
                <w:rFonts w:ascii="Times New Roman" w:hAnsi="Times New Roman"/>
              </w:rPr>
              <w:t>[...]</w:t>
            </w:r>
          </w:p>
        </w:tc>
        <w:tc>
          <w:tcPr>
            <w:tcW w:w="1559" w:type="dxa"/>
            <w:gridSpan w:val="3"/>
            <w:shd w:val="clear" w:color="auto" w:fill="FFFFFF"/>
          </w:tcPr>
          <w:p w14:paraId="3B2CCAA1"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406666B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B031AC9" w14:textId="7A1F3B8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512768AF" w14:textId="6864E4F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CA3D99C" w14:textId="3E5B2DFC" w:rsidR="004F1F82" w:rsidRPr="005D6998" w:rsidRDefault="004F1F82" w:rsidP="004F1F82">
            <w:pPr>
              <w:spacing w:after="0" w:line="240" w:lineRule="auto"/>
              <w:jc w:val="both"/>
              <w:rPr>
                <w:rFonts w:ascii="Times New Roman" w:hAnsi="Times New Roman"/>
              </w:rPr>
            </w:pPr>
            <w:r w:rsidRPr="005D6998">
              <w:rPr>
                <w:rFonts w:ascii="Times New Roman" w:hAnsi="Times New Roman"/>
              </w:rPr>
              <w:t>Aceleași recomandări sunt aplicabile și pentru art. 23</w:t>
            </w:r>
            <w:r w:rsidRPr="005D6998">
              <w:rPr>
                <w:rFonts w:ascii="Times New Roman" w:hAnsi="Times New Roman"/>
                <w:vertAlign w:val="superscript"/>
              </w:rPr>
              <w:t>4</w:t>
            </w:r>
            <w:r w:rsidRPr="005D6998">
              <w:rPr>
                <w:rFonts w:ascii="Times New Roman" w:hAnsi="Times New Roman"/>
              </w:rPr>
              <w:t xml:space="preserve"> alin. (2), art. 25 alin. (5), art. 28 alin. (2), art. 31</w:t>
            </w:r>
            <w:r w:rsidRPr="005D6998">
              <w:rPr>
                <w:rFonts w:ascii="Times New Roman" w:hAnsi="Times New Roman"/>
                <w:vertAlign w:val="superscript"/>
              </w:rPr>
              <w:t>1</w:t>
            </w:r>
            <w:r w:rsidRPr="005D6998">
              <w:rPr>
                <w:rFonts w:ascii="Times New Roman" w:hAnsi="Times New Roman"/>
              </w:rPr>
              <w:t xml:space="preserve"> alin. (4)–(6) și (8), precum și art. 32</w:t>
            </w:r>
            <w:r w:rsidRPr="005D6998">
              <w:rPr>
                <w:rFonts w:ascii="Times New Roman" w:hAnsi="Times New Roman"/>
                <w:vertAlign w:val="superscript"/>
              </w:rPr>
              <w:t>2</w:t>
            </w:r>
            <w:r w:rsidRPr="005D6998">
              <w:rPr>
                <w:rFonts w:ascii="Times New Roman" w:hAnsi="Times New Roman"/>
              </w:rPr>
              <w:t xml:space="preserve"> alin. (3).</w:t>
            </w:r>
          </w:p>
          <w:p w14:paraId="5D1710AC" w14:textId="77777777" w:rsidR="004F1F82" w:rsidRPr="005D6998" w:rsidRDefault="004F1F82" w:rsidP="00513EDC">
            <w:pPr>
              <w:spacing w:after="0" w:line="240" w:lineRule="auto"/>
              <w:jc w:val="both"/>
              <w:rPr>
                <w:rFonts w:ascii="Times New Roman" w:hAnsi="Times New Roman"/>
              </w:rPr>
            </w:pPr>
          </w:p>
          <w:p w14:paraId="6FE7EF57" w14:textId="77777777" w:rsidR="00513EDC" w:rsidRPr="005D6998" w:rsidRDefault="00513EDC" w:rsidP="004F1F82">
            <w:pPr>
              <w:spacing w:after="0" w:line="240" w:lineRule="auto"/>
              <w:jc w:val="both"/>
              <w:rPr>
                <w:rFonts w:ascii="Times New Roman" w:hAnsi="Times New Roman"/>
              </w:rPr>
            </w:pPr>
          </w:p>
        </w:tc>
        <w:tc>
          <w:tcPr>
            <w:tcW w:w="5012" w:type="dxa"/>
            <w:gridSpan w:val="3"/>
            <w:shd w:val="clear" w:color="auto" w:fill="FFFFFF"/>
          </w:tcPr>
          <w:p w14:paraId="0658298F" w14:textId="283C29E9"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2FD5E0C8" w14:textId="5E5E0EC3" w:rsidR="00513EDC" w:rsidRPr="005D6998" w:rsidRDefault="004F1F82"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Având în vedere că în ceea ce privește art. 25 alin. (5) propus este valabilă aceeași obiecție de la pct. 3</w:t>
            </w:r>
            <w:r w:rsidR="00780E38" w:rsidRPr="005D6998">
              <w:rPr>
                <w:rFonts w:ascii="Times New Roman" w:hAnsi="Times New Roman"/>
              </w:rPr>
              <w:t>2</w:t>
            </w:r>
            <w:r w:rsidRPr="005D6998">
              <w:rPr>
                <w:rFonts w:ascii="Times New Roman" w:hAnsi="Times New Roman"/>
              </w:rPr>
              <w:t xml:space="preserve"> din prezenta Sinteză cu privire la momentul intrării în vigoare a prevederilor care se referă la colaborarea cu Autoritatea Bancară Europeană/Comisia Europeană, se menționează că c</w:t>
            </w:r>
            <w:r w:rsidR="00513EDC" w:rsidRPr="005D6998">
              <w:rPr>
                <w:rFonts w:ascii="Times New Roman" w:hAnsi="Times New Roman"/>
              </w:rPr>
              <w:t xml:space="preserve">onform Art. </w:t>
            </w:r>
            <w:r w:rsidR="00663664" w:rsidRPr="005D6998">
              <w:rPr>
                <w:rFonts w:ascii="Times New Roman" w:hAnsi="Times New Roman"/>
              </w:rPr>
              <w:t>I</w:t>
            </w:r>
            <w:r w:rsidR="00513EDC" w:rsidRPr="005D6998">
              <w:rPr>
                <w:rFonts w:ascii="Times New Roman" w:hAnsi="Times New Roman"/>
              </w:rPr>
              <w:t>V alin. (3) lit. a) din proiect, pct. 23 care se referă la modificarea capitolului 3 Titlul II  (art. 24-31</w:t>
            </w:r>
            <w:r w:rsidR="00513EDC" w:rsidRPr="005D6998">
              <w:rPr>
                <w:rFonts w:ascii="Times New Roman" w:hAnsi="Times New Roman"/>
                <w:vertAlign w:val="superscript"/>
              </w:rPr>
              <w:t>1</w:t>
            </w:r>
            <w:r w:rsidR="00513EDC" w:rsidRPr="005D6998">
              <w:rPr>
                <w:rFonts w:ascii="Times New Roman" w:hAnsi="Times New Roman"/>
              </w:rPr>
              <w:t>) va intra în vigoare la data aderării.</w:t>
            </w:r>
          </w:p>
        </w:tc>
      </w:tr>
      <w:tr w:rsidR="00513EDC" w:rsidRPr="005D6998" w14:paraId="252C3F81" w14:textId="77777777" w:rsidTr="00651F58">
        <w:trPr>
          <w:gridAfter w:val="1"/>
          <w:wAfter w:w="10" w:type="dxa"/>
          <w:trHeight w:val="105"/>
        </w:trPr>
        <w:tc>
          <w:tcPr>
            <w:tcW w:w="899" w:type="dxa"/>
            <w:gridSpan w:val="3"/>
            <w:shd w:val="clear" w:color="auto" w:fill="FFFFFF"/>
          </w:tcPr>
          <w:p w14:paraId="7EA81CCA"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CC568C8"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b/>
                <w:bCs/>
              </w:rPr>
              <w:t xml:space="preserve">Articolul 28. </w:t>
            </w:r>
            <w:r w:rsidRPr="005D6998">
              <w:rPr>
                <w:rFonts w:ascii="Times New Roman" w:hAnsi="Times New Roman"/>
              </w:rPr>
              <w:t>Condiții pentru sucursalele calificate din state terțe</w:t>
            </w:r>
          </w:p>
          <w:p w14:paraId="3C51A97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(1) În sensul prezentului capitol, este considerată sucursală calificată dintr-un stat terț dacă sunt îndeplinite următoarele condiții în legătură cu o sucursală dintr-un stat terț: </w:t>
            </w:r>
          </w:p>
          <w:p w14:paraId="23DFB20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126568D2" w14:textId="57BD3797"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rPr>
              <w:t xml:space="preserve">c) întreprinderea principală este stabilită într-un stat care nu este considerat stat terț cu grad înalt de risc care are deficiențe strategice în regimul său privind combaterea spălării banilor și a finanțării terorismului, în conformitate cu legislația de domeniu. </w:t>
            </w:r>
          </w:p>
        </w:tc>
        <w:tc>
          <w:tcPr>
            <w:tcW w:w="1559" w:type="dxa"/>
            <w:gridSpan w:val="3"/>
            <w:shd w:val="clear" w:color="auto" w:fill="FFFFFF"/>
          </w:tcPr>
          <w:p w14:paraId="110A8A87"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57730872" w14:textId="5C711B62"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7317D42E" w14:textId="01B0D6BD"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E2F9FB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28 alin. (1) lit. c), care condiționează calificarea sucursalei dintr-un stat terț de faptul că întreprinderea principală nu este stabilită într-un stat terț cu grad înalt de risc care are deficiențe strategice în regimul privind combaterea spălării banilor și finanțării terorismului, se consideră necesară corelarea textului cu terminologia Legii nr. 308/2017 și cu actele normative aplicabile în materia statelor și jurisdicțiilor cu risc sporit, or sintagma „în conformitate cu legislația de domeniu” este prea generală și poate genera incertitudine în aplicare. </w:t>
            </w:r>
          </w:p>
          <w:p w14:paraId="7433CF96" w14:textId="16C3520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Respectiv, se propune precizarea că evaluarea se realizează în conformitate cu legislația națională aplicabilă </w:t>
            </w:r>
            <w:bookmarkStart w:id="8" w:name="_Hlk235030385"/>
            <w:r w:rsidRPr="005D6998">
              <w:rPr>
                <w:rFonts w:ascii="Times New Roman" w:hAnsi="Times New Roman"/>
              </w:rPr>
              <w:t>în domeniul prevenirii și combaterii spălării banilor și finanțării terorismului</w:t>
            </w:r>
            <w:bookmarkEnd w:id="8"/>
            <w:r w:rsidRPr="005D6998">
              <w:rPr>
                <w:rFonts w:ascii="Times New Roman" w:hAnsi="Times New Roman"/>
              </w:rPr>
              <w:t>, inclusiv prin raportare la listele sau actele normative relevante privind jurisdicțiile cu risc sporit.</w:t>
            </w:r>
          </w:p>
        </w:tc>
        <w:tc>
          <w:tcPr>
            <w:tcW w:w="5012" w:type="dxa"/>
            <w:gridSpan w:val="3"/>
            <w:shd w:val="clear" w:color="auto" w:fill="FFFFFF"/>
          </w:tcPr>
          <w:p w14:paraId="5DDFB5C8"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1C9DDF66" w14:textId="210B8036"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Textul “în conformitate cu legislația de domeniu” se substituie cu textul “în conformitate cu legislația în domeniul prevenirii și combaterii spălării banilor și finanțării terorismului”.</w:t>
            </w:r>
          </w:p>
          <w:p w14:paraId="02AF9679" w14:textId="2A1264E1"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Textul “inclusiv prin raportare la listele sau actele normative relevante privind jurisdicțiile cu risc sporit” nu se consideră a fi necesar, având în vedere că, conform legislației AML, urmează a fi aplicate cadrul secundar și listele relevante.</w:t>
            </w:r>
          </w:p>
        </w:tc>
      </w:tr>
      <w:tr w:rsidR="00513EDC" w:rsidRPr="005D6998" w14:paraId="7A8A93C8" w14:textId="77777777" w:rsidTr="00651F58">
        <w:trPr>
          <w:gridAfter w:val="1"/>
          <w:wAfter w:w="10" w:type="dxa"/>
          <w:trHeight w:val="105"/>
        </w:trPr>
        <w:tc>
          <w:tcPr>
            <w:tcW w:w="899" w:type="dxa"/>
            <w:gridSpan w:val="3"/>
            <w:shd w:val="clear" w:color="auto" w:fill="FFFFFF"/>
          </w:tcPr>
          <w:p w14:paraId="7C20B39A"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964D55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7C58F10C"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(2) Banca Națională a Moldovei evaluează condițiile prevăzute la alin. (1) și la art. 26 pentru a clasifica sucursala dintr-un stat terț în clasa 1 sau în clasa 2 la recepționarea unei cereri de autorizare în conformitate cu art. 25. În cazul în care statul terț relevant nu este înscris în registrul public  al statelor terțe și al autorităților competente a statelor terțe care îndeplinesc condițiile prevăzute la alin. (1), ținut de Autoritatea Bancară Europeană, </w:t>
            </w:r>
            <w:r w:rsidRPr="005D6998">
              <w:rPr>
                <w:rFonts w:ascii="Times New Roman" w:hAnsi="Times New Roman"/>
                <w:b/>
                <w:bCs/>
              </w:rPr>
              <w:t>Banca Națională a Moldovei solicită Comisiei Europene</w:t>
            </w:r>
            <w:r w:rsidRPr="005D6998">
              <w:rPr>
                <w:rFonts w:ascii="Times New Roman" w:hAnsi="Times New Roman"/>
              </w:rPr>
              <w:t xml:space="preserve"> să evalueze cadrul de reglementare bancară și cerințele de confidențialitate </w:t>
            </w:r>
            <w:r w:rsidRPr="005D6998">
              <w:rPr>
                <w:rFonts w:ascii="Times New Roman" w:hAnsi="Times New Roman"/>
              </w:rPr>
              <w:lastRenderedPageBreak/>
              <w:t>ale statului terț, sub rezerva îndeplinirii condiției menționate la alin. (1) lit. c).</w:t>
            </w:r>
          </w:p>
          <w:p w14:paraId="0D9706C5" w14:textId="46B2FBE6"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tc>
        <w:tc>
          <w:tcPr>
            <w:tcW w:w="1559" w:type="dxa"/>
            <w:gridSpan w:val="3"/>
            <w:shd w:val="clear" w:color="auto" w:fill="FFFFFF"/>
          </w:tcPr>
          <w:p w14:paraId="1B730740"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26E9D68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5EB75BA" w14:textId="42791F15"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65104951" w14:textId="782ABF90"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4E1D2AF" w14:textId="651903A4" w:rsidR="00663664" w:rsidRPr="005D6998" w:rsidRDefault="00663664" w:rsidP="00513EDC">
            <w:pPr>
              <w:spacing w:after="0" w:line="240" w:lineRule="auto"/>
              <w:jc w:val="both"/>
              <w:rPr>
                <w:rFonts w:ascii="Times New Roman" w:hAnsi="Times New Roman"/>
              </w:rPr>
            </w:pPr>
            <w:r w:rsidRPr="005D6998">
              <w:rPr>
                <w:rFonts w:ascii="Times New Roman" w:hAnsi="Times New Roman"/>
              </w:rPr>
              <w:t>Aceleași recomandări sunt aplicabile și pentru art. 23</w:t>
            </w:r>
            <w:r w:rsidR="00A94E86" w:rsidRPr="005D6998">
              <w:rPr>
                <w:rFonts w:ascii="Times New Roman" w:hAnsi="Times New Roman"/>
                <w:vertAlign w:val="superscript"/>
              </w:rPr>
              <w:t>4</w:t>
            </w:r>
            <w:r w:rsidRPr="005D6998">
              <w:rPr>
                <w:rFonts w:ascii="Times New Roman" w:hAnsi="Times New Roman"/>
              </w:rPr>
              <w:t xml:space="preserve"> alin. (2), art. 25 alin. (5), art. 28 alin. (2), art. 31¹ alin. (4)–(6) și (8), precum și art. 32</w:t>
            </w:r>
            <w:r w:rsidR="00A94E86" w:rsidRPr="005D6998">
              <w:rPr>
                <w:rFonts w:ascii="Times New Roman" w:hAnsi="Times New Roman"/>
                <w:vertAlign w:val="superscript"/>
              </w:rPr>
              <w:t>2</w:t>
            </w:r>
            <w:r w:rsidRPr="005D6998">
              <w:rPr>
                <w:rFonts w:ascii="Times New Roman" w:hAnsi="Times New Roman"/>
              </w:rPr>
              <w:t xml:space="preserve"> alin. (3).</w:t>
            </w:r>
          </w:p>
          <w:p w14:paraId="370B1203" w14:textId="77777777" w:rsidR="00663664" w:rsidRPr="005D6998" w:rsidRDefault="00663664" w:rsidP="00513EDC">
            <w:pPr>
              <w:spacing w:after="0" w:line="240" w:lineRule="auto"/>
              <w:jc w:val="both"/>
              <w:rPr>
                <w:rFonts w:ascii="Times New Roman" w:hAnsi="Times New Roman"/>
                <w:color w:val="FF0000"/>
              </w:rPr>
            </w:pPr>
          </w:p>
          <w:p w14:paraId="3CD9A63B" w14:textId="77777777" w:rsidR="00513EDC" w:rsidRPr="005D6998" w:rsidRDefault="00513EDC" w:rsidP="00A94E86">
            <w:pPr>
              <w:spacing w:after="0" w:line="240" w:lineRule="auto"/>
              <w:jc w:val="both"/>
              <w:rPr>
                <w:rFonts w:ascii="Times New Roman" w:hAnsi="Times New Roman"/>
              </w:rPr>
            </w:pPr>
          </w:p>
        </w:tc>
        <w:tc>
          <w:tcPr>
            <w:tcW w:w="5012" w:type="dxa"/>
            <w:gridSpan w:val="3"/>
            <w:shd w:val="clear" w:color="auto" w:fill="FFFFFF"/>
          </w:tcPr>
          <w:p w14:paraId="3CF6E7EC" w14:textId="13CB1669"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04CAFE4D" w14:textId="20FC72CF" w:rsidR="00513EDC" w:rsidRPr="005D6998" w:rsidRDefault="00A94E86" w:rsidP="00A94E86">
            <w:pPr>
              <w:spacing w:after="0" w:line="240" w:lineRule="auto"/>
              <w:jc w:val="both"/>
              <w:rPr>
                <w:rFonts w:ascii="Times New Roman" w:hAnsi="Times New Roman"/>
                <w:b/>
                <w:bCs/>
              </w:rPr>
            </w:pPr>
            <w:r w:rsidRPr="005D6998">
              <w:rPr>
                <w:rFonts w:ascii="Times New Roman" w:hAnsi="Times New Roman"/>
              </w:rPr>
              <w:t>Având în vedere că în ceea ce privește art. 28 alin. (2) și art. 31</w:t>
            </w:r>
            <w:r w:rsidRPr="005D6998">
              <w:rPr>
                <w:rFonts w:ascii="Times New Roman" w:hAnsi="Times New Roman"/>
                <w:vertAlign w:val="superscript"/>
              </w:rPr>
              <w:t>1</w:t>
            </w:r>
            <w:r w:rsidRPr="005D6998">
              <w:rPr>
                <w:rFonts w:ascii="Times New Roman" w:hAnsi="Times New Roman"/>
              </w:rPr>
              <w:t xml:space="preserve"> alin. (4)-(6) și (8) propuse, este valabilă aceeași obiecție de la pct. 3</w:t>
            </w:r>
            <w:r w:rsidR="00780E38" w:rsidRPr="005D6998">
              <w:rPr>
                <w:rFonts w:ascii="Times New Roman" w:hAnsi="Times New Roman"/>
              </w:rPr>
              <w:t>2</w:t>
            </w:r>
            <w:r w:rsidRPr="005D6998">
              <w:rPr>
                <w:rFonts w:ascii="Times New Roman" w:hAnsi="Times New Roman"/>
              </w:rPr>
              <w:t xml:space="preserve"> din prezenta Sinteză cu privire la momentul intrării în vigoare a prevederilor care se referă la colaborarea cu Autoritatea Bancară Europeană/Comisia Europeană, se menționează că c</w:t>
            </w:r>
            <w:r w:rsidR="00513EDC" w:rsidRPr="005D6998">
              <w:rPr>
                <w:rFonts w:ascii="Times New Roman" w:hAnsi="Times New Roman"/>
              </w:rPr>
              <w:t xml:space="preserve">onform Art. </w:t>
            </w:r>
            <w:r w:rsidR="00663664" w:rsidRPr="005D6998">
              <w:rPr>
                <w:rFonts w:ascii="Times New Roman" w:hAnsi="Times New Roman"/>
              </w:rPr>
              <w:t>I</w:t>
            </w:r>
            <w:r w:rsidR="00513EDC" w:rsidRPr="005D6998">
              <w:rPr>
                <w:rFonts w:ascii="Times New Roman" w:hAnsi="Times New Roman"/>
              </w:rPr>
              <w:t>V alin. (3) lit. a) din proiect, pct. 23 care se referă la modificarea capitolului 3 Titlul II  (art. 24-31</w:t>
            </w:r>
            <w:r w:rsidR="00513EDC" w:rsidRPr="005D6998">
              <w:rPr>
                <w:rFonts w:ascii="Times New Roman" w:hAnsi="Times New Roman"/>
                <w:vertAlign w:val="superscript"/>
              </w:rPr>
              <w:t>1</w:t>
            </w:r>
            <w:r w:rsidR="00513EDC" w:rsidRPr="005D6998">
              <w:rPr>
                <w:rFonts w:ascii="Times New Roman" w:hAnsi="Times New Roman"/>
              </w:rPr>
              <w:t>) va intra în vigoare la data aderării.</w:t>
            </w:r>
          </w:p>
        </w:tc>
      </w:tr>
      <w:tr w:rsidR="00513EDC" w:rsidRPr="005D6998" w14:paraId="6AAC5242" w14:textId="77777777" w:rsidTr="00651F58">
        <w:trPr>
          <w:gridAfter w:val="1"/>
          <w:wAfter w:w="10" w:type="dxa"/>
          <w:trHeight w:val="105"/>
        </w:trPr>
        <w:tc>
          <w:tcPr>
            <w:tcW w:w="899" w:type="dxa"/>
            <w:gridSpan w:val="3"/>
            <w:shd w:val="clear" w:color="auto" w:fill="FFFFFF"/>
          </w:tcPr>
          <w:p w14:paraId="753BA8C5"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FF2AA1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b/>
              </w:rPr>
              <w:t>Articolul 29</w:t>
            </w:r>
            <w:r w:rsidRPr="005D6998">
              <w:rPr>
                <w:rFonts w:ascii="Times New Roman" w:hAnsi="Times New Roman"/>
                <w:b/>
                <w:bCs/>
              </w:rPr>
              <w:t>.</w:t>
            </w:r>
            <w:r w:rsidRPr="005D6998">
              <w:rPr>
                <w:rFonts w:ascii="Times New Roman" w:hAnsi="Times New Roman"/>
              </w:rPr>
              <w:t xml:space="preserve"> </w:t>
            </w:r>
            <w:bookmarkStart w:id="9" w:name="_Hlk215487911"/>
            <w:r w:rsidRPr="005D6998">
              <w:rPr>
                <w:rFonts w:ascii="Times New Roman" w:hAnsi="Times New Roman"/>
              </w:rPr>
              <w:t>Refuzul acordării autorizației sucursalei sau retragerea autorizației sucursalei</w:t>
            </w:r>
            <w:bookmarkEnd w:id="9"/>
            <w:r w:rsidRPr="005D6998">
              <w:rPr>
                <w:rFonts w:ascii="Times New Roman" w:hAnsi="Times New Roman"/>
              </w:rPr>
              <w:t xml:space="preserve"> dintr-un stat terț</w:t>
            </w:r>
          </w:p>
          <w:p w14:paraId="6B7433A8"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 Banca Naţională a Moldovei poate retrage autorizația acordată unei sucursale dintr-un stat  terț în una dintre următoarele situații: [...]</w:t>
            </w:r>
          </w:p>
          <w:p w14:paraId="33D6086C" w14:textId="77777777" w:rsidR="00513EDC" w:rsidRPr="005D6998" w:rsidRDefault="00513EDC" w:rsidP="00513EDC">
            <w:pPr>
              <w:spacing w:after="0" w:line="240" w:lineRule="auto"/>
              <w:jc w:val="both"/>
              <w:rPr>
                <w:rFonts w:ascii="Times New Roman" w:hAnsi="Times New Roman"/>
              </w:rPr>
            </w:pPr>
          </w:p>
          <w:p w14:paraId="63EEA52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g) există motive rezonabile de a suspecta că se săvârșește sau s-a săvârșit o faptă sau o tentativă de spălare de bani ori de finanțare a terorismului în sensul Legii nr. 308/2017 cu privire la prevenirea şi combaterea spălării banilor şi finanţării terorismului în legătură cu sucursala dintr-un stat terț, cu întreprinderea sa principală sau cu grupul din care face parte aceasta sau că există un risc crescut de săvârșire a faptei sau a tentativei de spălare a banilor ori de finanțare a terorismului în legătură cu sucursala dintr-un stat terț, cu întreprinderea sa principală sau cu grupul din care face parte aceasta.</w:t>
            </w:r>
            <w:r w:rsidRPr="005D6998">
              <w:rPr>
                <w:rFonts w:ascii="Times New Roman" w:hAnsi="Times New Roman"/>
                <w:b/>
                <w:bCs/>
                <w:color w:val="FF0000"/>
              </w:rPr>
              <w:t xml:space="preserve"> </w:t>
            </w:r>
          </w:p>
          <w:p w14:paraId="0CC681DC" w14:textId="77777777" w:rsidR="00513EDC" w:rsidRPr="005D6998" w:rsidRDefault="00513EDC" w:rsidP="00513EDC">
            <w:pPr>
              <w:spacing w:after="0" w:line="240" w:lineRule="auto"/>
              <w:jc w:val="both"/>
              <w:rPr>
                <w:rFonts w:ascii="Times New Roman" w:hAnsi="Times New Roman"/>
                <w:b/>
                <w:bCs/>
              </w:rPr>
            </w:pPr>
          </w:p>
        </w:tc>
        <w:tc>
          <w:tcPr>
            <w:tcW w:w="1559" w:type="dxa"/>
            <w:gridSpan w:val="3"/>
            <w:shd w:val="clear" w:color="auto" w:fill="FFFFFF"/>
          </w:tcPr>
          <w:p w14:paraId="55436D9D"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367084CD" w14:textId="16D0F7B4"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15A388F0" w14:textId="1B03EC48"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9BB7BCC" w14:textId="33891CA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29 alin. (1) lit. g), se propune completarea textului cu mențiunea că informațiile comunicate de Serviciu constituie elemente relevante pentru evaluarea riscului în domeniul prevenirii și combaterii spălării banilor și finanțării terorismului, fără a substitui procedura de constatare a încălcărilor și fără a aduce atingere regimului special al informațiilor prevăzut de art. 16 din Legea nr. 308/2017.</w:t>
            </w:r>
          </w:p>
          <w:p w14:paraId="58891EEB" w14:textId="77777777" w:rsidR="00513EDC" w:rsidRPr="005D6998" w:rsidRDefault="00513EDC" w:rsidP="00513EDC">
            <w:pPr>
              <w:spacing w:after="0" w:line="240" w:lineRule="auto"/>
              <w:jc w:val="both"/>
              <w:rPr>
                <w:rFonts w:ascii="Times New Roman" w:hAnsi="Times New Roman"/>
              </w:rPr>
            </w:pPr>
          </w:p>
          <w:p w14:paraId="1F740719" w14:textId="5706FE4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art. 29 alin. (1) lit. g) prevede posibilitatea retragerii autorizației sucursalei dintr-un stat terț în cazul existenței unor motive rezonabile de a suspecta săvârșirea unei fapte sau tentative de spălare a banilor sau finanțare a terorismului sau existența unui risc crescut în acest sens, se constată că norma necesită clarificarea standardului juridic aplicabil. </w:t>
            </w:r>
          </w:p>
          <w:p w14:paraId="01A63B90" w14:textId="77777777" w:rsidR="00513EDC" w:rsidRPr="005D6998" w:rsidRDefault="00513EDC" w:rsidP="00513EDC">
            <w:pPr>
              <w:spacing w:after="0" w:line="240" w:lineRule="auto"/>
              <w:jc w:val="both"/>
              <w:rPr>
                <w:rFonts w:ascii="Times New Roman" w:hAnsi="Times New Roman"/>
              </w:rPr>
            </w:pPr>
          </w:p>
          <w:p w14:paraId="414108D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Proiectul nu delimitează suficient între suspiciune, risc crescut și încălcare constatată, or suspiciunea poate rezulta din informații relevante disponibile, analize financiare, raportări privind activități sau tranzacții suspecte, informații primite prin cooperare sau alte surse legale, fără a presupune existența unei încălcări constatate, iar riscul crescut reprezintă o apreciere bazată pe factori obiectivi de risc, precum și încălcarea constatată presupune o procedură finalizată potrivit cadrului legal aplicabil, inclusiv, după caz, conform Legii nr. 75/2020. </w:t>
            </w:r>
          </w:p>
          <w:p w14:paraId="3DC91835" w14:textId="76FE3517"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 xml:space="preserve">Respectiv, se consideră că în lipsa unei delimitări clare, norma poate genera aplicare neuniformă și litigii privind standardul probator necesar pentru retragerea autorizației. </w:t>
            </w:r>
          </w:p>
        </w:tc>
        <w:tc>
          <w:tcPr>
            <w:tcW w:w="5012" w:type="dxa"/>
            <w:gridSpan w:val="3"/>
            <w:shd w:val="clear" w:color="auto" w:fill="FFFFFF"/>
          </w:tcPr>
          <w:p w14:paraId="64C69A43"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6AF5EB17" w14:textId="514DEF9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Luând în considerare obiectul de reglementare al Legii nr. 202/2017, precum și cel al Directivei 2013/36/UE care se transpune prin prezentul proiect, nu se consideră oportună </w:t>
            </w:r>
            <w:r w:rsidRPr="005D6998">
              <w:rPr>
                <w:rFonts w:ascii="Times New Roman" w:hAnsi="Times New Roman"/>
                <w:lang w:val="ro-MD"/>
              </w:rPr>
              <w:t xml:space="preserve">completarea normei cu precizări referitoare la valoarea probatorie a informațiilor comunicate de Serviciu, mai ales că aceste aspecte deja sunt reglementate prin </w:t>
            </w:r>
            <w:r w:rsidRPr="005D6998">
              <w:rPr>
                <w:rFonts w:ascii="Times New Roman" w:hAnsi="Times New Roman"/>
              </w:rPr>
              <w:t xml:space="preserve">prevederile Legii nr. 308/2017. </w:t>
            </w:r>
          </w:p>
          <w:p w14:paraId="07E1E85A" w14:textId="6364A9C5"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Art. 29 alin. (1) lit. g) transpune fidel art. 48d din CRD VI și are natură prudențială specifică sectorului bancar, dar nu o sancțiune pentru încălcările în domeniul AML.</w:t>
            </w:r>
          </w:p>
          <w:p w14:paraId="70CA84EC" w14:textId="7F3ABF0D"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Totodată, </w:t>
            </w:r>
            <w:r w:rsidRPr="005D6998">
              <w:rPr>
                <w:rFonts w:ascii="Times New Roman" w:hAnsi="Times New Roman"/>
                <w:lang w:val="ro-MD"/>
              </w:rPr>
              <w:t>introducerea mențiunilor propuse ar putea crea impresia că exercitarea competenței BNM de retragere a autorizației depinde de constatarea prealabilă a unei încălcări sau de o anumită categorie de informații, ceea ce nu rezultă din textul CRD VI.</w:t>
            </w:r>
          </w:p>
          <w:p w14:paraId="7DD75840" w14:textId="245A3325"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66B28BDC" w14:textId="7FD021B4"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0BE4370C" w14:textId="77777777" w:rsidTr="00651F58">
        <w:trPr>
          <w:gridAfter w:val="1"/>
          <w:wAfter w:w="10" w:type="dxa"/>
          <w:trHeight w:val="105"/>
        </w:trPr>
        <w:tc>
          <w:tcPr>
            <w:tcW w:w="899" w:type="dxa"/>
            <w:gridSpan w:val="3"/>
            <w:shd w:val="clear" w:color="auto" w:fill="FFFFFF"/>
          </w:tcPr>
          <w:p w14:paraId="22863586"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DA8EB18"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b/>
                <w:bCs/>
              </w:rPr>
              <w:t>Articolul 31</w:t>
            </w:r>
            <w:r w:rsidRPr="005D6998">
              <w:rPr>
                <w:rFonts w:ascii="Times New Roman" w:hAnsi="Times New Roman"/>
                <w:b/>
                <w:bCs/>
                <w:vertAlign w:val="superscript"/>
              </w:rPr>
              <w:t>1</w:t>
            </w:r>
            <w:r w:rsidRPr="005D6998">
              <w:rPr>
                <w:rFonts w:ascii="Times New Roman" w:hAnsi="Times New Roman"/>
                <w:b/>
                <w:bCs/>
              </w:rPr>
              <w:t>.</w:t>
            </w:r>
            <w:r w:rsidRPr="005D6998">
              <w:rPr>
                <w:rFonts w:ascii="Times New Roman" w:hAnsi="Times New Roman"/>
              </w:rPr>
              <w:t xml:space="preserve"> Cerințele privind sucursalele din state terțe care au o importanță sistemică și evaluarea importanței sistemice </w:t>
            </w:r>
          </w:p>
          <w:p w14:paraId="644FCFD5" w14:textId="77777777" w:rsidR="00513EDC" w:rsidRPr="005D6998" w:rsidRDefault="00513EDC" w:rsidP="00513EDC">
            <w:pPr>
              <w:pStyle w:val="a7"/>
              <w:tabs>
                <w:tab w:val="left" w:pos="426"/>
              </w:tabs>
              <w:spacing w:after="0" w:line="240" w:lineRule="auto"/>
              <w:ind w:left="0"/>
              <w:jc w:val="both"/>
              <w:rPr>
                <w:rFonts w:ascii="Times New Roman" w:hAnsi="Times New Roman"/>
                <w:b/>
                <w:bCs/>
              </w:rPr>
            </w:pPr>
            <w:r w:rsidRPr="005D6998">
              <w:rPr>
                <w:rFonts w:ascii="Times New Roman" w:hAnsi="Times New Roman"/>
                <w:b/>
                <w:bCs/>
              </w:rPr>
              <w:t>[...]</w:t>
            </w:r>
          </w:p>
          <w:p w14:paraId="64E50F98"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(4) Ca parte a evaluării prevăzute la alin. (1), </w:t>
            </w:r>
            <w:r w:rsidRPr="005D6998">
              <w:rPr>
                <w:rFonts w:ascii="Times New Roman" w:hAnsi="Times New Roman"/>
                <w:b/>
                <w:bCs/>
              </w:rPr>
              <w:t>Banca Națională a Moldovei consultă Autoritatea Bancară Europeană</w:t>
            </w:r>
            <w:r w:rsidRPr="005D6998">
              <w:rPr>
                <w:rFonts w:ascii="Times New Roman" w:hAnsi="Times New Roman"/>
              </w:rPr>
              <w:t xml:space="preserve"> și autoritățile competente din statele membre în care grupul relevant dintr-un stat terț a înființat alte sucursale din state terțe sau instituții de credit-filiale pentru a evalua riscurile la adresa stabilității financiare pe care le prezintă sucursalele relevante dintr-un stat terț pentru Republica Moldova.</w:t>
            </w:r>
            <w:r w:rsidRPr="005D6998">
              <w:rPr>
                <w:rFonts w:ascii="Times New Roman" w:hAnsi="Times New Roman"/>
                <w:b/>
                <w:bCs/>
                <w:color w:val="FF0000"/>
              </w:rPr>
              <w:t xml:space="preserve"> </w:t>
            </w:r>
          </w:p>
          <w:p w14:paraId="429425A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(5) </w:t>
            </w:r>
            <w:r w:rsidRPr="005D6998">
              <w:rPr>
                <w:rFonts w:ascii="Times New Roman" w:hAnsi="Times New Roman"/>
                <w:b/>
                <w:bCs/>
              </w:rPr>
              <w:t>Banca Națională a Moldovei transmite Autorității Bancare Europene</w:t>
            </w:r>
            <w:r w:rsidRPr="005D6998">
              <w:rPr>
                <w:rFonts w:ascii="Times New Roman" w:hAnsi="Times New Roman"/>
              </w:rPr>
              <w:t xml:space="preserve"> și autorităților competente din statele membre în care grupul relevant dintr-un stat terț a înființat alte sucursale din state terțe sau instituții de credit-filiale evaluarea sa motivată cu privire la importanța sistemică a sucursalei dintr-un stat terț stabilită pe teritoriul Republicii Moldova pentru Uniunea Europeană sau pentru Republica Moldova.</w:t>
            </w:r>
            <w:r w:rsidRPr="005D6998">
              <w:rPr>
                <w:rFonts w:ascii="Times New Roman" w:hAnsi="Times New Roman"/>
                <w:b/>
                <w:bCs/>
                <w:color w:val="FF0000"/>
              </w:rPr>
              <w:t xml:space="preserve"> </w:t>
            </w:r>
          </w:p>
          <w:p w14:paraId="4875D6BB"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(6) Banca Națională a Moldovei </w:t>
            </w:r>
            <w:r w:rsidRPr="005D6998">
              <w:rPr>
                <w:rFonts w:ascii="Times New Roman" w:hAnsi="Times New Roman"/>
                <w:b/>
                <w:bCs/>
              </w:rPr>
              <w:t xml:space="preserve">depune, cu asistență din partea Autorității Bancare Europene, toate eforturile necesare pentru a ajunge la un consens cu privire la evaluare </w:t>
            </w:r>
            <w:r w:rsidRPr="005D6998">
              <w:rPr>
                <w:rFonts w:ascii="Times New Roman" w:hAnsi="Times New Roman"/>
                <w:b/>
                <w:bCs/>
              </w:rPr>
              <w:lastRenderedPageBreak/>
              <w:t>și, după caz, cu privire la cerințele specifice prevăzute la alin. (7)</w:t>
            </w:r>
            <w:r w:rsidRPr="005D6998">
              <w:rPr>
                <w:rFonts w:ascii="Times New Roman" w:hAnsi="Times New Roman"/>
              </w:rPr>
              <w:t xml:space="preserve"> în termen de cel mult trei luni de la data la care autoritatea competentă sau, după caz, autoritatea desemnată a formulat obiecții. După expirarea acestei perioade, Banca Națională a Moldovei, în calitate de autoritate competentă responsabilă cu supravegherea sucursalei dintr-un stat terț în curs de evaluare decide cu privire la evaluarea importanței sistemice a sucursalei dintr-un stat terț și cu privire la cerințele specifice prevăzute alin. (7).</w:t>
            </w:r>
            <w:r w:rsidRPr="005D6998">
              <w:rPr>
                <w:rFonts w:ascii="Times New Roman" w:hAnsi="Times New Roman"/>
                <w:b/>
                <w:bCs/>
                <w:color w:val="FF0000"/>
              </w:rPr>
              <w:t xml:space="preserve"> </w:t>
            </w:r>
          </w:p>
          <w:p w14:paraId="6BBB93F4" w14:textId="77777777"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bCs/>
              </w:rPr>
              <w:t>[...]</w:t>
            </w:r>
          </w:p>
          <w:p w14:paraId="11C01FA3" w14:textId="1B738421"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(8) În cazul în care Banca Națională a Moldovei consideră că o sucursală dintr-un stat terț are o importanță sistemică, dar decide să nu exercite niciuna dintre competențele menționate la alin. (7) lit. a) sau art. 31</w:t>
            </w:r>
            <w:r w:rsidRPr="005D6998">
              <w:rPr>
                <w:rFonts w:ascii="Times New Roman" w:hAnsi="Times New Roman"/>
                <w:vertAlign w:val="superscript"/>
              </w:rPr>
              <w:t>1</w:t>
            </w:r>
            <w:r w:rsidRPr="005D6998">
              <w:rPr>
                <w:rFonts w:ascii="Times New Roman" w:hAnsi="Times New Roman"/>
              </w:rPr>
              <w:t xml:space="preserve">, aceasta </w:t>
            </w:r>
            <w:r w:rsidRPr="005D6998">
              <w:rPr>
                <w:rFonts w:ascii="Times New Roman" w:hAnsi="Times New Roman"/>
                <w:b/>
                <w:bCs/>
              </w:rPr>
              <w:t xml:space="preserve">transmite o notificare motivată Autorității Bancare Europene </w:t>
            </w:r>
            <w:r w:rsidRPr="005D6998">
              <w:rPr>
                <w:rFonts w:ascii="Times New Roman" w:hAnsi="Times New Roman"/>
              </w:rPr>
              <w:t>și autorităților competente din statele membre în care grupul relevant dintr-un stat terț a înființat alte sucursale din state terțe sau instituții de credit-filiale cu privire la motivele pentru care a decis să nu își exercite competențele respective.”;</w:t>
            </w:r>
          </w:p>
        </w:tc>
        <w:tc>
          <w:tcPr>
            <w:tcW w:w="1559" w:type="dxa"/>
            <w:gridSpan w:val="3"/>
            <w:shd w:val="clear" w:color="auto" w:fill="FFFFFF"/>
          </w:tcPr>
          <w:p w14:paraId="538936BC"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5205B8B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28A6E69" w14:textId="0C7FF5E2"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63BA5C7A" w14:textId="008C3F08"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821219F" w14:textId="77777777" w:rsidR="00446DD5" w:rsidRPr="005D6998" w:rsidRDefault="00446DD5" w:rsidP="00446DD5">
            <w:pPr>
              <w:spacing w:after="0" w:line="240" w:lineRule="auto"/>
              <w:jc w:val="both"/>
              <w:rPr>
                <w:rFonts w:ascii="Times New Roman" w:hAnsi="Times New Roman"/>
              </w:rPr>
            </w:pPr>
            <w:r w:rsidRPr="005D6998">
              <w:rPr>
                <w:rFonts w:ascii="Times New Roman" w:hAnsi="Times New Roman"/>
              </w:rPr>
              <w:t>Aceleași recomandări sunt aplicabile și pentru art. 23</w:t>
            </w:r>
            <w:r w:rsidRPr="005D6998">
              <w:rPr>
                <w:rFonts w:ascii="Times New Roman" w:hAnsi="Times New Roman"/>
                <w:vertAlign w:val="superscript"/>
              </w:rPr>
              <w:t>4</w:t>
            </w:r>
            <w:r w:rsidRPr="005D6998">
              <w:rPr>
                <w:rFonts w:ascii="Times New Roman" w:hAnsi="Times New Roman"/>
              </w:rPr>
              <w:t xml:space="preserve"> alin. (2), art. 25 alin. (5), art. 28 alin. (2), art. 31¹ alin. (4)–(6) și (8), precum și art. 32</w:t>
            </w:r>
            <w:r w:rsidRPr="005D6998">
              <w:rPr>
                <w:rFonts w:ascii="Times New Roman" w:hAnsi="Times New Roman"/>
                <w:vertAlign w:val="superscript"/>
              </w:rPr>
              <w:t>2</w:t>
            </w:r>
            <w:r w:rsidRPr="005D6998">
              <w:rPr>
                <w:rFonts w:ascii="Times New Roman" w:hAnsi="Times New Roman"/>
              </w:rPr>
              <w:t xml:space="preserve"> alin. (3).</w:t>
            </w:r>
          </w:p>
          <w:p w14:paraId="14B94B3C" w14:textId="77777777" w:rsidR="00446DD5" w:rsidRPr="005D6998" w:rsidRDefault="00446DD5" w:rsidP="00513EDC">
            <w:pPr>
              <w:spacing w:after="0" w:line="240" w:lineRule="auto"/>
              <w:jc w:val="both"/>
              <w:rPr>
                <w:rFonts w:ascii="Times New Roman" w:hAnsi="Times New Roman"/>
              </w:rPr>
            </w:pPr>
          </w:p>
          <w:p w14:paraId="7F7AA635" w14:textId="77777777"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6D84E573"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1F47430E" w14:textId="247770A6" w:rsidR="00513EDC" w:rsidRPr="005D6998" w:rsidRDefault="00446DD5"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Având în vedere că în ceea ce privește art. 31</w:t>
            </w:r>
            <w:r w:rsidRPr="005D6998">
              <w:rPr>
                <w:rFonts w:ascii="Times New Roman" w:hAnsi="Times New Roman"/>
                <w:vertAlign w:val="superscript"/>
              </w:rPr>
              <w:t>1</w:t>
            </w:r>
            <w:r w:rsidRPr="005D6998">
              <w:rPr>
                <w:rFonts w:ascii="Times New Roman" w:hAnsi="Times New Roman"/>
              </w:rPr>
              <w:t xml:space="preserve"> alin. (4)-(6) și (8) propuse, este valabilă aceeași obiecție de la pct. 3</w:t>
            </w:r>
            <w:r w:rsidR="00780E38" w:rsidRPr="005D6998">
              <w:rPr>
                <w:rFonts w:ascii="Times New Roman" w:hAnsi="Times New Roman"/>
              </w:rPr>
              <w:t>2</w:t>
            </w:r>
            <w:r w:rsidRPr="005D6998">
              <w:rPr>
                <w:rFonts w:ascii="Times New Roman" w:hAnsi="Times New Roman"/>
              </w:rPr>
              <w:t xml:space="preserve"> din prezenta Sinteză cu privire la momentul intrării în vigoare a prevederilor care se referă la colaborarea cu Autoritatea Bancară Europeană/Comisia Europeană, se menționează că c</w:t>
            </w:r>
            <w:r w:rsidR="00513EDC" w:rsidRPr="005D6998">
              <w:rPr>
                <w:rFonts w:ascii="Times New Roman" w:hAnsi="Times New Roman"/>
              </w:rPr>
              <w:t>onform Art. V alin. (3) lit. a) din proiect, pct. 23 care se referă la modificarea capitolului 3 Titlul II  (art. 24-31</w:t>
            </w:r>
            <w:r w:rsidR="00513EDC" w:rsidRPr="005D6998">
              <w:rPr>
                <w:rFonts w:ascii="Times New Roman" w:hAnsi="Times New Roman"/>
                <w:vertAlign w:val="superscript"/>
              </w:rPr>
              <w:t>1</w:t>
            </w:r>
            <w:r w:rsidR="00513EDC" w:rsidRPr="005D6998">
              <w:rPr>
                <w:rFonts w:ascii="Times New Roman" w:hAnsi="Times New Roman"/>
              </w:rPr>
              <w:t>) va intra în vigoare la data aderării</w:t>
            </w:r>
            <w:r w:rsidRPr="005D6998">
              <w:rPr>
                <w:rFonts w:ascii="Times New Roman" w:hAnsi="Times New Roman"/>
              </w:rPr>
              <w:t>.</w:t>
            </w:r>
          </w:p>
        </w:tc>
      </w:tr>
      <w:tr w:rsidR="00513EDC" w:rsidRPr="005D6998" w14:paraId="0F808B58" w14:textId="77777777" w:rsidTr="00651F58">
        <w:trPr>
          <w:gridAfter w:val="1"/>
          <w:wAfter w:w="10" w:type="dxa"/>
          <w:trHeight w:val="105"/>
        </w:trPr>
        <w:tc>
          <w:tcPr>
            <w:tcW w:w="899" w:type="dxa"/>
            <w:gridSpan w:val="3"/>
            <w:shd w:val="clear" w:color="auto" w:fill="FFFFFF"/>
          </w:tcPr>
          <w:p w14:paraId="2E7AB260"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5E2683B" w14:textId="4D814919"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25.</w:t>
            </w:r>
            <w:r w:rsidRPr="005D6998">
              <w:rPr>
                <w:rFonts w:ascii="Times New Roman" w:hAnsi="Times New Roman"/>
              </w:rPr>
              <w:t xml:space="preserve"> Se completează cu </w:t>
            </w:r>
            <w:r w:rsidRPr="005D6998">
              <w:rPr>
                <w:rFonts w:ascii="Times New Roman" w:hAnsi="Times New Roman"/>
                <w:b/>
                <w:bCs/>
              </w:rPr>
              <w:t>articolul 32</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 xml:space="preserve">și </w:t>
            </w:r>
            <w:r w:rsidRPr="005D6998">
              <w:rPr>
                <w:rFonts w:ascii="Times New Roman" w:hAnsi="Times New Roman"/>
                <w:b/>
                <w:bCs/>
              </w:rPr>
              <w:t>articolul 32</w:t>
            </w:r>
            <w:r w:rsidRPr="005D6998">
              <w:rPr>
                <w:rFonts w:ascii="Times New Roman" w:hAnsi="Times New Roman"/>
                <w:b/>
                <w:bCs/>
                <w:vertAlign w:val="superscript"/>
              </w:rPr>
              <w:t>2</w:t>
            </w:r>
            <w:r w:rsidRPr="005D6998">
              <w:rPr>
                <w:rFonts w:ascii="Times New Roman" w:hAnsi="Times New Roman"/>
              </w:rPr>
              <w:t xml:space="preserve"> cu următorul cuprins:</w:t>
            </w:r>
          </w:p>
          <w:p w14:paraId="2C4D25E2" w14:textId="6E6C2A0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64717B61" w14:textId="1B399E0B"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(3) </w:t>
            </w:r>
            <w:r w:rsidRPr="005D6998">
              <w:rPr>
                <w:rFonts w:ascii="Times New Roman" w:hAnsi="Times New Roman"/>
                <w:b/>
                <w:bCs/>
              </w:rPr>
              <w:t>Banca Națională a Moldovei poate să sesizeze Autoritatea Bancară Europeană pentru a solicita asistență</w:t>
            </w:r>
            <w:r w:rsidRPr="005D6998">
              <w:rPr>
                <w:rFonts w:ascii="Times New Roman" w:hAnsi="Times New Roman"/>
              </w:rPr>
              <w:t xml:space="preserve">, în vederea ajungerii la un </w:t>
            </w:r>
            <w:r w:rsidRPr="005D6998">
              <w:rPr>
                <w:rFonts w:ascii="Times New Roman" w:hAnsi="Times New Roman"/>
              </w:rPr>
              <w:lastRenderedPageBreak/>
              <w:t>acord cu autoritatea competentă din statul membru gazdă pe teritoriul căruia instituția de credit, persoană juridică din Republica Moldova, are o sucursală sau în care prestează în mod direct servicii, în cazul în care are obiecții cu privire la măsurile luate de autoritățile competente din statul respectiv de natura celor prevăzute la art.</w:t>
            </w:r>
            <w:r w:rsidRPr="005D6998">
              <w:rPr>
                <w:rFonts w:ascii="Times New Roman" w:hAnsi="Times New Roman"/>
                <w:vertAlign w:val="superscript"/>
              </w:rPr>
              <w:t xml:space="preserve"> </w:t>
            </w:r>
            <w:r w:rsidRPr="005D6998">
              <w:rPr>
                <w:rFonts w:ascii="Times New Roman" w:hAnsi="Times New Roman"/>
              </w:rPr>
              <w:t>23</w:t>
            </w:r>
            <w:r w:rsidRPr="005D6998">
              <w:rPr>
                <w:rFonts w:ascii="Times New Roman" w:hAnsi="Times New Roman"/>
                <w:vertAlign w:val="superscript"/>
              </w:rPr>
              <w:t>4</w:t>
            </w:r>
            <w:r w:rsidRPr="005D6998">
              <w:rPr>
                <w:rFonts w:ascii="Times New Roman" w:hAnsi="Times New Roman"/>
              </w:rPr>
              <w:t xml:space="preserve"> alin. (3).</w:t>
            </w:r>
          </w:p>
          <w:p w14:paraId="3419D1F6" w14:textId="634ACE2B"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tc>
        <w:tc>
          <w:tcPr>
            <w:tcW w:w="1559" w:type="dxa"/>
            <w:gridSpan w:val="3"/>
            <w:shd w:val="clear" w:color="auto" w:fill="FFFFFF"/>
          </w:tcPr>
          <w:p w14:paraId="6C6A182E"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3D2E9F1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D988FF9" w14:textId="78A6E10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40D839D8" w14:textId="1F5AC43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3A4D4C6" w14:textId="77777777" w:rsidR="002C270D" w:rsidRPr="005D6998" w:rsidRDefault="002C270D" w:rsidP="002C270D">
            <w:pPr>
              <w:spacing w:after="0" w:line="240" w:lineRule="auto"/>
              <w:jc w:val="both"/>
              <w:rPr>
                <w:rFonts w:ascii="Times New Roman" w:hAnsi="Times New Roman"/>
              </w:rPr>
            </w:pPr>
            <w:r w:rsidRPr="005D6998">
              <w:rPr>
                <w:rFonts w:ascii="Times New Roman" w:hAnsi="Times New Roman"/>
              </w:rPr>
              <w:t>Aceleași recomandări sunt aplicabile și pentru art. 23</w:t>
            </w:r>
            <w:r w:rsidRPr="005D6998">
              <w:rPr>
                <w:rFonts w:ascii="Times New Roman" w:hAnsi="Times New Roman"/>
                <w:vertAlign w:val="superscript"/>
              </w:rPr>
              <w:t>4</w:t>
            </w:r>
            <w:r w:rsidRPr="005D6998">
              <w:rPr>
                <w:rFonts w:ascii="Times New Roman" w:hAnsi="Times New Roman"/>
              </w:rPr>
              <w:t xml:space="preserve"> alin. (2), art. 25 alin. (5), art. 28 alin. (2), art. 31¹ alin. (4)–(6) și (8), precum și art. 32</w:t>
            </w:r>
            <w:r w:rsidRPr="005D6998">
              <w:rPr>
                <w:rFonts w:ascii="Times New Roman" w:hAnsi="Times New Roman"/>
                <w:vertAlign w:val="superscript"/>
              </w:rPr>
              <w:t>2</w:t>
            </w:r>
            <w:r w:rsidRPr="005D6998">
              <w:rPr>
                <w:rFonts w:ascii="Times New Roman" w:hAnsi="Times New Roman"/>
              </w:rPr>
              <w:t xml:space="preserve"> alin. (3).</w:t>
            </w:r>
          </w:p>
          <w:p w14:paraId="655CA254" w14:textId="77777777" w:rsidR="002C270D" w:rsidRPr="005D6998" w:rsidRDefault="002C270D" w:rsidP="00513EDC">
            <w:pPr>
              <w:spacing w:after="0" w:line="240" w:lineRule="auto"/>
              <w:jc w:val="both"/>
              <w:rPr>
                <w:rFonts w:ascii="Times New Roman" w:hAnsi="Times New Roman"/>
              </w:rPr>
            </w:pPr>
          </w:p>
          <w:p w14:paraId="422FED02" w14:textId="6FC02BC9"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2E75F938"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43A441E3" w14:textId="3A5CABA4" w:rsidR="00513EDC" w:rsidRPr="005D6998" w:rsidRDefault="002C270D"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 xml:space="preserve">Având în vedere că în ceea ce privește </w:t>
            </w:r>
            <w:r w:rsidR="00331A9B" w:rsidRPr="005D6998">
              <w:rPr>
                <w:rFonts w:ascii="Times New Roman" w:hAnsi="Times New Roman"/>
              </w:rPr>
              <w:t>32</w:t>
            </w:r>
            <w:r w:rsidR="00331A9B" w:rsidRPr="005D6998">
              <w:rPr>
                <w:rFonts w:ascii="Times New Roman" w:hAnsi="Times New Roman"/>
                <w:vertAlign w:val="superscript"/>
              </w:rPr>
              <w:t>2</w:t>
            </w:r>
            <w:r w:rsidR="00331A9B" w:rsidRPr="005D6998">
              <w:rPr>
                <w:rFonts w:ascii="Times New Roman" w:hAnsi="Times New Roman"/>
              </w:rPr>
              <w:t xml:space="preserve"> alin. (3) propus</w:t>
            </w:r>
            <w:r w:rsidRPr="005D6998">
              <w:rPr>
                <w:rFonts w:ascii="Times New Roman" w:hAnsi="Times New Roman"/>
              </w:rPr>
              <w:t>, este valabilă aceeași obiecție de la pct. 3</w:t>
            </w:r>
            <w:r w:rsidR="00780E38" w:rsidRPr="005D6998">
              <w:rPr>
                <w:rFonts w:ascii="Times New Roman" w:hAnsi="Times New Roman"/>
              </w:rPr>
              <w:t>2</w:t>
            </w:r>
            <w:r w:rsidRPr="005D6998">
              <w:rPr>
                <w:rFonts w:ascii="Times New Roman" w:hAnsi="Times New Roman"/>
              </w:rPr>
              <w:t xml:space="preserve"> din prezenta Sinteză cu privire la momentul intrării în vigoare a prevederilor care se referă la colaborarea cu Autoritatea Bancară Europeană/Comisia Europeană, se menționează că c</w:t>
            </w:r>
            <w:r w:rsidR="00513EDC" w:rsidRPr="005D6998">
              <w:rPr>
                <w:rFonts w:ascii="Times New Roman" w:hAnsi="Times New Roman"/>
              </w:rPr>
              <w:t xml:space="preserve">onform Art. V alin. (3) lit. b) din </w:t>
            </w:r>
            <w:r w:rsidR="00513EDC" w:rsidRPr="005D6998">
              <w:rPr>
                <w:rFonts w:ascii="Times New Roman" w:hAnsi="Times New Roman"/>
              </w:rPr>
              <w:lastRenderedPageBreak/>
              <w:t>proiect, pct. 25 care se referă la completarea Legii nr. 202/2017 cu art. 32</w:t>
            </w:r>
            <w:r w:rsidR="00513EDC" w:rsidRPr="005D6998">
              <w:rPr>
                <w:rFonts w:ascii="Times New Roman" w:hAnsi="Times New Roman"/>
                <w:vertAlign w:val="superscript"/>
              </w:rPr>
              <w:t>1</w:t>
            </w:r>
            <w:r w:rsidR="00513EDC" w:rsidRPr="005D6998">
              <w:rPr>
                <w:rFonts w:ascii="Times New Roman" w:hAnsi="Times New Roman"/>
              </w:rPr>
              <w:t>-32</w:t>
            </w:r>
            <w:r w:rsidR="00513EDC" w:rsidRPr="005D6998">
              <w:rPr>
                <w:rFonts w:ascii="Times New Roman" w:hAnsi="Times New Roman"/>
                <w:vertAlign w:val="superscript"/>
              </w:rPr>
              <w:t>2</w:t>
            </w:r>
            <w:r w:rsidR="00513EDC" w:rsidRPr="005D6998">
              <w:rPr>
                <w:rFonts w:ascii="Times New Roman" w:hAnsi="Times New Roman"/>
              </w:rPr>
              <w:t xml:space="preserve"> va intra în vigoare în termen de 5 ani de la data aderării Republicii Moldova.</w:t>
            </w:r>
          </w:p>
        </w:tc>
      </w:tr>
      <w:tr w:rsidR="00513EDC" w:rsidRPr="005D6998" w14:paraId="7BE1BC1B" w14:textId="77777777" w:rsidTr="00651F58">
        <w:trPr>
          <w:gridBefore w:val="1"/>
          <w:wBefore w:w="138" w:type="dxa"/>
          <w:trHeight w:val="105"/>
        </w:trPr>
        <w:tc>
          <w:tcPr>
            <w:tcW w:w="761" w:type="dxa"/>
            <w:gridSpan w:val="2"/>
            <w:shd w:val="clear" w:color="auto" w:fill="FFFFFF"/>
          </w:tcPr>
          <w:p w14:paraId="0E5ED38A" w14:textId="77777777" w:rsidR="00513EDC" w:rsidRPr="005D6998" w:rsidRDefault="00513EDC" w:rsidP="00513EDC">
            <w:pPr>
              <w:pStyle w:val="a7"/>
              <w:numPr>
                <w:ilvl w:val="0"/>
                <w:numId w:val="15"/>
              </w:numPr>
              <w:tabs>
                <w:tab w:val="left" w:pos="360"/>
                <w:tab w:val="left" w:pos="884"/>
                <w:tab w:val="left" w:pos="1196"/>
              </w:tabs>
              <w:spacing w:after="0" w:line="240" w:lineRule="auto"/>
              <w:rPr>
                <w:rFonts w:ascii="Times New Roman" w:hAnsi="Times New Roman"/>
                <w:b/>
              </w:rPr>
            </w:pPr>
          </w:p>
        </w:tc>
        <w:tc>
          <w:tcPr>
            <w:tcW w:w="3637" w:type="dxa"/>
            <w:shd w:val="clear" w:color="auto" w:fill="FFFFFF"/>
          </w:tcPr>
          <w:p w14:paraId="66E60250" w14:textId="77777777" w:rsidR="00513EDC" w:rsidRPr="005D6998" w:rsidRDefault="00513EDC" w:rsidP="00513EDC">
            <w:pPr>
              <w:tabs>
                <w:tab w:val="left" w:pos="884"/>
                <w:tab w:val="left" w:pos="1196"/>
              </w:tabs>
              <w:rPr>
                <w:rFonts w:ascii="Times New Roman" w:hAnsi="Times New Roman"/>
                <w:b/>
              </w:rPr>
            </w:pPr>
            <w:r w:rsidRPr="005D6998">
              <w:rPr>
                <w:rFonts w:ascii="Times New Roman" w:hAnsi="Times New Roman"/>
                <w:b/>
              </w:rPr>
              <w:t>27 .</w:t>
            </w:r>
            <w:r w:rsidRPr="005D6998">
              <w:rPr>
                <w:rFonts w:ascii="Times New Roman" w:eastAsiaTheme="minorHAnsi" w:hAnsi="Times New Roman"/>
                <w:kern w:val="2"/>
                <w:sz w:val="24"/>
                <w:szCs w:val="24"/>
                <w:lang w:eastAsia="en-US"/>
                <w14:ligatures w14:val="standardContextual"/>
              </w:rPr>
              <w:t xml:space="preserve"> </w:t>
            </w:r>
            <w:r w:rsidRPr="005D6998">
              <w:rPr>
                <w:rFonts w:ascii="Times New Roman" w:hAnsi="Times New Roman"/>
                <w:bCs/>
              </w:rPr>
              <w:t>Articolul 34 și articolul 35 vor avea următorul cuprins:</w:t>
            </w:r>
          </w:p>
          <w:p w14:paraId="20F3A536"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“Articolul 34. Fuziunea sau dezmembrarea</w:t>
            </w:r>
          </w:p>
          <w:p w14:paraId="3E15BC8B" w14:textId="77777777" w:rsidR="00513EDC" w:rsidRPr="005D6998" w:rsidRDefault="00513EDC" w:rsidP="00513EDC">
            <w:pPr>
              <w:tabs>
                <w:tab w:val="left" w:pos="884"/>
                <w:tab w:val="left" w:pos="1196"/>
              </w:tabs>
              <w:spacing w:after="0" w:line="240" w:lineRule="auto"/>
              <w:jc w:val="both"/>
              <w:rPr>
                <w:rFonts w:ascii="Times New Roman" w:hAnsi="Times New Roman"/>
                <w:i/>
                <w:iCs/>
              </w:rPr>
            </w:pPr>
            <w:r w:rsidRPr="005D6998">
              <w:rPr>
                <w:rFonts w:ascii="Times New Roman" w:hAnsi="Times New Roman"/>
              </w:rPr>
              <w:t>(1) Fuziunea sau dezmembrarea instituțiilor de credit, precum și societățile financiare holding și societățile financiare holding mixte care fac obiectul art. 116</w:t>
            </w:r>
            <w:r w:rsidRPr="005D6998">
              <w:rPr>
                <w:rFonts w:ascii="Times New Roman" w:hAnsi="Times New Roman"/>
                <w:vertAlign w:val="superscript"/>
              </w:rPr>
              <w:t>1</w:t>
            </w:r>
            <w:r w:rsidRPr="005D6998">
              <w:rPr>
                <w:rFonts w:ascii="Times New Roman" w:hAnsi="Times New Roman"/>
              </w:rPr>
              <w:t xml:space="preserve"> alin. (1)-(2) se efectuează potrivit dispoziţiilor legale în domeniu şi cu respectarea prezentei legi și actelor normative ale Băncii Naţionale a Moldovei.</w:t>
            </w:r>
            <w:r w:rsidRPr="005D6998">
              <w:rPr>
                <w:rFonts w:ascii="Times New Roman" w:hAnsi="Times New Roman"/>
                <w:i/>
                <w:iCs/>
              </w:rPr>
              <w:t xml:space="preserve"> </w:t>
            </w:r>
          </w:p>
          <w:p w14:paraId="62EEF59D"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w:t>
            </w:r>
          </w:p>
          <w:p w14:paraId="04516F11"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(13) Fuziunea sau dezmembrarea </w:t>
            </w:r>
            <w:r w:rsidRPr="005D6998">
              <w:rPr>
                <w:rFonts w:ascii="Times New Roman" w:hAnsi="Times New Roman"/>
                <w:b/>
                <w:bCs/>
              </w:rPr>
              <w:t>se înregistrează de către Agenţia Servicii Publice numai după obţinerea</w:t>
            </w:r>
            <w:r w:rsidRPr="005D6998">
              <w:rPr>
                <w:rFonts w:ascii="Times New Roman" w:hAnsi="Times New Roman"/>
              </w:rPr>
              <w:t xml:space="preserve"> de către instituția de credit, după caz, societatea financiară holding sau societatea financiară holding mixtă care face obiectul art. 116</w:t>
            </w:r>
            <w:r w:rsidRPr="005D6998">
              <w:rPr>
                <w:rFonts w:ascii="Times New Roman" w:hAnsi="Times New Roman"/>
                <w:vertAlign w:val="superscript"/>
              </w:rPr>
              <w:t>1</w:t>
            </w:r>
            <w:r w:rsidRPr="005D6998">
              <w:rPr>
                <w:rFonts w:ascii="Times New Roman" w:hAnsi="Times New Roman"/>
              </w:rPr>
              <w:t xml:space="preserve"> alin. (1)-(2) respectivă a  </w:t>
            </w:r>
            <w:r w:rsidRPr="005D6998">
              <w:rPr>
                <w:rFonts w:ascii="Times New Roman" w:hAnsi="Times New Roman"/>
                <w:b/>
                <w:bCs/>
              </w:rPr>
              <w:t>avizului pozitiv din partea Băncii Naţionale a Moldovei</w:t>
            </w:r>
            <w:r w:rsidRPr="005D6998">
              <w:rPr>
                <w:rFonts w:ascii="Times New Roman" w:hAnsi="Times New Roman"/>
              </w:rPr>
              <w:t xml:space="preserve"> potrivit alin. (16).</w:t>
            </w:r>
          </w:p>
          <w:p w14:paraId="431E8949"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05859282" w14:textId="73D43219"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w:t>
            </w:r>
          </w:p>
          <w:p w14:paraId="705248A9" w14:textId="77777777" w:rsidR="00513EDC" w:rsidRPr="005D6998" w:rsidRDefault="00513EDC" w:rsidP="00513EDC">
            <w:pPr>
              <w:tabs>
                <w:tab w:val="left" w:pos="884"/>
                <w:tab w:val="left" w:pos="1196"/>
              </w:tabs>
              <w:spacing w:after="0" w:line="240" w:lineRule="auto"/>
              <w:jc w:val="both"/>
              <w:rPr>
                <w:rFonts w:ascii="Times New Roman" w:hAnsi="Times New Roman"/>
                <w:b/>
              </w:rPr>
            </w:pPr>
          </w:p>
        </w:tc>
        <w:tc>
          <w:tcPr>
            <w:tcW w:w="1559" w:type="dxa"/>
            <w:gridSpan w:val="3"/>
            <w:shd w:val="clear" w:color="auto" w:fill="FFFFFF"/>
          </w:tcPr>
          <w:p w14:paraId="4BB3FCA3" w14:textId="6D4BDBBB"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Consiliul Concurenței</w:t>
            </w:r>
          </w:p>
          <w:p w14:paraId="52EFDDF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FBA6785" w14:textId="09B48456"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DJ-06/805-1475 din 22.07.2026</w:t>
            </w:r>
          </w:p>
        </w:tc>
        <w:tc>
          <w:tcPr>
            <w:tcW w:w="426" w:type="dxa"/>
            <w:shd w:val="clear" w:color="auto" w:fill="FFFFFF"/>
          </w:tcPr>
          <w:p w14:paraId="4D2210FD" w14:textId="77777777" w:rsidR="00513EDC" w:rsidRPr="005D6998" w:rsidRDefault="00513EDC" w:rsidP="00A94E86">
            <w:pPr>
              <w:pStyle w:val="a7"/>
              <w:numPr>
                <w:ilvl w:val="0"/>
                <w:numId w:val="25"/>
              </w:numPr>
              <w:tabs>
                <w:tab w:val="left" w:pos="884"/>
                <w:tab w:val="left" w:pos="1196"/>
              </w:tabs>
              <w:spacing w:after="0" w:line="240" w:lineRule="auto"/>
              <w:rPr>
                <w:rFonts w:ascii="Times New Roman" w:hAnsi="Times New Roman"/>
                <w:bCs/>
              </w:rPr>
            </w:pPr>
          </w:p>
        </w:tc>
        <w:tc>
          <w:tcPr>
            <w:tcW w:w="4255" w:type="dxa"/>
            <w:gridSpan w:val="4"/>
            <w:shd w:val="clear" w:color="auto" w:fill="FFFFFF"/>
          </w:tcPr>
          <w:p w14:paraId="2EF2922D" w14:textId="77777777" w:rsidR="00513EDC" w:rsidRPr="005D6998" w:rsidRDefault="00513EDC" w:rsidP="00513EDC">
            <w:pPr>
              <w:spacing w:after="0" w:line="240" w:lineRule="auto"/>
              <w:jc w:val="both"/>
              <w:rPr>
                <w:rFonts w:ascii="Times New Roman" w:hAnsi="Times New Roman"/>
                <w:lang w:val="ro-MD"/>
              </w:rPr>
            </w:pPr>
            <w:r w:rsidRPr="005D6998">
              <w:rPr>
                <w:rFonts w:ascii="Times New Roman" w:hAnsi="Times New Roman"/>
                <w:lang w:val="ro-MD"/>
              </w:rPr>
              <w:t xml:space="preserve">În vederea asigurării previzibilității normelor juridice și neadmitere a concentrării pieței prin crearea de poziții dominante sau consolidarea unei poziții dominante, se consideră oportună completarea art. 34 alin. (1) și (13), și art,. 47 alin. (2) din Legea nr. 202/2017 cu norme care să instituie obligația respectării legislației concurențiale și, respectiv, de a prezenta deciziile Consiliului Concurenței de autorizare a concentrărilor economice, în procesul de evaluare de către Banca Națională a Moldovei și de înregistrare a modificărilor statutare de către Agenția Servicii Publice, în mod similar normelor de trimitere prevăzute de </w:t>
            </w:r>
            <w:r w:rsidRPr="005D6998">
              <w:rPr>
                <w:rFonts w:ascii="Times New Roman" w:hAnsi="Times New Roman"/>
                <w:i/>
                <w:iCs/>
                <w:lang w:val="ro-MD"/>
              </w:rPr>
              <w:t xml:space="preserve">Legea nr. 171/2012 privind piața de capital </w:t>
            </w:r>
            <w:r w:rsidRPr="005D6998">
              <w:rPr>
                <w:rFonts w:ascii="Times New Roman" w:hAnsi="Times New Roman"/>
                <w:lang w:val="ro-MD"/>
              </w:rPr>
              <w:t xml:space="preserve">și de </w:t>
            </w:r>
            <w:r w:rsidRPr="005D6998">
              <w:rPr>
                <w:rFonts w:ascii="Times New Roman" w:hAnsi="Times New Roman"/>
                <w:i/>
                <w:iCs/>
                <w:lang w:val="ro-MD"/>
              </w:rPr>
              <w:t>Legea nr. 1134/1997 privind societățile pe acțiuni</w:t>
            </w:r>
            <w:r w:rsidRPr="005D6998">
              <w:rPr>
                <w:rFonts w:ascii="Times New Roman" w:hAnsi="Times New Roman"/>
                <w:lang w:val="ro-MD"/>
              </w:rPr>
              <w:t>.</w:t>
            </w:r>
          </w:p>
          <w:p w14:paraId="2ADEA124" w14:textId="77777777" w:rsidR="00513EDC" w:rsidRPr="005D6998" w:rsidRDefault="00513EDC" w:rsidP="00513EDC">
            <w:pPr>
              <w:spacing w:after="0" w:line="240" w:lineRule="auto"/>
              <w:jc w:val="both"/>
              <w:rPr>
                <w:rFonts w:ascii="Times New Roman" w:hAnsi="Times New Roman"/>
                <w:lang w:val="ro-MD"/>
              </w:rPr>
            </w:pPr>
          </w:p>
          <w:p w14:paraId="39D89EEC" w14:textId="77777777" w:rsidR="00513EDC" w:rsidRPr="005D6998" w:rsidRDefault="00513EDC" w:rsidP="00513EDC">
            <w:pPr>
              <w:spacing w:after="0" w:line="240" w:lineRule="auto"/>
              <w:jc w:val="both"/>
              <w:rPr>
                <w:rFonts w:ascii="Times New Roman" w:hAnsi="Times New Roman"/>
                <w:lang w:val="ro-MD"/>
              </w:rPr>
            </w:pPr>
            <w:r w:rsidRPr="005D6998">
              <w:rPr>
                <w:rFonts w:ascii="Times New Roman" w:hAnsi="Times New Roman"/>
                <w:lang w:val="ro-MD"/>
              </w:rPr>
              <w:t xml:space="preserve">Se arată că modificările propuse la art. 34 alin. (1) și (13), și art. 47 alin. (2) din Legea nr. 202/2017 privind activitatea băncilor, instituie obligația obținerii unui aviz pozitiv al Băncii Naționale a Moldovei ca premisă pentru înregistrarea de către Agenția Servicii Publice a operațiunilor de fuziune sau dezmembrare care implică instituții de credit, societăți financiare holding și societăți financiare </w:t>
            </w:r>
            <w:r w:rsidRPr="005D6998">
              <w:rPr>
                <w:rFonts w:ascii="Times New Roman" w:hAnsi="Times New Roman"/>
                <w:lang w:val="ro-MD"/>
              </w:rPr>
              <w:lastRenderedPageBreak/>
              <w:t xml:space="preserve">holding mixte, și respectiv, pentru achiziția/dobândirea acțiunilor unei instituții de credit. </w:t>
            </w:r>
          </w:p>
          <w:p w14:paraId="46558A18" w14:textId="77777777" w:rsidR="00513EDC" w:rsidRPr="005D6998" w:rsidRDefault="00513EDC" w:rsidP="00513EDC">
            <w:pPr>
              <w:spacing w:after="0" w:line="240" w:lineRule="auto"/>
              <w:jc w:val="both"/>
              <w:rPr>
                <w:rFonts w:ascii="Times New Roman" w:hAnsi="Times New Roman"/>
                <w:lang w:val="ro-MD"/>
              </w:rPr>
            </w:pPr>
          </w:p>
          <w:p w14:paraId="5A9F83B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lang w:val="ro-MD"/>
              </w:rPr>
              <w:t xml:space="preserve">Se argumentează că operațiunile de reorganizare prin fuziune, precum și operațiunile de dobândire a deținerilor calificate care au ca efect dobândirea controlului asupra unei întreprinderi, </w:t>
            </w:r>
            <w:r w:rsidRPr="005D6998">
              <w:rPr>
                <w:rFonts w:ascii="Times New Roman" w:hAnsi="Times New Roman"/>
                <w:b/>
                <w:bCs/>
                <w:lang w:val="ro-MD"/>
              </w:rPr>
              <w:t xml:space="preserve">ar putea constitui concentrări economice notificabile </w:t>
            </w:r>
            <w:r w:rsidRPr="005D6998">
              <w:rPr>
                <w:rFonts w:ascii="Times New Roman" w:hAnsi="Times New Roman"/>
                <w:lang w:val="ro-MD"/>
              </w:rPr>
              <w:t xml:space="preserve">în sensul art. 22 din Legea concurenței nr. 183/2012. </w:t>
            </w:r>
          </w:p>
        </w:tc>
        <w:tc>
          <w:tcPr>
            <w:tcW w:w="4968" w:type="dxa"/>
            <w:gridSpan w:val="3"/>
            <w:shd w:val="clear" w:color="auto" w:fill="FFFFFF"/>
          </w:tcPr>
          <w:p w14:paraId="348C40B8"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039BB2C2"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Obligația respectării legislației concurențiale rezultă deja din Legea concurenței nr. 183/2012 care este  aplicabilă și instituțiilor de credit. </w:t>
            </w:r>
          </w:p>
          <w:p w14:paraId="3F64D66C" w14:textId="35D4323A" w:rsidR="00513EDC" w:rsidRPr="005D6998" w:rsidRDefault="00513EDC" w:rsidP="00D77988">
            <w:pPr>
              <w:tabs>
                <w:tab w:val="left" w:pos="884"/>
                <w:tab w:val="left" w:pos="1196"/>
              </w:tabs>
              <w:spacing w:after="0" w:line="240" w:lineRule="auto"/>
              <w:jc w:val="both"/>
              <w:rPr>
                <w:rFonts w:ascii="Times New Roman" w:hAnsi="Times New Roman"/>
              </w:rPr>
            </w:pPr>
            <w:r w:rsidRPr="005D6998">
              <w:rPr>
                <w:rFonts w:ascii="Times New Roman" w:hAnsi="Times New Roman"/>
              </w:rPr>
              <w:t>Evaluarea realizată  de BNM are un scop exclusiv prudențial, cu criterii specifice de natură prudențială și nu substituie procedura de notificare a concentrărilor economice Consiliul Concurenței.</w:t>
            </w:r>
          </w:p>
          <w:p w14:paraId="1A82B372"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Totodată, instituirea obligației de prezentare către BNM a deciziei Consiliului Concurenței ar putea crea o suprapunere a competențelor autorităților.</w:t>
            </w:r>
          </w:p>
          <w:p w14:paraId="232AD776"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3D988270"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Inclusiv Directiva 2013/36/UE (inclusiv modificările CRD VI) nu condiționează evaluarea unei reorganizări de obținerea prealabilă a aprobării autorității de concurență, ci instituie un proces propriu de evaluare prudențială. </w:t>
            </w:r>
          </w:p>
          <w:p w14:paraId="1ED0E1D9"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4E750F88"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În ceea ce privește </w:t>
            </w:r>
            <w:r w:rsidRPr="005D6998">
              <w:rPr>
                <w:rFonts w:ascii="Times New Roman" w:hAnsi="Times New Roman"/>
                <w:lang w:val="ro-MD"/>
              </w:rPr>
              <w:t xml:space="preserve">avizul pozitiv al Băncii Naționale a Moldovei ca premisă pentru înregistrarea de către Agenția Servicii Publice, se menționează că </w:t>
            </w:r>
            <w:r w:rsidRPr="005D6998">
              <w:rPr>
                <w:rFonts w:ascii="Times New Roman" w:hAnsi="Times New Roman"/>
              </w:rPr>
              <w:t xml:space="preserve">Agenția are atribuții de înregistrare a modificărilor în registrul de stat, dar nu efectuează o evaluare de fond a operațiunilor discutate. Avizul BNM este o condiție  necesară pentru confirmarea conformității operațiunii cu cerințele prudențiale aplicabile sectorului bancar, </w:t>
            </w:r>
            <w:r w:rsidRPr="005D6998">
              <w:rPr>
                <w:rFonts w:ascii="Times New Roman" w:hAnsi="Times New Roman"/>
              </w:rPr>
              <w:lastRenderedPageBreak/>
              <w:t>înainte de opozabilitatea față de terți care are loc prin înregistrare.</w:t>
            </w:r>
          </w:p>
        </w:tc>
      </w:tr>
      <w:tr w:rsidR="00513EDC" w:rsidRPr="005D6998" w14:paraId="7FB9444B" w14:textId="77777777" w:rsidTr="00651F58">
        <w:trPr>
          <w:gridAfter w:val="1"/>
          <w:wAfter w:w="10" w:type="dxa"/>
          <w:trHeight w:val="105"/>
        </w:trPr>
        <w:tc>
          <w:tcPr>
            <w:tcW w:w="899" w:type="dxa"/>
            <w:gridSpan w:val="3"/>
            <w:shd w:val="clear" w:color="auto" w:fill="FFFFFF"/>
          </w:tcPr>
          <w:p w14:paraId="4A5EDB81"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EBB46FB" w14:textId="77777777" w:rsidR="00513EDC" w:rsidRPr="005D6998" w:rsidRDefault="00513EDC" w:rsidP="00513EDC">
            <w:pPr>
              <w:spacing w:after="0" w:line="240" w:lineRule="auto"/>
              <w:jc w:val="both"/>
              <w:rPr>
                <w:rFonts w:ascii="Times New Roman" w:hAnsi="Times New Roman"/>
                <w:i/>
                <w:iCs/>
                <w:color w:val="0F9ED5" w:themeColor="accent4"/>
              </w:rPr>
            </w:pPr>
            <w:r w:rsidRPr="005D6998">
              <w:rPr>
                <w:rFonts w:ascii="Times New Roman" w:hAnsi="Times New Roman"/>
              </w:rPr>
              <w:t>[…]</w:t>
            </w:r>
            <w:r w:rsidRPr="005D6998">
              <w:rPr>
                <w:rFonts w:ascii="Times New Roman" w:hAnsi="Times New Roman"/>
                <w:i/>
                <w:iCs/>
                <w:color w:val="0F9ED5" w:themeColor="accent4"/>
              </w:rPr>
              <w:t xml:space="preserve"> </w:t>
            </w:r>
          </w:p>
          <w:p w14:paraId="519EE792" w14:textId="77777777" w:rsidR="00513EDC" w:rsidRPr="005D6998" w:rsidRDefault="00513EDC" w:rsidP="00513EDC">
            <w:pPr>
              <w:spacing w:after="0"/>
              <w:jc w:val="both"/>
              <w:rPr>
                <w:rFonts w:ascii="Times New Roman" w:hAnsi="Times New Roman"/>
              </w:rPr>
            </w:pPr>
            <w:r w:rsidRPr="005D6998">
              <w:rPr>
                <w:rFonts w:ascii="Times New Roman" w:hAnsi="Times New Roman"/>
              </w:rPr>
              <w:t>(13) Fuziunea sau dezmembrarea se înregistrează de către Agenţia Servicii Publice numai după obţinerea de către instituția de credit, după caz, societatea financiară holding sau societatea financiară holding mixtă care face obiectul art. 116</w:t>
            </w:r>
            <w:r w:rsidRPr="005D6998">
              <w:rPr>
                <w:rFonts w:ascii="Times New Roman" w:hAnsi="Times New Roman"/>
                <w:vertAlign w:val="superscript"/>
              </w:rPr>
              <w:t>1</w:t>
            </w:r>
            <w:r w:rsidRPr="005D6998">
              <w:rPr>
                <w:rFonts w:ascii="Times New Roman" w:hAnsi="Times New Roman"/>
              </w:rPr>
              <w:t xml:space="preserve"> alin. (1)-(2) respectivă a  avizului pozitiv din partea Băncii Naţionale a Moldovei potrivit alin. (16).</w:t>
            </w:r>
          </w:p>
          <w:p w14:paraId="3417C798" w14:textId="09DEBD3B" w:rsidR="00513EDC" w:rsidRPr="005D6998" w:rsidRDefault="00513EDC" w:rsidP="00513EDC">
            <w:pPr>
              <w:spacing w:after="0" w:line="240" w:lineRule="auto"/>
              <w:jc w:val="both"/>
              <w:rPr>
                <w:rFonts w:ascii="Times New Roman" w:hAnsi="Times New Roman"/>
              </w:rPr>
            </w:pPr>
          </w:p>
        </w:tc>
        <w:tc>
          <w:tcPr>
            <w:tcW w:w="1559" w:type="dxa"/>
            <w:gridSpan w:val="3"/>
            <w:shd w:val="clear" w:color="auto" w:fill="FFFFFF"/>
          </w:tcPr>
          <w:p w14:paraId="509790B9"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6197E04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F50E2FF" w14:textId="533815D2"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2D20FCC5" w14:textId="78262F32"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8EF6760" w14:textId="2D8DD2F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recomandă completarea art. 34 printr-o normă expresă de corelare cu etapele procedurii de drept comun a fuziunii/dezmembrării, pentru a preveni eventuale neconcordanțe sau conflicte de secvențialitate procedurală.</w:t>
            </w:r>
          </w:p>
          <w:p w14:paraId="577A53DE" w14:textId="77777777" w:rsidR="00513EDC" w:rsidRPr="005D6998" w:rsidRDefault="00513EDC" w:rsidP="00513EDC">
            <w:pPr>
              <w:spacing w:after="0" w:line="240" w:lineRule="auto"/>
              <w:jc w:val="both"/>
              <w:rPr>
                <w:rFonts w:ascii="Times New Roman" w:hAnsi="Times New Roman"/>
              </w:rPr>
            </w:pPr>
          </w:p>
          <w:p w14:paraId="6D03BFB0" w14:textId="28FB19C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arată că înregistrarea fuziunii sau a dezmembrării de către ASP este condiționată de obținerea unui aviz pozitiv din partea BNM, însă textul legal nu precizează modul de corelare cu procedura de drept comun aplicabilă acestor operațiuni (Codul civil, Legea nr. 1134/1997 privind societățile pe acțiuni). </w:t>
            </w:r>
          </w:p>
          <w:p w14:paraId="658DEAE1" w14:textId="42E52D3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special, nu este clar la ce moment trebuie obținut avizul BNM în raport cu adoptarea hotărârii adunării generale a acționarilor și cu termenul de opoziție al creditorilor. </w:t>
            </w:r>
          </w:p>
        </w:tc>
        <w:tc>
          <w:tcPr>
            <w:tcW w:w="5012" w:type="dxa"/>
            <w:gridSpan w:val="3"/>
            <w:shd w:val="clear" w:color="auto" w:fill="FFFFFF"/>
          </w:tcPr>
          <w:p w14:paraId="46320064" w14:textId="51426DB6"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0745D725" w14:textId="329CC21F" w:rsidR="00513EDC" w:rsidRPr="005D6998" w:rsidRDefault="00513EDC" w:rsidP="00513EDC">
            <w:pPr>
              <w:spacing w:after="0"/>
              <w:jc w:val="both"/>
              <w:rPr>
                <w:rFonts w:ascii="Times New Roman" w:hAnsi="Times New Roman"/>
              </w:rPr>
            </w:pPr>
            <w:r w:rsidRPr="005D6998">
              <w:rPr>
                <w:rFonts w:ascii="Times New Roman" w:hAnsi="Times New Roman"/>
              </w:rPr>
              <w:t>Art. 34 alin. (13) prevede că fuziunea sau dezmembrarea se înregistrează de către Agenţia Servicii Publice numai după obţinerea de către instituția de credit, după caz, societatea financiară holding sau societatea financiară holding mixtă care face obiectul art. 1161 alin. (1)-(2) respectivă a  avizului pozitiv din partea Băncii Naţionale a Moldovei potrivit alin. (16).</w:t>
            </w:r>
          </w:p>
          <w:p w14:paraId="37797FEF" w14:textId="15CB20D8" w:rsidR="00513EDC" w:rsidRPr="005D6998" w:rsidRDefault="00513EDC" w:rsidP="00513EDC">
            <w:pPr>
              <w:spacing w:after="0"/>
              <w:jc w:val="both"/>
              <w:rPr>
                <w:rFonts w:ascii="Times New Roman" w:hAnsi="Times New Roman"/>
              </w:rPr>
            </w:pPr>
            <w:r w:rsidRPr="005D6998">
              <w:rPr>
                <w:rFonts w:ascii="Times New Roman" w:hAnsi="Times New Roman"/>
              </w:rPr>
              <w:t xml:space="preserve">Totodată, art. 34 alin. (1) stabilește că  fuziunea sau dezmembrarea instituțiilor de credit, precum și societățile financiare holding și societățile financiare holding mixte care fac obiectul art. 1161 alin. (1)-(2) se efectuează potrivit dispoziţiilor legale în domeniu şi cu respectarea prezentei legi și actelor normative ale Băncii Naţionale a Moldovei. </w:t>
            </w:r>
          </w:p>
          <w:p w14:paraId="7F4C7987" w14:textId="0FCB2743" w:rsidR="00513EDC" w:rsidRPr="005D6998" w:rsidRDefault="00513EDC" w:rsidP="00513EDC">
            <w:pPr>
              <w:spacing w:after="0"/>
              <w:jc w:val="both"/>
              <w:rPr>
                <w:rFonts w:ascii="Times New Roman" w:hAnsi="Times New Roman"/>
              </w:rPr>
            </w:pPr>
            <w:r w:rsidRPr="005D6998">
              <w:rPr>
                <w:rFonts w:ascii="Times New Roman" w:hAnsi="Times New Roman"/>
              </w:rPr>
              <w:t>Prin urmare, norma propusă este deja acoperită de reglementarea existentă, care asigură aplicarea concomitentă a procedurii de drept comun și a cerințelor speciale din legislația bancară.</w:t>
            </w:r>
          </w:p>
          <w:p w14:paraId="5058C14E" w14:textId="51C1BACE" w:rsidR="00513EDC" w:rsidRPr="005D6998" w:rsidRDefault="00513EDC" w:rsidP="00513EDC">
            <w:pPr>
              <w:spacing w:after="0"/>
              <w:jc w:val="both"/>
              <w:rPr>
                <w:rFonts w:ascii="Times New Roman" w:hAnsi="Times New Roman"/>
              </w:rPr>
            </w:pPr>
            <w:r w:rsidRPr="005D6998">
              <w:rPr>
                <w:rFonts w:ascii="Times New Roman" w:hAnsi="Times New Roman"/>
              </w:rPr>
              <w:lastRenderedPageBreak/>
              <w:t>În plus, actele normative ale BNM vor descrie etapele procesului de obținere a avizului pozitiv al BNM, astfel cum prevede art. 34 alin. (1).</w:t>
            </w:r>
          </w:p>
          <w:p w14:paraId="438CD4CB" w14:textId="77777777" w:rsidR="00513EDC" w:rsidRPr="005D6998" w:rsidRDefault="00513EDC" w:rsidP="00513EDC">
            <w:pPr>
              <w:spacing w:after="0"/>
              <w:jc w:val="both"/>
              <w:rPr>
                <w:rFonts w:ascii="Times New Roman" w:hAnsi="Times New Roman"/>
              </w:rPr>
            </w:pPr>
          </w:p>
          <w:p w14:paraId="3B753B95" w14:textId="4B2DD12F" w:rsidR="00513EDC" w:rsidRPr="005D6998" w:rsidRDefault="00513EDC" w:rsidP="00513EDC">
            <w:pPr>
              <w:spacing w:after="0"/>
              <w:jc w:val="both"/>
              <w:rPr>
                <w:rFonts w:ascii="Times New Roman" w:hAnsi="Times New Roman"/>
              </w:rPr>
            </w:pPr>
          </w:p>
          <w:p w14:paraId="1078A75D" w14:textId="77777777"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58C4429B" w14:textId="77777777" w:rsidTr="00651F58">
        <w:trPr>
          <w:gridAfter w:val="1"/>
          <w:wAfter w:w="10" w:type="dxa"/>
          <w:trHeight w:val="105"/>
        </w:trPr>
        <w:tc>
          <w:tcPr>
            <w:tcW w:w="899" w:type="dxa"/>
            <w:gridSpan w:val="3"/>
            <w:shd w:val="clear" w:color="auto" w:fill="FFFFFF"/>
          </w:tcPr>
          <w:p w14:paraId="584DFAE7"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71A9FB2" w14:textId="77777777" w:rsidR="00513EDC" w:rsidRPr="005D6998" w:rsidRDefault="00513EDC" w:rsidP="00513EDC">
            <w:pPr>
              <w:spacing w:after="0" w:line="240" w:lineRule="auto"/>
              <w:jc w:val="both"/>
              <w:rPr>
                <w:rFonts w:ascii="Times New Roman" w:hAnsi="Times New Roman"/>
                <w:b/>
              </w:rPr>
            </w:pPr>
            <w:r w:rsidRPr="005D6998">
              <w:rPr>
                <w:rFonts w:ascii="Times New Roman" w:hAnsi="Times New Roman"/>
                <w:b/>
              </w:rPr>
              <w:t>[...]</w:t>
            </w:r>
          </w:p>
          <w:p w14:paraId="29BE8211" w14:textId="011ED694"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(12) Banca Națională a Moldovei poate prelungi suspendarea menționată la alin. (10) cu cel mult 30 de zile lucrătoare în următoarele situații: </w:t>
            </w:r>
          </w:p>
          <w:p w14:paraId="0C908CE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 în cazul în care cel puțin una dintre părțile interesate financiare este situată într-un stat terț sau este supusă cadrului de reglementare al unui stat terț; </w:t>
            </w:r>
          </w:p>
          <w:p w14:paraId="207A8C1B"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b) în cazul în care, pentru efectuarea evaluării prevăzute la alin. (14) este necesar un schimb de informații cu </w:t>
            </w:r>
            <w:r w:rsidRPr="005D6998">
              <w:rPr>
                <w:rFonts w:ascii="Times New Roman" w:hAnsi="Times New Roman"/>
                <w:b/>
              </w:rPr>
              <w:t>autoritățile responsabile cu supravegherea părților interesate financiare în conformitate cu Legea nr. 308/2017 cu privire la prevenirea şi combaterea spălării banilor şi finanţării terorismului.</w:t>
            </w:r>
            <w:r w:rsidRPr="005D6998">
              <w:rPr>
                <w:rFonts w:ascii="Times New Roman" w:hAnsi="Times New Roman"/>
                <w:b/>
                <w:bCs/>
                <w:color w:val="FF0000"/>
              </w:rPr>
              <w:t xml:space="preserve"> </w:t>
            </w:r>
          </w:p>
          <w:p w14:paraId="185DA9E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(14) La evaluarea unei notificări privind operaţiunile propuse, pentru a asigura soliditatea profilului prudențial al părților interesate financiare după finalizarea operațiunii propuse și, în special, pentru a aborda riscurile la care părțile interesate financiare sunt sau ar putea fi expuse în cursul operațiunii propuse și riscurile la care ar putea fi expusă entitatea rezultată din operațiunea propusă, Banca Națională a Moldovei ia în vedere, fără a fi limitative, următoarele criterii:</w:t>
            </w:r>
          </w:p>
          <w:p w14:paraId="5C4B97F9" w14:textId="77777777"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bCs/>
              </w:rPr>
              <w:lastRenderedPageBreak/>
              <w:t>[...]</w:t>
            </w:r>
          </w:p>
          <w:p w14:paraId="5B1206D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e) dacă există motive rezonabile de a suspecta că, în legătură cu operațiunea propusă, a fost sau este săvârșită o faptă sau o tentativă de spălare de bani ori de finanțare a unor acte de terorism în sensul Legii nr. 308/2017 cu privire la prevenirea şi combaterea spălării banilor şi finanţării terorismului sau că operațiunea propusă ar putea face să crească un astfel de risc.</w:t>
            </w:r>
          </w:p>
          <w:p w14:paraId="5D9E6390"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(15) În scopul evaluării criteriului prevăzut la alin. (14) lit. e) Banca Națională a Moldovei consultă, în realizarea verificărilor sale, </w:t>
            </w:r>
            <w:r w:rsidRPr="005D6998">
              <w:rPr>
                <w:rFonts w:ascii="Times New Roman" w:hAnsi="Times New Roman"/>
                <w:b/>
              </w:rPr>
              <w:t>autoritatea responsabilă de supravegherea părților financiare interesate în conformitate cu Legea nr. 308/2017 cu privire la prevenirea şi combaterea spălării banilor şi finanţării terorismului.</w:t>
            </w:r>
            <w:r w:rsidRPr="005D6998">
              <w:rPr>
                <w:rFonts w:ascii="Times New Roman" w:hAnsi="Times New Roman"/>
                <w:b/>
                <w:bCs/>
                <w:color w:val="FF0000"/>
              </w:rPr>
              <w:t xml:space="preserve"> </w:t>
            </w:r>
          </w:p>
          <w:p w14:paraId="429F4410" w14:textId="205E8140"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rPr>
              <w:t xml:space="preserve">(18) În aplicarea alin. (14) lit. e), în cazul în care a recepționat un aviz negativ din partea </w:t>
            </w:r>
            <w:r w:rsidRPr="005D6998">
              <w:rPr>
                <w:rFonts w:ascii="Times New Roman" w:hAnsi="Times New Roman"/>
                <w:b/>
              </w:rPr>
              <w:t>autorității responsabile cu supravegherea părților interesate financiare</w:t>
            </w:r>
            <w:r w:rsidRPr="005D6998">
              <w:rPr>
                <w:rFonts w:ascii="Times New Roman" w:hAnsi="Times New Roman"/>
              </w:rPr>
              <w:t xml:space="preserve"> în conformitate cu Legea nr. 308/2017 cu privire la prevenirea şi combaterea spălării banilor şi finanţării terorismului, în termen de 30 zile lucrătoare de la cererea inițială, Banca Națională a Moldovei ia în considerare respectivul aviz în mod corespunzător la realizarea evaluării. Acest aviz poate constitui un motiv rezonabil pentru emiterea unui aviz negativ din partea Băncii Naționale a Moldovei cu privire la operațiunea propusă.</w:t>
            </w:r>
            <w:r w:rsidRPr="005D6998">
              <w:rPr>
                <w:rFonts w:ascii="Times New Roman" w:hAnsi="Times New Roman"/>
                <w:b/>
                <w:bCs/>
                <w:color w:val="FF0000"/>
              </w:rPr>
              <w:t xml:space="preserve">  </w:t>
            </w:r>
          </w:p>
        </w:tc>
        <w:tc>
          <w:tcPr>
            <w:tcW w:w="1559" w:type="dxa"/>
            <w:gridSpan w:val="3"/>
            <w:shd w:val="clear" w:color="auto" w:fill="FFFFFF"/>
          </w:tcPr>
          <w:p w14:paraId="6644C4B7"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7302F2F9" w14:textId="773B7B4A"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53304081" w14:textId="6BED85DD"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4914A57" w14:textId="77777777" w:rsidR="00513EDC" w:rsidRPr="005D6998" w:rsidRDefault="00513EDC" w:rsidP="00513EDC">
            <w:pPr>
              <w:spacing w:after="0" w:line="240" w:lineRule="auto"/>
              <w:jc w:val="both"/>
            </w:pPr>
            <w:r w:rsidRPr="005D6998">
              <w:rPr>
                <w:rFonts w:ascii="Times New Roman" w:hAnsi="Times New Roman"/>
              </w:rPr>
              <w:t>La art. 34 alin. (15), se propune a fi substituită sintagma „autoritatea responsabilă de supravegherea părților financiare interesate în conformitate cu Legea nr. 308/2017” cu sintagma „</w:t>
            </w:r>
            <w:r w:rsidRPr="005D6998">
              <w:rPr>
                <w:rFonts w:ascii="Times New Roman" w:hAnsi="Times New Roman"/>
                <w:u w:val="single"/>
              </w:rPr>
              <w:t>organul cu funcții de supraveghere competent, în sensul Legii nr. 308/2017</w:t>
            </w:r>
            <w:r w:rsidRPr="005D6998">
              <w:rPr>
                <w:rFonts w:ascii="Times New Roman" w:hAnsi="Times New Roman"/>
              </w:rPr>
              <w:t>”.</w:t>
            </w:r>
            <w:r w:rsidRPr="005D6998">
              <w:t xml:space="preserve"> </w:t>
            </w:r>
          </w:p>
          <w:p w14:paraId="34DDE07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w:t>
            </w:r>
            <w:r w:rsidRPr="005D6998">
              <w:t xml:space="preserve"> </w:t>
            </w:r>
            <w:r w:rsidRPr="005D6998">
              <w:rPr>
                <w:rFonts w:ascii="Times New Roman" w:hAnsi="Times New Roman"/>
              </w:rPr>
              <w:t>în măsura în care este vizat Serviciul, textul urmează să prevadă comunicarea informațiilor relevante disponibile, nu emiterea unei confirmări sau certificări privind inexistența riscurilor.</w:t>
            </w:r>
          </w:p>
          <w:p w14:paraId="3EFA2966" w14:textId="77777777" w:rsidR="00513EDC" w:rsidRPr="005D6998" w:rsidRDefault="00513EDC" w:rsidP="00513EDC">
            <w:pPr>
              <w:spacing w:after="0" w:line="240" w:lineRule="auto"/>
              <w:jc w:val="both"/>
              <w:rPr>
                <w:rFonts w:ascii="Times New Roman" w:hAnsi="Times New Roman"/>
              </w:rPr>
            </w:pPr>
          </w:p>
          <w:p w14:paraId="1E130FE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34, alin. (18), potrivit căruia avizul negativ al autorității responsabile cu supravegherea poate constitui un motiv rezonabil pentru emiterea unui aviz negativ de către Banca Națională a Moldovei, se consideră necesară clarificarea naturii juridice a acestui aviz. </w:t>
            </w:r>
          </w:p>
          <w:p w14:paraId="5C56400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avizul Serviciului sau informațiile comunicate de acesta nu trebuie tratate ca act decizional substitutiv al evaluării Băncii Naționale a Moldovei. </w:t>
            </w:r>
          </w:p>
          <w:p w14:paraId="73E312F9" w14:textId="77777777" w:rsidR="00513EDC" w:rsidRPr="005D6998" w:rsidRDefault="00513EDC" w:rsidP="00513EDC">
            <w:pPr>
              <w:spacing w:after="0" w:line="240" w:lineRule="auto"/>
              <w:jc w:val="both"/>
              <w:rPr>
                <w:rFonts w:ascii="Times New Roman" w:hAnsi="Times New Roman"/>
              </w:rPr>
            </w:pPr>
          </w:p>
          <w:p w14:paraId="695BD0C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menționează că Banca Națională a Moldovei rămâne autoritatea competentă să adopte decizia finală privind operațiunea propusă, corespunzător se propune reformularea normei astfel încât să se prevadă că Serviciul comunică Băncii Naționale a Moldovei, în limita competențelor deținute și </w:t>
            </w:r>
            <w:r w:rsidRPr="005D6998">
              <w:rPr>
                <w:rFonts w:ascii="Times New Roman" w:hAnsi="Times New Roman"/>
              </w:rPr>
              <w:lastRenderedPageBreak/>
              <w:t>cu respectarea regimului informațiilor protejate prin lege, existența unor informații relevante care indică riscuri de spălare a banilor sau finanțare a terorismului, iar Banca Națională a Moldovei ia în considerare aceste informații în cadrul propriei evaluări.</w:t>
            </w:r>
          </w:p>
          <w:p w14:paraId="0264E837" w14:textId="77777777" w:rsidR="00513EDC" w:rsidRPr="005D6998" w:rsidRDefault="00513EDC" w:rsidP="00513EDC">
            <w:pPr>
              <w:spacing w:after="0" w:line="240" w:lineRule="auto"/>
              <w:jc w:val="both"/>
              <w:rPr>
                <w:rFonts w:ascii="Times New Roman" w:hAnsi="Times New Roman"/>
              </w:rPr>
            </w:pPr>
          </w:p>
          <w:p w14:paraId="7D276D0D" w14:textId="742D46D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34, alin. (12), alin. (14), lit. e), alin. (15) și alin. (18), care reglementează evaluarea fuziunilor și dezmembrărilor, se constată că proiectul introduce criteriul existenței unor motive rezonabile de a suspecta săvârșirea unei fapte sau tentative de spălare a banilor sau finanțare a terorismului în legătură cu operațiunea propusă sau creșterea unui astfel de risc. </w:t>
            </w:r>
            <w:r w:rsidRPr="005D6998">
              <w:rPr>
                <w:rFonts w:ascii="Times New Roman" w:hAnsi="Times New Roman"/>
                <w:b/>
                <w:bCs/>
              </w:rPr>
              <w:t>Considerăm că, includerea criteriului este justificată</w:t>
            </w:r>
            <w:r w:rsidRPr="005D6998">
              <w:rPr>
                <w:rFonts w:ascii="Times New Roman" w:hAnsi="Times New Roman"/>
              </w:rPr>
              <w:t>, întrucât operațiunile de reorganizare pot implica modificări ale structurii de proprietate, beneficiarilor efectivi, controlului și profilului de risc al entității rezultate.</w:t>
            </w:r>
          </w:p>
        </w:tc>
        <w:tc>
          <w:tcPr>
            <w:tcW w:w="5012" w:type="dxa"/>
            <w:gridSpan w:val="3"/>
            <w:shd w:val="clear" w:color="auto" w:fill="FFFFFF"/>
          </w:tcPr>
          <w:p w14:paraId="2B5DB624" w14:textId="7E252496"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07483935"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art. 34 alin. (12) lit. b), alin. (15), alin. (18), art. 58</w:t>
            </w:r>
            <w:r w:rsidRPr="005D6998">
              <w:rPr>
                <w:rFonts w:ascii="Times New Roman" w:hAnsi="Times New Roman"/>
                <w:vertAlign w:val="superscript"/>
              </w:rPr>
              <w:t>1</w:t>
            </w:r>
            <w:r w:rsidRPr="005D6998">
              <w:rPr>
                <w:rFonts w:ascii="Times New Roman" w:hAnsi="Times New Roman"/>
              </w:rPr>
              <w:t xml:space="preserve"> alin. (4), textul “autoritatea responsabilă de supravegherea părților financiare interesate în conformitate cu Legea nr. 308/2017” (autoritățile, după caz) se substituie cu textul “</w:t>
            </w:r>
            <w:r w:rsidRPr="005D6998">
              <w:rPr>
                <w:rFonts w:ascii="Times New Roman" w:hAnsi="Times New Roman"/>
                <w:u w:val="single"/>
              </w:rPr>
              <w:t>organul cu funcții de supraveghere a părților financiare interesate</w:t>
            </w:r>
            <w:r w:rsidRPr="005D6998">
              <w:rPr>
                <w:rFonts w:ascii="Times New Roman" w:hAnsi="Times New Roman"/>
              </w:rPr>
              <w:t xml:space="preserve"> în conformitate cu Legea nr. 308/2017.” (organele, după caz)</w:t>
            </w:r>
          </w:p>
          <w:p w14:paraId="39ACFCFD"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6C8F83E8" w14:textId="08D37DB6"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plus, se completează normele sus-numite cu textul corespunzător în ceea ce privește Banca Națională a Moldovei “în calitate de autoritate competentă”, precum și cu textul “</w:t>
            </w:r>
            <w:bookmarkStart w:id="10" w:name="_Hlk235092585"/>
            <w:r w:rsidRPr="005D6998">
              <w:rPr>
                <w:rFonts w:ascii="Times New Roman" w:hAnsi="Times New Roman"/>
              </w:rPr>
              <w:t>sau în conformitate cu dispozițiile legale adoptate de alte state membre pentru transpunerea Directivei (UE) 2015/849, după  caz</w:t>
            </w:r>
            <w:bookmarkEnd w:id="10"/>
            <w:r w:rsidRPr="005D6998">
              <w:rPr>
                <w:rFonts w:ascii="Times New Roman" w:hAnsi="Times New Roman"/>
              </w:rPr>
              <w:t>.” pentru a acoperi cazurile unor fuziuni transfrontaliere.</w:t>
            </w:r>
          </w:p>
        </w:tc>
      </w:tr>
      <w:tr w:rsidR="00513EDC" w:rsidRPr="005D6998" w14:paraId="1DAD13BB" w14:textId="77777777" w:rsidTr="00651F58">
        <w:trPr>
          <w:gridAfter w:val="1"/>
          <w:wAfter w:w="10" w:type="dxa"/>
          <w:trHeight w:val="105"/>
        </w:trPr>
        <w:tc>
          <w:tcPr>
            <w:tcW w:w="899" w:type="dxa"/>
            <w:gridSpan w:val="3"/>
            <w:shd w:val="clear" w:color="auto" w:fill="FFFFFF"/>
          </w:tcPr>
          <w:p w14:paraId="5ED4A080" w14:textId="632A227B"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r w:rsidRPr="005D6998">
              <w:rPr>
                <w:rFonts w:ascii="Times New Roman" w:hAnsi="Times New Roman"/>
                <w:b/>
              </w:rPr>
              <w:lastRenderedPageBreak/>
              <w:t>)</w:t>
            </w:r>
          </w:p>
        </w:tc>
        <w:tc>
          <w:tcPr>
            <w:tcW w:w="3637" w:type="dxa"/>
            <w:shd w:val="clear" w:color="auto" w:fill="FFFFFF"/>
          </w:tcPr>
          <w:p w14:paraId="5335631B" w14:textId="77777777" w:rsidR="00513EDC" w:rsidRPr="005D6998" w:rsidRDefault="00513EDC" w:rsidP="00513EDC">
            <w:pPr>
              <w:spacing w:after="0" w:line="240" w:lineRule="auto"/>
              <w:jc w:val="both"/>
              <w:rPr>
                <w:rFonts w:ascii="Times New Roman" w:hAnsi="Times New Roman"/>
              </w:rPr>
            </w:pPr>
            <w:bookmarkStart w:id="11" w:name="_Hlk215557854"/>
            <w:r w:rsidRPr="005D6998">
              <w:rPr>
                <w:rFonts w:ascii="Times New Roman" w:hAnsi="Times New Roman"/>
                <w:b/>
                <w:bCs/>
              </w:rPr>
              <w:t>Articolul 34</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Notificarea transferurilor semnificative de active și pasive și sancțiuni</w:t>
            </w:r>
          </w:p>
          <w:bookmarkEnd w:id="11"/>
          <w:p w14:paraId="35328193" w14:textId="77777777" w:rsidR="00513EDC" w:rsidRPr="005D6998" w:rsidRDefault="00513EDC" w:rsidP="00513EDC">
            <w:pPr>
              <w:spacing w:after="0"/>
              <w:jc w:val="both"/>
              <w:rPr>
                <w:rFonts w:ascii="Times New Roman" w:hAnsi="Times New Roman"/>
              </w:rPr>
            </w:pPr>
            <w:r w:rsidRPr="005D6998">
              <w:rPr>
                <w:rFonts w:ascii="Times New Roman" w:hAnsi="Times New Roman"/>
              </w:rPr>
              <w:t>(1) Instituțiile de credit, precum și societățile financiare holding și societățile financiare holding mixte care fac obiectul art. 116</w:t>
            </w:r>
            <w:r w:rsidRPr="005D6998">
              <w:rPr>
                <w:rFonts w:ascii="Times New Roman" w:hAnsi="Times New Roman"/>
                <w:vertAlign w:val="superscript"/>
              </w:rPr>
              <w:t>1</w:t>
            </w:r>
            <w:r w:rsidRPr="005D6998">
              <w:rPr>
                <w:rFonts w:ascii="Times New Roman" w:hAnsi="Times New Roman"/>
              </w:rPr>
              <w:t xml:space="preserve"> alin. (1)-(2) </w:t>
            </w:r>
            <w:r w:rsidRPr="005D6998">
              <w:rPr>
                <w:rFonts w:ascii="Times New Roman" w:hAnsi="Times New Roman"/>
                <w:b/>
                <w:bCs/>
              </w:rPr>
              <w:t>notifică în scris, în prealabil, Banca Națională a Moldovei în conformitate cu actele normative emise în aplicarea prezentei legi</w:t>
            </w:r>
            <w:r w:rsidRPr="005D6998">
              <w:rPr>
                <w:rFonts w:ascii="Times New Roman" w:hAnsi="Times New Roman"/>
              </w:rPr>
              <w:t xml:space="preserve"> cu privire la orice transfer semnificativ de active sau pasive pe care îl execută fie printr-o vânzare, fie prin orice alt tip de operațiune (în sensul prezentului capitol, în continuare „operațiunea propusă”). Prevederile art. 34 alin. (16)-(18) se aplică în mod corespunzător.</w:t>
            </w:r>
            <w:r w:rsidRPr="005D6998">
              <w:rPr>
                <w:rFonts w:ascii="Times New Roman" w:hAnsi="Times New Roman"/>
                <w:b/>
                <w:bCs/>
                <w:color w:val="FF0000"/>
              </w:rPr>
              <w:t xml:space="preserve"> </w:t>
            </w:r>
          </w:p>
          <w:p w14:paraId="6DA1B2B3" w14:textId="77777777" w:rsidR="00513EDC" w:rsidRPr="005D6998" w:rsidRDefault="00513EDC" w:rsidP="00513EDC">
            <w:pPr>
              <w:spacing w:after="0"/>
              <w:jc w:val="both"/>
              <w:rPr>
                <w:rFonts w:ascii="Times New Roman" w:hAnsi="Times New Roman"/>
                <w:b/>
                <w:bCs/>
                <w:color w:val="FF0000"/>
              </w:rPr>
            </w:pPr>
            <w:r w:rsidRPr="005D6998">
              <w:rPr>
                <w:rFonts w:ascii="Times New Roman" w:hAnsi="Times New Roman"/>
              </w:rPr>
              <w:t xml:space="preserve">(2) Prevederile alin. (1) se aplică și entităților din cadrul aceluiași grup implicate în operațiunea propusă. </w:t>
            </w:r>
          </w:p>
          <w:p w14:paraId="6F51761C" w14:textId="77777777" w:rsidR="00513EDC" w:rsidRPr="005D6998" w:rsidRDefault="00513EDC" w:rsidP="00513EDC">
            <w:pPr>
              <w:spacing w:after="0"/>
              <w:jc w:val="both"/>
              <w:rPr>
                <w:rFonts w:ascii="Times New Roman" w:hAnsi="Times New Roman"/>
                <w:i/>
                <w:color w:val="0F9ED5" w:themeColor="accent4"/>
              </w:rPr>
            </w:pPr>
            <w:r w:rsidRPr="005D6998">
              <w:rPr>
                <w:rFonts w:ascii="Times New Roman" w:hAnsi="Times New Roman"/>
              </w:rPr>
              <w:t xml:space="preserve">(3) În sensul alin. (1)-(2), fiecare dintre entitățile implicate în aceeași operațiune propusă este supusă individual obligației de notificare prevăzute la alineatele respective. </w:t>
            </w:r>
          </w:p>
          <w:p w14:paraId="232CFE65" w14:textId="77777777" w:rsidR="00513EDC" w:rsidRPr="005D6998" w:rsidRDefault="00513EDC" w:rsidP="00513EDC">
            <w:pPr>
              <w:spacing w:after="0"/>
              <w:jc w:val="both"/>
              <w:rPr>
                <w:rFonts w:ascii="Times New Roman" w:hAnsi="Times New Roman"/>
                <w:b/>
                <w:bCs/>
                <w:color w:val="FF0000"/>
              </w:rPr>
            </w:pPr>
            <w:r w:rsidRPr="005D6998">
              <w:rPr>
                <w:rFonts w:ascii="Times New Roman" w:hAnsi="Times New Roman"/>
              </w:rPr>
              <w:t xml:space="preserve">(4) În sensul alin. (1), se consideră că operațiunea propusă este semnificativă pentru o entitate atunci când este egală cu cel puțin 10 % din activele sau datoriile totale ale acesteia, cu excepția situației în care operațiunea propusă se </w:t>
            </w:r>
            <w:r w:rsidRPr="005D6998">
              <w:rPr>
                <w:rFonts w:ascii="Times New Roman" w:hAnsi="Times New Roman"/>
              </w:rPr>
              <w:lastRenderedPageBreak/>
              <w:t>execută între entități din cadrul aceluiași grup, caz în care se consideră că operațiunea propusă este semnificativă pentru o entitate atunci când este egală cu cel puțin 15 % din activele sau pasivele totale ale acesteia. În cazul societăților financiare holding mamă și societățile financiare holding mixte mamă menționate la alineatul (1), procentele se aplică pe baza situației lor consolidate.</w:t>
            </w:r>
            <w:r w:rsidRPr="005D6998">
              <w:rPr>
                <w:rFonts w:ascii="Times New Roman" w:hAnsi="Times New Roman"/>
                <w:i/>
                <w:iCs/>
                <w:color w:val="0F9ED5" w:themeColor="accent4"/>
              </w:rPr>
              <w:t xml:space="preserve"> </w:t>
            </w:r>
          </w:p>
          <w:p w14:paraId="102823AA"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(5) La calcularea procentelor menționate la alin. (4) nu se iau în considerare următoarele: </w:t>
            </w:r>
          </w:p>
          <w:p w14:paraId="6EECE25C"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a) transferurile de active neperformante; </w:t>
            </w:r>
          </w:p>
          <w:p w14:paraId="10B4C6B5" w14:textId="77777777" w:rsidR="00513EDC" w:rsidRPr="005D6998" w:rsidRDefault="00513EDC" w:rsidP="00513EDC">
            <w:pPr>
              <w:spacing w:after="0"/>
              <w:jc w:val="both"/>
              <w:rPr>
                <w:rFonts w:ascii="Times New Roman" w:hAnsi="Times New Roman"/>
              </w:rPr>
            </w:pPr>
            <w:r w:rsidRPr="005D6998">
              <w:rPr>
                <w:rFonts w:ascii="Times New Roman" w:hAnsi="Times New Roman"/>
              </w:rPr>
              <w:t>b) transferurile de active în scopul includerii într-un portofoliu de acoperire, astfel cum este definit în legislația privind supravegherea publică a obligațiunilor garantate;</w:t>
            </w:r>
          </w:p>
          <w:p w14:paraId="0237B4CC"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c) transferurile de active care urmează să fie securitizate; </w:t>
            </w:r>
          </w:p>
          <w:p w14:paraId="2E1F9B93" w14:textId="77777777" w:rsidR="00513EDC" w:rsidRPr="005D6998" w:rsidRDefault="00513EDC" w:rsidP="00513EDC">
            <w:pPr>
              <w:spacing w:after="0"/>
              <w:jc w:val="both"/>
              <w:rPr>
                <w:rFonts w:ascii="Times New Roman" w:hAnsi="Times New Roman"/>
                <w:i/>
                <w:color w:val="0F9ED5" w:themeColor="accent4"/>
              </w:rPr>
            </w:pPr>
            <w:r w:rsidRPr="005D6998">
              <w:rPr>
                <w:rFonts w:ascii="Times New Roman" w:hAnsi="Times New Roman"/>
              </w:rPr>
              <w:t>d) transferurile de active sau de pasive în contextul utilizării instrumentelor, competențelor și mecanismelor de rezoluție prevăzute de Legea nr. 232/2016 privind redresarea şi rezoluţia instituțiilor de credit.</w:t>
            </w:r>
          </w:p>
          <w:p w14:paraId="0DA0295B" w14:textId="77777777" w:rsidR="00513EDC" w:rsidRPr="005D6998" w:rsidRDefault="00513EDC" w:rsidP="00513EDC">
            <w:pPr>
              <w:spacing w:after="0"/>
              <w:jc w:val="both"/>
              <w:rPr>
                <w:rFonts w:ascii="Times New Roman" w:hAnsi="Times New Roman"/>
                <w:b/>
                <w:bCs/>
                <w:color w:val="FF0000"/>
              </w:rPr>
            </w:pPr>
            <w:r w:rsidRPr="005D6998">
              <w:rPr>
                <w:rFonts w:ascii="Times New Roman" w:hAnsi="Times New Roman"/>
              </w:rPr>
              <w:t xml:space="preserve">(6) Banca Națională a Moldovei confirmă în scris primirea notificării prevăzute la alin. (1) cu promptitudine </w:t>
            </w:r>
            <w:r w:rsidRPr="005D6998">
              <w:rPr>
                <w:rFonts w:ascii="Times New Roman" w:hAnsi="Times New Roman"/>
              </w:rPr>
              <w:lastRenderedPageBreak/>
              <w:t>și, în orice caz, în termen de 10 zile lucrătoare de la primirea notificării.</w:t>
            </w:r>
            <w:r w:rsidRPr="005D6998">
              <w:rPr>
                <w:rFonts w:ascii="Times New Roman" w:hAnsi="Times New Roman"/>
                <w:b/>
                <w:bCs/>
                <w:color w:val="FF0000"/>
              </w:rPr>
              <w:t xml:space="preserve"> </w:t>
            </w:r>
          </w:p>
          <w:p w14:paraId="1E1E4A10" w14:textId="09B85C1B" w:rsidR="00513EDC" w:rsidRPr="005D6998" w:rsidRDefault="00513EDC" w:rsidP="00513EDC">
            <w:pPr>
              <w:spacing w:after="0"/>
              <w:jc w:val="both"/>
              <w:rPr>
                <w:rFonts w:ascii="Times New Roman" w:hAnsi="Times New Roman"/>
              </w:rPr>
            </w:pPr>
            <w:r w:rsidRPr="005D6998">
              <w:rPr>
                <w:rFonts w:ascii="Times New Roman" w:hAnsi="Times New Roman"/>
              </w:rPr>
              <w:t>(7) Banca Națională a Moldovei dispune măsurile prevăzute de prezenta lege în vederea îndeplinirii obligației entităților de a notifica în prealabil operațiunea propusă în conformitate cu alin. (1).”.</w:t>
            </w:r>
          </w:p>
        </w:tc>
        <w:tc>
          <w:tcPr>
            <w:tcW w:w="1559" w:type="dxa"/>
            <w:gridSpan w:val="3"/>
            <w:shd w:val="clear" w:color="auto" w:fill="FFFFFF"/>
          </w:tcPr>
          <w:p w14:paraId="4A7C5F57"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2062735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B0C0016" w14:textId="780C28B8"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666C0F47" w14:textId="123558B6"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EAA1146" w14:textId="2D5EE43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prevederile art. 34</w:t>
            </w:r>
            <w:r w:rsidRPr="005D6998">
              <w:rPr>
                <w:rFonts w:ascii="Times New Roman" w:hAnsi="Times New Roman"/>
                <w:vertAlign w:val="superscript"/>
              </w:rPr>
              <w:t>1</w:t>
            </w:r>
            <w:r w:rsidRPr="005D6998">
              <w:rPr>
                <w:rFonts w:ascii="Times New Roman" w:hAnsi="Times New Roman"/>
              </w:rPr>
              <w:t xml:space="preserve"> instituie obligația notificării prealabile a transferurilor semnificative de active și pasive, însă nu reglementează consecințele notificării și nici competențele BNM ulterior primirii acesteia, în afara obligației de a confirma primirea notificării. </w:t>
            </w:r>
          </w:p>
          <w:p w14:paraId="5B6749E4" w14:textId="77777777" w:rsidR="00513EDC" w:rsidRPr="005D6998" w:rsidRDefault="00513EDC" w:rsidP="00513EDC">
            <w:pPr>
              <w:spacing w:after="0" w:line="240" w:lineRule="auto"/>
              <w:jc w:val="both"/>
              <w:rPr>
                <w:rFonts w:ascii="Times New Roman" w:hAnsi="Times New Roman"/>
              </w:rPr>
            </w:pPr>
          </w:p>
          <w:p w14:paraId="5A92F4FA" w14:textId="4D4EEBA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argumentează că din text nu rezultă dacă operațiunea poate fi realizată concomitent cu notificarea sau imediat după notificare, dacă BNM poate formula obiecții, poate solicita suspendarea operațiunii sau poate dispune alte măsuri înainte de executarea acesteia. În lipsa unor prevederi exprese, efectul juridic al notificării prealabile rămâne neclar.</w:t>
            </w:r>
          </w:p>
        </w:tc>
        <w:tc>
          <w:tcPr>
            <w:tcW w:w="5012" w:type="dxa"/>
            <w:gridSpan w:val="3"/>
            <w:shd w:val="clear" w:color="auto" w:fill="FFFFFF"/>
          </w:tcPr>
          <w:p w14:paraId="3F39EDA2" w14:textId="5A068752"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 parțial.</w:t>
            </w:r>
          </w:p>
          <w:p w14:paraId="68B0ED82" w14:textId="7FFDFB28"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Din textul alin. (1) a art. 34</w:t>
            </w:r>
            <w:r w:rsidRPr="005D6998">
              <w:rPr>
                <w:rFonts w:ascii="Times New Roman" w:hAnsi="Times New Roman"/>
                <w:vertAlign w:val="superscript"/>
              </w:rPr>
              <w:t>1</w:t>
            </w:r>
            <w:r w:rsidRPr="005D6998">
              <w:rPr>
                <w:rFonts w:ascii="Times New Roman" w:hAnsi="Times New Roman"/>
              </w:rPr>
              <w:t xml:space="preserve"> rezultă că notificarea se realizează,</w:t>
            </w:r>
            <w:r w:rsidRPr="005D6998">
              <w:rPr>
                <w:rFonts w:ascii="Times New Roman" w:hAnsi="Times New Roman"/>
                <w:b/>
                <w:bCs/>
              </w:rPr>
              <w:t xml:space="preserve"> în prealabil </w:t>
            </w:r>
            <w:r w:rsidRPr="005D6998">
              <w:rPr>
                <w:rFonts w:ascii="Times New Roman" w:hAnsi="Times New Roman"/>
              </w:rPr>
              <w:t>oricărui transfer semnificativ de active sau pasive în condițiile stabilite de actele normative ale BNM, care va include procedura de notificare, documentele și informațiile care se prezintă, termenele etc.</w:t>
            </w:r>
          </w:p>
          <w:p w14:paraId="52CD0106" w14:textId="0559086B"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Totodată, alin. (1) precizează că prevederile art. 34 alin. (17)-(19) care se referă la operațiunile de fuziuni și dezmembrări se aplică în mod corespunzător.</w:t>
            </w:r>
          </w:p>
        </w:tc>
      </w:tr>
      <w:tr w:rsidR="00513EDC" w:rsidRPr="005D6998" w14:paraId="0A26D2EA" w14:textId="77777777" w:rsidTr="00651F58">
        <w:trPr>
          <w:gridAfter w:val="1"/>
          <w:wAfter w:w="10" w:type="dxa"/>
          <w:trHeight w:val="105"/>
        </w:trPr>
        <w:tc>
          <w:tcPr>
            <w:tcW w:w="899" w:type="dxa"/>
            <w:gridSpan w:val="3"/>
            <w:shd w:val="clear" w:color="auto" w:fill="FFFFFF"/>
          </w:tcPr>
          <w:p w14:paraId="2A9553BA"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83211DA" w14:textId="23E38E4C"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 xml:space="preserve">28. </w:t>
            </w:r>
            <w:r w:rsidRPr="005D6998">
              <w:rPr>
                <w:rFonts w:ascii="Times New Roman" w:hAnsi="Times New Roman"/>
              </w:rPr>
              <w:t xml:space="preserve">Articolul 36: </w:t>
            </w:r>
          </w:p>
          <w:p w14:paraId="10F847FB" w14:textId="77777777" w:rsidR="00513EDC" w:rsidRPr="005D6998" w:rsidRDefault="00513EDC" w:rsidP="00513EDC">
            <w:pPr>
              <w:pStyle w:val="a7"/>
              <w:tabs>
                <w:tab w:val="left" w:pos="426"/>
              </w:tabs>
              <w:spacing w:after="0"/>
              <w:ind w:left="0"/>
              <w:jc w:val="both"/>
              <w:rPr>
                <w:rFonts w:ascii="Times New Roman" w:hAnsi="Times New Roman"/>
              </w:rPr>
            </w:pPr>
            <w:r w:rsidRPr="005D6998">
              <w:rPr>
                <w:rFonts w:ascii="Times New Roman" w:hAnsi="Times New Roman"/>
              </w:rPr>
              <w:t>la alineatul (2), litera c), textul “alin. (3</w:t>
            </w:r>
            <w:r w:rsidRPr="005D6998">
              <w:rPr>
                <w:rFonts w:ascii="Times New Roman" w:hAnsi="Times New Roman"/>
                <w:vertAlign w:val="superscript"/>
              </w:rPr>
              <w:t>1</w:t>
            </w:r>
            <w:r w:rsidRPr="005D6998">
              <w:rPr>
                <w:rFonts w:ascii="Times New Roman" w:hAnsi="Times New Roman"/>
              </w:rPr>
              <w:t>), (4), (6) și (7)” se substituie cu textul “, alin. (3</w:t>
            </w:r>
            <w:r w:rsidRPr="005D6998">
              <w:rPr>
                <w:rFonts w:ascii="Times New Roman" w:hAnsi="Times New Roman"/>
                <w:vertAlign w:val="superscript"/>
              </w:rPr>
              <w:t>1</w:t>
            </w:r>
            <w:r w:rsidRPr="005D6998">
              <w:rPr>
                <w:rFonts w:ascii="Times New Roman" w:hAnsi="Times New Roman"/>
              </w:rPr>
              <w:t>), (4), (6) (7) și (8</w:t>
            </w:r>
            <w:r w:rsidRPr="005D6998">
              <w:rPr>
                <w:rFonts w:ascii="Times New Roman" w:hAnsi="Times New Roman"/>
                <w:vertAlign w:val="superscript"/>
              </w:rPr>
              <w:t>1</w:t>
            </w:r>
            <w:r w:rsidRPr="005D6998">
              <w:rPr>
                <w:rFonts w:ascii="Times New Roman" w:hAnsi="Times New Roman"/>
              </w:rPr>
              <w:t>)”, iar la litera d), textul “alin. (2) lit. d),” se exclude;</w:t>
            </w:r>
          </w:p>
          <w:p w14:paraId="468D6DF6" w14:textId="77777777" w:rsidR="00513EDC" w:rsidRPr="005D6998" w:rsidRDefault="00513EDC" w:rsidP="00513EDC">
            <w:pPr>
              <w:pStyle w:val="a7"/>
              <w:tabs>
                <w:tab w:val="left" w:pos="426"/>
              </w:tabs>
              <w:spacing w:after="0"/>
              <w:ind w:left="0"/>
              <w:jc w:val="both"/>
              <w:rPr>
                <w:rFonts w:ascii="Times New Roman" w:hAnsi="Times New Roman"/>
              </w:rPr>
            </w:pPr>
          </w:p>
          <w:p w14:paraId="7AD22EC0"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la alineatul (5), cuvântul „extinderii” se substituie cu cuvântul „amplorii”.</w:t>
            </w:r>
          </w:p>
          <w:p w14:paraId="3DB9CCA1" w14:textId="6C586266" w:rsidR="00513EDC" w:rsidRPr="005D6998" w:rsidRDefault="00513EDC" w:rsidP="00513EDC">
            <w:pPr>
              <w:spacing w:after="0" w:line="240" w:lineRule="auto"/>
              <w:jc w:val="both"/>
              <w:rPr>
                <w:rFonts w:ascii="Times New Roman" w:hAnsi="Times New Roman"/>
                <w:b/>
                <w:bCs/>
              </w:rPr>
            </w:pPr>
          </w:p>
        </w:tc>
        <w:tc>
          <w:tcPr>
            <w:tcW w:w="1559" w:type="dxa"/>
            <w:gridSpan w:val="3"/>
            <w:shd w:val="clear" w:color="auto" w:fill="FFFFFF"/>
          </w:tcPr>
          <w:p w14:paraId="0A4F925E"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CNPF</w:t>
            </w:r>
          </w:p>
          <w:p w14:paraId="29AEDF51"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BEC0FF6" w14:textId="7759C06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03-4/2736 din 01.07.2026 din 15.06.2026</w:t>
            </w:r>
          </w:p>
        </w:tc>
        <w:tc>
          <w:tcPr>
            <w:tcW w:w="426" w:type="dxa"/>
            <w:shd w:val="clear" w:color="auto" w:fill="FFFFFF"/>
          </w:tcPr>
          <w:p w14:paraId="4A2D112E" w14:textId="23990779"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2073930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propune reexaminarea derogărilor de la Legea nr.1134/1997 privind societățile pe acțiuni (Legea nr.1134/1997) în cazul băncilor, reieșind din următoarele raționamente: </w:t>
            </w:r>
          </w:p>
          <w:p w14:paraId="0E695D3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La art.36 la alin.(2) lit. c) din Legea 202/2017, ce vizează derogarea de la anumite prevederi ale art.48 din Legea nr.1134/1997, referința la un nou alineat – „ (8</w:t>
            </w:r>
            <w:r w:rsidRPr="005D6998">
              <w:rPr>
                <w:rFonts w:ascii="Times New Roman" w:hAnsi="Times New Roman"/>
                <w:vertAlign w:val="superscript"/>
              </w:rPr>
              <w:t>1</w:t>
            </w:r>
            <w:r w:rsidRPr="005D6998">
              <w:rPr>
                <w:rFonts w:ascii="Times New Roman" w:hAnsi="Times New Roman"/>
              </w:rPr>
              <w:t xml:space="preserve">)”, nu este corectă, or, articolul 48 al Legii nr.1134/1997 nu are un asemenea aliniat. </w:t>
            </w:r>
          </w:p>
          <w:p w14:paraId="51D15BA6" w14:textId="6067EFD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poate presupune că intenția a fost de a face trimitere la art. 72 alin. (8</w:t>
            </w:r>
            <w:r w:rsidRPr="005D6998">
              <w:rPr>
                <w:rFonts w:ascii="Times New Roman" w:hAnsi="Times New Roman"/>
                <w:vertAlign w:val="superscript"/>
              </w:rPr>
              <w:t>1</w:t>
            </w:r>
            <w:r w:rsidRPr="005D6998">
              <w:rPr>
                <w:rFonts w:ascii="Times New Roman" w:hAnsi="Times New Roman"/>
              </w:rPr>
              <w:t>) din Legea nr. 1134/1997, însă o asemenea interpretare nu poate fi acceptată, întrucât dispoziția respectivă se raportează la alte norme relevante, respectiv, art. 48 alin. (3</w:t>
            </w:r>
            <w:r w:rsidRPr="005D6998">
              <w:rPr>
                <w:rFonts w:ascii="Times New Roman" w:hAnsi="Times New Roman"/>
                <w:vertAlign w:val="superscript"/>
              </w:rPr>
              <w:t>1</w:t>
            </w:r>
            <w:r w:rsidRPr="005D6998">
              <w:rPr>
                <w:rFonts w:ascii="Times New Roman" w:hAnsi="Times New Roman"/>
              </w:rPr>
              <w:t>), care reglementează competențele privind aprobarea politicii și raportului de remunerare a conducătorilor societății, precum și art. 72</w:t>
            </w:r>
            <w:r w:rsidRPr="005D6998">
              <w:rPr>
                <w:rFonts w:ascii="Times New Roman" w:hAnsi="Times New Roman"/>
                <w:vertAlign w:val="superscript"/>
              </w:rPr>
              <w:t>1</w:t>
            </w:r>
            <w:r w:rsidRPr="005D6998">
              <w:rPr>
                <w:rFonts w:ascii="Times New Roman" w:hAnsi="Times New Roman"/>
              </w:rPr>
              <w:t xml:space="preserve">, care stabilește cadrul privind remunerarea în bază de acțiuni. Totodată, se menționează că eventualul conflict dintre Legea nr. 202/2017 și Legea nr. 1134/1997 în materia competenței de aprobare a politicii și raportului de remunerare urmează a fi clarificat prin proiectul de lege nr. 347/MF/CNPF/2026 (aspecte conexe </w:t>
            </w:r>
            <w:r w:rsidRPr="005D6998">
              <w:rPr>
                <w:rFonts w:ascii="Times New Roman" w:hAnsi="Times New Roman"/>
              </w:rPr>
              <w:lastRenderedPageBreak/>
              <w:t>instituirii structurilor de acțiuni cu drepturi de vot multiple și facilitării exercitării drepturilor acționarilor), care prevede completarea art. 48 alin. (3</w:t>
            </w:r>
            <w:r w:rsidRPr="005D6998">
              <w:rPr>
                <w:rFonts w:ascii="Times New Roman" w:hAnsi="Times New Roman"/>
                <w:vertAlign w:val="superscript"/>
              </w:rPr>
              <w:t>1</w:t>
            </w:r>
            <w:r w:rsidRPr="005D6998">
              <w:rPr>
                <w:rFonts w:ascii="Times New Roman" w:hAnsi="Times New Roman"/>
              </w:rPr>
              <w:t xml:space="preserve">) cu sintagma „dacă legislația nu prevede altfel”. Această soluție are ca efect delimitarea competențelor adunării generale a acționarilor, aplicabile societăților în general, de cele ale consiliului în cazul instituțiilor bancare/companiilor de asigurare. </w:t>
            </w:r>
          </w:p>
          <w:p w14:paraId="254663A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ceea ce privește eventuala derogare de la art. 72</w:t>
            </w:r>
            <w:r w:rsidRPr="005D6998">
              <w:rPr>
                <w:rFonts w:ascii="Times New Roman" w:hAnsi="Times New Roman"/>
                <w:vertAlign w:val="superscript"/>
              </w:rPr>
              <w:t>1</w:t>
            </w:r>
            <w:r w:rsidRPr="005D6998">
              <w:rPr>
                <w:rFonts w:ascii="Times New Roman" w:hAnsi="Times New Roman"/>
              </w:rPr>
              <w:t xml:space="preserve"> din Legea nr. 1134/1997, se reține că acest cadru normativ a fost instituit și este aplicabil inclusiv băncilor admise la piața reglementată, fiind aliniat standardelor la nivel comunitar. În acest sens, dispozițiile respective sunt conforme cu Recomandarea Comisiei 2004/913/CE din 14 decembrie 2004, cu Recomandarea Comisiei 2005/162/CE, precum și cu prevederile Directivei 2007/36/CE privind exercitarea anumitor drepturi ale acționarilor în societățile cotate. </w:t>
            </w:r>
          </w:p>
          <w:p w14:paraId="67356183" w14:textId="5A5FB8E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Prin urmare, instituirea unei derogări de la art. 72</w:t>
            </w:r>
            <w:r w:rsidRPr="005D6998">
              <w:rPr>
                <w:rFonts w:ascii="Times New Roman" w:hAnsi="Times New Roman"/>
                <w:vertAlign w:val="superscript"/>
              </w:rPr>
              <w:t>1</w:t>
            </w:r>
            <w:r w:rsidRPr="005D6998">
              <w:rPr>
                <w:rFonts w:ascii="Times New Roman" w:hAnsi="Times New Roman"/>
              </w:rPr>
              <w:t xml:space="preserve"> nu se justifică, întrucât normele respective reprezintă transpunerea unor standarde europene de guvernanță corporativă aplicabile inclusiv instituțiilor bancare listate. </w:t>
            </w:r>
          </w:p>
          <w:p w14:paraId="4262D417" w14:textId="77777777" w:rsidR="00513EDC" w:rsidRPr="005D6998" w:rsidRDefault="00513EDC" w:rsidP="00513EDC">
            <w:pPr>
              <w:spacing w:after="0" w:line="240" w:lineRule="auto"/>
              <w:jc w:val="both"/>
              <w:rPr>
                <w:rFonts w:ascii="Times New Roman" w:hAnsi="Times New Roman"/>
              </w:rPr>
            </w:pPr>
          </w:p>
          <w:p w14:paraId="3DF8F01F" w14:textId="4A2D061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Adițional, se precizează că Legea nr.1134/1997 și Legea nr. 171/2012 sunt în proces de modificare, respectiv, la definitivarea proiectului de lege urmează a fi revizuite normele de trimitere aferente legilor prenotate.</w:t>
            </w:r>
          </w:p>
        </w:tc>
        <w:tc>
          <w:tcPr>
            <w:tcW w:w="5012" w:type="dxa"/>
            <w:gridSpan w:val="3"/>
            <w:shd w:val="clear" w:color="auto" w:fill="FFFFFF"/>
          </w:tcPr>
          <w:p w14:paraId="24810214" w14:textId="4E3695E0"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5D9FEDA2" w14:textId="2E1ED51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Art. 36 din Legea nr. 202/2017 se va modifica după cum urmează, pentru indicarea alin. (8</w:t>
            </w:r>
            <w:r w:rsidRPr="005D6998">
              <w:rPr>
                <w:rFonts w:ascii="Times New Roman" w:hAnsi="Times New Roman"/>
                <w:vertAlign w:val="superscript"/>
              </w:rPr>
              <w:t>1</w:t>
            </w:r>
            <w:r w:rsidRPr="005D6998">
              <w:rPr>
                <w:rFonts w:ascii="Times New Roman" w:hAnsi="Times New Roman"/>
              </w:rPr>
              <w:t>) de la art. 72 din Legea nr. 1134/1997 de la care se derogă, pentru evitarea interpretărilor diferite:</w:t>
            </w:r>
          </w:p>
          <w:p w14:paraId="54414F89"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5031156F" w14:textId="36549BA5"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lang w:val="pt-BR"/>
              </w:rPr>
              <w:t>“</w:t>
            </w:r>
            <w:r w:rsidRPr="005D6998">
              <w:rPr>
                <w:rFonts w:ascii="Times New Roman" w:hAnsi="Times New Roman"/>
              </w:rPr>
              <w:t>la alineatul (2), litera c), textul „alin. (3</w:t>
            </w:r>
            <w:r w:rsidRPr="005D6998">
              <w:rPr>
                <w:rFonts w:ascii="Times New Roman" w:hAnsi="Times New Roman"/>
                <w:vertAlign w:val="superscript"/>
              </w:rPr>
              <w:t>1</w:t>
            </w:r>
            <w:r w:rsidRPr="005D6998">
              <w:rPr>
                <w:rFonts w:ascii="Times New Roman" w:hAnsi="Times New Roman"/>
              </w:rPr>
              <w:t>), (4), (6) și (7)” se substituie cu textul „, alin. (3</w:t>
            </w:r>
            <w:r w:rsidRPr="005D6998">
              <w:rPr>
                <w:rFonts w:ascii="Times New Roman" w:hAnsi="Times New Roman"/>
                <w:vertAlign w:val="superscript"/>
              </w:rPr>
              <w:t>1</w:t>
            </w:r>
            <w:r w:rsidRPr="005D6998">
              <w:rPr>
                <w:rFonts w:ascii="Times New Roman" w:hAnsi="Times New Roman"/>
              </w:rPr>
              <w:t xml:space="preserve">), (4), (6) și (7)”, iar la litera d), textul „alin. (2) lit. d),” se exclude </w:t>
            </w:r>
            <w:r w:rsidRPr="005D6998">
              <w:rPr>
                <w:rFonts w:ascii="Times New Roman" w:hAnsi="Times New Roman"/>
                <w:b/>
                <w:bCs/>
              </w:rPr>
              <w:t>iar la litera i), după textul „art. 72 alin. (6)” se completează cu textul „și alin. (8</w:t>
            </w:r>
            <w:r w:rsidRPr="005D6998">
              <w:rPr>
                <w:rFonts w:ascii="Times New Roman" w:hAnsi="Times New Roman"/>
                <w:b/>
                <w:bCs/>
                <w:vertAlign w:val="superscript"/>
              </w:rPr>
              <w:t>1</w:t>
            </w:r>
            <w:r w:rsidRPr="005D6998">
              <w:rPr>
                <w:rFonts w:ascii="Times New Roman" w:hAnsi="Times New Roman"/>
                <w:b/>
                <w:bCs/>
              </w:rPr>
              <w:t>).”</w:t>
            </w:r>
          </w:p>
          <w:p w14:paraId="2DF4A635"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5F03EE44" w14:textId="0EE0A565"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Referitor la faptul neacceptării unei asemenea modificări din motivul că norma dată se raportează la altă normă relevantă -  art.48 alin. (3</w:t>
            </w:r>
            <w:r w:rsidRPr="005D6998">
              <w:rPr>
                <w:rFonts w:ascii="Times New Roman" w:hAnsi="Times New Roman"/>
                <w:vertAlign w:val="superscript"/>
              </w:rPr>
              <w:t>1</w:t>
            </w:r>
            <w:r w:rsidRPr="005D6998">
              <w:rPr>
                <w:rFonts w:ascii="Times New Roman" w:hAnsi="Times New Roman"/>
              </w:rPr>
              <w:t>), relatăm că art. 36, alin. (2), lit. c) din Legea 202/2017 determină  derogarea și de la această  prevedere. Derogările menționate sunt stabilite din perspectiva prevederilor Legii 202/2017, care determină expres organul de conducere a instituției de credit, ce include doar consiliul instituției și organul executiv. Prin urmare, atribuțiile conferite adunării generale prin Legea 1134/1997, în cazul instituțiilor de credit, conform Legii 202/2017 sunt atribuite consiliului acesteia.</w:t>
            </w:r>
          </w:p>
          <w:p w14:paraId="0A25096E" w14:textId="65E16AC8"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ceea ce privește derogarea de la art. 72</w:t>
            </w:r>
            <w:r w:rsidRPr="005D6998">
              <w:rPr>
                <w:rFonts w:ascii="Times New Roman" w:hAnsi="Times New Roman"/>
                <w:vertAlign w:val="superscript"/>
              </w:rPr>
              <w:t>1</w:t>
            </w:r>
            <w:r w:rsidRPr="005D6998">
              <w:rPr>
                <w:rFonts w:ascii="Times New Roman" w:hAnsi="Times New Roman"/>
              </w:rPr>
              <w:t xml:space="preserve"> din Legea nr. 1134/1997, proiectul nu include astfel de prevederi. Prin urmare acestea urmează a fi aplicate, fiind în responsabilitatea consiliului instituției de credit.</w:t>
            </w:r>
          </w:p>
          <w:p w14:paraId="1220AA02" w14:textId="7BDB338F"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24FFED53" w14:textId="77777777" w:rsidTr="00651F58">
        <w:trPr>
          <w:gridAfter w:val="1"/>
          <w:wAfter w:w="10" w:type="dxa"/>
          <w:trHeight w:val="105"/>
        </w:trPr>
        <w:tc>
          <w:tcPr>
            <w:tcW w:w="899" w:type="dxa"/>
            <w:gridSpan w:val="3"/>
            <w:shd w:val="clear" w:color="auto" w:fill="FFFFFF"/>
          </w:tcPr>
          <w:p w14:paraId="29E9FF82"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011A4CC"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31.</w:t>
            </w:r>
            <w:r w:rsidRPr="005D6998">
              <w:rPr>
                <w:rFonts w:ascii="Times New Roman" w:hAnsi="Times New Roman"/>
              </w:rPr>
              <w:t xml:space="preserve"> Articolul 39, </w:t>
            </w:r>
          </w:p>
          <w:p w14:paraId="290704A2" w14:textId="699FBC8F"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alineatul (1), </w:t>
            </w:r>
          </w:p>
          <w:p w14:paraId="0D49924C"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lastRenderedPageBreak/>
              <w:t>textul „de remunerare pentru membrii organului executiv şi pentru persoanele care deţin funcţii-cheie în cadrul băncii, precum şi pentru orice alt angajat ce primeşte o remuneraţie totală care îl plasează în aceeaşi categorie de remuneraţie cu cea a membrilor organului executiv şi a persoanelor care deţin funcţii-cheie” se substituie cu textul “</w:t>
            </w:r>
            <w:r w:rsidRPr="005D6998">
              <w:rPr>
                <w:rFonts w:ascii="Times New Roman" w:hAnsi="Times New Roman"/>
                <w:lang w:eastAsia="ro-MD"/>
              </w:rPr>
              <w:t xml:space="preserve">privind remunerarea </w:t>
            </w:r>
            <w:bookmarkStart w:id="12" w:name="_Hlk207367447"/>
            <w:r w:rsidRPr="005D6998">
              <w:rPr>
                <w:rFonts w:ascii="Times New Roman" w:hAnsi="Times New Roman"/>
                <w:lang w:eastAsia="ro-MD"/>
              </w:rPr>
              <w:t>totală, inclusiv salariile şi beneficiile discreţionare de tipul pensiilor,</w:t>
            </w:r>
            <w:bookmarkEnd w:id="12"/>
            <w:r w:rsidRPr="005D6998">
              <w:rPr>
                <w:rFonts w:ascii="Times New Roman" w:hAnsi="Times New Roman"/>
                <w:lang w:eastAsia="ro-MD"/>
              </w:rPr>
              <w:t xml:space="preserve"> pentru categoriile de personal ale căror activități profesionale au un impact semnificativ asupra profilului de risc al instituției de credit (</w:t>
            </w:r>
            <w:r w:rsidRPr="005D6998">
              <w:rPr>
                <w:rFonts w:ascii="Times New Roman" w:hAnsi="Times New Roman"/>
                <w:i/>
                <w:iCs/>
                <w:lang w:eastAsia="ro-MD"/>
              </w:rPr>
              <w:t>în continuare</w:t>
            </w:r>
            <w:r w:rsidRPr="005D6998">
              <w:rPr>
                <w:rFonts w:ascii="Times New Roman" w:hAnsi="Times New Roman"/>
                <w:lang w:eastAsia="ro-MD"/>
              </w:rPr>
              <w:t xml:space="preserve"> membrii personalului)</w:t>
            </w:r>
            <w:r w:rsidRPr="005D6998">
              <w:rPr>
                <w:rFonts w:ascii="Times New Roman" w:hAnsi="Times New Roman"/>
              </w:rPr>
              <w:t>”;</w:t>
            </w:r>
          </w:p>
          <w:p w14:paraId="5A7E201C"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la litera a), după cuvântul „riscurilor” se completează cu textul „</w:t>
            </w:r>
            <w:r w:rsidRPr="005D6998">
              <w:rPr>
                <w:rFonts w:ascii="Times New Roman" w:hAnsi="Times New Roman"/>
                <w:lang w:eastAsia="ro-MD"/>
              </w:rPr>
              <w:t>,</w:t>
            </w:r>
            <w:r w:rsidRPr="005D6998">
              <w:rPr>
                <w:rFonts w:ascii="Times New Roman" w:hAnsi="Times New Roman"/>
              </w:rPr>
              <w:t xml:space="preserve"> </w:t>
            </w:r>
            <w:r w:rsidRPr="005D6998">
              <w:rPr>
                <w:rFonts w:ascii="Times New Roman" w:hAnsi="Times New Roman"/>
                <w:lang w:eastAsia="ro-MD"/>
              </w:rPr>
              <w:t>inclusiv prin luarea în considerare a apetitului pentru risc al instituției de credit în ceea ce privește riscurile de mediu, sociale și de guvernanță</w:t>
            </w:r>
            <w:r w:rsidRPr="005D6998">
              <w:rPr>
                <w:rFonts w:ascii="Times New Roman" w:hAnsi="Times New Roman"/>
              </w:rPr>
              <w:t>”;</w:t>
            </w:r>
          </w:p>
          <w:p w14:paraId="33A2BC59"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litera b</w:t>
            </w:r>
            <w:r w:rsidRPr="005D6998">
              <w:rPr>
                <w:rFonts w:ascii="Times New Roman" w:hAnsi="Times New Roman"/>
                <w:vertAlign w:val="superscript"/>
              </w:rPr>
              <w:t>1</w:t>
            </w:r>
            <w:r w:rsidRPr="005D6998">
              <w:rPr>
                <w:rFonts w:ascii="Times New Roman" w:hAnsi="Times New Roman"/>
              </w:rPr>
              <w:t>) cu următorul cuprins:</w:t>
            </w:r>
          </w:p>
          <w:p w14:paraId="05206493" w14:textId="77777777"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rPr>
              <w:t>„</w:t>
            </w:r>
            <w:r w:rsidRPr="005D6998">
              <w:rPr>
                <w:rFonts w:ascii="Times New Roman" w:hAnsi="Times New Roman"/>
                <w:lang w:eastAsia="ro-MD"/>
              </w:rPr>
              <w:t>b</w:t>
            </w:r>
            <w:r w:rsidRPr="005D6998">
              <w:rPr>
                <w:rFonts w:ascii="Times New Roman" w:hAnsi="Times New Roman"/>
                <w:vertAlign w:val="superscript"/>
                <w:lang w:eastAsia="ro-MD"/>
              </w:rPr>
              <w:t>1</w:t>
            </w:r>
            <w:r w:rsidRPr="005D6998">
              <w:rPr>
                <w:rFonts w:ascii="Times New Roman" w:hAnsi="Times New Roman"/>
                <w:lang w:eastAsia="ro-MD"/>
              </w:rPr>
              <w:t>) politicile și practicile de remunerare trebuie să fie neutre din punctul de vedere al genului;”;</w:t>
            </w:r>
          </w:p>
          <w:p w14:paraId="46BEFE65" w14:textId="77777777"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 xml:space="preserve">la </w:t>
            </w:r>
            <w:r w:rsidRPr="005D6998">
              <w:rPr>
                <w:rFonts w:ascii="Times New Roman" w:hAnsi="Times New Roman"/>
                <w:b/>
                <w:bCs/>
                <w:lang w:eastAsia="ro-MD"/>
              </w:rPr>
              <w:t>litera d),</w:t>
            </w:r>
            <w:r w:rsidRPr="005D6998">
              <w:rPr>
                <w:rFonts w:ascii="Times New Roman" w:hAnsi="Times New Roman"/>
                <w:lang w:eastAsia="ro-MD"/>
              </w:rPr>
              <w:t xml:space="preserve"> cuvântul </w:t>
            </w:r>
            <w:r w:rsidRPr="005D6998">
              <w:rPr>
                <w:rFonts w:ascii="Times New Roman" w:hAnsi="Times New Roman"/>
              </w:rPr>
              <w:t>„</w:t>
            </w:r>
            <w:r w:rsidRPr="005D6998">
              <w:rPr>
                <w:rFonts w:ascii="Times New Roman" w:hAnsi="Times New Roman"/>
                <w:lang w:eastAsia="ro-MD"/>
              </w:rPr>
              <w:t xml:space="preserve">angajații” se substituie cu cuvântul “salariații”, după cuvântul „control” se completează cu cuvântul </w:t>
            </w:r>
            <w:r w:rsidRPr="005D6998">
              <w:rPr>
                <w:rFonts w:ascii="Times New Roman" w:hAnsi="Times New Roman"/>
              </w:rPr>
              <w:t>„</w:t>
            </w:r>
            <w:r w:rsidRPr="005D6998">
              <w:rPr>
                <w:rFonts w:ascii="Times New Roman" w:hAnsi="Times New Roman"/>
                <w:lang w:eastAsia="ro-MD"/>
              </w:rPr>
              <w:t xml:space="preserve">intern”, iar cuvântul </w:t>
            </w:r>
            <w:r w:rsidRPr="005D6998">
              <w:rPr>
                <w:rFonts w:ascii="Times New Roman" w:hAnsi="Times New Roman"/>
              </w:rPr>
              <w:t>„</w:t>
            </w:r>
            <w:r w:rsidRPr="005D6998">
              <w:rPr>
                <w:rFonts w:ascii="Times New Roman" w:hAnsi="Times New Roman"/>
                <w:lang w:eastAsia="ro-MD"/>
              </w:rPr>
              <w:t xml:space="preserve">unităților” se substituie cu cuvântul </w:t>
            </w:r>
            <w:r w:rsidRPr="005D6998">
              <w:rPr>
                <w:rFonts w:ascii="Times New Roman" w:hAnsi="Times New Roman"/>
              </w:rPr>
              <w:t>„</w:t>
            </w:r>
            <w:r w:rsidRPr="005D6998">
              <w:rPr>
                <w:rFonts w:ascii="Times New Roman" w:hAnsi="Times New Roman"/>
                <w:lang w:eastAsia="ro-MD"/>
              </w:rPr>
              <w:t>sectoarelor”;</w:t>
            </w:r>
          </w:p>
          <w:p w14:paraId="28323BDD" w14:textId="77777777"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 xml:space="preserve">la litera e), textul </w:t>
            </w:r>
            <w:r w:rsidRPr="005D6998">
              <w:rPr>
                <w:rFonts w:ascii="Times New Roman" w:hAnsi="Times New Roman"/>
              </w:rPr>
              <w:t>„</w:t>
            </w:r>
            <w:r w:rsidRPr="005D6998">
              <w:rPr>
                <w:rFonts w:ascii="Times New Roman" w:hAnsi="Times New Roman"/>
                <w:lang w:eastAsia="ro-MD"/>
              </w:rPr>
              <w:t xml:space="preserve">persoanelor responsabile de coordonarea funcțiilor de administrare a riscurilor și de </w:t>
            </w:r>
            <w:r w:rsidRPr="005D6998">
              <w:rPr>
                <w:rFonts w:ascii="Times New Roman" w:hAnsi="Times New Roman"/>
                <w:lang w:eastAsia="ro-MD"/>
              </w:rPr>
              <w:lastRenderedPageBreak/>
              <w:t xml:space="preserve">conformitate” se substituie cu textul </w:t>
            </w:r>
            <w:r w:rsidRPr="005D6998">
              <w:rPr>
                <w:rFonts w:ascii="Times New Roman" w:hAnsi="Times New Roman"/>
              </w:rPr>
              <w:t>„</w:t>
            </w:r>
            <w:r w:rsidRPr="005D6998">
              <w:rPr>
                <w:rFonts w:ascii="Times New Roman" w:hAnsi="Times New Roman"/>
                <w:lang w:eastAsia="ro-MD"/>
              </w:rPr>
              <w:t>coordonatorilor funcțiilor de control intern”;</w:t>
            </w:r>
          </w:p>
          <w:p w14:paraId="2A2F5897" w14:textId="77777777"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 xml:space="preserve">la litera f), cuvântul </w:t>
            </w:r>
            <w:r w:rsidRPr="005D6998">
              <w:rPr>
                <w:rFonts w:ascii="Times New Roman" w:hAnsi="Times New Roman"/>
              </w:rPr>
              <w:t>„</w:t>
            </w:r>
            <w:r w:rsidRPr="005D6998">
              <w:rPr>
                <w:rFonts w:ascii="Times New Roman" w:hAnsi="Times New Roman"/>
                <w:lang w:eastAsia="ro-MD"/>
              </w:rPr>
              <w:t xml:space="preserve">angajatului” se substituie cu cuvântul </w:t>
            </w:r>
            <w:r w:rsidRPr="005D6998">
              <w:rPr>
                <w:rFonts w:ascii="Times New Roman" w:hAnsi="Times New Roman"/>
              </w:rPr>
              <w:t>„</w:t>
            </w:r>
            <w:r w:rsidRPr="005D6998">
              <w:rPr>
                <w:rFonts w:ascii="Times New Roman" w:hAnsi="Times New Roman"/>
                <w:lang w:eastAsia="ro-MD"/>
              </w:rPr>
              <w:t>salariatului”;</w:t>
            </w:r>
          </w:p>
          <w:p w14:paraId="10FBF200" w14:textId="7B205885"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b/>
                <w:bCs/>
                <w:lang w:eastAsia="ro-MD"/>
              </w:rPr>
              <w:t>la litera h),</w:t>
            </w:r>
            <w:r w:rsidRPr="005D6998">
              <w:rPr>
                <w:rFonts w:ascii="Times New Roman" w:hAnsi="Times New Roman"/>
                <w:lang w:eastAsia="ro-MD"/>
              </w:rPr>
              <w:t xml:space="preserve"> cuvântul </w:t>
            </w:r>
            <w:r w:rsidRPr="005D6998">
              <w:rPr>
                <w:rFonts w:ascii="Times New Roman" w:hAnsi="Times New Roman"/>
              </w:rPr>
              <w:t>„</w:t>
            </w:r>
            <w:r w:rsidRPr="005D6998">
              <w:rPr>
                <w:rFonts w:ascii="Times New Roman" w:hAnsi="Times New Roman"/>
                <w:lang w:eastAsia="ro-MD"/>
              </w:rPr>
              <w:t xml:space="preserve">angajat” se substituie cu cuvântul </w:t>
            </w:r>
            <w:r w:rsidRPr="005D6998">
              <w:rPr>
                <w:rFonts w:ascii="Times New Roman" w:hAnsi="Times New Roman"/>
              </w:rPr>
              <w:t>„</w:t>
            </w:r>
            <w:r w:rsidRPr="005D6998">
              <w:rPr>
                <w:rFonts w:ascii="Times New Roman" w:hAnsi="Times New Roman"/>
                <w:lang w:eastAsia="ro-MD"/>
              </w:rPr>
              <w:t>salariat”. […]</w:t>
            </w:r>
          </w:p>
        </w:tc>
        <w:tc>
          <w:tcPr>
            <w:tcW w:w="1559" w:type="dxa"/>
            <w:gridSpan w:val="3"/>
            <w:shd w:val="clear" w:color="auto" w:fill="FFFFFF"/>
          </w:tcPr>
          <w:p w14:paraId="04E8D346"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72FDCB8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C7FA053" w14:textId="0E1C764A"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lastRenderedPageBreak/>
              <w:t>Aviz nr. 02-06/188 din 07.07.2026</w:t>
            </w:r>
          </w:p>
        </w:tc>
        <w:tc>
          <w:tcPr>
            <w:tcW w:w="426" w:type="dxa"/>
            <w:shd w:val="clear" w:color="auto" w:fill="FFFFFF"/>
          </w:tcPr>
          <w:p w14:paraId="37365E14" w14:textId="40C08021"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76C321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necesare clarificări referitoare la criteriile de identificare a personalului ale </w:t>
            </w:r>
            <w:r w:rsidRPr="005D6998">
              <w:rPr>
                <w:rFonts w:ascii="Times New Roman" w:hAnsi="Times New Roman"/>
              </w:rPr>
              <w:lastRenderedPageBreak/>
              <w:t>cărui activități profesionale au un impact semnificativ asupra profilului de risc al instituției de credit, precum și la tratamentul aplicabil beneficiilor discreționare de tip pensii în cadrul politicilor de remunerare, inclusiv sub aspectul condițiilor de acordare, al modalității de includere a acestora în remunerația totală și al regimului juridic aplicabil.</w:t>
            </w:r>
          </w:p>
          <w:p w14:paraId="4296E002" w14:textId="77777777" w:rsidR="00513EDC" w:rsidRPr="005D6998" w:rsidRDefault="00513EDC" w:rsidP="00513EDC">
            <w:pPr>
              <w:spacing w:after="0" w:line="240" w:lineRule="auto"/>
              <w:jc w:val="both"/>
              <w:rPr>
                <w:rFonts w:ascii="Times New Roman" w:hAnsi="Times New Roman"/>
              </w:rPr>
            </w:pPr>
          </w:p>
          <w:p w14:paraId="06E8712F" w14:textId="77777777" w:rsidR="00513EDC" w:rsidRPr="005D6998" w:rsidRDefault="00513EDC" w:rsidP="00513EDC">
            <w:pPr>
              <w:spacing w:after="0" w:line="240" w:lineRule="auto"/>
              <w:jc w:val="both"/>
              <w:rPr>
                <w:rFonts w:ascii="Times New Roman" w:hAnsi="Times New Roman"/>
              </w:rPr>
            </w:pPr>
          </w:p>
          <w:p w14:paraId="38979911" w14:textId="77777777" w:rsidR="00513EDC" w:rsidRPr="005D6998" w:rsidRDefault="00513EDC" w:rsidP="00513EDC">
            <w:pPr>
              <w:spacing w:after="0" w:line="240" w:lineRule="auto"/>
              <w:jc w:val="both"/>
              <w:rPr>
                <w:rFonts w:ascii="Times New Roman" w:hAnsi="Times New Roman"/>
              </w:rPr>
            </w:pPr>
          </w:p>
          <w:p w14:paraId="371C8449" w14:textId="77777777" w:rsidR="00513EDC" w:rsidRPr="005D6998" w:rsidRDefault="00513EDC" w:rsidP="00513EDC">
            <w:pPr>
              <w:spacing w:after="0" w:line="240" w:lineRule="auto"/>
              <w:jc w:val="both"/>
              <w:rPr>
                <w:rFonts w:ascii="Times New Roman" w:hAnsi="Times New Roman"/>
              </w:rPr>
            </w:pPr>
          </w:p>
          <w:p w14:paraId="499E2093" w14:textId="77777777" w:rsidR="00513EDC" w:rsidRPr="005D6998" w:rsidRDefault="00513EDC" w:rsidP="00513EDC">
            <w:pPr>
              <w:spacing w:after="0" w:line="240" w:lineRule="auto"/>
              <w:jc w:val="both"/>
              <w:rPr>
                <w:rFonts w:ascii="Times New Roman" w:hAnsi="Times New Roman"/>
              </w:rPr>
            </w:pPr>
          </w:p>
          <w:p w14:paraId="12251436" w14:textId="77777777" w:rsidR="00513EDC" w:rsidRPr="005D6998" w:rsidRDefault="00513EDC" w:rsidP="00513EDC">
            <w:pPr>
              <w:spacing w:after="0" w:line="240" w:lineRule="auto"/>
              <w:jc w:val="both"/>
              <w:rPr>
                <w:rFonts w:ascii="Times New Roman" w:hAnsi="Times New Roman"/>
              </w:rPr>
            </w:pPr>
          </w:p>
          <w:p w14:paraId="1427CBCE" w14:textId="77777777" w:rsidR="00513EDC" w:rsidRPr="005D6998" w:rsidRDefault="00513EDC" w:rsidP="00513EDC">
            <w:pPr>
              <w:spacing w:after="0" w:line="240" w:lineRule="auto"/>
              <w:jc w:val="both"/>
              <w:rPr>
                <w:rFonts w:ascii="Times New Roman" w:hAnsi="Times New Roman"/>
              </w:rPr>
            </w:pPr>
          </w:p>
          <w:p w14:paraId="1CE3E2A6" w14:textId="77777777" w:rsidR="00513EDC" w:rsidRPr="005D6998" w:rsidRDefault="00513EDC" w:rsidP="00513EDC">
            <w:pPr>
              <w:spacing w:after="0" w:line="240" w:lineRule="auto"/>
              <w:jc w:val="both"/>
              <w:rPr>
                <w:rFonts w:ascii="Times New Roman" w:hAnsi="Times New Roman"/>
              </w:rPr>
            </w:pPr>
          </w:p>
          <w:p w14:paraId="17441981" w14:textId="77777777" w:rsidR="00513EDC" w:rsidRPr="005D6998" w:rsidRDefault="00513EDC" w:rsidP="00513EDC">
            <w:pPr>
              <w:spacing w:after="0" w:line="240" w:lineRule="auto"/>
              <w:jc w:val="both"/>
              <w:rPr>
                <w:rFonts w:ascii="Times New Roman" w:hAnsi="Times New Roman"/>
              </w:rPr>
            </w:pPr>
          </w:p>
          <w:p w14:paraId="67DC6FA8" w14:textId="77777777" w:rsidR="00513EDC" w:rsidRPr="005D6998" w:rsidRDefault="00513EDC" w:rsidP="00513EDC">
            <w:pPr>
              <w:spacing w:after="0" w:line="240" w:lineRule="auto"/>
              <w:jc w:val="both"/>
              <w:rPr>
                <w:rFonts w:ascii="Times New Roman" w:hAnsi="Times New Roman"/>
              </w:rPr>
            </w:pPr>
          </w:p>
          <w:p w14:paraId="3A723475" w14:textId="77777777" w:rsidR="00513EDC" w:rsidRPr="005D6998" w:rsidRDefault="00513EDC" w:rsidP="00513EDC">
            <w:pPr>
              <w:spacing w:after="0" w:line="240" w:lineRule="auto"/>
              <w:jc w:val="both"/>
              <w:rPr>
                <w:rFonts w:ascii="Times New Roman" w:hAnsi="Times New Roman"/>
              </w:rPr>
            </w:pPr>
          </w:p>
          <w:p w14:paraId="761502C7" w14:textId="77777777" w:rsidR="00513EDC" w:rsidRPr="005D6998" w:rsidRDefault="00513EDC" w:rsidP="00513EDC">
            <w:pPr>
              <w:spacing w:after="0" w:line="240" w:lineRule="auto"/>
              <w:jc w:val="both"/>
              <w:rPr>
                <w:rFonts w:ascii="Times New Roman" w:hAnsi="Times New Roman"/>
              </w:rPr>
            </w:pPr>
          </w:p>
          <w:p w14:paraId="0B2BFD63" w14:textId="77777777" w:rsidR="00513EDC" w:rsidRPr="005D6998" w:rsidRDefault="00513EDC" w:rsidP="00513EDC">
            <w:pPr>
              <w:spacing w:after="0" w:line="240" w:lineRule="auto"/>
              <w:jc w:val="both"/>
              <w:rPr>
                <w:rFonts w:ascii="Times New Roman" w:hAnsi="Times New Roman"/>
              </w:rPr>
            </w:pPr>
          </w:p>
          <w:p w14:paraId="0F147037" w14:textId="77777777" w:rsidR="00513EDC" w:rsidRPr="005D6998" w:rsidRDefault="00513EDC" w:rsidP="00513EDC">
            <w:pPr>
              <w:spacing w:after="0" w:line="240" w:lineRule="auto"/>
              <w:jc w:val="both"/>
              <w:rPr>
                <w:rFonts w:ascii="Times New Roman" w:hAnsi="Times New Roman"/>
              </w:rPr>
            </w:pPr>
          </w:p>
          <w:p w14:paraId="0B0AF961" w14:textId="77777777" w:rsidR="00513EDC" w:rsidRPr="005D6998" w:rsidRDefault="00513EDC" w:rsidP="00513EDC">
            <w:pPr>
              <w:spacing w:after="0" w:line="240" w:lineRule="auto"/>
              <w:jc w:val="both"/>
              <w:rPr>
                <w:rFonts w:ascii="Times New Roman" w:hAnsi="Times New Roman"/>
              </w:rPr>
            </w:pPr>
          </w:p>
          <w:p w14:paraId="0A567771" w14:textId="77777777" w:rsidR="00513EDC" w:rsidRPr="005D6998" w:rsidRDefault="00513EDC" w:rsidP="00513EDC">
            <w:pPr>
              <w:spacing w:after="0" w:line="240" w:lineRule="auto"/>
              <w:jc w:val="both"/>
              <w:rPr>
                <w:rFonts w:ascii="Times New Roman" w:hAnsi="Times New Roman"/>
              </w:rPr>
            </w:pPr>
          </w:p>
          <w:p w14:paraId="18CBE8EA" w14:textId="77777777" w:rsidR="00513EDC" w:rsidRPr="005D6998" w:rsidRDefault="00513EDC" w:rsidP="00513EDC">
            <w:pPr>
              <w:spacing w:after="0" w:line="240" w:lineRule="auto"/>
              <w:jc w:val="both"/>
              <w:rPr>
                <w:rFonts w:ascii="Times New Roman" w:hAnsi="Times New Roman"/>
              </w:rPr>
            </w:pPr>
          </w:p>
          <w:p w14:paraId="7950E733" w14:textId="23CA1EF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Totodată, referitor la </w:t>
            </w:r>
            <w:r w:rsidRPr="005D6998">
              <w:rPr>
                <w:rFonts w:ascii="Times New Roman" w:hAnsi="Times New Roman"/>
                <w:b/>
                <w:bCs/>
              </w:rPr>
              <w:t>art. 39 alin. (1) lit. d</w:t>
            </w:r>
            <w:r w:rsidRPr="005D6998">
              <w:rPr>
                <w:rFonts w:ascii="Times New Roman" w:hAnsi="Times New Roman"/>
              </w:rPr>
              <w:t xml:space="preserve">), se consideră necesare clarificări suplimentare privind sfera de aplicare a cerinței referitoare la independența și remunerarea personalului din structurile cu funcții de control intern, în special în ceea ce privește: </w:t>
            </w:r>
          </w:p>
          <w:p w14:paraId="541121B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 categoriile de personal vizate, respectiv dacă prevederea se aplică întregului personal din cadrul funcțiilor de control intern sau exclusiv conducătorilor și persoanelor care exercită funcții-cheie; </w:t>
            </w:r>
          </w:p>
          <w:p w14:paraId="239BC80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 xml:space="preserve">- conținutul și criteriile de asigurare a independenței, inclusiv măsura în care aceasta trebuie să fie de natură ierarhică, funcțională și/sau să vizeze procesul de stabilire a remunerației, precum și cerințele minime aplicabile; </w:t>
            </w:r>
          </w:p>
          <w:p w14:paraId="51A8AB2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 definirea noțiunii de „autoritate corespunzătoare”, inclusiv dacă aceasta presupune prerogative formale privind accesul la informații, raportarea directă către organul de conducere sau alte competențe specifice; </w:t>
            </w:r>
          </w:p>
          <w:p w14:paraId="1827D5F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modalitatea de stabilire a obiectivelor de performanță și a remunerației, astfel încât acestea să nu fie influențate, direct sau indirect, de performanța unităților operaționale supravegheate, inclusiv în cazul aplicării unor scheme de remunerare variabilă la nivelul întregii instituții.</w:t>
            </w:r>
          </w:p>
          <w:p w14:paraId="2EB13409" w14:textId="49FB174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 </w:t>
            </w:r>
          </w:p>
          <w:p w14:paraId="0DB455B8" w14:textId="6F41143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ceea ce privește </w:t>
            </w:r>
            <w:r w:rsidRPr="005D6998">
              <w:rPr>
                <w:rFonts w:ascii="Times New Roman" w:hAnsi="Times New Roman"/>
                <w:b/>
                <w:bCs/>
              </w:rPr>
              <w:t>art. 39 alin. (1) lit. h</w:t>
            </w:r>
            <w:r w:rsidRPr="005D6998">
              <w:rPr>
                <w:rFonts w:ascii="Times New Roman" w:hAnsi="Times New Roman"/>
              </w:rPr>
              <w:t xml:space="preserve">), se consideră necesară clarificarea sferei de aplicare a cerinței privind stabilirea raportului dintre componenta fixă și componenta variabilă a remunerației, în special sub aspectul determinării categoriilor de personal cărora li se aplică limita de 100% a componentei variabile a remunerației, respectiv dacă aceasta vizează întregul personal al instituției de credit sau exclusiv personalul identificat ca având un impact semnificativ asupra profilului de risc. </w:t>
            </w:r>
          </w:p>
          <w:p w14:paraId="590AC535" w14:textId="77777777" w:rsidR="00513EDC" w:rsidRPr="005D6998" w:rsidRDefault="00513EDC" w:rsidP="00513EDC">
            <w:pPr>
              <w:spacing w:after="0" w:line="240" w:lineRule="auto"/>
              <w:jc w:val="both"/>
              <w:rPr>
                <w:rFonts w:ascii="Times New Roman" w:hAnsi="Times New Roman"/>
              </w:rPr>
            </w:pPr>
          </w:p>
          <w:p w14:paraId="2D7052A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Totodată, se solicită clarificări cu privire la: </w:t>
            </w:r>
          </w:p>
          <w:p w14:paraId="111D844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elementele incluse în noțiunea de „remunerație totală”, precum și criteriile de delimitare între componenta fixă și componenta variabilă a remunerației;</w:t>
            </w:r>
          </w:p>
          <w:p w14:paraId="3BC3FB82" w14:textId="346777E6"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 măsura în care cerințele privind plafonarea componentei variabile trebuie aplicate diferențiat în funcție de categoriile de personal, inclusiv între funcțiile de control intern și funcțiile operaționale, având în vedere specificul atribuțiilor și profilul de risc asociat acestora.</w:t>
            </w:r>
          </w:p>
        </w:tc>
        <w:tc>
          <w:tcPr>
            <w:tcW w:w="5012" w:type="dxa"/>
            <w:gridSpan w:val="3"/>
            <w:shd w:val="clear" w:color="auto" w:fill="FFFFFF"/>
          </w:tcPr>
          <w:p w14:paraId="02CCE78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1A18C319" w14:textId="7EFF8FF1"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Categoriile de personal</w:t>
            </w:r>
            <w:r w:rsidRPr="005D6998">
              <w:rPr>
                <w:rFonts w:ascii="Times New Roman" w:hAnsi="Times New Roman"/>
                <w:b/>
                <w:bCs/>
              </w:rPr>
              <w:t xml:space="preserve"> </w:t>
            </w:r>
            <w:r w:rsidRPr="005D6998">
              <w:rPr>
                <w:rFonts w:ascii="Times New Roman" w:hAnsi="Times New Roman"/>
              </w:rPr>
              <w:t>ale cărui activități profesionale au un impact semnificativ asupra profilului de risc al instituției de credit sunt prevăzute la art. 39 alin.1</w:t>
            </w:r>
            <w:r w:rsidRPr="005D6998">
              <w:rPr>
                <w:rFonts w:ascii="Times New Roman" w:hAnsi="Times New Roman"/>
                <w:vertAlign w:val="superscript"/>
              </w:rPr>
              <w:t>1</w:t>
            </w:r>
            <w:r w:rsidRPr="005D6998">
              <w:rPr>
                <w:rFonts w:ascii="Times New Roman" w:hAnsi="Times New Roman"/>
              </w:rPr>
              <w:t xml:space="preserve"> din proiect.</w:t>
            </w:r>
          </w:p>
          <w:p w14:paraId="239802D0"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795D3E98" w14:textId="6CE8292C"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Se notează faptul că art. 39 alin. (1) stabilește în preambulul alineatului că instituția de credit este obligată să stabilească şi să aplice politici privind remunerarea totală, inclusiv salariile şi beneficiile discreţionare de tipul pensiilor, </w:t>
            </w:r>
            <w:r w:rsidRPr="005D6998">
              <w:rPr>
                <w:rFonts w:ascii="Times New Roman" w:hAnsi="Times New Roman"/>
                <w:b/>
              </w:rPr>
              <w:t>pentru categoriile de personal ale căror activități profesionale au un impact semnificativ asupra profilului de risc al instituției de credit</w:t>
            </w:r>
            <w:r w:rsidRPr="005D6998">
              <w:rPr>
                <w:rFonts w:ascii="Times New Roman" w:hAnsi="Times New Roman"/>
              </w:rPr>
              <w:t>.</w:t>
            </w:r>
          </w:p>
          <w:p w14:paraId="29B4C63C" w14:textId="7DF5BE0A"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Respectiv, obligația se referă la categoriile de personal desemnate prin acest articol, inclusiv sub aspectul determinării categoriilor de personal cărora li se aplică limita de 100% a componentei variabile a remunerației, respectiv dacă aceasta vizează întregul personal al instituției de credit sau exclusiv personalul identificat ca având un impact semnificativ asupra profilului de risc.</w:t>
            </w:r>
          </w:p>
          <w:p w14:paraId="3873FF12" w14:textId="4F271AB6"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ceea ce privește sfera de aplicare a cerinței referitoare la independența și remunerarea personalului din structurile cu funcții de control intern se impun următoarele precizări. Regulamentul nr. 322/2018 în vigoare la momentul actual deja stabilește în pct. 148-151 cerințele privind remunerarea funcțiilor de control intern. Acestea sunt alineate cu prevederile Ghidului EBA</w:t>
            </w:r>
            <w:r w:rsidRPr="005D6998">
              <w:t xml:space="preserve"> p</w:t>
            </w:r>
            <w:r w:rsidRPr="005D6998">
              <w:rPr>
                <w:rFonts w:ascii="Times New Roman" w:hAnsi="Times New Roman"/>
              </w:rPr>
              <w:t xml:space="preserve">rivind politicile solide de remunerare în temeiul Directivei 2013/36/UE (EBA GL/2021/04). De asemenea, pct. 177 din regulamentul menționat detaliază criteriile aferente independenței funcțiilor de control intern. </w:t>
            </w:r>
          </w:p>
          <w:p w14:paraId="4CA07C28"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77743E31" w14:textId="05D131A6"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În ceea ce privește noțiunea de „autoritate corespunzătoare”, acesta reprezintă un concept funcțional, a cărui concretizare depinde de modelul de </w:t>
            </w:r>
            <w:r w:rsidRPr="005D6998">
              <w:rPr>
                <w:rFonts w:ascii="Times New Roman" w:hAnsi="Times New Roman"/>
                <w:lang w:val="ro-MD"/>
              </w:rPr>
              <w:lastRenderedPageBreak/>
              <w:t xml:space="preserve">guvernanță, structura organizatorică, dimensiunea și profilul de risc al fiecărei instituții de credit. </w:t>
            </w:r>
          </w:p>
          <w:p w14:paraId="3F32DAD4" w14:textId="2E150FC1"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Referitor </w:t>
            </w:r>
            <w:r w:rsidRPr="005D6998">
              <w:rPr>
                <w:rFonts w:ascii="Times New Roman" w:hAnsi="Times New Roman"/>
                <w:lang w:val="ro-MD"/>
              </w:rPr>
              <w:t>reglementarea detaliată</w:t>
            </w:r>
            <w:r w:rsidRPr="005D6998">
              <w:rPr>
                <w:rFonts w:ascii="Times New Roman" w:hAnsi="Times New Roman"/>
              </w:rPr>
              <w:t xml:space="preserve"> a prerogativelor formale privind accesul la informații, raportarea directă către organul de conducere sau alte competențe specifice, aceasta </w:t>
            </w:r>
            <w:r w:rsidRPr="005D6998">
              <w:rPr>
                <w:rFonts w:ascii="Times New Roman" w:hAnsi="Times New Roman"/>
                <w:lang w:val="ro-MD"/>
              </w:rPr>
              <w:t xml:space="preserve">nu este  oportună luând în considerare că ar putea limita nejustificat flexibilitatea organizațională a instituțiilor de credit și ar crea riscul interpretării restrictive a conceptului. </w:t>
            </w:r>
          </w:p>
          <w:p w14:paraId="185D257D"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470B39DB" w14:textId="5438F8CC"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De asemenea, este improprie detalierea modalității de stabilire a obiectivelor de performanță și a remunerației funcțiilor de control la nivelul întregului sector. Criteriile de evaluare a performanței și mecanismele de remunerare țin de organizarea internă a fiecărei instituții de credit și trebuie stabilit în cadrul politicilor proprii de remunerare și guvernanță, ținând cont de dimensiunea, natura, complexitatea activității și profilul de risc al instituției de credit.</w:t>
            </w:r>
          </w:p>
          <w:p w14:paraId="2B7DF37E"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3427A027" w14:textId="5ABD4E9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Sfera de aplicare a art. 39 alin. (1), inclusiv a lit. h), rezultă din teza introductivă a alineatului, care stabilește în mod expres că principiile privind remunerarea se aplică </w:t>
            </w:r>
            <w:r w:rsidRPr="005D6998">
              <w:rPr>
                <w:rFonts w:ascii="Times New Roman" w:hAnsi="Times New Roman"/>
                <w:b/>
              </w:rPr>
              <w:t>categoriilor de personal ale căror activități profesionale au un impact semnificativ asupra profilului de risc al instituției</w:t>
            </w:r>
            <w:r w:rsidRPr="005D6998">
              <w:rPr>
                <w:rFonts w:ascii="Times New Roman" w:hAnsi="Times New Roman"/>
              </w:rPr>
              <w:t xml:space="preserve"> </w:t>
            </w:r>
            <w:r w:rsidRPr="005D6998">
              <w:rPr>
                <w:rFonts w:ascii="Times New Roman" w:hAnsi="Times New Roman"/>
                <w:b/>
              </w:rPr>
              <w:t>de credit.</w:t>
            </w:r>
            <w:r w:rsidRPr="005D6998">
              <w:rPr>
                <w:rFonts w:ascii="Times New Roman" w:hAnsi="Times New Roman"/>
              </w:rPr>
              <w:t xml:space="preserve"> În consecință, limita potrivit căreia componenta variabilă a remunerației nu poate depăși 100% din componenta fixă se aplică exclusiv acestor categorii de personal.</w:t>
            </w:r>
          </w:p>
          <w:p w14:paraId="4A3B9703"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2A132E24" w14:textId="48303411"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Regulamentul nr. 322/2018 prevede (pct. 126-129) criteriile de determinare a remunerației fixe, inclusiv condițiile cumulative pentru calificarea unei componente de remunerare ca fiind fixă, precum și regula potrivit căreia, în cazul în care o componentă nu poate fi atribuită clar remunerației fixe, aceasta este considerată remunerație variabilă. Totodată, pct. 132-</w:t>
            </w:r>
            <w:r w:rsidRPr="005D6998">
              <w:rPr>
                <w:rFonts w:ascii="Times New Roman" w:hAnsi="Times New Roman"/>
                <w:lang w:val="ro-MD"/>
              </w:rPr>
              <w:lastRenderedPageBreak/>
              <w:t>136 din Regulamentul nr. 322/2018 stabilesc modul de tratare a beneficiilor și formele remunerației variabile.</w:t>
            </w:r>
          </w:p>
          <w:p w14:paraId="3CDDE8C7" w14:textId="72E1FA2C"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În acest context, elementele incluse în remunerația totală, precum și delimitarea dintre componenta fixă și componenta variabilă rezultă din cadrul de reglementare existent. Totodată, prin proiectul HCE de modificare a Regulamentului nr. 322/2018 se propune completarea acestuia cu categorii suplimentare de remunerare, inclusiv beneficiile discreționare de tipul pensiilor.</w:t>
            </w:r>
          </w:p>
          <w:p w14:paraId="689486B0" w14:textId="6247640A" w:rsidR="00513EDC" w:rsidRPr="005D6998" w:rsidRDefault="00513EDC" w:rsidP="00513EDC">
            <w:pPr>
              <w:tabs>
                <w:tab w:val="left" w:pos="884"/>
                <w:tab w:val="left" w:pos="1196"/>
              </w:tabs>
              <w:spacing w:after="0" w:line="240" w:lineRule="auto"/>
              <w:jc w:val="both"/>
              <w:rPr>
                <w:rFonts w:ascii="Times New Roman" w:hAnsi="Times New Roman"/>
                <w:lang w:val="ro-MD"/>
              </w:rPr>
            </w:pPr>
          </w:p>
        </w:tc>
      </w:tr>
      <w:tr w:rsidR="00513EDC" w:rsidRPr="005D6998" w14:paraId="54678B20" w14:textId="77777777" w:rsidTr="00651F58">
        <w:trPr>
          <w:gridAfter w:val="1"/>
          <w:wAfter w:w="10" w:type="dxa"/>
          <w:trHeight w:val="105"/>
        </w:trPr>
        <w:tc>
          <w:tcPr>
            <w:tcW w:w="899" w:type="dxa"/>
            <w:gridSpan w:val="3"/>
            <w:shd w:val="clear" w:color="auto" w:fill="FFFFFF"/>
          </w:tcPr>
          <w:p w14:paraId="47816A39"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6C32F6C" w14:textId="35E18E13" w:rsidR="00513EDC" w:rsidRPr="005D6998" w:rsidRDefault="00513EDC" w:rsidP="00513EDC">
            <w:pPr>
              <w:spacing w:after="0" w:line="240" w:lineRule="auto"/>
              <w:jc w:val="both"/>
              <w:rPr>
                <w:rFonts w:ascii="Times New Roman" w:hAnsi="Times New Roman"/>
                <w:lang w:eastAsia="ro-MD"/>
              </w:rPr>
            </w:pPr>
            <w:r w:rsidRPr="005D6998">
              <w:rPr>
                <w:rFonts w:ascii="Times New Roman" w:hAnsi="Times New Roman"/>
                <w:lang w:eastAsia="ro-MD"/>
              </w:rPr>
              <w:t>(1</w:t>
            </w:r>
            <w:r w:rsidRPr="005D6998">
              <w:rPr>
                <w:rFonts w:ascii="Times New Roman" w:hAnsi="Times New Roman"/>
                <w:vertAlign w:val="superscript"/>
                <w:lang w:eastAsia="ro-MD"/>
              </w:rPr>
              <w:t>1</w:t>
            </w:r>
            <w:r w:rsidRPr="005D6998">
              <w:rPr>
                <w:rFonts w:ascii="Times New Roman" w:hAnsi="Times New Roman"/>
                <w:lang w:eastAsia="ro-MD"/>
              </w:rPr>
              <w:t xml:space="preserve">) În sensul alin. (1), </w:t>
            </w:r>
            <w:r w:rsidRPr="005D6998">
              <w:rPr>
                <w:rFonts w:ascii="Times New Roman" w:hAnsi="Times New Roman"/>
                <w:b/>
                <w:bCs/>
                <w:lang w:eastAsia="ro-MD"/>
              </w:rPr>
              <w:t xml:space="preserve">categoriile de </w:t>
            </w:r>
            <w:r w:rsidRPr="005D6998">
              <w:rPr>
                <w:rFonts w:ascii="Times New Roman" w:hAnsi="Times New Roman"/>
                <w:lang w:eastAsia="ro-MD"/>
              </w:rPr>
              <w:t xml:space="preserve">personal ale căror activități profesionale au un </w:t>
            </w:r>
            <w:r w:rsidRPr="005D6998">
              <w:rPr>
                <w:rFonts w:ascii="Times New Roman" w:hAnsi="Times New Roman"/>
                <w:b/>
                <w:bCs/>
                <w:lang w:eastAsia="ro-MD"/>
              </w:rPr>
              <w:t>impact semnificativ asupra profilului de risc al instituției de credit</w:t>
            </w:r>
            <w:r w:rsidRPr="005D6998">
              <w:rPr>
                <w:rFonts w:ascii="Times New Roman" w:hAnsi="Times New Roman"/>
                <w:lang w:eastAsia="ro-MD"/>
              </w:rPr>
              <w:t xml:space="preserve"> includ cel puțin:</w:t>
            </w:r>
          </w:p>
          <w:p w14:paraId="68FF3B3E" w14:textId="77777777" w:rsidR="00513EDC" w:rsidRPr="005D6998" w:rsidRDefault="00513EDC" w:rsidP="00513EDC">
            <w:pPr>
              <w:spacing w:after="0" w:line="240" w:lineRule="auto"/>
              <w:jc w:val="both"/>
              <w:rPr>
                <w:rFonts w:ascii="Times New Roman" w:hAnsi="Times New Roman"/>
                <w:lang w:eastAsia="ro-MD"/>
              </w:rPr>
            </w:pPr>
            <w:r w:rsidRPr="005D6998">
              <w:rPr>
                <w:rFonts w:ascii="Times New Roman" w:hAnsi="Times New Roman"/>
                <w:lang w:eastAsia="ro-MD"/>
              </w:rPr>
              <w:t xml:space="preserve">a) toți membrii consiliului, ai comitetului executiv și </w:t>
            </w:r>
            <w:r w:rsidRPr="005D6998">
              <w:rPr>
                <w:rFonts w:ascii="Times New Roman" w:hAnsi="Times New Roman"/>
              </w:rPr>
              <w:t xml:space="preserve">persoanele care reprezintă </w:t>
            </w:r>
            <w:r w:rsidRPr="005D6998">
              <w:rPr>
                <w:rFonts w:ascii="Times New Roman" w:hAnsi="Times New Roman"/>
                <w:lang w:eastAsia="ro-MD"/>
              </w:rPr>
              <w:t xml:space="preserve">conducerea superioară; </w:t>
            </w:r>
          </w:p>
          <w:p w14:paraId="2290AC3E" w14:textId="77777777" w:rsidR="00513EDC" w:rsidRPr="005D6998" w:rsidRDefault="00513EDC" w:rsidP="00513EDC">
            <w:pPr>
              <w:tabs>
                <w:tab w:val="left" w:pos="3920"/>
              </w:tabs>
              <w:spacing w:after="0" w:line="240" w:lineRule="auto"/>
              <w:jc w:val="both"/>
              <w:rPr>
                <w:rFonts w:ascii="Times New Roman" w:hAnsi="Times New Roman"/>
                <w:i/>
                <w:color w:val="0F9ED5" w:themeColor="accent4"/>
                <w:lang w:eastAsia="ro-MD"/>
              </w:rPr>
            </w:pPr>
            <w:r w:rsidRPr="005D6998">
              <w:rPr>
                <w:rFonts w:ascii="Times New Roman" w:hAnsi="Times New Roman"/>
                <w:lang w:eastAsia="ro-MD"/>
              </w:rPr>
              <w:t xml:space="preserve">b) persoane cu funcții-cheie, inclusiv membrii personalului cu responsabilități de conducere a funcțiilor de control intern sau a </w:t>
            </w:r>
            <w:r w:rsidRPr="005D6998">
              <w:rPr>
                <w:rFonts w:ascii="Times New Roman" w:hAnsi="Times New Roman"/>
                <w:b/>
                <w:bCs/>
                <w:lang w:eastAsia="ro-MD"/>
              </w:rPr>
              <w:t>unităților operaționale importante ale instituției de credit</w:t>
            </w:r>
            <w:r w:rsidRPr="005D6998">
              <w:rPr>
                <w:rFonts w:ascii="Times New Roman" w:hAnsi="Times New Roman"/>
                <w:lang w:eastAsia="ro-MD"/>
              </w:rPr>
              <w:t xml:space="preserve">, astfel cum sunt definite în actele normative ale Băncii Naționale a Moldovei; </w:t>
            </w:r>
          </w:p>
          <w:p w14:paraId="232C7D86" w14:textId="77777777" w:rsidR="00513EDC" w:rsidRPr="005D6998" w:rsidRDefault="00513EDC" w:rsidP="00513EDC">
            <w:pPr>
              <w:spacing w:after="0" w:line="240" w:lineRule="auto"/>
              <w:jc w:val="both"/>
              <w:rPr>
                <w:rFonts w:ascii="Times New Roman" w:hAnsi="Times New Roman"/>
                <w:lang w:eastAsia="ro-MD"/>
              </w:rPr>
            </w:pPr>
            <w:r w:rsidRPr="005D6998">
              <w:rPr>
                <w:rFonts w:ascii="Times New Roman" w:hAnsi="Times New Roman"/>
                <w:lang w:eastAsia="ro-MD"/>
              </w:rPr>
              <w:t>c) membrii personalului îndreptățiți la remunerații totale semnificative în perioada de gestiune precedentă, cu îndeplinirea următoarelor condiții:</w:t>
            </w:r>
            <w:r w:rsidRPr="005D6998">
              <w:rPr>
                <w:rFonts w:ascii="Times New Roman" w:hAnsi="Times New Roman"/>
                <w:b/>
                <w:bCs/>
                <w:lang w:eastAsia="ro-MD"/>
              </w:rPr>
              <w:t xml:space="preserve"> </w:t>
            </w:r>
          </w:p>
          <w:p w14:paraId="7CD83D97" w14:textId="77777777" w:rsidR="00513EDC" w:rsidRPr="005D6998" w:rsidRDefault="00513EDC" w:rsidP="00513EDC">
            <w:pPr>
              <w:spacing w:after="0" w:line="240" w:lineRule="auto"/>
              <w:ind w:firstLine="567"/>
              <w:jc w:val="both"/>
              <w:rPr>
                <w:rFonts w:ascii="Times New Roman" w:hAnsi="Times New Roman"/>
                <w:lang w:eastAsia="ro-MD"/>
              </w:rPr>
            </w:pPr>
            <w:r w:rsidRPr="005D6998">
              <w:rPr>
                <w:rFonts w:ascii="Times New Roman" w:hAnsi="Times New Roman"/>
                <w:lang w:eastAsia="ro-MD"/>
              </w:rPr>
              <w:t xml:space="preserve">i) </w:t>
            </w:r>
            <w:r w:rsidRPr="005D6998">
              <w:rPr>
                <w:rFonts w:ascii="Times New Roman" w:hAnsi="Times New Roman"/>
                <w:b/>
                <w:bCs/>
                <w:lang w:eastAsia="ro-MD"/>
              </w:rPr>
              <w:t>remunerația totală a membrului personalului este egală cu echivalentul în MDL a cel puțin 500.000 euro</w:t>
            </w:r>
            <w:r w:rsidRPr="005D6998">
              <w:rPr>
                <w:rFonts w:ascii="Times New Roman" w:hAnsi="Times New Roman"/>
                <w:lang w:eastAsia="ro-MD"/>
              </w:rPr>
              <w:t xml:space="preserve"> și este cel puțin egală cu remunerația medie acordată membrilor organului de conducere; </w:t>
            </w:r>
          </w:p>
          <w:p w14:paraId="0EBFC7BD" w14:textId="77777777" w:rsidR="00513EDC" w:rsidRPr="005D6998" w:rsidRDefault="00513EDC" w:rsidP="00513EDC">
            <w:pPr>
              <w:spacing w:after="0" w:line="240" w:lineRule="auto"/>
              <w:ind w:firstLine="567"/>
              <w:jc w:val="both"/>
              <w:rPr>
                <w:rFonts w:ascii="Times New Roman" w:hAnsi="Times New Roman"/>
                <w:b/>
                <w:color w:val="FF0000"/>
                <w:lang w:eastAsia="ro-MD"/>
              </w:rPr>
            </w:pPr>
            <w:r w:rsidRPr="005D6998">
              <w:rPr>
                <w:rFonts w:ascii="Times New Roman" w:hAnsi="Times New Roman"/>
                <w:lang w:eastAsia="ro-MD"/>
              </w:rPr>
              <w:lastRenderedPageBreak/>
              <w:t xml:space="preserve">ii) membrul personalului își desfășoară activitatea profesională într-o unitate operațională importantă, iar activitatea are, prin natura sa, un impact semnificativ asupra profilului de risc al unității operaționale în cauză. </w:t>
            </w:r>
            <w:r w:rsidRPr="005D6998">
              <w:rPr>
                <w:rFonts w:ascii="Times New Roman" w:hAnsi="Times New Roman"/>
                <w:i/>
                <w:iCs/>
                <w:color w:val="0F9ED5" w:themeColor="accent4"/>
                <w:lang w:eastAsia="ro-MD"/>
              </w:rPr>
              <w:t xml:space="preserve"> </w:t>
            </w:r>
          </w:p>
          <w:p w14:paraId="4AD4F874" w14:textId="77777777" w:rsidR="00513EDC" w:rsidRPr="005D6998" w:rsidRDefault="00513EDC" w:rsidP="00513EDC">
            <w:pPr>
              <w:pStyle w:val="a7"/>
              <w:tabs>
                <w:tab w:val="left" w:pos="426"/>
              </w:tabs>
              <w:spacing w:after="0" w:line="240" w:lineRule="auto"/>
              <w:ind w:left="0"/>
              <w:jc w:val="both"/>
              <w:rPr>
                <w:rFonts w:ascii="Times New Roman" w:hAnsi="Times New Roman"/>
                <w:lang w:eastAsia="ro-MD"/>
              </w:rPr>
            </w:pPr>
          </w:p>
        </w:tc>
        <w:tc>
          <w:tcPr>
            <w:tcW w:w="1559" w:type="dxa"/>
            <w:gridSpan w:val="3"/>
            <w:shd w:val="clear" w:color="auto" w:fill="FFFFFF"/>
          </w:tcPr>
          <w:p w14:paraId="04646205"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1A10FDDC"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74C5B9F" w14:textId="1DAA3228"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7763C8A9" w14:textId="34003D4B"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60C07EA" w14:textId="339184A0"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necesare clarificări suplimentare privind conținutul noțiunii de „remunerație totală” utilizate pentru identificarea membrilor personalului cu impact asupra profilului de risc, în special sub aspectul includerii unor elemente precum remunerația variabilă amânată, beneficiile discreționare de tipul pensiilor, beneficiile non-financiare sau eventualele plăți și beneficii acordate la nivel de grup.</w:t>
            </w:r>
          </w:p>
          <w:p w14:paraId="1AFEF818" w14:textId="77777777" w:rsidR="00513EDC" w:rsidRPr="005D6998" w:rsidRDefault="00513EDC" w:rsidP="00513EDC">
            <w:pPr>
              <w:spacing w:after="0" w:line="240" w:lineRule="auto"/>
              <w:jc w:val="both"/>
              <w:rPr>
                <w:rFonts w:ascii="Times New Roman" w:hAnsi="Times New Roman"/>
              </w:rPr>
            </w:pPr>
          </w:p>
          <w:p w14:paraId="6E971176" w14:textId="77777777" w:rsidR="00513EDC" w:rsidRPr="005D6998" w:rsidRDefault="00513EDC" w:rsidP="00513EDC">
            <w:pPr>
              <w:spacing w:after="0" w:line="240" w:lineRule="auto"/>
              <w:jc w:val="both"/>
              <w:rPr>
                <w:rFonts w:ascii="Times New Roman" w:hAnsi="Times New Roman"/>
              </w:rPr>
            </w:pPr>
          </w:p>
          <w:p w14:paraId="565C381F" w14:textId="1EAD4574" w:rsidR="00513EDC" w:rsidRPr="005D6998" w:rsidRDefault="00513EDC" w:rsidP="00513EDC">
            <w:pPr>
              <w:spacing w:after="0" w:line="240" w:lineRule="auto"/>
              <w:jc w:val="both"/>
              <w:rPr>
                <w:rFonts w:ascii="Times New Roman" w:hAnsi="Times New Roman"/>
              </w:rPr>
            </w:pPr>
            <w:r w:rsidRPr="005D6998">
              <w:rPr>
                <w:rFonts w:ascii="Times New Roman" w:hAnsi="Times New Roman"/>
              </w:rPr>
              <w:t>Totodată, se solicită precizări privind modalitatea de determinare a pragului de 500.000 EUR, inclusiv dacă acesta se calculează în funcție de remunerația acordată sau de cea efectiv plătită și care este cursul valutar ce urmează a fi utilizat pentru conversia în lei moldovenești.</w:t>
            </w:r>
          </w:p>
          <w:p w14:paraId="60807709" w14:textId="3FECBA2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De asemenea, se consideră oportună clarificarea modului de calcul al remunerației medii acordate membrilor organului de conducere, inclusiv sub aspectul elementelor de remunerare care urmează a fi luate în considerare, al categoriei de membri ai organului de conducere vizate de această cerință (funcția de conducere, funcția de </w:t>
            </w:r>
            <w:r w:rsidRPr="005D6998">
              <w:rPr>
                <w:rFonts w:ascii="Times New Roman" w:hAnsi="Times New Roman"/>
              </w:rPr>
              <w:lastRenderedPageBreak/>
              <w:t xml:space="preserve">supraveghere sau ambele) și al metodei de calcul aplicabile. </w:t>
            </w:r>
          </w:p>
          <w:p w14:paraId="031BD986" w14:textId="1C3C740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necesare clarificări și cu privire la criteriile de determinare a unei „unități operaționale importante”, inclusiv dacă această calificare trebuie să se bazeze pe indicatori cantitativi și/sau calitativi și dacă stabilirea acesteia se realizează exclusiv la nivelul instituției sau necesită validarea ori confirmarea din partea autorității competente. </w:t>
            </w:r>
          </w:p>
          <w:p w14:paraId="7460087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același context, se solicită precizarea criteriilor concrete utilizate pentru evaluarea „impactului semnificativ asupra profilului de risc”, inclusiv măsura în care această evaluare trebuie să se bazeze pe indicatori obiectivi și dacă există exemple, orientări sau criterii de referință aplicabile diferitelor categorii de funcții. </w:t>
            </w:r>
          </w:p>
          <w:p w14:paraId="40E0CB3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Totodată, se solicită confirmarea faptului dacă condițiile prevăzute la art. 39 alin. (1</w:t>
            </w:r>
            <w:r w:rsidRPr="005D6998">
              <w:rPr>
                <w:rFonts w:ascii="Times New Roman" w:hAnsi="Times New Roman"/>
                <w:vertAlign w:val="superscript"/>
              </w:rPr>
              <w:t>1</w:t>
            </w:r>
            <w:r w:rsidRPr="005D6998">
              <w:rPr>
                <w:rFonts w:ascii="Times New Roman" w:hAnsi="Times New Roman"/>
              </w:rPr>
              <w:t xml:space="preserve">) lit. c) pct. i) și ii) au caracter cumulativ pentru identificarea membrilor personalului cu impact asupra profilului de risc sau dacă acestea pot fi aplicate în mod alternativ. </w:t>
            </w:r>
          </w:p>
          <w:p w14:paraId="1A8E3701" w14:textId="77777777" w:rsidR="00513EDC" w:rsidRPr="005D6998" w:rsidRDefault="00513EDC" w:rsidP="00513EDC">
            <w:pPr>
              <w:spacing w:after="0" w:line="240" w:lineRule="auto"/>
              <w:jc w:val="both"/>
              <w:rPr>
                <w:rFonts w:ascii="Times New Roman" w:hAnsi="Times New Roman"/>
              </w:rPr>
            </w:pPr>
          </w:p>
          <w:p w14:paraId="4A15FCCC" w14:textId="2483C28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necesară clarificarea criteriilor de identificare a altor categorii de personal cu impact asupra profilului de risc, inclusiv a conținutului noțiunii de „impact semnificativ” și a circumstanțelor în care este necesară aprobarea prealabilă a BNM pentru includerea sau excluderea unor persoane din această categorie, în vederea asigurării unei abordări uniforme și predictibile la nivelul instituțiilor de credit.</w:t>
            </w:r>
          </w:p>
        </w:tc>
        <w:tc>
          <w:tcPr>
            <w:tcW w:w="5012" w:type="dxa"/>
            <w:gridSpan w:val="3"/>
            <w:shd w:val="clear" w:color="auto" w:fill="FFFFFF"/>
          </w:tcPr>
          <w:p w14:paraId="30DAABB8" w14:textId="2C83AE0E"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59BC4B05" w14:textId="35F41E2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Din interpretarea sistemică a cadrului normativ privind remunerarea rezultă că remunerația totală include remunerația fixă și remunerația variabilă, inclusiv subcategoriile acestora la care face referire autorul obiecției.</w:t>
            </w:r>
          </w:p>
          <w:p w14:paraId="569E9A8D"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14703895" w14:textId="38B4375E"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Aspectele tehnice vizate sunt sau urmează să fie reglementate prin legislația UE direct aplicabilă sau prin standardele tehnice și orientările EBA și urmează a fi transpuse în actele normative ale BNM în măsura în care sunt sau vor fi aprobate la nivelul UE</w:t>
            </w:r>
            <w:r w:rsidRPr="005D6998">
              <w:rPr>
                <w:rFonts w:ascii="Times New Roman" w:hAnsi="Times New Roman"/>
                <w:b/>
                <w:bCs/>
              </w:rPr>
              <w:t>.</w:t>
            </w:r>
          </w:p>
          <w:p w14:paraId="0291198C"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7CBBE38A" w14:textId="35A231A1" w:rsidR="00513EDC" w:rsidRPr="005D6998" w:rsidRDefault="00513EDC" w:rsidP="00513EDC">
            <w:pPr>
              <w:spacing w:after="0"/>
              <w:jc w:val="both"/>
              <w:rPr>
                <w:rFonts w:ascii="Times New Roman" w:hAnsi="Times New Roman"/>
              </w:rPr>
            </w:pPr>
            <w:r w:rsidRPr="005D6998">
              <w:rPr>
                <w:rFonts w:ascii="Times New Roman" w:hAnsi="Times New Roman"/>
              </w:rPr>
              <w:t>În ceea ce privește calculul pragurilor prevăzute în proiect în euro, dispozițiile finale din proiect au fost completate după cum urmează:</w:t>
            </w:r>
          </w:p>
          <w:p w14:paraId="4F151081" w14:textId="2B14A06B" w:rsidR="00513EDC" w:rsidRPr="005D6998" w:rsidRDefault="00513EDC" w:rsidP="00513EDC">
            <w:pPr>
              <w:spacing w:after="0"/>
              <w:jc w:val="both"/>
              <w:rPr>
                <w:rFonts w:ascii="Times New Roman" w:hAnsi="Times New Roman"/>
              </w:rPr>
            </w:pPr>
            <w:r w:rsidRPr="005D6998">
              <w:rPr>
                <w:rFonts w:ascii="Times New Roman" w:hAnsi="Times New Roman"/>
                <w:lang w:val="it-CH"/>
              </w:rPr>
              <w:t>“</w:t>
            </w:r>
            <w:r w:rsidRPr="005D6998">
              <w:rPr>
                <w:rFonts w:ascii="Times New Roman" w:hAnsi="Times New Roman"/>
              </w:rPr>
              <w:t>(5) Echivalentul în MDL a pragurilor stabilite în euro din prezenta lege se va calcula la cursul oficial al leului moldovenesc stabilit de Banca Națională a Moldovei la data prevăzută în actele normative emise în aplicarea prezentei legi.”.</w:t>
            </w:r>
          </w:p>
          <w:p w14:paraId="6ACF3455"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56BA9639"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6202A645"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2AD0A8BE"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1A0E066E"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14C050B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08E8ABF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5C1B5838"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43ABAC85"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086E78D3"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46BF623A"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178D6DCE"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2EDF8DEC"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2CEBA60B"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2F29190E"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28A3960E"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3B6377B1"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4B8ACD09"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7E335B14" w14:textId="26E8C1B1" w:rsidR="00513EDC" w:rsidRPr="005D6998" w:rsidRDefault="00513EDC" w:rsidP="00513EDC">
            <w:pPr>
              <w:tabs>
                <w:tab w:val="left" w:pos="884"/>
                <w:tab w:val="left" w:pos="1196"/>
              </w:tabs>
              <w:spacing w:after="0" w:line="240" w:lineRule="auto"/>
              <w:jc w:val="both"/>
              <w:rPr>
                <w:rFonts w:ascii="Times New Roman" w:hAnsi="Times New Roman"/>
                <w:b/>
                <w:bCs/>
              </w:rPr>
            </w:pPr>
          </w:p>
          <w:p w14:paraId="283D8052" w14:textId="5EFB82C4" w:rsidR="00513EDC" w:rsidRPr="005D6998" w:rsidRDefault="00513EDC" w:rsidP="00513EDC">
            <w:pPr>
              <w:tabs>
                <w:tab w:val="left" w:pos="884"/>
                <w:tab w:val="left" w:pos="1196"/>
              </w:tabs>
              <w:spacing w:after="0" w:line="240" w:lineRule="auto"/>
              <w:jc w:val="both"/>
              <w:rPr>
                <w:rFonts w:ascii="Times New Roman" w:hAnsi="Times New Roman"/>
                <w:b/>
                <w:bCs/>
              </w:rPr>
            </w:pPr>
          </w:p>
          <w:p w14:paraId="3C87E841"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417539EB"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5216D619"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64441461"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0DF6B4B0"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4276F2BD" w14:textId="1323E8CB"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Condițiile prevăzute la art. 39 alin. (1</w:t>
            </w:r>
            <w:r w:rsidRPr="005D6998">
              <w:rPr>
                <w:rFonts w:ascii="Times New Roman" w:hAnsi="Times New Roman"/>
                <w:vertAlign w:val="superscript"/>
              </w:rPr>
              <w:t>1</w:t>
            </w:r>
            <w:r w:rsidRPr="005D6998">
              <w:rPr>
                <w:rFonts w:ascii="Times New Roman" w:hAnsi="Times New Roman"/>
              </w:rPr>
              <w:t>) lit. c) pct. i) și ii) au caracter cumulativ. Această soluție rezultă atât din formularea textului propus („cu îndeplinirea următoarelor condiții”), cât și din art. 92 alin. (3) lit. c) din Directiva 2013/36/UE, care prevede expres că membrii personalului respectivi sunt identificați sub rezerva îndeplinirii ambelor condiții (în engleză – subject to both of the following conditions). Prin urmare, nu există temei pentru interpretarea potrivit căreia cele două condiții s-ar aplica alternativ.</w:t>
            </w:r>
          </w:p>
          <w:p w14:paraId="2493D3B3"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488FEC42" w14:textId="745059D9"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Clarificarea criteriilor de identificare a altor categorii de personal cu impact asupra profilului de risc și a aspectului de „impact semnificativ”, precum și condițiilor aprobării prealabile pentru includerea sau excluderea din această categorie urmează a fi stabilite la nivelul actelor normative ale BNM.</w:t>
            </w:r>
          </w:p>
        </w:tc>
      </w:tr>
      <w:tr w:rsidR="00513EDC" w:rsidRPr="005D6998" w14:paraId="34F43F26" w14:textId="77777777" w:rsidTr="00651F58">
        <w:trPr>
          <w:gridAfter w:val="1"/>
          <w:wAfter w:w="10" w:type="dxa"/>
          <w:trHeight w:val="105"/>
        </w:trPr>
        <w:tc>
          <w:tcPr>
            <w:tcW w:w="899" w:type="dxa"/>
            <w:gridSpan w:val="3"/>
            <w:shd w:val="clear" w:color="auto" w:fill="FFFFFF"/>
          </w:tcPr>
          <w:p w14:paraId="52EA7F3F"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92767C1" w14:textId="77777777"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alineatul (2),</w:t>
            </w:r>
          </w:p>
          <w:p w14:paraId="65938715" w14:textId="28405D97" w:rsidR="00513EDC" w:rsidRPr="005D6998" w:rsidRDefault="00513EDC" w:rsidP="00513EDC">
            <w:pPr>
              <w:spacing w:after="0" w:line="240" w:lineRule="auto"/>
              <w:jc w:val="both"/>
              <w:rPr>
                <w:rFonts w:ascii="Times New Roman" w:hAnsi="Times New Roman"/>
                <w:b/>
                <w:lang w:eastAsia="ro-MD"/>
              </w:rPr>
            </w:pPr>
            <w:r w:rsidRPr="005D6998">
              <w:rPr>
                <w:rFonts w:ascii="Times New Roman" w:hAnsi="Times New Roman"/>
                <w:b/>
                <w:lang w:eastAsia="ro-MD"/>
              </w:rPr>
              <w:t>[…]</w:t>
            </w:r>
          </w:p>
          <w:p w14:paraId="092071C7" w14:textId="5CFFA9EE" w:rsidR="00513EDC" w:rsidRPr="005D6998" w:rsidRDefault="00513EDC" w:rsidP="00513EDC">
            <w:pPr>
              <w:spacing w:after="0" w:line="240" w:lineRule="auto"/>
              <w:jc w:val="both"/>
              <w:rPr>
                <w:rFonts w:ascii="Times New Roman" w:hAnsi="Times New Roman"/>
                <w:b/>
                <w:lang w:eastAsia="ro-MD"/>
              </w:rPr>
            </w:pPr>
            <w:r w:rsidRPr="005D6998">
              <w:rPr>
                <w:rFonts w:ascii="Times New Roman" w:hAnsi="Times New Roman"/>
                <w:lang w:eastAsia="ro-MD"/>
              </w:rPr>
              <w:t xml:space="preserve">o)  până la 100% din remunerația variabilă totală face obiectul acordurilor de tip </w:t>
            </w:r>
            <w:r w:rsidRPr="005D6998">
              <w:rPr>
                <w:rFonts w:ascii="Times New Roman" w:hAnsi="Times New Roman"/>
              </w:rPr>
              <w:t>„</w:t>
            </w:r>
            <w:r w:rsidRPr="005D6998">
              <w:rPr>
                <w:rFonts w:ascii="Times New Roman" w:hAnsi="Times New Roman"/>
                <w:lang w:eastAsia="ro-MD"/>
              </w:rPr>
              <w:t>malus” sau de tip „clawback”. Instituția de credit stabilește criterii specifice în politica sa de remunerare pentru aplicarea acestor acorduri, care trebuie să acopere în special situațiile în care membrii personalului:</w:t>
            </w:r>
            <w:r w:rsidRPr="005D6998">
              <w:rPr>
                <w:rFonts w:ascii="Times New Roman" w:hAnsi="Times New Roman"/>
                <w:lang w:eastAsia="ro-MD"/>
              </w:rPr>
              <w:br/>
            </w:r>
            <w:r w:rsidRPr="005D6998">
              <w:rPr>
                <w:rFonts w:ascii="Times New Roman" w:hAnsi="Times New Roman"/>
                <w:b/>
                <w:bCs/>
                <w:lang w:eastAsia="ro-MD"/>
              </w:rPr>
              <w:t xml:space="preserve">i) </w:t>
            </w:r>
            <w:r w:rsidRPr="005D6998">
              <w:rPr>
                <w:rFonts w:ascii="Times New Roman" w:hAnsi="Times New Roman"/>
                <w:lang w:eastAsia="ro-MD"/>
              </w:rPr>
              <w:t xml:space="preserve">au participat la </w:t>
            </w:r>
            <w:r w:rsidRPr="005D6998">
              <w:rPr>
                <w:rFonts w:ascii="Times New Roman" w:hAnsi="Times New Roman"/>
                <w:b/>
                <w:bCs/>
                <w:lang w:eastAsia="ro-MD"/>
              </w:rPr>
              <w:t>o conduită</w:t>
            </w:r>
            <w:r w:rsidRPr="005D6998">
              <w:rPr>
                <w:rFonts w:ascii="Times New Roman" w:hAnsi="Times New Roman"/>
                <w:lang w:eastAsia="ro-MD"/>
              </w:rPr>
              <w:t xml:space="preserve"> care a avut ca rezultat înregistrarea de pierderi semnificative pentru instituția de credit  sau au fost responsabili de </w:t>
            </w:r>
            <w:r w:rsidRPr="005D6998">
              <w:rPr>
                <w:rFonts w:ascii="Times New Roman" w:hAnsi="Times New Roman"/>
                <w:b/>
                <w:bCs/>
                <w:lang w:eastAsia="ro-MD"/>
              </w:rPr>
              <w:t>o astfel de conduită</w:t>
            </w:r>
            <w:r w:rsidRPr="005D6998">
              <w:rPr>
                <w:rFonts w:ascii="Times New Roman" w:hAnsi="Times New Roman"/>
                <w:lang w:eastAsia="ro-MD"/>
              </w:rPr>
              <w:t>;</w:t>
            </w:r>
            <w:r w:rsidRPr="005D6998">
              <w:rPr>
                <w:rFonts w:ascii="Times New Roman" w:hAnsi="Times New Roman"/>
                <w:lang w:eastAsia="ro-MD"/>
              </w:rPr>
              <w:br/>
            </w:r>
            <w:r w:rsidRPr="005D6998">
              <w:rPr>
                <w:rFonts w:ascii="Times New Roman" w:hAnsi="Times New Roman"/>
                <w:b/>
                <w:bCs/>
                <w:lang w:eastAsia="ro-MD"/>
              </w:rPr>
              <w:t>ii)</w:t>
            </w:r>
            <w:r w:rsidRPr="005D6998">
              <w:rPr>
                <w:rFonts w:ascii="Times New Roman" w:hAnsi="Times New Roman"/>
                <w:lang w:eastAsia="ro-MD"/>
              </w:rPr>
              <w:t xml:space="preserve"> nu a respectat </w:t>
            </w:r>
            <w:r w:rsidRPr="005D6998">
              <w:rPr>
                <w:rFonts w:ascii="Times New Roman" w:hAnsi="Times New Roman"/>
                <w:b/>
                <w:bCs/>
                <w:lang w:eastAsia="ro-MD"/>
              </w:rPr>
              <w:t xml:space="preserve">standardele corespunzătoare </w:t>
            </w:r>
            <w:r w:rsidRPr="005D6998">
              <w:rPr>
                <w:rFonts w:ascii="Times New Roman" w:hAnsi="Times New Roman"/>
                <w:lang w:eastAsia="ro-MD"/>
              </w:rPr>
              <w:t>de aptitudini și comportament adecvat;”.</w:t>
            </w:r>
          </w:p>
        </w:tc>
        <w:tc>
          <w:tcPr>
            <w:tcW w:w="1559" w:type="dxa"/>
            <w:gridSpan w:val="3"/>
            <w:shd w:val="clear" w:color="auto" w:fill="FFFFFF"/>
          </w:tcPr>
          <w:p w14:paraId="09620418"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1043BC74"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CB98342" w14:textId="76564FD4"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33ED5C02" w14:textId="083C2EC8"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4DA177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39 alin. (2) lit. o), pct. i), se propune reformularea după cum urmează: „ale căror acțiuni sau decizii au cauzat pierderi semnificative instituției de credit ori care au fost responsabili pentru acestea”. </w:t>
            </w:r>
          </w:p>
          <w:p w14:paraId="1BA7A7A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argumentează că, prin excluderea cuvântului „conduită”, textul va prevedea expres rezultatul (pierderea) și legătura de cauzalitate.</w:t>
            </w:r>
          </w:p>
          <w:p w14:paraId="17E83F8D" w14:textId="77777777" w:rsidR="00513EDC" w:rsidRPr="005D6998" w:rsidRDefault="00513EDC" w:rsidP="00513EDC">
            <w:pPr>
              <w:spacing w:after="0" w:line="240" w:lineRule="auto"/>
              <w:jc w:val="both"/>
              <w:rPr>
                <w:rFonts w:ascii="Times New Roman" w:hAnsi="Times New Roman"/>
              </w:rPr>
            </w:pPr>
          </w:p>
          <w:p w14:paraId="7EE7BCB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39 alin. (2) lit. o) pct. ii), se propune următoarea redactare: „nu a respectat cerințele legale de aptitudini și comportament adecvat”. </w:t>
            </w:r>
          </w:p>
          <w:p w14:paraId="33EF9B2F" w14:textId="3AF262F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formularea actuală, care face trimitere la „standardele corespunzătoare”, este lipsită de claritate normativă, întrucât nu indică reperul față de care se apreciază caracterul „corespunzător”. Adjectivul utilizat generează ambiguitate.</w:t>
            </w:r>
          </w:p>
        </w:tc>
        <w:tc>
          <w:tcPr>
            <w:tcW w:w="5012" w:type="dxa"/>
            <w:gridSpan w:val="3"/>
            <w:shd w:val="clear" w:color="auto" w:fill="FFFFFF"/>
          </w:tcPr>
          <w:p w14:paraId="6E920FEB"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5EC8A595" w14:textId="19BE99EA"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Norma de la lit. i) a fost preluată fidel din Directiva 2013/36/UE – art. 94 alin. (1) lit. n) penultima teză. </w:t>
            </w:r>
          </w:p>
          <w:p w14:paraId="0A21277B" w14:textId="5282B926"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ceea ce privește formularea “standarde corespunzătoare”, se menționează că instituția de credit urmează a califica comportamentul și aptitudinile în funcție de normele general acceptate, inclusiv normele de conduită.</w:t>
            </w:r>
          </w:p>
        </w:tc>
      </w:tr>
      <w:tr w:rsidR="00513EDC" w:rsidRPr="005D6998" w14:paraId="1BDAA3E2" w14:textId="77777777" w:rsidTr="00651F58">
        <w:trPr>
          <w:gridAfter w:val="1"/>
          <w:wAfter w:w="10" w:type="dxa"/>
          <w:trHeight w:val="105"/>
        </w:trPr>
        <w:tc>
          <w:tcPr>
            <w:tcW w:w="899" w:type="dxa"/>
            <w:gridSpan w:val="3"/>
            <w:shd w:val="clear" w:color="auto" w:fill="FFFFFF"/>
          </w:tcPr>
          <w:p w14:paraId="291DE1D9"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818AA4F" w14:textId="77777777" w:rsidR="00513EDC" w:rsidRPr="005D6998" w:rsidRDefault="00513EDC" w:rsidP="00513EDC">
            <w:pPr>
              <w:tabs>
                <w:tab w:val="left" w:pos="426"/>
                <w:tab w:val="left" w:pos="851"/>
              </w:tabs>
              <w:spacing w:after="0" w:line="240" w:lineRule="auto"/>
              <w:jc w:val="both"/>
              <w:rPr>
                <w:rFonts w:ascii="Times New Roman" w:hAnsi="Times New Roman"/>
                <w:lang w:val="it-CH"/>
              </w:rPr>
            </w:pPr>
            <w:r w:rsidRPr="005D6998">
              <w:rPr>
                <w:rFonts w:ascii="Times New Roman" w:hAnsi="Times New Roman"/>
                <w:b/>
                <w:bCs/>
              </w:rPr>
              <w:t>31.</w:t>
            </w:r>
            <w:r w:rsidRPr="005D6998">
              <w:rPr>
                <w:rFonts w:ascii="Times New Roman" w:hAnsi="Times New Roman"/>
              </w:rPr>
              <w:t xml:space="preserve"> Articolul 39: </w:t>
            </w:r>
            <w:r w:rsidRPr="005D6998">
              <w:rPr>
                <w:rFonts w:ascii="Times New Roman" w:hAnsi="Times New Roman"/>
                <w:lang w:val="it-CH"/>
              </w:rPr>
              <w:t>[…]</w:t>
            </w:r>
          </w:p>
          <w:p w14:paraId="054A62CF" w14:textId="77777777" w:rsidR="00513EDC" w:rsidRPr="005D6998" w:rsidRDefault="00513EDC" w:rsidP="00513EDC">
            <w:pPr>
              <w:tabs>
                <w:tab w:val="left" w:pos="426"/>
                <w:tab w:val="left" w:pos="851"/>
              </w:tabs>
              <w:spacing w:after="0" w:line="240" w:lineRule="auto"/>
              <w:jc w:val="both"/>
              <w:rPr>
                <w:rFonts w:ascii="Times New Roman" w:hAnsi="Times New Roman"/>
              </w:rPr>
            </w:pPr>
            <w:r w:rsidRPr="005D6998">
              <w:rPr>
                <w:rFonts w:ascii="Times New Roman" w:hAnsi="Times New Roman"/>
              </w:rPr>
              <w:t>se completează cu alineatele (2</w:t>
            </w:r>
            <w:r w:rsidRPr="005D6998">
              <w:rPr>
                <w:rFonts w:ascii="Times New Roman" w:hAnsi="Times New Roman"/>
                <w:vertAlign w:val="superscript"/>
              </w:rPr>
              <w:t>1</w:t>
            </w:r>
            <w:r w:rsidRPr="005D6998">
              <w:rPr>
                <w:rFonts w:ascii="Times New Roman" w:hAnsi="Times New Roman"/>
              </w:rPr>
              <w:t>) și (2</w:t>
            </w:r>
            <w:r w:rsidRPr="005D6998">
              <w:rPr>
                <w:rFonts w:ascii="Times New Roman" w:hAnsi="Times New Roman"/>
                <w:vertAlign w:val="superscript"/>
              </w:rPr>
              <w:t>2</w:t>
            </w:r>
            <w:r w:rsidRPr="005D6998">
              <w:rPr>
                <w:rFonts w:ascii="Times New Roman" w:hAnsi="Times New Roman"/>
              </w:rPr>
              <w:t>)  cu următorul cuprins:</w:t>
            </w:r>
          </w:p>
          <w:p w14:paraId="11BD44F7" w14:textId="77777777" w:rsidR="00513EDC" w:rsidRPr="005D6998" w:rsidRDefault="00513EDC" w:rsidP="00513EDC">
            <w:pPr>
              <w:tabs>
                <w:tab w:val="left" w:pos="426"/>
                <w:tab w:val="left" w:pos="851"/>
              </w:tabs>
              <w:spacing w:after="0" w:line="240" w:lineRule="auto"/>
              <w:jc w:val="both"/>
              <w:rPr>
                <w:rFonts w:ascii="Times New Roman" w:hAnsi="Times New Roman"/>
                <w:sz w:val="24"/>
                <w:szCs w:val="24"/>
                <w:lang w:eastAsia="en-US"/>
              </w:rPr>
            </w:pPr>
            <w:r w:rsidRPr="005D6998">
              <w:rPr>
                <w:rFonts w:ascii="Times New Roman" w:hAnsi="Times New Roman"/>
              </w:rPr>
              <w:t xml:space="preserve"> [...]</w:t>
            </w:r>
          </w:p>
          <w:p w14:paraId="250B8030" w14:textId="77777777" w:rsidR="00513EDC" w:rsidRPr="005D6998" w:rsidRDefault="00513EDC" w:rsidP="00513EDC">
            <w:pPr>
              <w:tabs>
                <w:tab w:val="left" w:pos="884"/>
                <w:tab w:val="left" w:pos="1196"/>
              </w:tabs>
              <w:spacing w:after="0" w:line="240" w:lineRule="auto"/>
              <w:jc w:val="both"/>
              <w:rPr>
                <w:rFonts w:ascii="Times New Roman" w:hAnsi="Times New Roman"/>
                <w:bCs/>
              </w:rPr>
            </w:pPr>
            <w:r w:rsidRPr="005D6998">
              <w:rPr>
                <w:rFonts w:ascii="Times New Roman" w:hAnsi="Times New Roman"/>
                <w:bCs/>
              </w:rPr>
              <w:t>(2</w:t>
            </w:r>
            <w:r w:rsidRPr="005D6998">
              <w:rPr>
                <w:rFonts w:ascii="Times New Roman" w:hAnsi="Times New Roman"/>
                <w:bCs/>
                <w:vertAlign w:val="superscript"/>
              </w:rPr>
              <w:t>2</w:t>
            </w:r>
            <w:r w:rsidRPr="005D6998">
              <w:rPr>
                <w:rFonts w:ascii="Times New Roman" w:hAnsi="Times New Roman"/>
                <w:bCs/>
              </w:rPr>
              <w:t xml:space="preserve">) Instituțiile de credit </w:t>
            </w:r>
            <w:r w:rsidRPr="005D6998">
              <w:rPr>
                <w:rFonts w:ascii="Times New Roman" w:hAnsi="Times New Roman"/>
                <w:b/>
              </w:rPr>
              <w:t>care beneficiază de sprijin financiar public extraordinar</w:t>
            </w:r>
            <w:r w:rsidRPr="005D6998">
              <w:rPr>
                <w:rFonts w:ascii="Times New Roman" w:hAnsi="Times New Roman"/>
                <w:bCs/>
              </w:rPr>
              <w:t>, trebuie să respecte următoarele principii, pe lângă cele prevăzute de alin. (1) și (2):</w:t>
            </w:r>
          </w:p>
          <w:p w14:paraId="45417DB7" w14:textId="77777777" w:rsidR="00513EDC" w:rsidRPr="005D6998" w:rsidRDefault="00513EDC" w:rsidP="00513EDC">
            <w:pPr>
              <w:tabs>
                <w:tab w:val="left" w:pos="884"/>
                <w:tab w:val="left" w:pos="1196"/>
              </w:tabs>
              <w:spacing w:after="0" w:line="240" w:lineRule="auto"/>
              <w:jc w:val="both"/>
              <w:rPr>
                <w:rFonts w:ascii="Times New Roman" w:hAnsi="Times New Roman"/>
                <w:bCs/>
              </w:rPr>
            </w:pPr>
            <w:r w:rsidRPr="005D6998">
              <w:rPr>
                <w:rFonts w:ascii="Times New Roman" w:hAnsi="Times New Roman"/>
                <w:bCs/>
              </w:rPr>
              <w:t>a) remunerația variabilă trebuie să fie limitată în mod strict ca procent din veniturile nete atunci când aceasta nu este corelată cu menținerea unei baze solide de capital și încetarea în timp util a sprijinului financiar public extraordinar;</w:t>
            </w:r>
          </w:p>
          <w:p w14:paraId="7A6E0989" w14:textId="459B73AE" w:rsidR="00513EDC" w:rsidRPr="005D6998" w:rsidRDefault="00513EDC" w:rsidP="00513EDC">
            <w:pPr>
              <w:tabs>
                <w:tab w:val="left" w:pos="884"/>
                <w:tab w:val="left" w:pos="1196"/>
              </w:tabs>
              <w:spacing w:after="0" w:line="240" w:lineRule="auto"/>
              <w:jc w:val="both"/>
              <w:rPr>
                <w:rFonts w:ascii="Times New Roman" w:hAnsi="Times New Roman"/>
                <w:lang w:eastAsia="ro-MD"/>
              </w:rPr>
            </w:pPr>
            <w:r w:rsidRPr="005D6998">
              <w:rPr>
                <w:rFonts w:ascii="Times New Roman" w:hAnsi="Times New Roman"/>
                <w:bCs/>
              </w:rPr>
              <w:t>[...]</w:t>
            </w:r>
          </w:p>
        </w:tc>
        <w:tc>
          <w:tcPr>
            <w:tcW w:w="1559" w:type="dxa"/>
            <w:gridSpan w:val="3"/>
            <w:shd w:val="clear" w:color="auto" w:fill="FFFFFF"/>
          </w:tcPr>
          <w:p w14:paraId="0E884EF4"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Consiliul Concurenței</w:t>
            </w:r>
          </w:p>
          <w:p w14:paraId="1E499B8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8E0E01E"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DJ-06/805-1457 din 22.07.2026</w:t>
            </w:r>
          </w:p>
          <w:p w14:paraId="6A70C67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037A2962"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602905A" w14:textId="77777777" w:rsidR="00513EDC" w:rsidRPr="005D6998" w:rsidRDefault="00513EDC" w:rsidP="00513EDC">
            <w:pPr>
              <w:spacing w:after="0" w:line="240" w:lineRule="auto"/>
              <w:jc w:val="both"/>
              <w:rPr>
                <w:rFonts w:ascii="Times New Roman" w:hAnsi="Times New Roman"/>
                <w:lang w:val="ro-MD"/>
              </w:rPr>
            </w:pPr>
            <w:r w:rsidRPr="005D6998">
              <w:rPr>
                <w:rFonts w:ascii="Times New Roman" w:hAnsi="Times New Roman"/>
                <w:lang w:val="ro-MD"/>
              </w:rPr>
              <w:t>Referitor la pct. 31, completarea art. 39 din Legea nr. 202/2017 privind activitatea băncilor cu alin. (2</w:t>
            </w:r>
            <w:r w:rsidRPr="005D6998">
              <w:rPr>
                <w:rFonts w:ascii="Times New Roman" w:hAnsi="Times New Roman"/>
                <w:vertAlign w:val="superscript"/>
                <w:lang w:val="ro-MD"/>
              </w:rPr>
              <w:t>2</w:t>
            </w:r>
            <w:r w:rsidRPr="005D6998">
              <w:rPr>
                <w:rFonts w:ascii="Times New Roman" w:hAnsi="Times New Roman"/>
                <w:lang w:val="ro-MD"/>
              </w:rPr>
              <w:t>), se consider</w:t>
            </w:r>
            <w:r w:rsidRPr="005D6998">
              <w:rPr>
                <w:rFonts w:ascii="Times New Roman" w:hAnsi="Times New Roman"/>
              </w:rPr>
              <w:t xml:space="preserve">ă </w:t>
            </w:r>
            <w:r w:rsidRPr="005D6998">
              <w:rPr>
                <w:rFonts w:ascii="Times New Roman" w:hAnsi="Times New Roman"/>
                <w:lang w:val="ro-MD"/>
              </w:rPr>
              <w:t>necesară definirea noțiunii de „sprijin public extraordinar” prin preluarea conținutului prevăzut de pct. 28 alin. (1) art. 2 din Directiva 2014/59/UE a Parlamentului European și a Consiliului din 15 mai 2014 de instituire a unui cadru pentru redresarea și rezoluția instituțiilor de credit și a firmelor de investiții, care presupune și orice alt sprijin financiar public acordat la nivel supranațional, mai ales având în vedere aceste prevederi urmează să intre în vigoare, conform proiectului, în termen de 6 luni de la data publicării legii.</w:t>
            </w:r>
          </w:p>
          <w:p w14:paraId="1B68A20B" w14:textId="77777777" w:rsidR="00513EDC" w:rsidRPr="005D6998" w:rsidRDefault="00513EDC" w:rsidP="00513EDC">
            <w:pPr>
              <w:spacing w:after="0" w:line="240" w:lineRule="auto"/>
              <w:jc w:val="both"/>
              <w:rPr>
                <w:rFonts w:ascii="Times New Roman" w:hAnsi="Times New Roman"/>
                <w:lang w:val="ro-MD"/>
              </w:rPr>
            </w:pPr>
          </w:p>
          <w:p w14:paraId="181D2F34" w14:textId="77777777" w:rsidR="00513EDC" w:rsidRPr="005D6998" w:rsidRDefault="00513EDC" w:rsidP="00513EDC">
            <w:pPr>
              <w:spacing w:after="0" w:line="240" w:lineRule="auto"/>
              <w:jc w:val="both"/>
              <w:rPr>
                <w:rFonts w:ascii="Times New Roman" w:hAnsi="Times New Roman"/>
                <w:lang w:val="ro-MD"/>
              </w:rPr>
            </w:pPr>
            <w:r w:rsidRPr="005D6998">
              <w:rPr>
                <w:rFonts w:ascii="Times New Roman" w:hAnsi="Times New Roman"/>
                <w:lang w:val="ro-MD"/>
              </w:rPr>
              <w:lastRenderedPageBreak/>
              <w:t xml:space="preserve">Se arată că definiția noțiunii de „sprijin public extraordinar”, prevăzută de art. 2 alin. 50) din Legea nr. 232/2016 privind redresarea și rezoluția băncilor, este asimilată eronat noțiunii de </w:t>
            </w:r>
            <w:r w:rsidRPr="005D6998">
              <w:rPr>
                <w:rFonts w:ascii="Times New Roman" w:hAnsi="Times New Roman"/>
                <w:i/>
                <w:iCs/>
                <w:lang w:val="ro-MD"/>
              </w:rPr>
              <w:t>”ajutor de stat”</w:t>
            </w:r>
            <w:r w:rsidRPr="005D6998">
              <w:rPr>
                <w:rFonts w:ascii="Times New Roman" w:hAnsi="Times New Roman"/>
                <w:lang w:val="ro-MD"/>
              </w:rPr>
              <w:t>.</w:t>
            </w:r>
          </w:p>
          <w:p w14:paraId="32A8A200" w14:textId="77777777" w:rsidR="00513EDC" w:rsidRPr="005D6998" w:rsidRDefault="00513EDC" w:rsidP="00513EDC">
            <w:pPr>
              <w:spacing w:after="0" w:line="240" w:lineRule="auto"/>
              <w:jc w:val="both"/>
              <w:rPr>
                <w:rFonts w:ascii="Times New Roman" w:hAnsi="Times New Roman"/>
                <w:lang w:val="ro-MD"/>
              </w:rPr>
            </w:pPr>
            <w:r w:rsidRPr="005D6998">
              <w:rPr>
                <w:rFonts w:ascii="Times New Roman" w:hAnsi="Times New Roman"/>
                <w:lang w:val="ro-MD"/>
              </w:rPr>
              <w:t xml:space="preserve"> </w:t>
            </w:r>
          </w:p>
          <w:p w14:paraId="009254E5" w14:textId="77777777"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0A5BB81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 xml:space="preserve">Nu se acceptă. </w:t>
            </w:r>
          </w:p>
          <w:p w14:paraId="7BB2E967"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Nu se consideră adecvată preluarea unei noțiuni care se regăsește la nivelul unei alte legi cu caracter special, cum este Legea nr. 232/2016. Noțiunea de sprijin financiar public extraordinar din Directiva 2014/59/UE este preluată în Legea nr. 232/2016, respectiv art. 39 alin. (2</w:t>
            </w:r>
            <w:r w:rsidRPr="005D6998">
              <w:rPr>
                <w:rFonts w:ascii="Times New Roman" w:hAnsi="Times New Roman"/>
                <w:vertAlign w:val="superscript"/>
              </w:rPr>
              <w:t>2</w:t>
            </w:r>
            <w:r w:rsidRPr="005D6998">
              <w:rPr>
                <w:rFonts w:ascii="Times New Roman" w:hAnsi="Times New Roman"/>
              </w:rPr>
              <w:t>) urmează a se interpreta prin coroborarea cu prevederile acesteia.</w:t>
            </w:r>
          </w:p>
          <w:p w14:paraId="19B10F74"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38AA9282"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Preluarea integrală a definiției din Directiva 2014/59/UE în Legea nr. 202/2017 ar putea genera o dublare inutilă a unor concepte reglementate deja în legislația națională. </w:t>
            </w:r>
          </w:p>
          <w:p w14:paraId="02C35601"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08CF82D4"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38FE34BC" w14:textId="77777777" w:rsidTr="00651F58">
        <w:trPr>
          <w:gridAfter w:val="1"/>
          <w:wAfter w:w="10" w:type="dxa"/>
          <w:trHeight w:val="105"/>
        </w:trPr>
        <w:tc>
          <w:tcPr>
            <w:tcW w:w="899" w:type="dxa"/>
            <w:gridSpan w:val="3"/>
            <w:shd w:val="clear" w:color="auto" w:fill="FFFFFF"/>
          </w:tcPr>
          <w:p w14:paraId="31930540"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03D28FC" w14:textId="2B02CF69"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 xml:space="preserve">c) membrilor organului de conducere al instituţiei de credit nu le este plătită nicio remuneraţie variabilă, </w:t>
            </w:r>
            <w:r w:rsidRPr="005D6998">
              <w:rPr>
                <w:rFonts w:ascii="Times New Roman" w:hAnsi="Times New Roman"/>
                <w:b/>
                <w:bCs/>
                <w:lang w:eastAsia="ro-MD"/>
              </w:rPr>
              <w:t>decât în cazul în care acest lucru este justificat</w:t>
            </w:r>
            <w:r w:rsidRPr="005D6998">
              <w:rPr>
                <w:rFonts w:ascii="Times New Roman" w:hAnsi="Times New Roman"/>
                <w:lang w:eastAsia="ro-MD"/>
              </w:rPr>
              <w:t>.”.</w:t>
            </w:r>
          </w:p>
        </w:tc>
        <w:tc>
          <w:tcPr>
            <w:tcW w:w="1559" w:type="dxa"/>
            <w:gridSpan w:val="3"/>
            <w:shd w:val="clear" w:color="auto" w:fill="FFFFFF"/>
          </w:tcPr>
          <w:p w14:paraId="2FEC00B3"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0BE39DA9"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AE048CD" w14:textId="2FCDEF3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p w14:paraId="755A4959" w14:textId="4C4371D9"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23BCDAA3" w14:textId="07DB5B8B"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5A4C578"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39 alin. (2</w:t>
            </w:r>
            <w:r w:rsidRPr="005D6998">
              <w:rPr>
                <w:rFonts w:ascii="Times New Roman" w:hAnsi="Times New Roman"/>
                <w:vertAlign w:val="superscript"/>
              </w:rPr>
              <w:t>2</w:t>
            </w:r>
            <w:r w:rsidRPr="005D6998">
              <w:rPr>
                <w:rFonts w:ascii="Times New Roman" w:hAnsi="Times New Roman"/>
              </w:rPr>
              <w:t xml:space="preserve">) lit. c), se consideră necesară clarificarea sintagmei „decât în cazul în care acest lucru este justificat”. </w:t>
            </w:r>
          </w:p>
          <w:p w14:paraId="00A7C9E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indică că formularea conferă un grad larg de apreciere, fără a stabili criteriile, condițiile sau circumstanțele în care poate fi acordată remunerația variabilă membrilor organului de conducere care beneficiază de sprijin financiar public extraordinar. </w:t>
            </w:r>
          </w:p>
          <w:p w14:paraId="1F1C6A12" w14:textId="2BA8AAA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în lipsa unor repere clare, aplicarea dispoziției poate genera interpretări neuniforme și dificultăți în evaluarea conformității.</w:t>
            </w:r>
          </w:p>
        </w:tc>
        <w:tc>
          <w:tcPr>
            <w:tcW w:w="5012" w:type="dxa"/>
            <w:gridSpan w:val="3"/>
            <w:shd w:val="clear" w:color="auto" w:fill="FFFFFF"/>
          </w:tcPr>
          <w:p w14:paraId="44951855" w14:textId="17C92086"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50889F1C" w14:textId="5E6777D6"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Sintagma „decât în cazul în care acest lucru este justificat” </w:t>
            </w:r>
            <w:r w:rsidRPr="005D6998">
              <w:rPr>
                <w:rFonts w:ascii="Times New Roman" w:hAnsi="Times New Roman"/>
                <w:lang w:val="ro-MD"/>
              </w:rPr>
              <w:t>nu conferă o discreție nelimitată, ci urmează a fi interpretată în sensul obiectivelor prudențiale privind menținerea unei baze solide de capital, gestionarea prudentă a riscurilor și ieșirea din măsurile de sprijin public și se va evalua în funcție de circumstanțele specifice.</w:t>
            </w:r>
          </w:p>
          <w:p w14:paraId="12F8E75A" w14:textId="504ED230"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201DF9A0" w14:textId="03E51547"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685060D9" w14:textId="77777777" w:rsidTr="00651F58">
        <w:trPr>
          <w:gridAfter w:val="1"/>
          <w:wAfter w:w="10" w:type="dxa"/>
          <w:trHeight w:val="105"/>
        </w:trPr>
        <w:tc>
          <w:tcPr>
            <w:tcW w:w="899" w:type="dxa"/>
            <w:gridSpan w:val="3"/>
            <w:shd w:val="clear" w:color="auto" w:fill="FFFFFF"/>
          </w:tcPr>
          <w:p w14:paraId="29155AB6"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3E53BF7" w14:textId="77777777"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se completează cu alineatul (3</w:t>
            </w:r>
            <w:r w:rsidRPr="005D6998">
              <w:rPr>
                <w:rFonts w:ascii="Times New Roman" w:hAnsi="Times New Roman"/>
                <w:vertAlign w:val="superscript"/>
                <w:lang w:eastAsia="ro-MD"/>
              </w:rPr>
              <w:t>1</w:t>
            </w:r>
            <w:r w:rsidRPr="005D6998">
              <w:rPr>
                <w:rFonts w:ascii="Times New Roman" w:hAnsi="Times New Roman"/>
                <w:lang w:eastAsia="ro-MD"/>
              </w:rPr>
              <w:t>) cu următorul cuprins:</w:t>
            </w:r>
          </w:p>
          <w:p w14:paraId="3345D122" w14:textId="01BB73D9" w:rsidR="00513EDC" w:rsidRPr="005D6998" w:rsidRDefault="00513EDC" w:rsidP="00513EDC">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rPr>
              <w:t>„</w:t>
            </w:r>
            <w:r w:rsidRPr="005D6998">
              <w:rPr>
                <w:rFonts w:ascii="Times New Roman" w:hAnsi="Times New Roman"/>
                <w:lang w:eastAsia="ro-MD"/>
              </w:rPr>
              <w:t>(3</w:t>
            </w:r>
            <w:r w:rsidRPr="005D6998">
              <w:rPr>
                <w:rFonts w:ascii="Times New Roman" w:hAnsi="Times New Roman"/>
                <w:vertAlign w:val="superscript"/>
                <w:lang w:eastAsia="ro-MD"/>
              </w:rPr>
              <w:t>1</w:t>
            </w:r>
            <w:r w:rsidRPr="005D6998">
              <w:rPr>
                <w:rFonts w:ascii="Times New Roman" w:hAnsi="Times New Roman"/>
                <w:lang w:eastAsia="ro-MD"/>
              </w:rPr>
              <w:t>) Instituțiile de credit pot să aplice o rată de actualizare la maximum 25% din remunerația variabilă totală, cu condiția ca aceasta să fie plătită sub formă de instrumente care sunt amânate la plată pe</w:t>
            </w:r>
            <w:r w:rsidRPr="005D6998">
              <w:rPr>
                <w:rFonts w:ascii="Times New Roman" w:hAnsi="Times New Roman"/>
                <w:b/>
                <w:bCs/>
                <w:lang w:eastAsia="ro-MD"/>
              </w:rPr>
              <w:t xml:space="preserve"> o perioadă de cel puțin 5 ani.</w:t>
            </w:r>
            <w:r w:rsidRPr="005D6998">
              <w:rPr>
                <w:rFonts w:ascii="Times New Roman" w:hAnsi="Times New Roman"/>
                <w:lang w:eastAsia="ro-MD"/>
              </w:rPr>
              <w:t>”;</w:t>
            </w:r>
          </w:p>
        </w:tc>
        <w:tc>
          <w:tcPr>
            <w:tcW w:w="1559" w:type="dxa"/>
            <w:gridSpan w:val="3"/>
            <w:shd w:val="clear" w:color="auto" w:fill="FFFFFF"/>
          </w:tcPr>
          <w:p w14:paraId="42B427F8"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146E3E7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45E5DB9"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p w14:paraId="1874D71A" w14:textId="1EB2D08F"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556CBA70" w14:textId="05538F68"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7394B28" w14:textId="701B4834"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termenul de „5 ani” nu coincide cu prevederile din proiectul de modificare a Regulamentului privind cadrul de administrare a activității băncilor, aprobat prin Hotărârea Comitetului executiv al Băncii Naționale a Moldovei nr. 322/2018, în care se menționează o altă perioadă de plăți amânate.</w:t>
            </w:r>
          </w:p>
        </w:tc>
        <w:tc>
          <w:tcPr>
            <w:tcW w:w="5012" w:type="dxa"/>
            <w:gridSpan w:val="3"/>
            <w:shd w:val="clear" w:color="auto" w:fill="FFFFFF"/>
          </w:tcPr>
          <w:p w14:paraId="779C063A"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 xml:space="preserve">Comentariu </w:t>
            </w:r>
          </w:p>
          <w:p w14:paraId="56A8E0DE" w14:textId="544C2EB8"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Proiectul Regulamentului BNM nr. 322/2018 (care a fost supus consultării publice în perioada 13.05.2026-03.06.2026) stabilește o perioadă generală de amânare a plății remunerației variabile de cel puțin 4 ani și cel mult 5 ani (pct. 151</w:t>
            </w:r>
            <w:r w:rsidRPr="005D6998">
              <w:rPr>
                <w:rFonts w:ascii="Times New Roman" w:hAnsi="Times New Roman"/>
                <w:vertAlign w:val="superscript"/>
              </w:rPr>
              <w:t>35</w:t>
            </w:r>
            <w:r w:rsidRPr="005D6998">
              <w:rPr>
                <w:rFonts w:ascii="Times New Roman" w:hAnsi="Times New Roman"/>
              </w:rPr>
              <w:t>), aplicabilă mecanismelor de remunerare variabilă în ansamblu.</w:t>
            </w:r>
          </w:p>
          <w:p w14:paraId="27C77652"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7C0509A8" w14:textId="1E5FB37A"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schimb, alineatul în discuție  reglementează un aspect distinct, și anume condițiile de aplicare a ratei de actualizare de până la 25% din remunerația variabilă totală. În acest context, condiția referitoare la amânarea plății pe o perioadă de cel puțin 5 ani nu contravine perioadei prevăzute de regulament, ci reprezintă o cerință specifică acordarea beneficiului constând în aplicarea ratei de actualizare.</w:t>
            </w:r>
          </w:p>
        </w:tc>
      </w:tr>
      <w:tr w:rsidR="00513EDC" w:rsidRPr="005D6998" w14:paraId="6199F2DC" w14:textId="77777777" w:rsidTr="00651F58">
        <w:trPr>
          <w:gridAfter w:val="1"/>
          <w:wAfter w:w="10" w:type="dxa"/>
          <w:trHeight w:val="105"/>
        </w:trPr>
        <w:tc>
          <w:tcPr>
            <w:tcW w:w="899" w:type="dxa"/>
            <w:gridSpan w:val="3"/>
            <w:shd w:val="clear" w:color="auto" w:fill="FFFFFF"/>
          </w:tcPr>
          <w:p w14:paraId="391C9BB9"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632C0EA" w14:textId="5F3C8735"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32.</w:t>
            </w:r>
            <w:r w:rsidRPr="005D6998">
              <w:rPr>
                <w:rFonts w:ascii="Times New Roman" w:hAnsi="Times New Roman"/>
              </w:rPr>
              <w:t xml:space="preserve"> Articolul 40,</w:t>
            </w:r>
          </w:p>
          <w:p w14:paraId="241F9B57"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alineatul (1) va avea următorul cuprins;</w:t>
            </w:r>
          </w:p>
          <w:p w14:paraId="198EE173" w14:textId="67E3486C" w:rsidR="00513EDC" w:rsidRPr="005D6998" w:rsidRDefault="00513EDC" w:rsidP="00513EDC">
            <w:pPr>
              <w:spacing w:after="0" w:line="240" w:lineRule="auto"/>
              <w:jc w:val="both"/>
              <w:rPr>
                <w:rFonts w:ascii="Times New Roman" w:hAnsi="Times New Roman"/>
                <w:color w:val="FF0000"/>
              </w:rPr>
            </w:pPr>
            <w:r w:rsidRPr="005D6998">
              <w:rPr>
                <w:rFonts w:ascii="Times New Roman" w:hAnsi="Times New Roman"/>
              </w:rPr>
              <w:t>„(1) Organul de conducere al unei instituții de credit este reprezentat de organul de conducere în funcția sa de supraveghere și organul de conducere în funcția sa de conducere.”</w:t>
            </w:r>
          </w:p>
        </w:tc>
        <w:tc>
          <w:tcPr>
            <w:tcW w:w="1559" w:type="dxa"/>
            <w:gridSpan w:val="3"/>
            <w:shd w:val="clear" w:color="auto" w:fill="FFFFFF"/>
          </w:tcPr>
          <w:p w14:paraId="527361C8"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2F7B083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96BB912" w14:textId="5D7E8AAD"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54A7952B" w14:textId="71B14D30"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D7B236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40 alin. (1), se propune reformularea acestuia după cum urmează: </w:t>
            </w:r>
          </w:p>
          <w:p w14:paraId="14506C28"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„Organul de conducere al unei instituții de credit </w:t>
            </w:r>
            <w:bookmarkStart w:id="13" w:name="_Hlk235034088"/>
            <w:r w:rsidRPr="005D6998">
              <w:rPr>
                <w:rFonts w:ascii="Times New Roman" w:hAnsi="Times New Roman"/>
              </w:rPr>
              <w:t xml:space="preserve">cuprinde </w:t>
            </w:r>
            <w:bookmarkEnd w:id="13"/>
            <w:r w:rsidRPr="005D6998">
              <w:rPr>
                <w:rFonts w:ascii="Times New Roman" w:hAnsi="Times New Roman"/>
              </w:rPr>
              <w:t xml:space="preserve">organul de conducere în funcția sa de supraveghere și organul de conducere în funcția sa executivă”. </w:t>
            </w:r>
          </w:p>
          <w:p w14:paraId="3C128437" w14:textId="58F87A04"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formularea propusă are avantajul de a clarifica explicit structura duală a organului de conducere, în acord cu rolul de supraveghere și cel executiv.</w:t>
            </w:r>
          </w:p>
        </w:tc>
        <w:tc>
          <w:tcPr>
            <w:tcW w:w="5012" w:type="dxa"/>
            <w:gridSpan w:val="3"/>
            <w:shd w:val="clear" w:color="auto" w:fill="FFFFFF"/>
          </w:tcPr>
          <w:p w14:paraId="042AFA96"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2D66F38B" w14:textId="22CE8B22" w:rsidR="00BD11D2" w:rsidRPr="005D6998" w:rsidRDefault="00BD11D2"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 xml:space="preserve">Organul de conducere al unei instituții de credit este </w:t>
            </w:r>
            <w:r w:rsidR="002B7C57" w:rsidRPr="005D6998">
              <w:rPr>
                <w:rFonts w:ascii="Times New Roman" w:hAnsi="Times New Roman"/>
              </w:rPr>
              <w:t>constituit</w:t>
            </w:r>
            <w:r w:rsidRPr="005D6998">
              <w:rPr>
                <w:rFonts w:ascii="Times New Roman" w:hAnsi="Times New Roman"/>
              </w:rPr>
              <w:t xml:space="preserve"> din organul de conducere în funcția sa de supraveghere și organul de conducere în funcția sa executivă</w:t>
            </w:r>
          </w:p>
        </w:tc>
      </w:tr>
      <w:tr w:rsidR="00513EDC" w:rsidRPr="005D6998" w14:paraId="75159828" w14:textId="77777777" w:rsidTr="00651F58">
        <w:trPr>
          <w:gridAfter w:val="1"/>
          <w:wAfter w:w="10" w:type="dxa"/>
          <w:trHeight w:val="105"/>
        </w:trPr>
        <w:tc>
          <w:tcPr>
            <w:tcW w:w="899" w:type="dxa"/>
            <w:gridSpan w:val="3"/>
            <w:shd w:val="clear" w:color="auto" w:fill="FFFFFF"/>
          </w:tcPr>
          <w:p w14:paraId="61568482"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7906139" w14:textId="1C11A9AE" w:rsidR="00513EDC" w:rsidRPr="005D6998" w:rsidRDefault="00513EDC" w:rsidP="00513EDC">
            <w:pPr>
              <w:tabs>
                <w:tab w:val="left" w:pos="426"/>
              </w:tabs>
              <w:spacing w:after="0" w:line="240" w:lineRule="auto"/>
              <w:jc w:val="both"/>
              <w:rPr>
                <w:rFonts w:ascii="Times New Roman" w:hAnsi="Times New Roman"/>
              </w:rPr>
            </w:pPr>
            <w:r w:rsidRPr="005D6998">
              <w:rPr>
                <w:rFonts w:ascii="Times New Roman" w:hAnsi="Times New Roman"/>
                <w:b/>
                <w:bCs/>
              </w:rPr>
              <w:t>33.</w:t>
            </w:r>
            <w:r w:rsidRPr="005D6998">
              <w:rPr>
                <w:rFonts w:ascii="Times New Roman" w:hAnsi="Times New Roman"/>
              </w:rPr>
              <w:t xml:space="preserve"> Articolul 41</w:t>
            </w:r>
          </w:p>
          <w:p w14:paraId="2C847234"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alineatul (3), </w:t>
            </w:r>
          </w:p>
          <w:p w14:paraId="44302F38" w14:textId="5449C12B"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333D19D0" w14:textId="3AB1705B"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litera b), după cuvintele „organului executiv” se completează cu cuvintele “sau persoanele care reprezintă </w:t>
            </w:r>
            <w:r w:rsidRPr="005D6998">
              <w:rPr>
                <w:rFonts w:ascii="Times New Roman" w:hAnsi="Times New Roman"/>
                <w:lang w:eastAsia="ro-MD"/>
              </w:rPr>
              <w:t>conducerea superioară</w:t>
            </w:r>
            <w:r w:rsidRPr="005D6998">
              <w:rPr>
                <w:rFonts w:ascii="Times New Roman" w:hAnsi="Times New Roman"/>
              </w:rPr>
              <w:t>”;</w:t>
            </w:r>
          </w:p>
          <w:p w14:paraId="03701427" w14:textId="77777777" w:rsidR="00513EDC" w:rsidRPr="005D6998" w:rsidRDefault="00513EDC" w:rsidP="00513EDC">
            <w:pPr>
              <w:pStyle w:val="a7"/>
              <w:tabs>
                <w:tab w:val="left" w:pos="426"/>
              </w:tabs>
              <w:spacing w:after="0" w:line="240" w:lineRule="auto"/>
              <w:ind w:left="0"/>
              <w:jc w:val="both"/>
              <w:rPr>
                <w:rFonts w:ascii="Times New Roman" w:hAnsi="Times New Roman"/>
                <w:b/>
                <w:bCs/>
              </w:rPr>
            </w:pPr>
            <w:r w:rsidRPr="005D6998">
              <w:rPr>
                <w:rFonts w:ascii="Times New Roman" w:hAnsi="Times New Roman"/>
                <w:b/>
                <w:bCs/>
              </w:rPr>
              <w:t>[…]</w:t>
            </w:r>
          </w:p>
          <w:p w14:paraId="4F265B46" w14:textId="0A8C341B" w:rsidR="00513EDC" w:rsidRPr="005D6998" w:rsidRDefault="00513EDC" w:rsidP="00513EDC">
            <w:pPr>
              <w:spacing w:after="0" w:line="240" w:lineRule="auto"/>
              <w:jc w:val="both"/>
              <w:rPr>
                <w:rFonts w:ascii="Times New Roman" w:hAnsi="Times New Roman"/>
                <w:b/>
                <w:bCs/>
              </w:rPr>
            </w:pPr>
          </w:p>
        </w:tc>
        <w:tc>
          <w:tcPr>
            <w:tcW w:w="1559" w:type="dxa"/>
            <w:gridSpan w:val="3"/>
            <w:shd w:val="clear" w:color="auto" w:fill="FFFFFF"/>
          </w:tcPr>
          <w:p w14:paraId="3DF6C7C4"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3F5A881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D88636D" w14:textId="04AF502C"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445AFBA7" w14:textId="39EB246C"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D788FA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41, se consideră că textul „sau persoanele care reprezintă conducerea superioară” este formulat indirect.</w:t>
            </w:r>
          </w:p>
          <w:p w14:paraId="29620EE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propune formularea „persoanele din conducerea superioară” sau „membrii conducerii superioare”. </w:t>
            </w:r>
          </w:p>
          <w:p w14:paraId="4CA6E6F4" w14:textId="77777777" w:rsidR="00513EDC" w:rsidRPr="005D6998" w:rsidRDefault="00513EDC" w:rsidP="00513EDC">
            <w:pPr>
              <w:spacing w:after="0" w:line="240" w:lineRule="auto"/>
              <w:jc w:val="both"/>
              <w:rPr>
                <w:rFonts w:ascii="Times New Roman" w:hAnsi="Times New Roman"/>
              </w:rPr>
            </w:pPr>
          </w:p>
          <w:p w14:paraId="1369DE4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De asemenea, se consideră că termenul „reprezintă” poate fi interpretat, în mod eronat, ca reprezentare juridică, deși sensul real este apartenența la acel nivel. </w:t>
            </w:r>
          </w:p>
          <w:p w14:paraId="6E95DEDF" w14:textId="77777777" w:rsidR="00513EDC" w:rsidRPr="005D6998" w:rsidRDefault="00513EDC" w:rsidP="00513EDC">
            <w:pPr>
              <w:spacing w:after="0" w:line="240" w:lineRule="auto"/>
              <w:jc w:val="both"/>
              <w:rPr>
                <w:rFonts w:ascii="Times New Roman" w:hAnsi="Times New Roman"/>
              </w:rPr>
            </w:pPr>
          </w:p>
          <w:p w14:paraId="7665BF2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Totodată, se propune excluderea completării, ținând cont că conducerea superioară se subordonează organului executiv, pentru a menține linia de subordonare fără ingerințe. </w:t>
            </w:r>
          </w:p>
          <w:p w14:paraId="7841E3AF" w14:textId="77777777" w:rsidR="00513EDC" w:rsidRPr="005D6998" w:rsidRDefault="00513EDC" w:rsidP="00513EDC">
            <w:pPr>
              <w:spacing w:after="0" w:line="240" w:lineRule="auto"/>
              <w:jc w:val="both"/>
              <w:rPr>
                <w:rFonts w:ascii="Times New Roman" w:hAnsi="Times New Roman"/>
              </w:rPr>
            </w:pPr>
          </w:p>
          <w:p w14:paraId="71751234" w14:textId="13FF0A4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Astfel, se propune excluderea acestui text pe tot parcursul proiectului. </w:t>
            </w:r>
          </w:p>
        </w:tc>
        <w:tc>
          <w:tcPr>
            <w:tcW w:w="5012" w:type="dxa"/>
            <w:gridSpan w:val="3"/>
            <w:shd w:val="clear" w:color="auto" w:fill="FFFFFF"/>
          </w:tcPr>
          <w:p w14:paraId="2389A0A0"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45730279" w14:textId="638A6389"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Menținerea formulării „persoanele care reprezintă conducerea superioară” este justificată din perspectiva alinierii fidele la terminologia CRD VI. Noțiunea de „conducere superioară” (art. 3 alin. (1) pct. 9 din CRD VI) face precizarea că persoanele care se califică ca fiind conducere superioară nu fac parte din organul de conducere, termen care include atât funcția executivă, cât și funcția de supraveghere conform CRD. Astfel, aceste persoane se încadrează în această categorie prin exercitarea efectivă a responsabilităților de conducere și linia de raportare directă. </w:t>
            </w:r>
          </w:p>
          <w:p w14:paraId="33483B3E" w14:textId="38B25949"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Respectiv, sintagma „persoanele care reprezintă conducerea superioară” permite o abordare mai flexibilă și mai cuprinzătoare, acoperind toate persoanele care acționează la nivelul descris în noțiune, indiferent de denumirea funcției sau de particularitățile structurii organizatorice a instituției de credit. </w:t>
            </w:r>
          </w:p>
        </w:tc>
      </w:tr>
      <w:tr w:rsidR="00513EDC" w:rsidRPr="005D6998" w14:paraId="53009FA4" w14:textId="77777777" w:rsidTr="00651F58">
        <w:trPr>
          <w:gridAfter w:val="1"/>
          <w:wAfter w:w="10" w:type="dxa"/>
          <w:trHeight w:val="105"/>
        </w:trPr>
        <w:tc>
          <w:tcPr>
            <w:tcW w:w="899" w:type="dxa"/>
            <w:gridSpan w:val="3"/>
            <w:shd w:val="clear" w:color="auto" w:fill="FFFFFF"/>
          </w:tcPr>
          <w:p w14:paraId="734E0CE0"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7378A5B"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literele  i</w:t>
            </w:r>
            <w:r w:rsidRPr="005D6998">
              <w:rPr>
                <w:rFonts w:ascii="Times New Roman" w:hAnsi="Times New Roman"/>
                <w:vertAlign w:val="superscript"/>
              </w:rPr>
              <w:t>1</w:t>
            </w:r>
            <w:r w:rsidRPr="005D6998">
              <w:rPr>
                <w:rFonts w:ascii="Times New Roman" w:hAnsi="Times New Roman"/>
              </w:rPr>
              <w:t>)– i</w:t>
            </w:r>
            <w:r w:rsidRPr="005D6998">
              <w:rPr>
                <w:rFonts w:ascii="Times New Roman" w:hAnsi="Times New Roman"/>
                <w:vertAlign w:val="superscript"/>
              </w:rPr>
              <w:t>3</w:t>
            </w:r>
            <w:r w:rsidRPr="005D6998">
              <w:rPr>
                <w:rFonts w:ascii="Times New Roman" w:hAnsi="Times New Roman"/>
              </w:rPr>
              <w:t>) cu următorul cuprins:</w:t>
            </w:r>
          </w:p>
          <w:p w14:paraId="28C3CAE2" w14:textId="77777777"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rPr>
              <w:t xml:space="preserve">„[...] </w:t>
            </w:r>
          </w:p>
          <w:p w14:paraId="7A4B0375"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i</w:t>
            </w:r>
            <w:r w:rsidRPr="005D6998">
              <w:rPr>
                <w:rFonts w:ascii="Times New Roman" w:hAnsi="Times New Roman"/>
                <w:vertAlign w:val="superscript"/>
              </w:rPr>
              <w:t>2</w:t>
            </w:r>
            <w:r w:rsidRPr="005D6998">
              <w:rPr>
                <w:rFonts w:ascii="Times New Roman" w:hAnsi="Times New Roman"/>
              </w:rPr>
              <w:t xml:space="preserve">) aprobă și monitorizează implementarea unor planuri specifice aferente monitorizării riscurilor de mediu, sociale și guvernanță elaborate de organul executiv al instituției de credit, inclusiv cele care decurg din </w:t>
            </w:r>
            <w:r w:rsidRPr="005D6998">
              <w:rPr>
                <w:rFonts w:ascii="Times New Roman" w:hAnsi="Times New Roman"/>
              </w:rPr>
              <w:lastRenderedPageBreak/>
              <w:t xml:space="preserve">procesul de ajustare și din tendințele de tranziție în contextul obiectivelor de reglementare și al actelor juridice relevante în ceea ce privește factorii de mediu, sociale și guvernanță. Obiectivele și procesele cuantificabile pentru abordarea riscurilor de mediu, sociale și de guvernanță incluse în planurile specifice trebuie să ia în considerare cele mai recente rapoarte și măsuri prescrise de Consiliul consultativ științific european privind schimbările climatice, în special în ceea ce privește atingerea obiectivelor climatice ale Uniunii Europene; </w:t>
            </w:r>
            <w:r w:rsidRPr="005D6998">
              <w:rPr>
                <w:rFonts w:ascii="Times New Roman" w:hAnsi="Times New Roman"/>
                <w:b/>
              </w:rPr>
              <w:t xml:space="preserve"> </w:t>
            </w:r>
          </w:p>
          <w:p w14:paraId="1450E2CA" w14:textId="77777777" w:rsidR="00513EDC" w:rsidRPr="005D6998" w:rsidRDefault="00513EDC" w:rsidP="00513EDC">
            <w:pPr>
              <w:tabs>
                <w:tab w:val="left" w:pos="426"/>
              </w:tabs>
              <w:spacing w:after="0" w:line="240" w:lineRule="auto"/>
              <w:jc w:val="both"/>
              <w:rPr>
                <w:rFonts w:ascii="Times New Roman" w:hAnsi="Times New Roman"/>
                <w:b/>
                <w:bCs/>
              </w:rPr>
            </w:pPr>
          </w:p>
        </w:tc>
        <w:tc>
          <w:tcPr>
            <w:tcW w:w="1559" w:type="dxa"/>
            <w:gridSpan w:val="3"/>
            <w:shd w:val="clear" w:color="auto" w:fill="FFFFFF"/>
          </w:tcPr>
          <w:p w14:paraId="7E192B2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2698A9B2"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7A6975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41 alin. (3) lit. i</w:t>
            </w:r>
            <w:r w:rsidRPr="005D6998">
              <w:rPr>
                <w:rFonts w:ascii="Times New Roman" w:hAnsi="Times New Roman"/>
                <w:vertAlign w:val="superscript"/>
              </w:rPr>
              <w:t>2</w:t>
            </w:r>
            <w:r w:rsidRPr="005D6998">
              <w:rPr>
                <w:rFonts w:ascii="Times New Roman" w:hAnsi="Times New Roman"/>
              </w:rPr>
              <w:t xml:space="preserve">), se consideră necesară reevaluarea trimiterii la „cele mai recente rapoarte și măsuri prescrise de Consiliul Consultativ Științific European privind Schimbările Climatice”. </w:t>
            </w:r>
          </w:p>
          <w:p w14:paraId="5D094CCF" w14:textId="77777777" w:rsidR="00513EDC" w:rsidRPr="005D6998" w:rsidRDefault="00513EDC" w:rsidP="00513EDC">
            <w:pPr>
              <w:spacing w:after="0" w:line="240" w:lineRule="auto"/>
              <w:jc w:val="both"/>
              <w:rPr>
                <w:rFonts w:ascii="Times New Roman" w:hAnsi="Times New Roman"/>
              </w:rPr>
            </w:pPr>
          </w:p>
          <w:p w14:paraId="19F426A5" w14:textId="676C052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oportună clarificarea rolului acestor documente în procesul decizional al instituțiilor de credit.</w:t>
            </w:r>
          </w:p>
          <w:p w14:paraId="467B451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 xml:space="preserve">Se argumentează că formularea face referire la documente cu conținut variabil și actualizabil în timp, fără a fi clar statutul juridic și caracterul obligatoriu al acestora în cadrul ordinii juridice naționale. Se indică că formularea poate fi interpretată ca atribuind caracter cvasi-obligatoriu unor documente care nu au natură normativă. </w:t>
            </w:r>
          </w:p>
          <w:p w14:paraId="021618DD" w14:textId="77777777" w:rsidR="00513EDC" w:rsidRPr="005D6998" w:rsidRDefault="00513EDC" w:rsidP="00513EDC">
            <w:pPr>
              <w:spacing w:after="0" w:line="240" w:lineRule="auto"/>
              <w:jc w:val="both"/>
              <w:rPr>
                <w:rFonts w:ascii="Times New Roman" w:hAnsi="Times New Roman"/>
              </w:rPr>
            </w:pPr>
          </w:p>
          <w:p w14:paraId="24C48EC8"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Totodată,</w:t>
            </w:r>
            <w:r w:rsidRPr="005D6998">
              <w:t xml:space="preserve"> </w:t>
            </w:r>
            <w:r w:rsidRPr="005D6998">
              <w:rPr>
                <w:rFonts w:ascii="Times New Roman" w:hAnsi="Times New Roman"/>
              </w:rPr>
              <w:t xml:space="preserve">se consideră că referirea exclusivă la recomandările Consiliului Consultativ Științific European privind Schimbările Climatice ar putea ridica dificultăți de aplicare în contextul Republicii Moldova, întrucât aceste recomandări sunt orientate în principal către fundamentarea politicilor publice ale Uniunii Europene. </w:t>
            </w:r>
          </w:p>
          <w:p w14:paraId="49B2CC55" w14:textId="23A666D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acest sens, se propune ca planurile de monitorizare a riscurilor ESG să ia în considerare cadrul național de politici de mediu și climă, actele normative aplicabile, precum și acordurile internaționale la care Republica Moldova este parte, iar, în măsura relevanței, și recomandările și rapoartele științifice internaționale și europene în domeniu.</w:t>
            </w:r>
          </w:p>
        </w:tc>
        <w:tc>
          <w:tcPr>
            <w:tcW w:w="5012" w:type="dxa"/>
            <w:gridSpan w:val="3"/>
            <w:shd w:val="clear" w:color="auto" w:fill="FFFFFF"/>
          </w:tcPr>
          <w:p w14:paraId="13143130" w14:textId="17A3B74E"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w:t>
            </w:r>
          </w:p>
          <w:p w14:paraId="7481FEA3" w14:textId="1E91AD01"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Litera i</w:t>
            </w:r>
            <w:r w:rsidRPr="005D6998">
              <w:rPr>
                <w:rFonts w:ascii="Times New Roman" w:hAnsi="Times New Roman"/>
                <w:vertAlign w:val="superscript"/>
              </w:rPr>
              <w:t>2</w:t>
            </w:r>
            <w:r w:rsidRPr="005D6998">
              <w:rPr>
                <w:rFonts w:ascii="Times New Roman" w:hAnsi="Times New Roman"/>
              </w:rPr>
              <w:t>) va avea următorul cuprins:</w:t>
            </w:r>
          </w:p>
          <w:p w14:paraId="66C88829"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704FCEA5" w14:textId="4D5A01F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r w:rsidRPr="005D6998">
              <w:t xml:space="preserve"> </w:t>
            </w:r>
            <w:r w:rsidRPr="005D6998">
              <w:rPr>
                <w:rFonts w:ascii="Times New Roman" w:hAnsi="Times New Roman"/>
              </w:rPr>
              <w:t>i</w:t>
            </w:r>
            <w:r w:rsidRPr="005D6998">
              <w:rPr>
                <w:rFonts w:ascii="Times New Roman" w:hAnsi="Times New Roman"/>
                <w:vertAlign w:val="superscript"/>
              </w:rPr>
              <w:t>2</w:t>
            </w:r>
            <w:r w:rsidRPr="005D6998">
              <w:rPr>
                <w:rFonts w:ascii="Times New Roman" w:hAnsi="Times New Roman"/>
              </w:rPr>
              <w:t xml:space="preserve">) aprobă și monitorizează implementarea unor planuri specifice aferente monitorizării riscurilor de mediu, sociale și guvernanță elaborate de organul executiv al instituției de credit, inclusiv cele care decurg din procesul de ajustare și din tendințele de tranziție în contextul obiectivelor de reglementare și al </w:t>
            </w:r>
            <w:r w:rsidRPr="005D6998">
              <w:rPr>
                <w:rFonts w:ascii="Times New Roman" w:hAnsi="Times New Roman"/>
              </w:rPr>
              <w:lastRenderedPageBreak/>
              <w:t>actelor juridice relevante în ceea ce privește factorii de mediu, sociale și guvernanță. Obiectivele și procesele cuantificabile pentru abordarea riscurilor de mediu, sociale și de guvernanță incluse în planurile specifice trebuie să ia în considerare cadrul național de politici de mediu și climă, actele normative aplicabile, precum și acordurile internaționale la care Republica Moldova este parte. În măsura relevanței trebuie să fie luate în considerare cele mai recente rapoarte și măsuri prescrise de Consiliul consultativ științific european privind schimbările climatice, în special în ceea ce privește atingerea obiectivelor climatice ale Uniunii Europene.”.</w:t>
            </w:r>
          </w:p>
          <w:p w14:paraId="40794727" w14:textId="77777777" w:rsidR="00513EDC" w:rsidRPr="005D6998" w:rsidRDefault="00513EDC" w:rsidP="00513EDC">
            <w:pPr>
              <w:spacing w:after="0" w:line="240" w:lineRule="auto"/>
              <w:jc w:val="both"/>
              <w:rPr>
                <w:rFonts w:ascii="Times New Roman" w:hAnsi="Times New Roman"/>
              </w:rPr>
            </w:pPr>
          </w:p>
          <w:p w14:paraId="055705EC" w14:textId="6196A501"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Având în vedere aplicabilitatea limitată pe teritoriul R. Moldova la acest moment a rapoartelor Consiliului consultativ științific european privind schimbările climatice, pct. 33 prin care se completează art. 41 cu lit. i</w:t>
            </w:r>
            <w:r w:rsidRPr="005D6998">
              <w:rPr>
                <w:rFonts w:ascii="Times New Roman" w:hAnsi="Times New Roman"/>
                <w:vertAlign w:val="superscript"/>
              </w:rPr>
              <w:t>2</w:t>
            </w:r>
            <w:r w:rsidRPr="005D6998">
              <w:rPr>
                <w:rFonts w:ascii="Times New Roman" w:hAnsi="Times New Roman"/>
              </w:rPr>
              <w:t>) ultima teză va intra în vigoare la data aderării (se completează în acest sens Art. V alin. (3)).</w:t>
            </w:r>
          </w:p>
          <w:p w14:paraId="6B55BB55" w14:textId="16C89D33" w:rsidR="00513EDC" w:rsidRPr="005D6998" w:rsidRDefault="00513EDC" w:rsidP="00513EDC">
            <w:pPr>
              <w:spacing w:after="0" w:line="240" w:lineRule="auto"/>
              <w:jc w:val="both"/>
              <w:rPr>
                <w:rFonts w:ascii="Times New Roman" w:hAnsi="Times New Roman"/>
              </w:rPr>
            </w:pPr>
          </w:p>
        </w:tc>
      </w:tr>
      <w:tr w:rsidR="00513EDC" w:rsidRPr="005D6998" w14:paraId="0C23D05E" w14:textId="77777777" w:rsidTr="00651F58">
        <w:trPr>
          <w:gridAfter w:val="1"/>
          <w:wAfter w:w="10" w:type="dxa"/>
          <w:trHeight w:val="105"/>
        </w:trPr>
        <w:tc>
          <w:tcPr>
            <w:tcW w:w="899" w:type="dxa"/>
            <w:gridSpan w:val="3"/>
            <w:shd w:val="clear" w:color="auto" w:fill="FFFFFF"/>
          </w:tcPr>
          <w:p w14:paraId="260F128B"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934919B" w14:textId="2188D1EB"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35.</w:t>
            </w:r>
            <w:r w:rsidRPr="005D6998">
              <w:rPr>
                <w:rFonts w:ascii="Times New Roman" w:hAnsi="Times New Roman"/>
              </w:rPr>
              <w:t xml:space="preserve"> Articolul 43 va avea următorul cuprins:</w:t>
            </w:r>
          </w:p>
          <w:p w14:paraId="20C2E770" w14:textId="77777777" w:rsidR="00513EDC" w:rsidRPr="005D6998" w:rsidRDefault="00513EDC" w:rsidP="00513EDC">
            <w:pPr>
              <w:pStyle w:val="a7"/>
              <w:tabs>
                <w:tab w:val="left" w:pos="426"/>
              </w:tabs>
              <w:spacing w:after="0" w:line="240" w:lineRule="auto"/>
              <w:ind w:left="0"/>
              <w:jc w:val="both"/>
              <w:rPr>
                <w:rFonts w:ascii="Times New Roman" w:hAnsi="Times New Roman"/>
              </w:rPr>
            </w:pPr>
          </w:p>
          <w:p w14:paraId="70357E6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 „</w:t>
            </w:r>
            <w:r w:rsidRPr="005D6998">
              <w:rPr>
                <w:rFonts w:ascii="Times New Roman" w:hAnsi="Times New Roman"/>
                <w:b/>
                <w:bCs/>
              </w:rPr>
              <w:t>Articolul 43.</w:t>
            </w:r>
            <w:r w:rsidRPr="005D6998">
              <w:rPr>
                <w:rFonts w:ascii="Times New Roman" w:hAnsi="Times New Roman"/>
              </w:rPr>
              <w:t xml:space="preserve"> Membrii organului de conducere și evaluarea adecvării</w:t>
            </w:r>
          </w:p>
          <w:p w14:paraId="2B473557" w14:textId="42ECD557" w:rsidR="00513EDC" w:rsidRPr="005D6998" w:rsidRDefault="00513EDC" w:rsidP="00513EDC">
            <w:pPr>
              <w:spacing w:after="0" w:line="240" w:lineRule="auto"/>
              <w:jc w:val="both"/>
              <w:rPr>
                <w:rFonts w:ascii="Times New Roman" w:hAnsi="Times New Roman"/>
                <w:i/>
                <w:color w:val="0F9ED5" w:themeColor="accent4"/>
              </w:rPr>
            </w:pPr>
            <w:r w:rsidRPr="005D6998">
              <w:rPr>
                <w:rFonts w:ascii="Times New Roman" w:hAnsi="Times New Roman"/>
              </w:rPr>
              <w:t>(1) Instituțiile de credit și societățile financiare holding și societățile financiare holding mixte cărora li s-a acordat aprobarea în conformitate cu art. 116</w:t>
            </w:r>
            <w:r w:rsidRPr="005D6998">
              <w:rPr>
                <w:rFonts w:ascii="Times New Roman" w:hAnsi="Times New Roman"/>
                <w:vertAlign w:val="superscript"/>
              </w:rPr>
              <w:t>1</w:t>
            </w:r>
            <w:r w:rsidRPr="005D6998">
              <w:rPr>
                <w:rFonts w:ascii="Times New Roman" w:hAnsi="Times New Roman"/>
              </w:rPr>
              <w:t xml:space="preserve"> alin. (1) și (2), (denumite în continuare “entitățile”) au responsabilitatea principală de a se </w:t>
            </w:r>
            <w:r w:rsidRPr="005D6998">
              <w:rPr>
                <w:rFonts w:ascii="Times New Roman" w:hAnsi="Times New Roman"/>
              </w:rPr>
              <w:lastRenderedPageBreak/>
              <w:t xml:space="preserve">asigura că membrii organului de conducere </w:t>
            </w:r>
            <w:r w:rsidRPr="005D6998">
              <w:rPr>
                <w:rFonts w:ascii="Times New Roman" w:hAnsi="Times New Roman"/>
                <w:b/>
                <w:bCs/>
              </w:rPr>
              <w:t xml:space="preserve">sau persoanele care reprezintă </w:t>
            </w:r>
            <w:r w:rsidRPr="005D6998">
              <w:rPr>
                <w:rFonts w:ascii="Times New Roman" w:hAnsi="Times New Roman"/>
                <w:b/>
                <w:bCs/>
                <w:lang w:eastAsia="ro-MD"/>
              </w:rPr>
              <w:t>conducerea superioară</w:t>
            </w:r>
            <w:r w:rsidRPr="005D6998">
              <w:rPr>
                <w:rFonts w:ascii="Times New Roman" w:hAnsi="Times New Roman"/>
              </w:rPr>
              <w:t xml:space="preserve"> dispun, în orice moment de o reputație suficient de bună, acționează cu onestitate, integritate și pe baza unei gândiri independente, posedă suficiente cunoștințe, aptitudini și experiență pentru a-și exercita atribuțiile și îndeplinesc criteriile și cerințele prevăzute la art. 43</w:t>
            </w:r>
            <w:r w:rsidRPr="005D6998">
              <w:rPr>
                <w:rFonts w:ascii="Times New Roman" w:hAnsi="Times New Roman"/>
                <w:vertAlign w:val="superscript"/>
              </w:rPr>
              <w:t>1</w:t>
            </w:r>
            <w:r w:rsidRPr="005D6998">
              <w:rPr>
                <w:rFonts w:ascii="Times New Roman" w:hAnsi="Times New Roman"/>
              </w:rPr>
              <w:t xml:space="preserve">, cu excepția administratorilor temporari numiți de Banca Națională a Moldovei în temeiul art. 46 din Legea nr. 232/2016 privind redresarea și rezoluția instituțiilor de credit și a administratorilor speciali numiți de Banca Națională a Moldovei în temeiul art. 66 din legea menționată. </w:t>
            </w:r>
            <w:r w:rsidRPr="005D6998">
              <w:rPr>
                <w:rFonts w:ascii="Times New Roman" w:hAnsi="Times New Roman"/>
                <w:b/>
                <w:bCs/>
              </w:rPr>
              <w:t>Absența unei condamnări penale sau a unei urmăriri penale în curs pentru o infracțiune nu este suficientă în sine pentru a îndeplini cerința de a avea o bună reputație și de a acționa cu onestitate și integritate</w:t>
            </w:r>
            <w:r w:rsidRPr="005D6998">
              <w:rPr>
                <w:rFonts w:ascii="Times New Roman" w:hAnsi="Times New Roman"/>
              </w:rPr>
              <w:t>.</w:t>
            </w:r>
            <w:r w:rsidRPr="005D6998">
              <w:rPr>
                <w:rFonts w:ascii="Times New Roman" w:hAnsi="Times New Roman"/>
                <w:i/>
                <w:iCs/>
                <w:color w:val="0F9ED5" w:themeColor="accent4"/>
              </w:rPr>
              <w:t xml:space="preserve"> </w:t>
            </w:r>
          </w:p>
        </w:tc>
        <w:tc>
          <w:tcPr>
            <w:tcW w:w="1559" w:type="dxa"/>
            <w:gridSpan w:val="3"/>
            <w:vMerge w:val="restart"/>
            <w:shd w:val="clear" w:color="auto" w:fill="FFFFFF"/>
          </w:tcPr>
          <w:p w14:paraId="6D07CC2F"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5F310FE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5D61216" w14:textId="1AD025D8"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6080BAC5" w14:textId="0CE111FD"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CE996C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43 alin. (1), se propune excluderea textului „sau persoanelor care reprezintă conducerea superioară”, întrucât dispozițiile prezentului articol vizează în mod expres membrii organului de conducere și evaluarea adecvării acestora. </w:t>
            </w:r>
          </w:p>
          <w:p w14:paraId="314D1072" w14:textId="77777777" w:rsidR="00513EDC" w:rsidRPr="005D6998" w:rsidRDefault="00513EDC" w:rsidP="00513EDC">
            <w:pPr>
              <w:spacing w:after="0" w:line="240" w:lineRule="auto"/>
              <w:jc w:val="both"/>
              <w:rPr>
                <w:rFonts w:ascii="Times New Roman" w:hAnsi="Times New Roman"/>
              </w:rPr>
            </w:pPr>
          </w:p>
          <w:p w14:paraId="05EBE36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De asemenea, se propune excluderea textului „Absența unei condamnări penale sau a unei urmăriri penale în curs pentru o infracțiune nu este suficientă în sine pentru a îndeplini cerința de a avea o bună reputație și de a </w:t>
            </w:r>
            <w:r w:rsidRPr="005D6998">
              <w:rPr>
                <w:rFonts w:ascii="Times New Roman" w:hAnsi="Times New Roman"/>
              </w:rPr>
              <w:lastRenderedPageBreak/>
              <w:t xml:space="preserve">acționa cu onestitate și integritate” atât din prezentul articol, cât și din art. 44¹. </w:t>
            </w:r>
          </w:p>
          <w:p w14:paraId="2FB4951A" w14:textId="77777777" w:rsidR="00513EDC" w:rsidRPr="005D6998" w:rsidRDefault="00513EDC" w:rsidP="00513EDC">
            <w:pPr>
              <w:spacing w:after="0" w:line="240" w:lineRule="auto"/>
              <w:jc w:val="both"/>
              <w:rPr>
                <w:rFonts w:ascii="Times New Roman" w:hAnsi="Times New Roman"/>
              </w:rPr>
            </w:pPr>
          </w:p>
          <w:p w14:paraId="4589FD2B" w14:textId="457EE21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mențiunea respectivă nu aduce valoare normei, întrucât caracterul complex al cerinței de reputație este deja implicit în cadrul evaluării adecvării, care presupune o apreciere globală, bazată pe criterii multiple.</w:t>
            </w:r>
          </w:p>
        </w:tc>
        <w:tc>
          <w:tcPr>
            <w:tcW w:w="5012" w:type="dxa"/>
            <w:gridSpan w:val="3"/>
            <w:shd w:val="clear" w:color="auto" w:fill="FFFFFF"/>
          </w:tcPr>
          <w:p w14:paraId="5A396E40"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7E6FB41C"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Titlul articolului se completează cu mențiunea despre conducerea superioară având în vedere că scopul este ca prevederile art. 43 să se refere și la aceasta.</w:t>
            </w:r>
          </w:p>
          <w:p w14:paraId="5B68A3AF"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7B94C5BC"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În ceea ce privește excluderea textului referitor la absența unei condamnări penale, </w:t>
            </w:r>
            <w:r w:rsidRPr="005D6998">
              <w:rPr>
                <w:rFonts w:ascii="Times New Roman" w:hAnsi="Times New Roman"/>
                <w:lang w:val="ro-MD"/>
              </w:rPr>
              <w:t xml:space="preserve">nu se consideră că mențiunea respectivă este lipsită de valoare normativă. </w:t>
            </w:r>
          </w:p>
          <w:p w14:paraId="5A2E2EF5"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În contextul abordării promovate de CRD VI, care pune un accent sporit pe criteriul reputației, aceasta evidențiază faptul că evaluarea reputației nu se limitează la verificarea antecedentelor penale, dar </w:t>
            </w:r>
            <w:r w:rsidRPr="005D6998">
              <w:rPr>
                <w:rFonts w:ascii="Times New Roman" w:hAnsi="Times New Roman"/>
                <w:lang w:val="ro-MD"/>
              </w:rPr>
              <w:lastRenderedPageBreak/>
              <w:t>atrage atenția asupra faptului că evaluarea reputației trebuie să fie mai complexă, nu doar să țină cont de condamnări/urmăriri penale.</w:t>
            </w:r>
          </w:p>
          <w:p w14:paraId="0A384718" w14:textId="46B6E970"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Mai ales că actele secundare, inclusiv ghidurile UE dezvoltă în detaliu elementele care confirmă caracterul complex al acestui criteriu. De asemenea, alineatul transpune fidel prevederile art. 91 din Directiva 2013/36/UE, astfel cum a fost modificată recent prin CRD VI.</w:t>
            </w:r>
          </w:p>
          <w:p w14:paraId="59C24026" w14:textId="2C0C11E0"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3E87E544" w14:textId="77777777" w:rsidTr="00651F58">
        <w:trPr>
          <w:gridAfter w:val="1"/>
          <w:wAfter w:w="10" w:type="dxa"/>
          <w:trHeight w:val="105"/>
        </w:trPr>
        <w:tc>
          <w:tcPr>
            <w:tcW w:w="899" w:type="dxa"/>
            <w:gridSpan w:val="3"/>
            <w:shd w:val="clear" w:color="auto" w:fill="FFFFFF"/>
          </w:tcPr>
          <w:p w14:paraId="649C595F"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20334F3" w14:textId="6CD8E4A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16A53130" w14:textId="0BF8D50B"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(3) În cazul în care entitățile concluzionează, urmare evaluării adecvării persoanelor înaintate în funcția de membru al organului de conducere sau </w:t>
            </w:r>
            <w:r w:rsidRPr="005D6998">
              <w:rPr>
                <w:rFonts w:ascii="Times New Roman" w:hAnsi="Times New Roman"/>
                <w:b/>
                <w:bCs/>
              </w:rPr>
              <w:t xml:space="preserve">persoanele care reprezintă </w:t>
            </w:r>
            <w:r w:rsidRPr="005D6998">
              <w:rPr>
                <w:rFonts w:ascii="Times New Roman" w:hAnsi="Times New Roman"/>
                <w:b/>
                <w:bCs/>
                <w:lang w:eastAsia="ro-MD"/>
              </w:rPr>
              <w:t>conducerea superioară*</w:t>
            </w:r>
            <w:r w:rsidRPr="005D6998">
              <w:rPr>
                <w:rFonts w:ascii="Times New Roman" w:hAnsi="Times New Roman"/>
              </w:rPr>
              <w:t>, că aceștia nu îndeplinesc cerințele prevăzute la alin. (1), entitatea:</w:t>
            </w:r>
          </w:p>
          <w:p w14:paraId="5A5CCA9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 se asigură că membrul potențial/persoana în cauză nu preia funcția vizată în cazul în care evaluarea respectivă este finalizată înainte ca </w:t>
            </w:r>
            <w:r w:rsidRPr="005D6998">
              <w:rPr>
                <w:rFonts w:ascii="Times New Roman" w:hAnsi="Times New Roman"/>
              </w:rPr>
              <w:lastRenderedPageBreak/>
              <w:t>membrul potențial să preia funcția respectivă;</w:t>
            </w:r>
          </w:p>
          <w:p w14:paraId="34D3E52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b) revocă un astfel de membru din organul de conducere sau o astfel de persoană în timp util; sau</w:t>
            </w:r>
          </w:p>
          <w:p w14:paraId="400A15A1"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c) ia, în timp util, măsurile suplimentare necesare pentru a se asigura că un astfel de membru este sau devine adecvat pentru funcția în cauză. </w:t>
            </w:r>
          </w:p>
          <w:p w14:paraId="25BAD7E3" w14:textId="77777777" w:rsidR="00513EDC" w:rsidRPr="005D6998" w:rsidRDefault="00513EDC" w:rsidP="00513EDC">
            <w:pPr>
              <w:tabs>
                <w:tab w:val="left" w:pos="426"/>
              </w:tabs>
              <w:spacing w:after="0" w:line="240" w:lineRule="auto"/>
              <w:jc w:val="both"/>
              <w:rPr>
                <w:rFonts w:ascii="Times New Roman" w:hAnsi="Times New Roman"/>
                <w:i/>
                <w:iCs/>
              </w:rPr>
            </w:pPr>
          </w:p>
          <w:p w14:paraId="24A2A109" w14:textId="77777777" w:rsidR="00513EDC" w:rsidRPr="005D6998" w:rsidRDefault="00513EDC" w:rsidP="00513EDC">
            <w:pPr>
              <w:tabs>
                <w:tab w:val="left" w:pos="426"/>
              </w:tabs>
              <w:spacing w:after="0" w:line="240" w:lineRule="auto"/>
              <w:jc w:val="both"/>
              <w:rPr>
                <w:rFonts w:ascii="Times New Roman" w:hAnsi="Times New Roman"/>
                <w:i/>
                <w:iCs/>
              </w:rPr>
            </w:pPr>
            <w:r w:rsidRPr="005D6998">
              <w:rPr>
                <w:rFonts w:ascii="Times New Roman" w:hAnsi="Times New Roman"/>
                <w:i/>
                <w:iCs/>
              </w:rPr>
              <w:t>*Noțiunea de “conducere superioară”</w:t>
            </w:r>
          </w:p>
          <w:p w14:paraId="6A3CD359" w14:textId="77777777" w:rsidR="00513EDC" w:rsidRPr="005D6998" w:rsidRDefault="00513EDC" w:rsidP="00513EDC">
            <w:pPr>
              <w:tabs>
                <w:tab w:val="left" w:pos="426"/>
              </w:tabs>
              <w:spacing w:after="0" w:line="240" w:lineRule="auto"/>
              <w:jc w:val="both"/>
              <w:rPr>
                <w:rFonts w:ascii="Times New Roman" w:hAnsi="Times New Roman"/>
              </w:rPr>
            </w:pPr>
            <w:r w:rsidRPr="005D6998">
              <w:rPr>
                <w:rFonts w:ascii="Times New Roman" w:hAnsi="Times New Roman"/>
                <w:i/>
                <w:iCs/>
              </w:rPr>
              <w:t>conducere superioară</w:t>
            </w:r>
            <w:r w:rsidRPr="005D6998">
              <w:rPr>
                <w:rFonts w:ascii="Times New Roman" w:hAnsi="Times New Roman"/>
              </w:rPr>
              <w:t xml:space="preserve"> - persoanele fizice care exercită funcţii de conducere în cadrul unei instituţii de credit și care răspund direct în faţa organului de conducere, dar nu sunt membri ai organului respectiv, și care sunt responsabile cu gestionarea curentă a instituţiei de credit sub conducerea organului de conducere.</w:t>
            </w:r>
          </w:p>
          <w:p w14:paraId="2C00DD4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(2) Entitățile se asigură că membrii organului de conducere sau persoanele care reprezintă </w:t>
            </w:r>
            <w:r w:rsidRPr="005D6998">
              <w:rPr>
                <w:rFonts w:ascii="Times New Roman" w:hAnsi="Times New Roman"/>
                <w:lang w:eastAsia="ro-MD"/>
              </w:rPr>
              <w:t>conducerea superioară</w:t>
            </w:r>
            <w:r w:rsidRPr="005D6998">
              <w:rPr>
                <w:rFonts w:ascii="Times New Roman" w:hAnsi="Times New Roman"/>
              </w:rPr>
              <w:t xml:space="preserve"> îndeplinesc, în orice moment criteriile, cerințele prevăzute la art. 43</w:t>
            </w:r>
            <w:r w:rsidRPr="005D6998">
              <w:rPr>
                <w:rFonts w:ascii="Times New Roman" w:hAnsi="Times New Roman"/>
                <w:vertAlign w:val="superscript"/>
              </w:rPr>
              <w:t>1</w:t>
            </w:r>
            <w:r w:rsidRPr="005D6998">
              <w:rPr>
                <w:rFonts w:ascii="Times New Roman" w:hAnsi="Times New Roman"/>
              </w:rPr>
              <w:t xml:space="preserve"> și evaluează adecvarea membrilor organului de conducere ținând seama de așteptările în materie de supraveghere, înainte ca aceștia să-și preia funcțiile și periodic, astfel cum se prevede în actele normative ale Băncii Naționale a Moldovei și politicile interne privind adecvarea. </w:t>
            </w:r>
          </w:p>
          <w:p w14:paraId="5D1D910A" w14:textId="15A605FA"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w:t>
            </w:r>
          </w:p>
        </w:tc>
        <w:tc>
          <w:tcPr>
            <w:tcW w:w="1559" w:type="dxa"/>
            <w:gridSpan w:val="3"/>
            <w:vMerge/>
            <w:shd w:val="clear" w:color="auto" w:fill="FFFFFF"/>
          </w:tcPr>
          <w:p w14:paraId="52520C51"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30AF578B" w14:textId="317BC6B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7DE57A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43 alin. (3), în privința textului „persoanele care reprezintă conducerea superioară”, se menționează următoarele: </w:t>
            </w:r>
          </w:p>
          <w:p w14:paraId="250F96A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i. „Conducerea superioară” nu este categoria-pereche din CRD pentru evaluarea adecvării. Cadrul european de fit &amp; proper operează cu două noțiuni precise: membrii organului de conducere (art. 91 CRD) și deținătorii de funcții-cheie (art. 91a CRD). CRD VI extinde explicit cerințele de adecvare la șefii funcțiilor de control intern și la directorul financiar (CFO), prin art. 91a, cu </w:t>
            </w:r>
            <w:r w:rsidRPr="005D6998">
              <w:rPr>
                <w:rFonts w:ascii="Times New Roman" w:hAnsi="Times New Roman"/>
              </w:rPr>
              <w:lastRenderedPageBreak/>
              <w:t xml:space="preserve">supraveghere din partea autorității competente pentru entitățile mari. </w:t>
            </w:r>
          </w:p>
          <w:p w14:paraId="7DDB39E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„Senior management” / „conducere superioară” este un concept distinct, definit separat, și nu este categoria pe care CRD o corelează cu organul de conducere în regimul de adecvare. Prin urmare, includerea acesteia este fie o transpunere eronată (ar trebui „funcții-cheie”), fie o supra-transpunere (gold-plating) care riscă să abată norma națională de la cadrul european de referință, ceea ce este relevant inclusiv în contextul alinierii legislației Republicii Moldova la acquis-ul Uniunii Europene;</w:t>
            </w:r>
          </w:p>
          <w:p w14:paraId="5CD162D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ii. Proiectul extinde sfera persoanelor relevante din perspectiva guvernanței prin introducerea „conducerii superioare”, iar această extindere poate genera obligații suplimentare de evaluare, monitorizare și raportare, precum și o intervenție sporită a autorității de supraveghere asupra structurii manageriale interne. </w:t>
            </w:r>
          </w:p>
          <w:p w14:paraId="24AECFAA" w14:textId="77777777" w:rsidR="00513EDC" w:rsidRPr="005D6998" w:rsidRDefault="00513EDC" w:rsidP="00513EDC">
            <w:pPr>
              <w:spacing w:after="0" w:line="240" w:lineRule="auto"/>
              <w:jc w:val="both"/>
              <w:rPr>
                <w:rFonts w:ascii="Times New Roman" w:hAnsi="Times New Roman"/>
              </w:rPr>
            </w:pPr>
          </w:p>
          <w:p w14:paraId="418781C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că noțiunea de „conducere superioară” necesită corelare cu structura actuală de guvernanță prevăzută de Legea nr. 202/2017 și actele normative ale BNM, pentru a evita suprapuneri între competențele organului de conducere, ale persoanelor care dețin funcții-cheie și ale conducerii executive. Se arată că din textul proiectului de lege nu rezultă cu suficientă claritate raportul dintre noțiunile de „conducere superioară” și „persoane care dețin funcții-cheie”, în condițiile în care anumite poziții pot îndeplini concomitent elementele ambelor definiții. </w:t>
            </w:r>
          </w:p>
          <w:p w14:paraId="528B133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recomandă clarificarea caracterului cumulativ sau exclusiv al celor două </w:t>
            </w:r>
            <w:r w:rsidRPr="005D6998">
              <w:rPr>
                <w:rFonts w:ascii="Times New Roman" w:hAnsi="Times New Roman"/>
              </w:rPr>
              <w:lastRenderedPageBreak/>
              <w:t>categorii, precum și delimitarea efectelor juridice asociate fiecăreia.</w:t>
            </w:r>
          </w:p>
          <w:p w14:paraId="354AF4E3" w14:textId="77777777" w:rsidR="00513EDC" w:rsidRPr="005D6998" w:rsidRDefault="00513EDC" w:rsidP="00513EDC">
            <w:pPr>
              <w:spacing w:after="0" w:line="240" w:lineRule="auto"/>
              <w:jc w:val="both"/>
              <w:rPr>
                <w:rFonts w:ascii="Times New Roman" w:hAnsi="Times New Roman"/>
              </w:rPr>
            </w:pPr>
          </w:p>
          <w:p w14:paraId="7DAB97A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alin. (2) al art. 43 propus în corelare cu alin. (1) al aceluiași articol, se consideră că există o inconsecvență internă a textului: </w:t>
            </w:r>
          </w:p>
          <w:p w14:paraId="556E45FD"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alin. (1) și alin. (2) prevăd „membrii organului de conducere sau persoanele care reprezintă conducerea superioară”, însă clauza operativă din alin. (2) — obligația efectivă de evaluare — se referă doar la „adecvarea membrilor organului de conducere”.</w:t>
            </w:r>
          </w:p>
          <w:p w14:paraId="0F0BEB5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există o suprapunere și categorie reziduală neclară în ceea ce privește conducerea superioară. Conducerea superioară coincide, în mare parte, cu componenta executivă a organului de conducere (organul de conducere în funcția sa de conducere), fiind astfel deja acoperită de sfera membrilor organului de conducere.</w:t>
            </w:r>
          </w:p>
          <w:p w14:paraId="32A6591A" w14:textId="77777777" w:rsidR="00513EDC" w:rsidRPr="005D6998" w:rsidRDefault="00513EDC" w:rsidP="00513EDC">
            <w:pPr>
              <w:spacing w:after="0" w:line="240" w:lineRule="auto"/>
              <w:jc w:val="both"/>
              <w:rPr>
                <w:rFonts w:ascii="Times New Roman" w:hAnsi="Times New Roman"/>
              </w:rPr>
            </w:pPr>
          </w:p>
          <w:p w14:paraId="1B5C2A5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excluderea sintagmei „conducerea superioară” contribuie la asigurarea unui cadru normativ clar, previzibil și aliniat standardelor europene din următoarele motive:</w:t>
            </w:r>
          </w:p>
          <w:p w14:paraId="5ABB3BB4" w14:textId="2AFAB22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că un perimetru nedefinit al persoanelor care reprezintă conducerea superioară este egală cu incertitudine juridică. </w:t>
            </w:r>
          </w:p>
          <w:p w14:paraId="5E8F41A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„Membrii organului de conducere” sunt persoane numite formal și identificabile; </w:t>
            </w:r>
          </w:p>
          <w:p w14:paraId="447B10F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„deținătorii de funcții-cheie” au, de asemenea, o definiție fermă (șefii controlului intern și CFO). </w:t>
            </w:r>
          </w:p>
          <w:p w14:paraId="51BE3A59" w14:textId="3B055C9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schimb, noțiunea de „conducere superioară” nu este însoțită de un prag </w:t>
            </w:r>
            <w:r w:rsidRPr="005D6998">
              <w:rPr>
                <w:rFonts w:ascii="Times New Roman" w:hAnsi="Times New Roman"/>
              </w:rPr>
              <w:lastRenderedPageBreak/>
              <w:t xml:space="preserve">normativ clar și nu detaliază până la ce nivel ierarhic se extinde. Or, în contextul unor dispoziții care produc consecințe juridice semnificative (alin. (3) — măsuri, obligații de notificare către BNM, inclusiv eventuale înlăturări din funcție), utilizarea unei categorii cu granițe incerte este de natură să genereze exact acele dificultăți de interpretare și aplicare pe care norma ar trebui să le prevină. </w:t>
            </w:r>
          </w:p>
        </w:tc>
        <w:tc>
          <w:tcPr>
            <w:tcW w:w="5012" w:type="dxa"/>
            <w:gridSpan w:val="3"/>
            <w:shd w:val="clear" w:color="auto" w:fill="FFFFFF"/>
          </w:tcPr>
          <w:p w14:paraId="49E9B025" w14:textId="69652DE9"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74649939" w14:textId="49A03C99"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Nu poate fi reținut că utilizarea noțiunii de „conducere superioară” reprezintă o abatere de la cadrul european. Deși CRD VI menține regimul evaluării adecvării calității membrilor organului de conducere și a persoanelor care dețin funcții-cheie (art. 91-91a din directivă), modificările operate prin CRD VI demonstrează că legiuitorul european recunoaște existența unei categorii distincte de persoane care exercită o influență semnificativă asupra conducerii instituției de credit fără a se încadra întotdeauna în una dintre aceste două categorii.</w:t>
            </w:r>
          </w:p>
          <w:p w14:paraId="52570516"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073C6F0B" w14:textId="335D3A8A"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 xml:space="preserve">În acest sens, se observă că directiva utilizează în mod expres noțiunea de „senior management” și o tratează ca categorie separată de membrii organului de conducere și de deținătorii de funcții-cheie, inclusiv în materia măsurilor și sancțiunilor aplicabile pentru încălcarea cerințelor prudențiale. </w:t>
            </w:r>
          </w:p>
          <w:p w14:paraId="6F6AEDB0" w14:textId="164D5435"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susținerea acestei ipoteze, a se vedea considerentul 30 al Directivei (UE) 2024/1619 (CRD VI) enumeră distinct „members of the management body”, „senior management” și „key function holders”, ceea ce confirmă intenția legiuitorului european de a recunoaște existența unor persoane importante în contextul guvernanței care nu se suprapun întocmai cu celelalte două categorii.</w:t>
            </w:r>
          </w:p>
          <w:p w14:paraId="742D6AD3"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3F8A1FDB" w14:textId="2030D805"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Totodată, se observă că prin introducerea art. 91-91a se urmărește extinderea și aprofundarea supravegherii asupra persoanelor care influențează efectiv administrarea instituției de credit, tocmai pentru a evita existența unor zone de responsabilitate insuficient reglementate.</w:t>
            </w:r>
          </w:p>
          <w:p w14:paraId="3F4AF226"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0D682474" w14:textId="55F26514"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De exemplu, faptul că prin CRD VI s-au extins în mod expres cerințele de adecvare asupra conducătorilor funcțiilor de control intern și asupra directorului financiar la fel ne  demonstrează preocuparea legiuitorului european pentru a avea sub control persoanele cu influență semnificativă care nu neapărat fac parte din organul de conducere.</w:t>
            </w:r>
          </w:p>
          <w:p w14:paraId="6F4B3D18"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733B0BE0"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Respectiv, includerea conceptului de „conducere superioară” poate fi înțeleasă nu ca o supra-transpunere incompatibilă cu acquis-ul UE, ci ca o opțiune de reglementare care să asigure ca persoanele care nu se încadrează nici în categoria membrilor organului de conducere, nici în cea a persoanelor care dețin funcții-cheie să fie în atenția instituției de credit și a autorității de supraveghere. Prin urmare, se va face o analiză </w:t>
            </w:r>
            <w:r w:rsidRPr="005D6998">
              <w:rPr>
                <w:rFonts w:ascii="Times New Roman" w:hAnsi="Times New Roman"/>
              </w:rPr>
              <w:lastRenderedPageBreak/>
              <w:t>cazuală, în funcție de structura organizatorică a instituției de credit și modul de distribuire a competențelor în cadrul sistemului de guvernanță.</w:t>
            </w:r>
          </w:p>
          <w:p w14:paraId="40D9A9F8"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Contrar celor menționate de autorul obiecției, alin. (2) include și persoanele care reprezintă conducerea superioară, alături de membrii organului de conducere:</w:t>
            </w:r>
          </w:p>
          <w:p w14:paraId="795A6EC6" w14:textId="47BD9596" w:rsidR="00513EDC" w:rsidRPr="005D6998" w:rsidRDefault="00513EDC" w:rsidP="00513EDC">
            <w:pPr>
              <w:spacing w:after="0"/>
              <w:jc w:val="both"/>
              <w:rPr>
                <w:rFonts w:ascii="Times New Roman" w:hAnsi="Times New Roman"/>
                <w:b/>
                <w:bCs/>
                <w:color w:val="FF0000"/>
              </w:rPr>
            </w:pPr>
            <w:r w:rsidRPr="005D6998">
              <w:rPr>
                <w:rFonts w:ascii="Times New Roman" w:hAnsi="Times New Roman"/>
              </w:rPr>
              <w:t xml:space="preserve">“(2) Entitățile se asigură că membrii organului de conducere </w:t>
            </w:r>
            <w:r w:rsidRPr="005D6998">
              <w:rPr>
                <w:rFonts w:ascii="Times New Roman" w:hAnsi="Times New Roman"/>
                <w:b/>
                <w:bCs/>
              </w:rPr>
              <w:t xml:space="preserve">sau persoanele care reprezintă </w:t>
            </w:r>
            <w:r w:rsidRPr="005D6998">
              <w:rPr>
                <w:rFonts w:ascii="Times New Roman" w:hAnsi="Times New Roman"/>
                <w:b/>
                <w:bCs/>
                <w:lang w:eastAsia="ro-MD"/>
              </w:rPr>
              <w:t>conducerea superioară</w:t>
            </w:r>
            <w:r w:rsidRPr="005D6998">
              <w:rPr>
                <w:rFonts w:ascii="Times New Roman" w:hAnsi="Times New Roman"/>
              </w:rPr>
              <w:t xml:space="preserve"> îndeplinesc, în orice moment criteriile, cerințele prevăzute la art. 43</w:t>
            </w:r>
            <w:r w:rsidRPr="005D6998">
              <w:rPr>
                <w:rFonts w:ascii="Times New Roman" w:hAnsi="Times New Roman"/>
                <w:vertAlign w:val="superscript"/>
              </w:rPr>
              <w:t>1</w:t>
            </w:r>
            <w:r w:rsidRPr="005D6998">
              <w:rPr>
                <w:rFonts w:ascii="Times New Roman" w:hAnsi="Times New Roman"/>
              </w:rPr>
              <w:t xml:space="preserve"> și evaluează adecvarea membrilor organului de conducere ținând seama de așteptările în materie de supraveghere, înainte ca aceștia să-și preia funcțiile și periodic, astfel cum se prevede în actele normative ale Băncii Naționale a Moldovei și politicile interne privind adecvarea.”. </w:t>
            </w:r>
          </w:p>
          <w:p w14:paraId="09D153C8" w14:textId="1B48A0F6"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1782FA40" w14:textId="77777777" w:rsidTr="00651F58">
        <w:trPr>
          <w:gridAfter w:val="1"/>
          <w:wAfter w:w="10" w:type="dxa"/>
          <w:trHeight w:val="105"/>
        </w:trPr>
        <w:tc>
          <w:tcPr>
            <w:tcW w:w="899" w:type="dxa"/>
            <w:gridSpan w:val="3"/>
            <w:shd w:val="clear" w:color="auto" w:fill="FFFFFF"/>
          </w:tcPr>
          <w:p w14:paraId="13E8934C"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E32AED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(8) Entitățile trebuie să prezinte Băncii Naționale a Moldovei cererea privind adecvarea persoanelor menționate la alin. (7), conform actelor normative ale Băncii Naționale a Moldovei, însoțită de următoarele documente și informații: </w:t>
            </w:r>
          </w:p>
          <w:p w14:paraId="296B61F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 chestionarul privind adecvarea și Curriculum vitae; </w:t>
            </w:r>
          </w:p>
          <w:p w14:paraId="179A79E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b) evaluarea internă a adecvării menționată la alin. (2); </w:t>
            </w:r>
          </w:p>
          <w:p w14:paraId="1C42803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 cazierul judiciar; </w:t>
            </w:r>
          </w:p>
          <w:p w14:paraId="3E3D586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d</w:t>
            </w:r>
            <w:r w:rsidRPr="005D6998">
              <w:rPr>
                <w:rFonts w:ascii="Times New Roman" w:hAnsi="Times New Roman"/>
                <w:b/>
                <w:bCs/>
              </w:rPr>
              <w:t>) indicarea datei numirii și a datei la care atribuțiile se planifică a fi preluate efectiv;</w:t>
            </w:r>
            <w:r w:rsidRPr="005D6998">
              <w:rPr>
                <w:rFonts w:ascii="Times New Roman" w:hAnsi="Times New Roman"/>
              </w:rPr>
              <w:t xml:space="preserve"> </w:t>
            </w:r>
          </w:p>
          <w:p w14:paraId="5276525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e) orice alte documente și informații necesare prevăzute de actele normative ale Băncii Naționale a Moldovei. </w:t>
            </w:r>
          </w:p>
          <w:p w14:paraId="5C677EFC" w14:textId="14908B7E"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rPr>
              <w:t>[...]</w:t>
            </w:r>
          </w:p>
        </w:tc>
        <w:tc>
          <w:tcPr>
            <w:tcW w:w="1559" w:type="dxa"/>
            <w:gridSpan w:val="3"/>
            <w:vMerge/>
            <w:shd w:val="clear" w:color="auto" w:fill="FFFFFF"/>
          </w:tcPr>
          <w:p w14:paraId="097F621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76E3C0D5" w14:textId="74832FF9"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96D71B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43 alin. (8), se constată că lista actelor este deja enumerată în Regulamentul cu privire la cerințele față de membrii organului de conducere al băncii, al societății financiare holding sau holding mixt, față de conducătorii sucursalei unei bănci din alt stat, față de persoanele care dețin funcții-cheie și față de lichidatorul băncii în proces de lichidare, aprobat prin Hotărârea nr. 292 din 29.11.2018. </w:t>
            </w:r>
          </w:p>
          <w:p w14:paraId="2D58E9B1" w14:textId="77777777" w:rsidR="00513EDC" w:rsidRPr="005D6998" w:rsidRDefault="00513EDC" w:rsidP="00513EDC">
            <w:pPr>
              <w:spacing w:after="0" w:line="240" w:lineRule="auto"/>
              <w:jc w:val="both"/>
              <w:rPr>
                <w:rFonts w:ascii="Times New Roman" w:hAnsi="Times New Roman"/>
              </w:rPr>
            </w:pPr>
          </w:p>
          <w:p w14:paraId="51B01BBC" w14:textId="5FADE5E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aceste condiții, se opinează că menținerea unei enumerări paralele în lege generează redundanță și riscă să creeze necorelări în timp, în eventualitatea modificării cadrului secundar. </w:t>
            </w:r>
          </w:p>
          <w:p w14:paraId="3D605B2A" w14:textId="77777777" w:rsidR="00513EDC" w:rsidRPr="005D6998" w:rsidRDefault="00513EDC" w:rsidP="00513EDC">
            <w:pPr>
              <w:spacing w:after="0" w:line="240" w:lineRule="auto"/>
              <w:jc w:val="both"/>
              <w:rPr>
                <w:rFonts w:ascii="Times New Roman" w:hAnsi="Times New Roman"/>
              </w:rPr>
            </w:pPr>
          </w:p>
          <w:p w14:paraId="1A69A477" w14:textId="2EE5B51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lit. d) din același alineat, se propune delimitarea acestui articol în mai multe subcapitole, pentru a aduce claritate asupra atribuțiilor organului de conducere.</w:t>
            </w:r>
          </w:p>
        </w:tc>
        <w:tc>
          <w:tcPr>
            <w:tcW w:w="5012" w:type="dxa"/>
            <w:gridSpan w:val="3"/>
            <w:shd w:val="clear" w:color="auto" w:fill="FFFFFF"/>
          </w:tcPr>
          <w:p w14:paraId="573E12A9"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608C6B0A"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Soluția legislativă propusă este aliniată abordării consacrate prin Directiva (UE) 2024/1619 (CRD VI), care, pentru anumite categorii de entități și persoane supuse aprobării prealabile, stabilește chiar la nivelul directivei elementele esențiale ce trebuie prezentate autorității competente în cadrul evaluării adecvării. </w:t>
            </w:r>
          </w:p>
          <w:p w14:paraId="38B09DB5" w14:textId="71E5744D"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Totodată, enumerarea din proiect are caracter minimal și nu exclude completarea acesteia prin actele normative ale Băncii Naționale a Moldovei, astfel cum prevede lit. e) din alin. (8) a art. 43. Prin urmare, normele legale și cele secundare nu se dublează, ci se completează reciproc.</w:t>
            </w:r>
          </w:p>
          <w:p w14:paraId="22F605CB"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De asemenea, consacrarea acestor cerințe la nivel de lege conferă o stabilitate sporită cadrului juridic aplicabil și garantează că obligațiile fundamentale ale entităților supravegheate sunt stabilite prin act normativ de nivel primar, în timp ce detaliile procedurale și documentele suplimentare pot fi adaptate prin reglementările Băncii Naționale a Moldovei, în funcție de evoluția practicilor de supraveghere și a standardelor europene.</w:t>
            </w:r>
          </w:p>
          <w:p w14:paraId="61D73116" w14:textId="74BCD7BB"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În ceea ce privește propunerea </w:t>
            </w:r>
            <w:r w:rsidRPr="005D6998">
              <w:rPr>
                <w:rFonts w:ascii="Times New Roman" w:hAnsi="Times New Roman"/>
              </w:rPr>
              <w:t xml:space="preserve">cu referire la lit. d) din același alineat, atribuțiile organului de conducere vor fi detaliate în actele normative ale BNM.  </w:t>
            </w:r>
          </w:p>
        </w:tc>
      </w:tr>
      <w:tr w:rsidR="00513EDC" w:rsidRPr="005D6998" w14:paraId="7314D47E" w14:textId="77777777" w:rsidTr="00651F58">
        <w:trPr>
          <w:gridAfter w:val="1"/>
          <w:wAfter w:w="10" w:type="dxa"/>
          <w:trHeight w:val="105"/>
        </w:trPr>
        <w:tc>
          <w:tcPr>
            <w:tcW w:w="899" w:type="dxa"/>
            <w:gridSpan w:val="3"/>
            <w:shd w:val="clear" w:color="auto" w:fill="FFFFFF"/>
          </w:tcPr>
          <w:p w14:paraId="59692098"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1144D33" w14:textId="39E4C041"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(14) În cazul reînnoirii mandatului membrilor organului de conducere a entității sau a persoanelor care </w:t>
            </w:r>
            <w:r w:rsidRPr="005D6998">
              <w:rPr>
                <w:rFonts w:ascii="Times New Roman" w:hAnsi="Times New Roman"/>
              </w:rPr>
              <w:lastRenderedPageBreak/>
              <w:t xml:space="preserve">reprezintă conducerea superioară, Banca Națională a Moldovei reevaluează adecvarea acestora, doar în cazul în care s-au modificat anumite </w:t>
            </w:r>
            <w:r w:rsidRPr="005D6998">
              <w:rPr>
                <w:rFonts w:ascii="Times New Roman" w:hAnsi="Times New Roman"/>
                <w:b/>
                <w:bCs/>
              </w:rPr>
              <w:t>informații relevante</w:t>
            </w:r>
            <w:r w:rsidRPr="005D6998">
              <w:rPr>
                <w:rFonts w:ascii="Times New Roman" w:hAnsi="Times New Roman"/>
              </w:rPr>
              <w:t xml:space="preserve"> care sunt cunoscute de Banca Națională a Moldovei și această modificare poate afecta adecvarea membrului respectiv/persoanei respective.</w:t>
            </w:r>
            <w:r w:rsidRPr="005D6998">
              <w:rPr>
                <w:rFonts w:ascii="Times New Roman" w:hAnsi="Times New Roman"/>
                <w:b/>
                <w:bCs/>
              </w:rPr>
              <w:t xml:space="preserve"> </w:t>
            </w:r>
          </w:p>
        </w:tc>
        <w:tc>
          <w:tcPr>
            <w:tcW w:w="1559" w:type="dxa"/>
            <w:gridSpan w:val="3"/>
            <w:vMerge/>
            <w:shd w:val="clear" w:color="auto" w:fill="FFFFFF"/>
          </w:tcPr>
          <w:p w14:paraId="72E2592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7083B6F0" w14:textId="67D446F6"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80DF9D2" w14:textId="6956A2B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43 alin. (14), se solicită concretizarea informațiilor care pot fi relevante.</w:t>
            </w:r>
          </w:p>
        </w:tc>
        <w:tc>
          <w:tcPr>
            <w:tcW w:w="5012" w:type="dxa"/>
            <w:gridSpan w:val="3"/>
            <w:shd w:val="clear" w:color="auto" w:fill="FFFFFF"/>
          </w:tcPr>
          <w:p w14:paraId="58A06628"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6DF427EC"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Nu se consideră oportună enumerarea exhaustivă la nivel de lege a informațiilor relevante care pot </w:t>
            </w:r>
            <w:r w:rsidRPr="005D6998">
              <w:rPr>
                <w:rFonts w:ascii="Times New Roman" w:hAnsi="Times New Roman"/>
                <w:lang w:val="ro-MD"/>
              </w:rPr>
              <w:lastRenderedPageBreak/>
              <w:t>determina reevaluarea adecvării persoanelor vizate, întrucât natura acestor informații este variată și poate evolua în timp, în funcție de circumstanțele concrete ale fiecărui caz și de practicile de supraveghere.</w:t>
            </w:r>
          </w:p>
          <w:p w14:paraId="1B359EAB" w14:textId="22B54983"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Stabilirea în lege a unei liste exhaustive ar putea genera interpretări restrictive și ar limita capacitatea autorității de supraveghere de a reacționa la apariția unor circumstanțe noi care, deși neprevăzute expres de lege, sunt de natură să influențeze adecvarea persoanei respective. Această abordare este în concordanță cu principiile stabilite de Directiva 2013/36, în special, art. 91 alin. (1h) care prevede că statele membre trebuie să se asigure ca autoritățile competente să dispună de competențele necesare să împiedice persoanele care nu corespund criteriilor să facă parte din organul de conducere sau să îi demită.</w:t>
            </w:r>
          </w:p>
        </w:tc>
      </w:tr>
      <w:tr w:rsidR="00513EDC" w:rsidRPr="005D6998" w14:paraId="4BAE9DE9" w14:textId="77777777" w:rsidTr="00651F58">
        <w:trPr>
          <w:gridAfter w:val="1"/>
          <w:wAfter w:w="10" w:type="dxa"/>
          <w:trHeight w:val="1966"/>
        </w:trPr>
        <w:tc>
          <w:tcPr>
            <w:tcW w:w="899" w:type="dxa"/>
            <w:gridSpan w:val="3"/>
            <w:shd w:val="clear" w:color="auto" w:fill="FFFFFF"/>
          </w:tcPr>
          <w:p w14:paraId="35E60CAF"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3FB700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55816B97" w14:textId="4006C2D8" w:rsidR="00513EDC" w:rsidRPr="005D6998" w:rsidRDefault="00513EDC" w:rsidP="00513EDC">
            <w:pPr>
              <w:tabs>
                <w:tab w:val="left" w:pos="426"/>
              </w:tabs>
              <w:spacing w:after="0" w:line="240" w:lineRule="auto"/>
              <w:jc w:val="both"/>
              <w:rPr>
                <w:rFonts w:ascii="Times New Roman" w:hAnsi="Times New Roman"/>
                <w:b/>
                <w:bCs/>
              </w:rPr>
            </w:pPr>
            <w:r w:rsidRPr="005D6998">
              <w:rPr>
                <w:rFonts w:ascii="Times New Roman" w:hAnsi="Times New Roman"/>
              </w:rPr>
              <w:t xml:space="preserve">(15) Banca Națională a Moldovei poate solicita Serviciului Prevenirea și Combaterea Spălării Banilor să consulte, în limita verificărilor pe care le realizează Serviciul și în funcție de riscuri, informațiile relevante referitoare la membrii organului de conducere sau la persoanele care reprezintă </w:t>
            </w:r>
            <w:r w:rsidRPr="005D6998">
              <w:rPr>
                <w:rFonts w:ascii="Times New Roman" w:hAnsi="Times New Roman"/>
                <w:lang w:eastAsia="ro-MD"/>
              </w:rPr>
              <w:t>conducerea superioară</w:t>
            </w:r>
            <w:r w:rsidRPr="005D6998">
              <w:rPr>
                <w:rFonts w:ascii="Times New Roman" w:hAnsi="Times New Roman"/>
              </w:rPr>
              <w:t>.”</w:t>
            </w:r>
          </w:p>
        </w:tc>
        <w:tc>
          <w:tcPr>
            <w:tcW w:w="1559" w:type="dxa"/>
            <w:gridSpan w:val="3"/>
            <w:shd w:val="clear" w:color="auto" w:fill="FFFFFF"/>
          </w:tcPr>
          <w:p w14:paraId="5E6DB8AD"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61096DC6" w14:textId="3252A761"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41C530AD" w14:textId="55B32D99"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27EC089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43, alin. (15), se propune substituirea textului cu următoarea redacție: </w:t>
            </w:r>
          </w:p>
          <w:p w14:paraId="2513106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„Banca Națională a Moldovei poate solicita Serviciului Prevenirea și Combaterea Spălării Banilor comunicarea informațiilor relevante disponibile, în limita competențelor acestuia și cu respectarea regimului informațiilor protejate prin lege.”</w:t>
            </w:r>
          </w:p>
          <w:p w14:paraId="67682C8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că formularea este improprie, or Serviciul nu exercită o simplă funcție de consultare formală a unor informații, ci poate deține sau obține informații relevante în limitele atribuțiilor stabilite de Legea nr. 308/2017. </w:t>
            </w:r>
          </w:p>
          <w:p w14:paraId="44E93E54" w14:textId="77777777"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40957B71" w14:textId="3BDDEFF5"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 parțial.</w:t>
            </w:r>
          </w:p>
          <w:p w14:paraId="3A0E5B70" w14:textId="45D28B0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Textul alin. (15) a art. 43 a fost revizuită și va avea următoarea redacție conform art. 91 alin. (1i) prima teză din Directiva 2013/36/UE:</w:t>
            </w:r>
          </w:p>
          <w:p w14:paraId="4309026B" w14:textId="20293D1F"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“Banca Națională a Moldovei, în calitate de autoritate competentă, poate solicita organului cu funcții de supraveghere a combaterii spălării banilor sau a finanțării terorismului în conformitate cu Legea nr. 308/2017 sau în conformitate cu dispozițiile legale adoptate de alte state membre pentru transpunerea Directivei (UE) 2015/849, după caz, să consulte, în limita verificărilor pe care le realizează și în funcție de riscuri, informațiile relevante referitoare la membrii organului de conducere sau la persoanele care reprezintă conducerea superioară</w:t>
            </w:r>
            <w:r w:rsidRPr="005D6998">
              <w:rPr>
                <w:rFonts w:ascii="Times New Roman" w:hAnsi="Times New Roman"/>
                <w:lang w:eastAsia="ro-MD"/>
              </w:rPr>
              <w:t>.”.</w:t>
            </w:r>
          </w:p>
        </w:tc>
      </w:tr>
      <w:tr w:rsidR="00513EDC" w:rsidRPr="005D6998" w14:paraId="3EE70CAC" w14:textId="77777777" w:rsidTr="00651F58">
        <w:trPr>
          <w:gridAfter w:val="1"/>
          <w:wAfter w:w="10" w:type="dxa"/>
          <w:trHeight w:val="1966"/>
        </w:trPr>
        <w:tc>
          <w:tcPr>
            <w:tcW w:w="899" w:type="dxa"/>
            <w:gridSpan w:val="3"/>
            <w:shd w:val="clear" w:color="auto" w:fill="FFFFFF"/>
          </w:tcPr>
          <w:p w14:paraId="4AABD36C"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29AFB49" w14:textId="77777777" w:rsidR="00513EDC" w:rsidRPr="005D6998" w:rsidRDefault="00513EDC" w:rsidP="00513EDC">
            <w:pPr>
              <w:tabs>
                <w:tab w:val="left" w:pos="426"/>
              </w:tabs>
              <w:spacing w:after="0" w:line="240" w:lineRule="auto"/>
              <w:jc w:val="both"/>
              <w:rPr>
                <w:rFonts w:ascii="Times New Roman" w:hAnsi="Times New Roman"/>
              </w:rPr>
            </w:pPr>
            <w:r w:rsidRPr="005D6998">
              <w:rPr>
                <w:rFonts w:ascii="Times New Roman" w:hAnsi="Times New Roman"/>
                <w:b/>
                <w:bCs/>
              </w:rPr>
              <w:t>36.</w:t>
            </w:r>
            <w:r w:rsidRPr="005D6998">
              <w:rPr>
                <w:rFonts w:ascii="Times New Roman" w:hAnsi="Times New Roman"/>
              </w:rPr>
              <w:t xml:space="preserve"> Se completează cu </w:t>
            </w:r>
            <w:r w:rsidRPr="005D6998">
              <w:rPr>
                <w:rFonts w:ascii="Times New Roman" w:hAnsi="Times New Roman"/>
                <w:b/>
                <w:bCs/>
              </w:rPr>
              <w:t>articolul 43</w:t>
            </w:r>
            <w:r w:rsidRPr="005D6998">
              <w:rPr>
                <w:rFonts w:ascii="Times New Roman" w:hAnsi="Times New Roman"/>
                <w:b/>
                <w:bCs/>
                <w:vertAlign w:val="superscript"/>
              </w:rPr>
              <w:t>1</w:t>
            </w:r>
            <w:r w:rsidRPr="005D6998">
              <w:rPr>
                <w:rFonts w:ascii="Times New Roman" w:hAnsi="Times New Roman"/>
              </w:rPr>
              <w:t xml:space="preserve"> cu următorul cuprins:</w:t>
            </w:r>
          </w:p>
          <w:p w14:paraId="5EA6EC3F" w14:textId="77777777" w:rsidR="00513EDC" w:rsidRPr="005D6998" w:rsidRDefault="00513EDC" w:rsidP="00513EDC">
            <w:pPr>
              <w:spacing w:after="0" w:line="240" w:lineRule="auto"/>
              <w:jc w:val="both"/>
              <w:rPr>
                <w:rFonts w:ascii="Times New Roman" w:hAnsi="Times New Roman"/>
              </w:rPr>
            </w:pPr>
            <w:bookmarkStart w:id="14" w:name="_Hlk215559376"/>
            <w:r w:rsidRPr="005D6998">
              <w:rPr>
                <w:rFonts w:ascii="Times New Roman" w:hAnsi="Times New Roman"/>
              </w:rPr>
              <w:t>„</w:t>
            </w:r>
            <w:r w:rsidRPr="005D6998">
              <w:rPr>
                <w:rFonts w:ascii="Times New Roman" w:hAnsi="Times New Roman"/>
                <w:b/>
                <w:bCs/>
              </w:rPr>
              <w:t>Articolul 43</w:t>
            </w:r>
            <w:r w:rsidRPr="005D6998">
              <w:rPr>
                <w:rFonts w:ascii="Times New Roman" w:hAnsi="Times New Roman"/>
                <w:b/>
                <w:bCs/>
                <w:vertAlign w:val="superscript"/>
              </w:rPr>
              <w:t>1</w:t>
            </w:r>
            <w:r w:rsidRPr="005D6998">
              <w:rPr>
                <w:rFonts w:ascii="Times New Roman" w:hAnsi="Times New Roman"/>
                <w:b/>
                <w:bCs/>
              </w:rPr>
              <w:t>.</w:t>
            </w:r>
            <w:r w:rsidRPr="005D6998">
              <w:rPr>
                <w:rFonts w:ascii="Times New Roman" w:hAnsi="Times New Roman"/>
              </w:rPr>
              <w:t xml:space="preserve"> Criterii și cerințe pentru evaluarea adecvării organului de conducere</w:t>
            </w:r>
          </w:p>
          <w:p w14:paraId="5042597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(5) În aplicarea alin.(4), numărul funcţiilor pe care o persoană le poate deţine în alte entități şi/sau alte persoane juridice în acelaşi timp se stabileşte în funcţie de circumstanţele individuale, precum şi de natura, amploarea şi complexitatea activităţii entității.</w:t>
            </w:r>
            <w:r w:rsidRPr="005D6998">
              <w:rPr>
                <w:rFonts w:ascii="Times New Roman" w:hAnsi="Times New Roman"/>
                <w:color w:val="FF0000"/>
              </w:rPr>
              <w:t xml:space="preserve"> </w:t>
            </w:r>
          </w:p>
          <w:p w14:paraId="1C6ED41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(6) În cazul entităților care sunt considerate semnificative din perspectiva dimensiunii, a organizării interne şi a naturii, amplorii şi complexităţii activităţilor desfăşurate, cu excepția cazului în care reprezintă interesele unui stat membru, membrii organului de conducere sau persoanele care reprezintă </w:t>
            </w:r>
            <w:r w:rsidRPr="005D6998">
              <w:rPr>
                <w:rFonts w:ascii="Times New Roman" w:hAnsi="Times New Roman"/>
                <w:lang w:eastAsia="ro-MD"/>
              </w:rPr>
              <w:t>conducerea superioară</w:t>
            </w:r>
            <w:r w:rsidRPr="005D6998">
              <w:rPr>
                <w:rFonts w:ascii="Times New Roman" w:hAnsi="Times New Roman"/>
              </w:rPr>
              <w:t>, atunci când cumulează mai multe funcţii, nu se pot afla în mai mult de una dintre următoarele situaţii:</w:t>
            </w:r>
            <w:r w:rsidRPr="005D6998">
              <w:rPr>
                <w:rFonts w:ascii="Times New Roman" w:hAnsi="Times New Roman"/>
                <w:color w:val="FF0000"/>
              </w:rPr>
              <w:t xml:space="preserve"> </w:t>
            </w:r>
          </w:p>
          <w:p w14:paraId="62CC4AF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 exercită o funcţie de membru al organului executiv sau altă funcţie de conducere similară concomitent cu două funcţii de membru al consiliului sau alte două funcţii neexecutive similare;</w:t>
            </w:r>
            <w:r w:rsidRPr="005D6998">
              <w:rPr>
                <w:rFonts w:ascii="Times New Roman" w:hAnsi="Times New Roman"/>
                <w:color w:val="FF0000"/>
              </w:rPr>
              <w:t xml:space="preserve"> </w:t>
            </w:r>
          </w:p>
          <w:p w14:paraId="52654EF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b) exercită concomitent patru funcţii de membru al consiliului sau alte patru funcţii neexecutive similare. </w:t>
            </w:r>
          </w:p>
          <w:p w14:paraId="1393DE2F" w14:textId="77777777" w:rsidR="00513EDC" w:rsidRPr="005D6998" w:rsidRDefault="00513EDC" w:rsidP="00513EDC">
            <w:pPr>
              <w:spacing w:after="0" w:line="240" w:lineRule="auto"/>
              <w:jc w:val="both"/>
              <w:rPr>
                <w:rFonts w:ascii="Times New Roman" w:hAnsi="Times New Roman"/>
                <w:i/>
                <w:color w:val="0F9ED5" w:themeColor="accent4"/>
              </w:rPr>
            </w:pPr>
            <w:r w:rsidRPr="005D6998">
              <w:rPr>
                <w:rFonts w:ascii="Times New Roman" w:hAnsi="Times New Roman"/>
              </w:rPr>
              <w:t>(7) În scopul aplicării alin.(5), se consideră ca fiind o singură funcţie de conducere.</w:t>
            </w:r>
            <w:r w:rsidRPr="005D6998">
              <w:rPr>
                <w:rFonts w:ascii="Times New Roman" w:hAnsi="Times New Roman"/>
                <w:i/>
                <w:iCs/>
                <w:color w:val="0F9ED5" w:themeColor="accent4"/>
              </w:rPr>
              <w:t xml:space="preserve"> </w:t>
            </w:r>
          </w:p>
          <w:p w14:paraId="2ABF733D"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a) toate funcţiile de membru al organului executiv sau de membru al consiliului ori similare acestora, deţinute în cadrul aceluiaşi grup;</w:t>
            </w:r>
            <w:r w:rsidRPr="005D6998">
              <w:rPr>
                <w:rFonts w:ascii="Times New Roman" w:hAnsi="Times New Roman"/>
                <w:color w:val="FF0000"/>
              </w:rPr>
              <w:t xml:space="preserve"> </w:t>
            </w:r>
          </w:p>
          <w:p w14:paraId="0DB4AD8D"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b) toate funcţiile de membru al organului executiv sau de membru al consiliului ori similare acestora, deţinute în cadrul sistemelor de protecţie contractuală sau instituţională care constau într-un acord de stabilire contractuală sau legală a responsabilităţilor care protejează entitățile şi le asigură, în special, lichiditatea şi cerinţa de capital pentru a evita falimentul, în cazul în care este necesar entităților;</w:t>
            </w:r>
            <w:r w:rsidRPr="005D6998">
              <w:rPr>
                <w:rFonts w:ascii="Times New Roman" w:hAnsi="Times New Roman"/>
                <w:color w:val="FF0000"/>
              </w:rPr>
              <w:t xml:space="preserve"> </w:t>
            </w:r>
          </w:p>
          <w:p w14:paraId="465DB2B4" w14:textId="6B77A45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 toate funcţiile de membru al organului executiv sau de membru al consiliului ori similare acestora, deţinute în cadrul întreprinderilor financiare sau nefinanciare în care entitatea are o deţinere calificată.</w:t>
            </w:r>
            <w:r w:rsidRPr="005D6998">
              <w:rPr>
                <w:rFonts w:ascii="Times New Roman" w:hAnsi="Times New Roman"/>
                <w:color w:val="FF0000"/>
              </w:rPr>
              <w:t xml:space="preserve"> </w:t>
            </w:r>
            <w:bookmarkEnd w:id="14"/>
          </w:p>
          <w:p w14:paraId="3CDAC3EE" w14:textId="5556B21F"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bCs/>
              </w:rPr>
              <w:t>[…]</w:t>
            </w:r>
          </w:p>
        </w:tc>
        <w:tc>
          <w:tcPr>
            <w:tcW w:w="1559" w:type="dxa"/>
            <w:gridSpan w:val="3"/>
            <w:vMerge w:val="restart"/>
            <w:shd w:val="clear" w:color="auto" w:fill="FFFFFF"/>
          </w:tcPr>
          <w:p w14:paraId="7E3712C6"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21D8416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F9B584E" w14:textId="55D3D1E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75976FD1" w14:textId="55E92571"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04CDD2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43</w:t>
            </w:r>
            <w:r w:rsidRPr="005D6998">
              <w:rPr>
                <w:rFonts w:ascii="Times New Roman" w:hAnsi="Times New Roman"/>
                <w:vertAlign w:val="superscript"/>
              </w:rPr>
              <w:t>1</w:t>
            </w:r>
            <w:r w:rsidRPr="005D6998">
              <w:rPr>
                <w:rFonts w:ascii="Times New Roman" w:hAnsi="Times New Roman"/>
              </w:rPr>
              <w:t xml:space="preserve"> propus, se constată o nealiniere între titlul articolului și conținutul acestuia. Deși titlul indică fără echivoc că norma se aplică organului de conducere, dispozițiile articolului vizează, în fapt, și „conducerea superioară”, ceea ce creează confuzie cu privire la destinatarii reali ai obligațiilor. </w:t>
            </w:r>
          </w:p>
          <w:p w14:paraId="109C08E5" w14:textId="77777777" w:rsidR="00513EDC" w:rsidRPr="005D6998" w:rsidRDefault="00513EDC" w:rsidP="00513EDC">
            <w:pPr>
              <w:spacing w:after="0" w:line="240" w:lineRule="auto"/>
              <w:jc w:val="both"/>
              <w:rPr>
                <w:rFonts w:ascii="Times New Roman" w:hAnsi="Times New Roman"/>
              </w:rPr>
            </w:pPr>
          </w:p>
          <w:p w14:paraId="09581CC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că această inconsecvență este accentuată de structura alin. (5), unde se face referire la aplicarea normei în cazul persoanelor care reprezintă conducerea superioară, fără a fi clar stabilite criterii de delimitare și fără a exista o definiție normativă explicită a sferei acestor persoane. Se argumentează că, în lipsa unor repere obiective (de tip funcții-cheie sau poziții nominalizate), norma devine dificil de aplicat în mod uniform. </w:t>
            </w:r>
          </w:p>
          <w:p w14:paraId="4DA989B4" w14:textId="2F2C9AE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același timp, se arată că alin. (6) și (7) revin exclusiv la organul de conducere (în funcția sa executivă/neexecutivă), ceea ce generează o discontinuitate internă.</w:t>
            </w:r>
          </w:p>
        </w:tc>
        <w:tc>
          <w:tcPr>
            <w:tcW w:w="5012" w:type="dxa"/>
            <w:gridSpan w:val="3"/>
            <w:shd w:val="clear" w:color="auto" w:fill="FFFFFF"/>
          </w:tcPr>
          <w:p w14:paraId="00C2F18A"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6AD4382F" w14:textId="77777777" w:rsidR="00513EDC" w:rsidRPr="005D6998" w:rsidRDefault="00513EDC" w:rsidP="00513EDC">
            <w:pPr>
              <w:tabs>
                <w:tab w:val="left" w:pos="884"/>
                <w:tab w:val="left" w:pos="1196"/>
              </w:tabs>
              <w:spacing w:after="0" w:line="240" w:lineRule="auto"/>
              <w:jc w:val="both"/>
              <w:rPr>
                <w:rFonts w:ascii="Times New Roman" w:hAnsi="Times New Roman"/>
                <w:lang w:val="en-US"/>
              </w:rPr>
            </w:pPr>
            <w:r w:rsidRPr="005D6998">
              <w:rPr>
                <w:rFonts w:ascii="Times New Roman" w:hAnsi="Times New Roman"/>
              </w:rPr>
              <w:t>Se completează titlul art. 43</w:t>
            </w:r>
            <w:r w:rsidRPr="005D6998">
              <w:rPr>
                <w:rFonts w:ascii="Times New Roman" w:hAnsi="Times New Roman"/>
                <w:vertAlign w:val="superscript"/>
              </w:rPr>
              <w:t>1</w:t>
            </w:r>
            <w:r w:rsidRPr="005D6998">
              <w:rPr>
                <w:rFonts w:ascii="Times New Roman" w:hAnsi="Times New Roman"/>
              </w:rPr>
              <w:t xml:space="preserve"> cu textul </w:t>
            </w:r>
            <w:r w:rsidRPr="005D6998">
              <w:rPr>
                <w:rFonts w:ascii="Times New Roman" w:hAnsi="Times New Roman"/>
                <w:lang w:val="en-US"/>
              </w:rPr>
              <w:t>“</w:t>
            </w:r>
            <w:r w:rsidRPr="005D6998">
              <w:rPr>
                <w:rFonts w:ascii="Times New Roman" w:hAnsi="Times New Roman"/>
              </w:rPr>
              <w:t>și a persoanelor care reprezintă conducerea superioară</w:t>
            </w:r>
            <w:r w:rsidRPr="005D6998">
              <w:rPr>
                <w:rFonts w:ascii="Times New Roman" w:hAnsi="Times New Roman"/>
                <w:lang w:val="en-US"/>
              </w:rPr>
              <w:t>”.</w:t>
            </w:r>
          </w:p>
          <w:p w14:paraId="7C14A411" w14:textId="7A82754E" w:rsidR="00513EDC" w:rsidRPr="005D6998" w:rsidRDefault="00513EDC" w:rsidP="00513EDC">
            <w:pPr>
              <w:tabs>
                <w:tab w:val="left" w:pos="884"/>
                <w:tab w:val="left" w:pos="1196"/>
              </w:tabs>
              <w:spacing w:after="0" w:line="240" w:lineRule="auto"/>
              <w:jc w:val="both"/>
              <w:rPr>
                <w:rFonts w:ascii="Times New Roman" w:hAnsi="Times New Roman"/>
                <w:lang w:val="en-US"/>
              </w:rPr>
            </w:pPr>
          </w:p>
        </w:tc>
      </w:tr>
      <w:tr w:rsidR="00513EDC" w:rsidRPr="005D6998" w14:paraId="5E7B4942" w14:textId="77777777" w:rsidTr="00651F58">
        <w:trPr>
          <w:gridAfter w:val="1"/>
          <w:wAfter w:w="10" w:type="dxa"/>
          <w:trHeight w:val="105"/>
        </w:trPr>
        <w:tc>
          <w:tcPr>
            <w:tcW w:w="899" w:type="dxa"/>
            <w:gridSpan w:val="3"/>
            <w:shd w:val="clear" w:color="auto" w:fill="FFFFFF"/>
          </w:tcPr>
          <w:p w14:paraId="36FD5C72"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0D057E2" w14:textId="2C47A1C8" w:rsidR="00513EDC" w:rsidRPr="005D6998" w:rsidRDefault="00513EDC" w:rsidP="00513EDC">
            <w:pPr>
              <w:tabs>
                <w:tab w:val="left" w:pos="426"/>
              </w:tabs>
              <w:spacing w:after="0" w:line="240" w:lineRule="auto"/>
              <w:jc w:val="both"/>
              <w:rPr>
                <w:rFonts w:ascii="Times New Roman" w:hAnsi="Times New Roman"/>
                <w:b/>
                <w:bCs/>
              </w:rPr>
            </w:pPr>
            <w:r w:rsidRPr="005D6998">
              <w:rPr>
                <w:rFonts w:ascii="Times New Roman" w:hAnsi="Times New Roman"/>
              </w:rPr>
              <w:t xml:space="preserve">(16) Entitatea trebuie să includă în contractele individuale de muncă încheiate cu membrii organului executiv sau cu persoanele care reprezintă </w:t>
            </w:r>
            <w:r w:rsidRPr="005D6998">
              <w:rPr>
                <w:rFonts w:ascii="Times New Roman" w:hAnsi="Times New Roman"/>
                <w:lang w:eastAsia="ro-MD"/>
              </w:rPr>
              <w:t>conducerea superioară</w:t>
            </w:r>
            <w:r w:rsidRPr="005D6998">
              <w:rPr>
                <w:rFonts w:ascii="Times New Roman" w:hAnsi="Times New Roman"/>
              </w:rPr>
              <w:t xml:space="preserve"> clauze care să asigure posibilitatea respectării de către entitate a cerinţelor prevăzute la art.139 şi 141, </w:t>
            </w:r>
            <w:r w:rsidRPr="005D6998">
              <w:rPr>
                <w:rFonts w:ascii="Times New Roman" w:hAnsi="Times New Roman"/>
                <w:b/>
                <w:bCs/>
              </w:rPr>
              <w:t>inclusiv fără plata salariului suplimentar şi altor plăţi de stimulare şi compensare</w:t>
            </w:r>
            <w:r w:rsidRPr="005D6998">
              <w:rPr>
                <w:rFonts w:ascii="Times New Roman" w:hAnsi="Times New Roman"/>
              </w:rPr>
              <w:t xml:space="preserve"> în astfel de cazuri.</w:t>
            </w:r>
          </w:p>
        </w:tc>
        <w:tc>
          <w:tcPr>
            <w:tcW w:w="1559" w:type="dxa"/>
            <w:gridSpan w:val="3"/>
            <w:vMerge/>
            <w:shd w:val="clear" w:color="auto" w:fill="FFFFFF"/>
          </w:tcPr>
          <w:p w14:paraId="43C8441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74E992D4" w14:textId="6C4E383D"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57FB6B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43</w:t>
            </w:r>
            <w:r w:rsidRPr="005D6998">
              <w:rPr>
                <w:rFonts w:ascii="Times New Roman" w:hAnsi="Times New Roman"/>
                <w:vertAlign w:val="superscript"/>
              </w:rPr>
              <w:t>1</w:t>
            </w:r>
            <w:r w:rsidRPr="005D6998">
              <w:rPr>
                <w:rFonts w:ascii="Times New Roman" w:hAnsi="Times New Roman"/>
              </w:rPr>
              <w:t xml:space="preserve"> alin. (16), se recomandă clarificarea raportului dintre obligația de includere a clauzelor contractuale prevăzute de prezentul alineat și regimul general al drepturilor salariale reglementat de legislația muncii. </w:t>
            </w:r>
          </w:p>
          <w:p w14:paraId="63762545" w14:textId="77777777" w:rsidR="00513EDC" w:rsidRPr="005D6998" w:rsidRDefault="00513EDC" w:rsidP="00513EDC">
            <w:pPr>
              <w:spacing w:after="0" w:line="240" w:lineRule="auto"/>
              <w:jc w:val="both"/>
              <w:rPr>
                <w:rFonts w:ascii="Times New Roman" w:hAnsi="Times New Roman"/>
              </w:rPr>
            </w:pPr>
          </w:p>
          <w:p w14:paraId="3FB2B2BF" w14:textId="3FBB5B7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că formularea „inclusiv fără plata salariului suplimentar și a altor plăți de stimulare și compensare” poate genera incertitudini privind întinderea drepturilor patrimoniale care pot fi afectate și condițiile în care acestea pot fi restrânse.</w:t>
            </w:r>
          </w:p>
        </w:tc>
        <w:tc>
          <w:tcPr>
            <w:tcW w:w="5012" w:type="dxa"/>
            <w:gridSpan w:val="3"/>
            <w:shd w:val="clear" w:color="auto" w:fill="FFFFFF"/>
          </w:tcPr>
          <w:p w14:paraId="6247C045"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28CF72FD" w14:textId="49023E2C"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Prevederea respectivă este preluată din Legea nr. 202/2017 în vigoare. Aceasta este necesară pentru asigurarea aplicării efective a măsurilor de supraveghere și a sancțiunilor prevăzute la art. 139 și 141 față de membrii organului executiv și persoanele care reprezintă conducerea superioară. Obligația de includere a clauzelor contractuale nu derogă de la legislația muncii și nu instituie noi sancțiuni, ci urmărește prevenirea situațiilor în care anumite prevederi ale contractului individual de muncă ar împiedica executarea măsurilor dispuse în temeiul legii bancare.</w:t>
            </w:r>
          </w:p>
          <w:p w14:paraId="397B2BBA"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25B7361E" w14:textId="6CEB69D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Totodată, prezentul proiect, precum și legea în vigoare stabilește o abordare care corespunde CRD și Ghidul EBA privind politicile și practicile de remunerare sănătoase. Astfel, instituția de credit trebuie să dispună de mecanisme care să permită reducerea, neacordarea, amânarea, ajustarea sau recuperarea anumitor componente ale remunerației variabile, atunci când sunt incidente circumstanțe prevăzute de cadrul prudențial.</w:t>
            </w:r>
          </w:p>
          <w:p w14:paraId="00A3F2C5"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45801A3C" w14:textId="7ED55B1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Respectiv, se urmărește ca clauzele contractului individual de muncă să nu împiedice aplicarea politicilor de remunerare și a măsurilor dispuse de autoritatea de supraveghere. </w:t>
            </w:r>
          </w:p>
        </w:tc>
      </w:tr>
      <w:tr w:rsidR="00513EDC" w:rsidRPr="005D6998" w14:paraId="4ADE2316" w14:textId="77777777" w:rsidTr="00651F58">
        <w:trPr>
          <w:gridAfter w:val="1"/>
          <w:wAfter w:w="10" w:type="dxa"/>
          <w:trHeight w:val="105"/>
        </w:trPr>
        <w:tc>
          <w:tcPr>
            <w:tcW w:w="899" w:type="dxa"/>
            <w:gridSpan w:val="3"/>
            <w:shd w:val="clear" w:color="auto" w:fill="FFFFFF"/>
          </w:tcPr>
          <w:p w14:paraId="5897BD64"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F005E7A" w14:textId="47A08630"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38.</w:t>
            </w:r>
            <w:r w:rsidRPr="005D6998">
              <w:rPr>
                <w:rFonts w:ascii="Times New Roman" w:hAnsi="Times New Roman"/>
              </w:rPr>
              <w:t xml:space="preserve"> Se completează cu </w:t>
            </w:r>
            <w:r w:rsidRPr="005D6998">
              <w:rPr>
                <w:rFonts w:ascii="Times New Roman" w:hAnsi="Times New Roman"/>
                <w:b/>
                <w:bCs/>
              </w:rPr>
              <w:t>articolul 44</w:t>
            </w:r>
            <w:r w:rsidRPr="005D6998">
              <w:rPr>
                <w:rFonts w:ascii="Times New Roman" w:hAnsi="Times New Roman"/>
                <w:b/>
                <w:bCs/>
                <w:vertAlign w:val="superscript"/>
              </w:rPr>
              <w:t xml:space="preserve">1 </w:t>
            </w:r>
            <w:r w:rsidRPr="005D6998">
              <w:rPr>
                <w:rFonts w:ascii="Times New Roman" w:hAnsi="Times New Roman"/>
              </w:rPr>
              <w:t xml:space="preserve">și </w:t>
            </w:r>
            <w:r w:rsidRPr="005D6998">
              <w:rPr>
                <w:rFonts w:ascii="Times New Roman" w:hAnsi="Times New Roman"/>
                <w:b/>
                <w:bCs/>
              </w:rPr>
              <w:t>articolul 44</w:t>
            </w:r>
            <w:r w:rsidRPr="005D6998">
              <w:rPr>
                <w:rFonts w:ascii="Times New Roman" w:hAnsi="Times New Roman"/>
                <w:b/>
                <w:bCs/>
                <w:vertAlign w:val="superscript"/>
              </w:rPr>
              <w:t xml:space="preserve">2 </w:t>
            </w:r>
            <w:r w:rsidRPr="005D6998">
              <w:rPr>
                <w:rFonts w:ascii="Times New Roman" w:hAnsi="Times New Roman"/>
              </w:rPr>
              <w:t>cu următorul cuprins:</w:t>
            </w:r>
          </w:p>
          <w:p w14:paraId="7C35603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r w:rsidRPr="005D6998">
              <w:rPr>
                <w:rFonts w:ascii="Times New Roman" w:hAnsi="Times New Roman"/>
                <w:b/>
                <w:bCs/>
              </w:rPr>
              <w:t>Articolul 44</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Persoanele care dețin funcții-cheie și evaluarea adecvării</w:t>
            </w:r>
          </w:p>
          <w:p w14:paraId="6ED21790" w14:textId="5679CA8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504993C6" w14:textId="623C720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(5) Entitățile reevaluează adecvarea persoanelor care dețin funcții-cheie, de îndată ce cunosc orice fapte noi sau alte aspecte care ar putea afecta adecvarea acestora și </w:t>
            </w:r>
            <w:r w:rsidRPr="005D6998">
              <w:rPr>
                <w:rFonts w:ascii="Times New Roman" w:hAnsi="Times New Roman"/>
                <w:b/>
                <w:bCs/>
              </w:rPr>
              <w:t>informează imediat</w:t>
            </w:r>
            <w:r w:rsidRPr="005D6998">
              <w:rPr>
                <w:rFonts w:ascii="Times New Roman" w:hAnsi="Times New Roman"/>
              </w:rPr>
              <w:t>, în acest sens, Banca Națională a Moldovei. [...]</w:t>
            </w:r>
          </w:p>
        </w:tc>
        <w:tc>
          <w:tcPr>
            <w:tcW w:w="1559" w:type="dxa"/>
            <w:gridSpan w:val="3"/>
            <w:shd w:val="clear" w:color="auto" w:fill="FFFFFF"/>
          </w:tcPr>
          <w:p w14:paraId="3331130A"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7CB44291"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1B6E2BB" w14:textId="3A385D74"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5024E491" w14:textId="0FD07459"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DFA729E" w14:textId="248FF26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44</w:t>
            </w:r>
            <w:r w:rsidRPr="005D6998">
              <w:rPr>
                <w:rFonts w:ascii="Times New Roman" w:hAnsi="Times New Roman"/>
                <w:vertAlign w:val="superscript"/>
              </w:rPr>
              <w:t>1</w:t>
            </w:r>
            <w:r w:rsidRPr="005D6998">
              <w:rPr>
                <w:rFonts w:ascii="Times New Roman" w:hAnsi="Times New Roman"/>
              </w:rPr>
              <w:t xml:space="preserve"> alin. (5) propus, în ceea ce privește sintagma „informează imediat” se consideră necesară precizarea expresă a termenului sau a intervalului de timp în care trebuie realizată informarea (de exemplu, în termen de 5 zile lucrătoare din momentul reevaluării). Se argumentează că sintagma respectivă este susceptibilă de interpretări neuniforme.  </w:t>
            </w:r>
          </w:p>
          <w:p w14:paraId="32617734" w14:textId="4443BFF2"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026D8B9D" w14:textId="51F3964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5475690A"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6795CA3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57A98417"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55EAE0C3"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343E9662"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2F983D3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7C0FBF83"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59511A37"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792AD0F4"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67601D6A"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6026C847" w14:textId="006D55F5"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6B5294DE" w14:textId="77777777" w:rsidTr="00651F58">
        <w:trPr>
          <w:gridAfter w:val="1"/>
          <w:wAfter w:w="10" w:type="dxa"/>
          <w:trHeight w:val="105"/>
        </w:trPr>
        <w:tc>
          <w:tcPr>
            <w:tcW w:w="899" w:type="dxa"/>
            <w:gridSpan w:val="3"/>
            <w:shd w:val="clear" w:color="auto" w:fill="FFFFFF"/>
          </w:tcPr>
          <w:p w14:paraId="74B735F2"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168A761" w14:textId="77777777" w:rsidR="00513EDC" w:rsidRPr="005D6998" w:rsidRDefault="00513EDC" w:rsidP="00513EDC">
            <w:pPr>
              <w:spacing w:after="0" w:line="240" w:lineRule="auto"/>
              <w:jc w:val="both"/>
              <w:rPr>
                <w:rFonts w:ascii="Times New Roman" w:hAnsi="Times New Roman"/>
                <w:i/>
                <w:color w:val="0F9ED5" w:themeColor="accent4"/>
              </w:rPr>
            </w:pPr>
            <w:r w:rsidRPr="005D6998">
              <w:rPr>
                <w:rFonts w:ascii="Times New Roman" w:hAnsi="Times New Roman"/>
              </w:rPr>
              <w:t xml:space="preserve">(10) Banca Națională a Moldovei reevaluează adecvarea persoanelor care sunt numite să dețină funcții-cheie în cazul în care constată că </w:t>
            </w:r>
            <w:r w:rsidRPr="005D6998">
              <w:rPr>
                <w:rFonts w:ascii="Times New Roman" w:hAnsi="Times New Roman"/>
                <w:b/>
                <w:bCs/>
              </w:rPr>
              <w:t>informațiile relevante</w:t>
            </w:r>
            <w:r w:rsidRPr="005D6998">
              <w:rPr>
                <w:rFonts w:ascii="Times New Roman" w:hAnsi="Times New Roman"/>
              </w:rPr>
              <w:t xml:space="preserve"> privind adecvarea acestora s-au modificat și că o astfel de modificare ar putea afecta adecvarea acestora.</w:t>
            </w:r>
            <w:r w:rsidRPr="005D6998">
              <w:rPr>
                <w:rFonts w:ascii="Times New Roman" w:hAnsi="Times New Roman"/>
                <w:b/>
                <w:bCs/>
                <w:color w:val="FF0000"/>
              </w:rPr>
              <w:t xml:space="preserve"> </w:t>
            </w:r>
          </w:p>
          <w:p w14:paraId="339D6B6B" w14:textId="31F2DD7E" w:rsidR="00513EDC" w:rsidRPr="005D6998" w:rsidRDefault="00513EDC" w:rsidP="00513EDC">
            <w:pPr>
              <w:pStyle w:val="a7"/>
              <w:tabs>
                <w:tab w:val="left" w:pos="426"/>
              </w:tabs>
              <w:spacing w:after="0" w:line="240" w:lineRule="auto"/>
              <w:ind w:left="0"/>
              <w:jc w:val="both"/>
              <w:rPr>
                <w:rFonts w:ascii="Times New Roman" w:hAnsi="Times New Roman"/>
                <w:b/>
                <w:bCs/>
              </w:rPr>
            </w:pPr>
          </w:p>
        </w:tc>
        <w:tc>
          <w:tcPr>
            <w:tcW w:w="1559" w:type="dxa"/>
            <w:gridSpan w:val="3"/>
            <w:shd w:val="clear" w:color="auto" w:fill="FFFFFF"/>
          </w:tcPr>
          <w:p w14:paraId="5107F832"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39C97AA5"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92EADEE" w14:textId="0172D5AD"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4ED356EE"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40DA2E8"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alin. (10) al aceluiași articol, se propune înlocuirea sintagmei „informații relevante” fie prin enumerare exemplificativă, fie prin trimitere la actele normative secundare aplicabile deoarece este interpretabilă. Se argumentează că nu rezultă cu suficientă claritate ce informații pot constitui temei pentru reevaluarea efectuată de BNM. </w:t>
            </w:r>
          </w:p>
          <w:p w14:paraId="1CBACFA4" w14:textId="77777777"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7D87579D"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4C392A68"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Nu se consideră oportună enumerarea exhaustivă la nivel de lege a informațiilor relevante privind adecvarea persoanelor vizate, întrucât natura acestor informații este variată și poate evolua în timp, în funcție de circumstanțele concrete ale fiecărui caz și de practicile de supraveghere.</w:t>
            </w:r>
          </w:p>
          <w:p w14:paraId="45BC7EA0" w14:textId="481CAD46"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lang w:val="ro-MD"/>
              </w:rPr>
              <w:t xml:space="preserve">Stabilirea în lege a unei liste exhaustive ar putea genera interpretări restrictive și ar limita capacitatea autorității de supraveghere de a reacționa la apariția unor circumstanțe noi care, deși neprevăzute expres de lege, </w:t>
            </w:r>
            <w:r w:rsidRPr="005D6998">
              <w:rPr>
                <w:rFonts w:ascii="Times New Roman" w:hAnsi="Times New Roman"/>
                <w:lang w:val="ro-MD"/>
              </w:rPr>
              <w:lastRenderedPageBreak/>
              <w:t>sunt de natură să influențeze adecvarea persoanei respective.</w:t>
            </w:r>
          </w:p>
        </w:tc>
      </w:tr>
      <w:tr w:rsidR="00513EDC" w:rsidRPr="005D6998" w14:paraId="46206DE0" w14:textId="77777777" w:rsidTr="00651F58">
        <w:trPr>
          <w:gridAfter w:val="1"/>
          <w:wAfter w:w="10" w:type="dxa"/>
          <w:trHeight w:val="105"/>
        </w:trPr>
        <w:tc>
          <w:tcPr>
            <w:tcW w:w="899" w:type="dxa"/>
            <w:gridSpan w:val="3"/>
            <w:shd w:val="clear" w:color="auto" w:fill="FFFFFF"/>
          </w:tcPr>
          <w:p w14:paraId="35BFD816"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BD19A16" w14:textId="4D27EDE9" w:rsidR="00513EDC" w:rsidRPr="005D6998" w:rsidRDefault="00513EDC" w:rsidP="00513EDC">
            <w:pPr>
              <w:tabs>
                <w:tab w:val="left" w:pos="884"/>
                <w:tab w:val="left" w:pos="1196"/>
              </w:tabs>
              <w:spacing w:after="0" w:line="240" w:lineRule="auto"/>
              <w:rPr>
                <w:rFonts w:ascii="Times New Roman" w:hAnsi="Times New Roman"/>
                <w:b/>
              </w:rPr>
            </w:pPr>
            <w:r w:rsidRPr="005D6998">
              <w:rPr>
                <w:rFonts w:ascii="Times New Roman" w:hAnsi="Times New Roman"/>
              </w:rPr>
              <w:t xml:space="preserve">(11) Banca Națională a Moldovei reevaluează adecvarea persoanelor care sunt numite să dețină funcții-cheie respective cu ocazia </w:t>
            </w:r>
            <w:r w:rsidRPr="005D6998">
              <w:rPr>
                <w:rFonts w:ascii="Times New Roman" w:hAnsi="Times New Roman"/>
                <w:b/>
                <w:bCs/>
              </w:rPr>
              <w:t>reînnoirii</w:t>
            </w:r>
            <w:r w:rsidRPr="005D6998">
              <w:rPr>
                <w:rFonts w:ascii="Times New Roman" w:hAnsi="Times New Roman"/>
              </w:rPr>
              <w:t xml:space="preserve"> sau prelungirii contractelor acestora, numai în cazul în care s-au modificat anumite informații relevante care îi sunt cunoscute și această modificare poate afecta adecvarea acestora.</w:t>
            </w:r>
          </w:p>
        </w:tc>
        <w:tc>
          <w:tcPr>
            <w:tcW w:w="1559" w:type="dxa"/>
            <w:gridSpan w:val="3"/>
            <w:shd w:val="clear" w:color="auto" w:fill="FFFFFF"/>
          </w:tcPr>
          <w:p w14:paraId="2D7BF722"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07C4B06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3110C84" w14:textId="1FB0A86A"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Cs/>
              </w:rPr>
              <w:t>Aviz nr. 02-06/188 din 07.07.2026</w:t>
            </w:r>
          </w:p>
        </w:tc>
        <w:tc>
          <w:tcPr>
            <w:tcW w:w="426" w:type="dxa"/>
            <w:shd w:val="clear" w:color="auto" w:fill="FFFFFF"/>
          </w:tcPr>
          <w:p w14:paraId="501A0B94"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23B0EA0" w14:textId="76277F1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Referitor la alin. (11) al art. 44</w:t>
            </w:r>
            <w:r w:rsidRPr="005D6998">
              <w:rPr>
                <w:rFonts w:ascii="Times New Roman" w:hAnsi="Times New Roman"/>
                <w:vertAlign w:val="superscript"/>
              </w:rPr>
              <w:t>1</w:t>
            </w:r>
            <w:r w:rsidRPr="005D6998">
              <w:rPr>
                <w:rFonts w:ascii="Times New Roman" w:hAnsi="Times New Roman"/>
              </w:rPr>
              <w:t>, se consideră că noțiunea de „reînnoire” necesită clarificare, întrucât conținutul și sfera sa de aplicare nu rezultă cu suficientă claritate.</w:t>
            </w:r>
          </w:p>
        </w:tc>
        <w:tc>
          <w:tcPr>
            <w:tcW w:w="5012" w:type="dxa"/>
            <w:gridSpan w:val="3"/>
            <w:shd w:val="clear" w:color="auto" w:fill="FFFFFF"/>
          </w:tcPr>
          <w:p w14:paraId="180B9315"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b/>
                <w:bCs/>
              </w:rPr>
              <w:t>Se acceptă</w:t>
            </w:r>
            <w:r w:rsidRPr="005D6998">
              <w:rPr>
                <w:rFonts w:ascii="Times New Roman" w:hAnsi="Times New Roman"/>
              </w:rPr>
              <w:t>.</w:t>
            </w:r>
          </w:p>
          <w:p w14:paraId="0D39C8C6"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Alin. (11) va avea următorul cuprins:</w:t>
            </w:r>
          </w:p>
          <w:p w14:paraId="7EACCC24" w14:textId="19C51ED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“Banca Națională a Moldovei reevaluează adecvarea persoanelor care dețin funcții-cheie numai în cazul în care s-au modificat anumite informații relevante care îi sunt cunoscute și această modificare poate afecta adecvarea acestora.”</w:t>
            </w:r>
          </w:p>
        </w:tc>
      </w:tr>
      <w:tr w:rsidR="00513EDC" w:rsidRPr="005D6998" w14:paraId="0880B5DC" w14:textId="77777777" w:rsidTr="00651F58">
        <w:trPr>
          <w:gridAfter w:val="1"/>
          <w:wAfter w:w="10" w:type="dxa"/>
          <w:trHeight w:val="105"/>
        </w:trPr>
        <w:tc>
          <w:tcPr>
            <w:tcW w:w="899" w:type="dxa"/>
            <w:gridSpan w:val="3"/>
            <w:shd w:val="clear" w:color="auto" w:fill="FFFFFF"/>
          </w:tcPr>
          <w:p w14:paraId="1A72A1F3"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7011515" w14:textId="77777777" w:rsidR="00513EDC" w:rsidRPr="005D6998" w:rsidRDefault="00513EDC" w:rsidP="00513EDC">
            <w:pPr>
              <w:tabs>
                <w:tab w:val="left" w:pos="884"/>
                <w:tab w:val="left" w:pos="1196"/>
              </w:tabs>
              <w:spacing w:after="0" w:line="240" w:lineRule="auto"/>
              <w:rPr>
                <w:rFonts w:ascii="Times New Roman" w:hAnsi="Times New Roman"/>
                <w:b/>
              </w:rPr>
            </w:pPr>
            <w:r w:rsidRPr="005D6998">
              <w:rPr>
                <w:rFonts w:ascii="Times New Roman" w:hAnsi="Times New Roman"/>
                <w:b/>
              </w:rPr>
              <w:t>[…]</w:t>
            </w:r>
          </w:p>
          <w:p w14:paraId="0F929C6D"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(12) Prevederile art. 43 alin. (15) se aplică în mod corespunzător cu privire la persoanele cu funcții-cheie, inclusiv informațiile referitoare la aceste persoane.  </w:t>
            </w:r>
          </w:p>
          <w:p w14:paraId="3ABB95CF" w14:textId="77777777" w:rsidR="00513EDC" w:rsidRPr="005D6998" w:rsidRDefault="00513EDC" w:rsidP="00513EDC">
            <w:pPr>
              <w:spacing w:after="0" w:line="240" w:lineRule="auto"/>
              <w:jc w:val="both"/>
              <w:rPr>
                <w:rFonts w:ascii="Times New Roman" w:hAnsi="Times New Roman"/>
                <w:b/>
                <w:bCs/>
              </w:rPr>
            </w:pPr>
          </w:p>
        </w:tc>
        <w:tc>
          <w:tcPr>
            <w:tcW w:w="1559" w:type="dxa"/>
            <w:gridSpan w:val="3"/>
            <w:shd w:val="clear" w:color="auto" w:fill="FFFFFF"/>
          </w:tcPr>
          <w:p w14:paraId="0687B441"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496EF852" w14:textId="1F1ACD00"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41393EA0"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C245BFD" w14:textId="4D7FF93F"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44</w:t>
            </w:r>
            <w:r w:rsidRPr="005D6998">
              <w:rPr>
                <w:rFonts w:ascii="Times New Roman" w:hAnsi="Times New Roman"/>
                <w:vertAlign w:val="superscript"/>
              </w:rPr>
              <w:t>1</w:t>
            </w:r>
            <w:r w:rsidRPr="005D6998">
              <w:rPr>
                <w:rFonts w:ascii="Times New Roman" w:hAnsi="Times New Roman"/>
              </w:rPr>
              <w:t xml:space="preserve"> , alin. (12),</w:t>
            </w:r>
            <w:r w:rsidR="00780E38" w:rsidRPr="005D6998">
              <w:t xml:space="preserve"> </w:t>
            </w:r>
            <w:r w:rsidR="00780E38" w:rsidRPr="005D6998">
              <w:rPr>
                <w:rFonts w:ascii="Times New Roman" w:hAnsi="Times New Roman"/>
              </w:rPr>
              <w:t>potrivit căruia prevederile art. 43, alin. (15) se aplică în mod corespunzător persoanelor cu funcții-cheie, se propune aplicarea aceleiași obiecții și aceleiași soluții de redactare, pentru a asigura tratament normativ unitar în cazul evaluării persoanelor care dețin funcții-cheie.</w:t>
            </w:r>
          </w:p>
        </w:tc>
        <w:tc>
          <w:tcPr>
            <w:tcW w:w="5012" w:type="dxa"/>
            <w:gridSpan w:val="3"/>
            <w:shd w:val="clear" w:color="auto" w:fill="FFFFFF"/>
          </w:tcPr>
          <w:p w14:paraId="4F8309B7"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29E9C6EA" w14:textId="4189C8F1"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A se vedea argumentele autorului la obiecția din pct. </w:t>
            </w:r>
            <w:r w:rsidR="00780E38" w:rsidRPr="005D6998">
              <w:rPr>
                <w:rFonts w:ascii="Times New Roman" w:hAnsi="Times New Roman"/>
              </w:rPr>
              <w:t xml:space="preserve">60 </w:t>
            </w:r>
            <w:r w:rsidRPr="005D6998">
              <w:rPr>
                <w:rFonts w:ascii="Times New Roman" w:hAnsi="Times New Roman"/>
              </w:rPr>
              <w:t>din prezenta Sinteză.</w:t>
            </w:r>
          </w:p>
        </w:tc>
      </w:tr>
      <w:tr w:rsidR="00513EDC" w:rsidRPr="005D6998" w14:paraId="116B52AA" w14:textId="77777777" w:rsidTr="00651F58">
        <w:trPr>
          <w:gridAfter w:val="1"/>
          <w:wAfter w:w="10" w:type="dxa"/>
          <w:trHeight w:val="105"/>
        </w:trPr>
        <w:tc>
          <w:tcPr>
            <w:tcW w:w="899" w:type="dxa"/>
            <w:gridSpan w:val="3"/>
            <w:shd w:val="clear" w:color="auto" w:fill="FFFFFF"/>
          </w:tcPr>
          <w:p w14:paraId="24EB26F7"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7527688" w14:textId="77777777" w:rsidR="00513EDC" w:rsidRPr="005D6998" w:rsidRDefault="00513EDC" w:rsidP="00513EDC">
            <w:pPr>
              <w:spacing w:after="0" w:line="240" w:lineRule="auto"/>
              <w:jc w:val="both"/>
              <w:rPr>
                <w:rFonts w:ascii="Times New Roman" w:hAnsi="Times New Roman"/>
                <w:b/>
                <w:bCs/>
              </w:rPr>
            </w:pPr>
            <w:bookmarkStart w:id="15" w:name="_Hlk215559434"/>
            <w:r w:rsidRPr="005D6998">
              <w:rPr>
                <w:rFonts w:ascii="Times New Roman" w:hAnsi="Times New Roman"/>
                <w:b/>
                <w:bCs/>
              </w:rPr>
              <w:t>Articolul 44</w:t>
            </w:r>
            <w:r w:rsidRPr="005D6998">
              <w:rPr>
                <w:rFonts w:ascii="Times New Roman" w:hAnsi="Times New Roman"/>
                <w:b/>
                <w:bCs/>
                <w:vertAlign w:val="superscript"/>
              </w:rPr>
              <w:t>2</w:t>
            </w:r>
            <w:r w:rsidRPr="005D6998">
              <w:rPr>
                <w:rFonts w:ascii="Times New Roman" w:hAnsi="Times New Roman"/>
                <w:b/>
                <w:bCs/>
              </w:rPr>
              <w:t xml:space="preserve">. </w:t>
            </w:r>
            <w:r w:rsidRPr="005D6998">
              <w:rPr>
                <w:rFonts w:ascii="Times New Roman" w:hAnsi="Times New Roman"/>
              </w:rPr>
              <w:t>Funcțiile de control intern</w:t>
            </w:r>
          </w:p>
          <w:bookmarkEnd w:id="15"/>
          <w:p w14:paraId="5199EFA9" w14:textId="2E9FD5FD" w:rsidR="00513EDC" w:rsidRPr="005D6998" w:rsidRDefault="00513EDC" w:rsidP="00513EDC">
            <w:pPr>
              <w:spacing w:after="0" w:line="240" w:lineRule="auto"/>
              <w:jc w:val="both"/>
              <w:rPr>
                <w:rFonts w:ascii="Times New Roman" w:hAnsi="Times New Roman"/>
                <w:i/>
                <w:color w:val="0F9ED5" w:themeColor="accent4"/>
              </w:rPr>
            </w:pPr>
            <w:r w:rsidRPr="005D6998">
              <w:rPr>
                <w:rFonts w:ascii="Times New Roman" w:hAnsi="Times New Roman"/>
              </w:rPr>
              <w:t xml:space="preserve">[...] </w:t>
            </w:r>
          </w:p>
          <w:p w14:paraId="198BFF56" w14:textId="77777777" w:rsidR="00513EDC" w:rsidRPr="005D6998" w:rsidRDefault="00513EDC" w:rsidP="00513EDC">
            <w:pPr>
              <w:spacing w:after="0" w:line="240" w:lineRule="auto"/>
              <w:jc w:val="both"/>
              <w:rPr>
                <w:rFonts w:ascii="Times New Roman" w:hAnsi="Times New Roman"/>
                <w:color w:val="FF0000"/>
              </w:rPr>
            </w:pPr>
            <w:r w:rsidRPr="005D6998">
              <w:rPr>
                <w:rFonts w:ascii="Times New Roman" w:hAnsi="Times New Roman"/>
              </w:rPr>
              <w:t xml:space="preserve">(2) Funcţiile de control intern trebuie să includă o funcţie de administrare a riscurilor, o funcţie de conformitate şi o funcţie de audit intern. </w:t>
            </w:r>
          </w:p>
          <w:p w14:paraId="2ACF510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(3) Instituțiile de credit instituie funcțiile de control intern, astfel încât să respecte următoarele:</w:t>
            </w:r>
          </w:p>
          <w:p w14:paraId="542119AC" w14:textId="092DDA8F"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14E2CC41" w14:textId="77777777" w:rsidR="00513EDC" w:rsidRPr="005D6998" w:rsidRDefault="00513EDC" w:rsidP="00513EDC">
            <w:pPr>
              <w:spacing w:after="0" w:line="240" w:lineRule="auto"/>
              <w:jc w:val="both"/>
              <w:rPr>
                <w:rFonts w:ascii="Times New Roman" w:hAnsi="Times New Roman"/>
                <w:color w:val="FF0000"/>
              </w:rPr>
            </w:pPr>
            <w:r w:rsidRPr="005D6998">
              <w:rPr>
                <w:rFonts w:ascii="Times New Roman" w:hAnsi="Times New Roman"/>
              </w:rPr>
              <w:t xml:space="preserve">e) funcția de conformitate evaluează </w:t>
            </w:r>
            <w:r w:rsidRPr="005D6998">
              <w:rPr>
                <w:rFonts w:ascii="Times New Roman" w:hAnsi="Times New Roman"/>
                <w:b/>
                <w:bCs/>
              </w:rPr>
              <w:t>și reduce</w:t>
            </w:r>
            <w:r w:rsidRPr="005D6998">
              <w:rPr>
                <w:rFonts w:ascii="Times New Roman" w:hAnsi="Times New Roman"/>
              </w:rPr>
              <w:t xml:space="preserve"> riscul de conformitate și se asigură că strategia privind administrarea riscului instituției de credit ia în considerare riscul de conformitate și că riscul de conformitate este luat în considerare în mod adecvat în toate deciziile </w:t>
            </w:r>
            <w:r w:rsidRPr="005D6998">
              <w:rPr>
                <w:rFonts w:ascii="Times New Roman" w:hAnsi="Times New Roman"/>
              </w:rPr>
              <w:lastRenderedPageBreak/>
              <w:t>referitoare la administrarea riscurilor semnificative.</w:t>
            </w:r>
            <w:r w:rsidRPr="005D6998">
              <w:rPr>
                <w:rFonts w:ascii="Times New Roman" w:hAnsi="Times New Roman"/>
                <w:color w:val="FF0000"/>
              </w:rPr>
              <w:t xml:space="preserve"> </w:t>
            </w:r>
          </w:p>
          <w:p w14:paraId="6C429C48" w14:textId="104EE926" w:rsidR="00513EDC" w:rsidRPr="005D6998" w:rsidRDefault="00513EDC" w:rsidP="00513EDC">
            <w:pPr>
              <w:tabs>
                <w:tab w:val="left" w:pos="426"/>
              </w:tabs>
              <w:spacing w:after="0" w:line="240" w:lineRule="auto"/>
              <w:jc w:val="both"/>
              <w:rPr>
                <w:rFonts w:ascii="Times New Roman" w:hAnsi="Times New Roman"/>
                <w:b/>
                <w:lang w:val="en-US"/>
              </w:rPr>
            </w:pPr>
            <w:r w:rsidRPr="005D6998">
              <w:rPr>
                <w:rFonts w:ascii="Times New Roman" w:hAnsi="Times New Roman"/>
                <w:b/>
                <w:bCs/>
                <w:lang w:val="en-US"/>
              </w:rPr>
              <w:t>[…]</w:t>
            </w:r>
          </w:p>
        </w:tc>
        <w:tc>
          <w:tcPr>
            <w:tcW w:w="1559" w:type="dxa"/>
            <w:gridSpan w:val="3"/>
            <w:vMerge w:val="restart"/>
            <w:shd w:val="clear" w:color="auto" w:fill="FFFFFF"/>
          </w:tcPr>
          <w:p w14:paraId="75E3B825"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3C1C58E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2726C18" w14:textId="245BEB14"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0AA9AAF7"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79064F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44</w:t>
            </w:r>
            <w:r w:rsidRPr="005D6998">
              <w:rPr>
                <w:rFonts w:ascii="Times New Roman" w:hAnsi="Times New Roman"/>
                <w:vertAlign w:val="superscript"/>
              </w:rPr>
              <w:t>2</w:t>
            </w:r>
            <w:r w:rsidRPr="005D6998">
              <w:rPr>
                <w:rFonts w:ascii="Times New Roman" w:hAnsi="Times New Roman"/>
              </w:rPr>
              <w:t xml:space="preserve"> alin. (3) lit. e), se propune excluderea sintagmei „și reduce”. </w:t>
            </w:r>
          </w:p>
          <w:p w14:paraId="1C1D54A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Propunerea se bazează pe faptul că obligația de a întreprinde măsurile în vederea reducerii riscului de conformitate revine fiecărui salariat al băncii, nu doar celor din cadrul funcției de conformitate. Astfel, funcția de conformitate elaborează recomandările privind acțiunile necesare de întreprins și nu este, în toate cazurile, responsabilă de realizarea efectivă a acțiunilor respective.</w:t>
            </w:r>
          </w:p>
          <w:p w14:paraId="2F310340" w14:textId="77777777" w:rsidR="00513EDC" w:rsidRPr="005D6998" w:rsidRDefault="00513EDC" w:rsidP="00513EDC">
            <w:pPr>
              <w:spacing w:after="0" w:line="240" w:lineRule="auto"/>
              <w:jc w:val="both"/>
              <w:rPr>
                <w:rFonts w:ascii="Times New Roman" w:hAnsi="Times New Roman"/>
              </w:rPr>
            </w:pPr>
          </w:p>
          <w:p w14:paraId="2A107BD5" w14:textId="3F64A36D"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4E37B40E"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accepta.</w:t>
            </w:r>
          </w:p>
          <w:p w14:paraId="3CD7C295" w14:textId="155DE570"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Sintagma „și reduce” este preluată din art. 76 alin. (6) din CRD VI și reflectă rolul funcției de conformitate în cadrul sistemului de control intern. </w:t>
            </w:r>
          </w:p>
          <w:p w14:paraId="4D08A5F8"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Funcția de conformitate nu este responsabilă exclusiv de implementarea măsurilor de reducere a riscului de conformitate, însă are responsabilitatea de a identifica, documenta, monitoriza și evalua riscul de conformitate, precum și de a contribui la reducerea acestuia prin formularea recomandărilor, monitorizarea implementării măsurilor corective și promovarea unui cadru adecvat de conformitate la nivelul instituției de credit. Această abordare este în concordanță cu </w:t>
            </w:r>
            <w:hyperlink r:id="rId13" w:history="1">
              <w:r w:rsidRPr="005D6998">
                <w:rPr>
                  <w:rStyle w:val="afb"/>
                  <w:rFonts w:ascii="Times New Roman" w:hAnsi="Times New Roman"/>
                </w:rPr>
                <w:t>principiile Comitetului de la Basel privind funcția de conformitate</w:t>
              </w:r>
            </w:hyperlink>
            <w:r w:rsidRPr="005D6998">
              <w:rPr>
                <w:rFonts w:ascii="Times New Roman" w:hAnsi="Times New Roman"/>
              </w:rPr>
              <w:t>, potrivit cărora funcția de conformitate identifică, documentează și evaluează riscurile de conformitate și asistă conducerea în gestionarea eficientă a acestora.</w:t>
            </w:r>
          </w:p>
          <w:p w14:paraId="556B5366" w14:textId="1C8A8CB2" w:rsidR="00513EDC" w:rsidRPr="005D6998" w:rsidRDefault="00513EDC" w:rsidP="00513EDC">
            <w:pPr>
              <w:tabs>
                <w:tab w:val="left" w:pos="884"/>
                <w:tab w:val="left" w:pos="1196"/>
              </w:tabs>
              <w:spacing w:after="0" w:line="240" w:lineRule="auto"/>
              <w:jc w:val="both"/>
              <w:rPr>
                <w:rFonts w:ascii="Times New Roman" w:hAnsi="Times New Roman"/>
                <w:lang w:val="pt-BR"/>
              </w:rPr>
            </w:pPr>
            <w:r w:rsidRPr="005D6998">
              <w:rPr>
                <w:rFonts w:ascii="Times New Roman" w:hAnsi="Times New Roman"/>
              </w:rPr>
              <w:lastRenderedPageBreak/>
              <w:t xml:space="preserve">Pentru corespunderea limbajului consacrat în materie de riscuri din Legea nr. 202/2017 în vigoare și cadrul de reglementare secundar, termenul de </w:t>
            </w:r>
            <w:r w:rsidRPr="005D6998">
              <w:rPr>
                <w:rFonts w:ascii="Times New Roman" w:hAnsi="Times New Roman"/>
                <w:lang w:val="pt-BR"/>
              </w:rPr>
              <w:t xml:space="preserve">“reduce” </w:t>
            </w:r>
            <w:r w:rsidRPr="005D6998">
              <w:rPr>
                <w:rFonts w:ascii="Times New Roman" w:hAnsi="Times New Roman"/>
              </w:rPr>
              <w:t xml:space="preserve">se substituie cu termenul de </w:t>
            </w:r>
            <w:r w:rsidRPr="005D6998">
              <w:rPr>
                <w:rFonts w:ascii="Times New Roman" w:hAnsi="Times New Roman"/>
                <w:lang w:val="pt-BR"/>
              </w:rPr>
              <w:t>“diminuează”.</w:t>
            </w:r>
          </w:p>
        </w:tc>
      </w:tr>
      <w:tr w:rsidR="00513EDC" w:rsidRPr="005D6998" w14:paraId="69E565CA" w14:textId="77777777" w:rsidTr="00651F58">
        <w:trPr>
          <w:gridAfter w:val="1"/>
          <w:wAfter w:w="10" w:type="dxa"/>
          <w:trHeight w:val="105"/>
        </w:trPr>
        <w:tc>
          <w:tcPr>
            <w:tcW w:w="899" w:type="dxa"/>
            <w:gridSpan w:val="3"/>
            <w:shd w:val="clear" w:color="auto" w:fill="FFFFFF"/>
          </w:tcPr>
          <w:p w14:paraId="0B179A53"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388103C" w14:textId="258E8BFA" w:rsidR="00513EDC" w:rsidRPr="005D6998" w:rsidRDefault="00513EDC" w:rsidP="00513EDC">
            <w:pPr>
              <w:spacing w:after="0"/>
              <w:jc w:val="both"/>
              <w:rPr>
                <w:rFonts w:ascii="Times New Roman" w:hAnsi="Times New Roman"/>
              </w:rPr>
            </w:pPr>
            <w:r w:rsidRPr="005D6998">
              <w:rPr>
                <w:rFonts w:ascii="Times New Roman" w:hAnsi="Times New Roman"/>
              </w:rPr>
              <w:t>(5) Coordonatorii funcțiilor de control intern sunt salariați cu funcții de conducere de nivel superior independente, cu responsabilități distincte pentru funcțiile de administrare a riscurilor, de conformitate și de audit intern. În cazul în care natura, amploarea și complexitatea activităților entității nu justifică numirea unei anumite persoane pentru funcția de administrare a riscurilor sau pentru funcția de conformitate, un alt salariat care deține o funcție de nivel superior, care îndeplinește alte sarcini în cadrul instituției de credit, poate îndeplini responsabilitățile pentru funcțiile de conformitate sau de administrare a riscurilor, cu condiția să nu existe niciun conflict de interese și ca persoana responsabilă de funcția de administrare a riscurilor și de funcția de conformitate:</w:t>
            </w:r>
          </w:p>
        </w:tc>
        <w:tc>
          <w:tcPr>
            <w:tcW w:w="1559" w:type="dxa"/>
            <w:gridSpan w:val="3"/>
            <w:vMerge/>
            <w:shd w:val="clear" w:color="auto" w:fill="FFFFFF"/>
          </w:tcPr>
          <w:p w14:paraId="35E39C79"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p>
        </w:tc>
        <w:tc>
          <w:tcPr>
            <w:tcW w:w="426" w:type="dxa"/>
            <w:shd w:val="clear" w:color="auto" w:fill="FFFFFF"/>
          </w:tcPr>
          <w:p w14:paraId="77F69D27"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207EE9D9" w14:textId="23882F8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Asociat prevederilor care vizează art. 44</w:t>
            </w:r>
            <w:r w:rsidRPr="005D6998">
              <w:rPr>
                <w:rFonts w:ascii="Times New Roman" w:hAnsi="Times New Roman"/>
                <w:vertAlign w:val="superscript"/>
              </w:rPr>
              <w:t>2</w:t>
            </w:r>
            <w:r w:rsidRPr="005D6998">
              <w:rPr>
                <w:rFonts w:ascii="Times New Roman" w:hAnsi="Times New Roman"/>
              </w:rPr>
              <w:t xml:space="preserve"> din proiectul de lege, se consideră că se impun clarificări privind funcțiile de control intern în contextul noilor prevederi care permit exercitarea atribuțiilor aferente funcțiilor de administrare a riscurilor și/sau de conformitate de către un alt salariat cu funcție de conducere de nivel superior. </w:t>
            </w:r>
          </w:p>
          <w:p w14:paraId="73DC82E6" w14:textId="77777777" w:rsidR="00513EDC" w:rsidRPr="005D6998" w:rsidRDefault="00513EDC" w:rsidP="00513EDC">
            <w:pPr>
              <w:spacing w:after="0" w:line="240" w:lineRule="auto"/>
              <w:jc w:val="both"/>
              <w:rPr>
                <w:rFonts w:ascii="Times New Roman" w:hAnsi="Times New Roman"/>
              </w:rPr>
            </w:pPr>
          </w:p>
          <w:p w14:paraId="4AF7E125" w14:textId="3FDE002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opinează că sunt necesare clarificări privind categoriile de funcții eligibile pentru preluarea acestor responsabilități, inclusiv dacă acestea pot fi exercitate de persoane din prima linie de apărare, criteriile de prevenire a conflictelor de interese și de asigurare a independenței funcțiilor de control intern, precum și condițiile privind dimensiunea, natura și complexitatea activității instituției de credit care ar putea justifica aplicarea acestei excepții, în vederea asigurării unei implementări uniforme și conforme cu principiile de guvernanță internă.</w:t>
            </w:r>
          </w:p>
        </w:tc>
        <w:tc>
          <w:tcPr>
            <w:tcW w:w="5012" w:type="dxa"/>
            <w:gridSpan w:val="3"/>
            <w:shd w:val="clear" w:color="auto" w:fill="FFFFFF"/>
          </w:tcPr>
          <w:p w14:paraId="6AC8BEA8" w14:textId="3247333C"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6C965FA7" w14:textId="2F1C5550"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Aspectele invocate sunt deja reglementate în Regulamentul nr. 322/2023 privind cadrul de administrare a activității băncii sau urmează a fi acoperite prin proiectul de modificare a acestui regulament, care a fost supus consultării publice în perioada 13.05.2026-02.06.2026, care stabilește cerințe privind independența funcțiilor de control intern (pct. 202-204), prevenirea conflictelor de interese (pct. 102), organizarea funcțiilor de administrare a riscurilor și de conformitate (pct. 172-173), precum și condițiile în care un membru al organului executiv poate coordona aceste funcții (pct. 61). Se precizează că regulamentul preia prevederi din Ghidul EBA privind guvernanța internă, inclusiv în ceea ce privește aplicarea principiului proporționalității. </w:t>
            </w:r>
          </w:p>
          <w:p w14:paraId="22852B93" w14:textId="33D339C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În consecință, introducerea unor prevederi similare în lege ar conduce la dublarea reglementărilor și ar reduce flexibilitatea necesară adaptării cadrului secundar în funcție de evoluțiile standardelor europene.</w:t>
            </w:r>
          </w:p>
        </w:tc>
      </w:tr>
      <w:tr w:rsidR="00513EDC" w:rsidRPr="005D6998" w14:paraId="4AEDCB7C" w14:textId="77777777" w:rsidTr="00651F58">
        <w:trPr>
          <w:gridAfter w:val="1"/>
          <w:wAfter w:w="10" w:type="dxa"/>
          <w:trHeight w:val="105"/>
        </w:trPr>
        <w:tc>
          <w:tcPr>
            <w:tcW w:w="899" w:type="dxa"/>
            <w:gridSpan w:val="3"/>
            <w:shd w:val="clear" w:color="auto" w:fill="FFFFFF"/>
          </w:tcPr>
          <w:p w14:paraId="3358CB02"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D10BAB7"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42.</w:t>
            </w:r>
            <w:r w:rsidRPr="005D6998">
              <w:rPr>
                <w:rFonts w:ascii="Times New Roman" w:hAnsi="Times New Roman"/>
              </w:rPr>
              <w:t xml:space="preserve"> Articolul 48</w:t>
            </w:r>
          </w:p>
          <w:p w14:paraId="45D7C73C"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 </w:t>
            </w:r>
          </w:p>
          <w:p w14:paraId="020330F4"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alineatul (1</w:t>
            </w:r>
            <w:r w:rsidRPr="005D6998">
              <w:rPr>
                <w:rFonts w:ascii="Times New Roman" w:hAnsi="Times New Roman"/>
                <w:vertAlign w:val="superscript"/>
              </w:rPr>
              <w:t>1</w:t>
            </w:r>
            <w:r w:rsidRPr="005D6998">
              <w:rPr>
                <w:rFonts w:ascii="Times New Roman" w:hAnsi="Times New Roman"/>
              </w:rPr>
              <w:t>) cu următorul cuprins:</w:t>
            </w:r>
          </w:p>
          <w:p w14:paraId="4F79A02F"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1</w:t>
            </w:r>
            <w:r w:rsidRPr="005D6998">
              <w:rPr>
                <w:rFonts w:ascii="Times New Roman" w:hAnsi="Times New Roman"/>
              </w:rPr>
              <w:t xml:space="preserve">) În scopul evaluării criteriului prevăzut la alin. (1) lit. e), Banca Națională a Moldovei consultă </w:t>
            </w:r>
            <w:r w:rsidRPr="005D6998">
              <w:rPr>
                <w:rFonts w:ascii="Times New Roman" w:hAnsi="Times New Roman"/>
              </w:rPr>
              <w:lastRenderedPageBreak/>
              <w:t>Serviciul Prevenirea şi Combaterea Spălării Banilor. Banca Națională a Moldovei poate formula obiecții cu privire la achiziția propusă în cazul în care potențialul achizitor este situat într-un stat terț inclus pe lista statelor terțe cu grad înalt de risc care au deficiențe strategice în regimurile lor privind combaterea spălării banilor și a finanțării terorismului, într-un stat terț inclus în lista jurisdicțiilor necooperante în scopuri fiscale sau într-un stat terț care face obiectul unei decizii de aliniere la măsurile restrictive ale Uniunii Europene și consideră că acest lucru afectează capacitatea achizitorului potențial de a dispune de practicile și procesele necesare pentru a respecta cerințele regimului privind combaterea spălării banilor și a finanțării terorismului.”;</w:t>
            </w:r>
          </w:p>
          <w:p w14:paraId="080316FA"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79952E83"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alineatul (3</w:t>
            </w:r>
            <w:r w:rsidRPr="005D6998">
              <w:rPr>
                <w:rFonts w:ascii="Times New Roman" w:hAnsi="Times New Roman"/>
                <w:vertAlign w:val="superscript"/>
              </w:rPr>
              <w:t>1</w:t>
            </w:r>
            <w:r w:rsidRPr="005D6998">
              <w:rPr>
                <w:rFonts w:ascii="Times New Roman" w:hAnsi="Times New Roman"/>
              </w:rPr>
              <w:t>) cu următorul cuprins:</w:t>
            </w:r>
          </w:p>
          <w:p w14:paraId="7070E3FD" w14:textId="6B26528B" w:rsidR="00513EDC" w:rsidRPr="005D6998" w:rsidRDefault="00513EDC" w:rsidP="00513EDC">
            <w:pPr>
              <w:pStyle w:val="a7"/>
              <w:tabs>
                <w:tab w:val="left" w:pos="426"/>
              </w:tabs>
              <w:spacing w:after="0" w:line="240" w:lineRule="auto"/>
              <w:ind w:left="0"/>
              <w:jc w:val="both"/>
              <w:rPr>
                <w:rFonts w:ascii="Times New Roman" w:hAnsi="Times New Roman"/>
                <w:b/>
                <w:bCs/>
              </w:rPr>
            </w:pPr>
            <w:r w:rsidRPr="005D6998">
              <w:rPr>
                <w:rFonts w:ascii="Times New Roman" w:hAnsi="Times New Roman"/>
              </w:rPr>
              <w:t>„(3</w:t>
            </w:r>
            <w:r w:rsidRPr="005D6998">
              <w:rPr>
                <w:rFonts w:ascii="Times New Roman" w:hAnsi="Times New Roman"/>
                <w:vertAlign w:val="superscript"/>
              </w:rPr>
              <w:t>1</w:t>
            </w:r>
            <w:r w:rsidRPr="005D6998">
              <w:rPr>
                <w:rFonts w:ascii="Times New Roman" w:hAnsi="Times New Roman"/>
              </w:rPr>
              <w:t>) În scopul alin. (3) și în ceea ce privește criteriul prevăzut la alin. (1) lit. e), luând în considerare prevederile alin. (1</w:t>
            </w:r>
            <w:r w:rsidRPr="005D6998">
              <w:rPr>
                <w:rFonts w:ascii="Times New Roman" w:hAnsi="Times New Roman"/>
                <w:vertAlign w:val="superscript"/>
              </w:rPr>
              <w:t>1</w:t>
            </w:r>
            <w:r w:rsidRPr="005D6998">
              <w:rPr>
                <w:rFonts w:ascii="Times New Roman" w:hAnsi="Times New Roman"/>
              </w:rPr>
              <w:t>), la evaluarea adecvării achizitorului potenţial, Banca Națională a Moldovei va avea în vedere în mod corespunzător avizul negativ din partea Serviciului Prevenirea şi Combaterea Spălării Banilor, recepționat în termen de 30 de zile lucrătoare de la cererea inițială, acesta putând constitui un motiv rezonabil de opoziție.”;</w:t>
            </w:r>
          </w:p>
        </w:tc>
        <w:tc>
          <w:tcPr>
            <w:tcW w:w="1559" w:type="dxa"/>
            <w:gridSpan w:val="3"/>
            <w:shd w:val="clear" w:color="auto" w:fill="FFFFFF"/>
          </w:tcPr>
          <w:p w14:paraId="3839A18C"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35E76010" w14:textId="15F745DD"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lastRenderedPageBreak/>
              <w:t>Aviz nr. 01/2-30-1015 din 19 iunie 2026</w:t>
            </w:r>
          </w:p>
        </w:tc>
        <w:tc>
          <w:tcPr>
            <w:tcW w:w="426" w:type="dxa"/>
            <w:shd w:val="clear" w:color="auto" w:fill="FFFFFF"/>
          </w:tcPr>
          <w:p w14:paraId="085D2919"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A3FE622" w14:textId="46D2D80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48, alin. (1</w:t>
            </w:r>
            <w:r w:rsidRPr="005D6998">
              <w:rPr>
                <w:rFonts w:ascii="Times New Roman" w:hAnsi="Times New Roman"/>
                <w:vertAlign w:val="superscript"/>
              </w:rPr>
              <w:t>1</w:t>
            </w:r>
            <w:r w:rsidRPr="005D6998">
              <w:rPr>
                <w:rFonts w:ascii="Times New Roman" w:hAnsi="Times New Roman"/>
              </w:rPr>
              <w:t>) și alin. (3</w:t>
            </w:r>
            <w:r w:rsidRPr="005D6998">
              <w:rPr>
                <w:rFonts w:ascii="Times New Roman" w:hAnsi="Times New Roman"/>
                <w:vertAlign w:val="superscript"/>
              </w:rPr>
              <w:t>1</w:t>
            </w:r>
            <w:r w:rsidRPr="005D6998">
              <w:rPr>
                <w:rFonts w:ascii="Times New Roman" w:hAnsi="Times New Roman"/>
              </w:rPr>
              <w:t xml:space="preserve">), se propune ca normele de consultare să fie reformulate în sensul că Serviciul comunică, în limita competențelor și informațiilor disponibile, existența unor informații relevante pentru evaluarea riscurilor de spălare a banilor și finanțare a terorismului, </w:t>
            </w:r>
            <w:r w:rsidRPr="005D6998">
              <w:rPr>
                <w:rFonts w:ascii="Times New Roman" w:hAnsi="Times New Roman"/>
              </w:rPr>
              <w:lastRenderedPageBreak/>
              <w:t>fără divulgarea informațiilor protejate de regimul special prevăzut de Legea nr. 308/2017.</w:t>
            </w:r>
          </w:p>
          <w:p w14:paraId="106C7EB2" w14:textId="77777777" w:rsidR="00513EDC" w:rsidRPr="005D6998" w:rsidRDefault="00513EDC" w:rsidP="00513EDC">
            <w:pPr>
              <w:spacing w:after="0" w:line="240" w:lineRule="auto"/>
              <w:jc w:val="both"/>
              <w:rPr>
                <w:rFonts w:ascii="Times New Roman" w:hAnsi="Times New Roman"/>
              </w:rPr>
            </w:pPr>
          </w:p>
          <w:p w14:paraId="2D452C1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argumentează că proiectul utilizează denumirea incorectă a Serviciului și instituie un mecanism care trebuie coroborat cu art. 16 din Legea nr. 308/2017, or evaluarea achizitorului potențial din perspectiva provenienței fondurilor, structurii de proprietate, beneficiarilor efectivi și jurisdicțiilor implicate este justificată, însă Serviciul nu poate fi obligat să transmită informații într-o formulă generală, nelimitată sau care ar presupune divulgarea surselor, metodelor de analiză, raportărilor privind activități sau tranzacții suspecte sau a altor informații protejate prin lege.</w:t>
            </w:r>
          </w:p>
          <w:p w14:paraId="51B81A88" w14:textId="77777777" w:rsidR="00513EDC" w:rsidRPr="005D6998" w:rsidRDefault="00513EDC" w:rsidP="00513EDC">
            <w:pPr>
              <w:spacing w:after="0" w:line="240" w:lineRule="auto"/>
              <w:jc w:val="both"/>
              <w:rPr>
                <w:rFonts w:ascii="Times New Roman" w:hAnsi="Times New Roman"/>
              </w:rPr>
            </w:pPr>
          </w:p>
          <w:p w14:paraId="1EDEC08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termenul de 30 de zile lucrătoare prevăzut pentru recepționarea avizului negativ sau informațiilor relevante, se propune completarea normei cu precizarea că lipsa unui răspuns al Serviciului în termenul prevăzut nu echivalează cu confirmarea inexistenței riscurilor, Banca Națională a Moldovei urmând să continue evaluarea în baza informațiilor disponibile, fără a aduce atingere posibilității Serviciului de a comunica ulterior informații relevante, dacă acestea devin disponibile.</w:t>
            </w:r>
          </w:p>
          <w:p w14:paraId="628BDA52" w14:textId="77777777" w:rsidR="00513EDC" w:rsidRPr="005D6998" w:rsidRDefault="00513EDC" w:rsidP="00513EDC">
            <w:pPr>
              <w:spacing w:after="0" w:line="240" w:lineRule="auto"/>
              <w:jc w:val="both"/>
              <w:rPr>
                <w:rFonts w:ascii="Times New Roman" w:hAnsi="Times New Roman"/>
              </w:rPr>
            </w:pPr>
          </w:p>
          <w:p w14:paraId="78FE4B0B" w14:textId="2A43643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proiectul nu reglementează efectele lipsei unui răspuns în acest termen și, că în domeniul prevenirii și combaterii spălării banilor și finanțării terorismului, lipsa unui răspuns nu poate fi interpretată ca inexistență a riscurilor, </w:t>
            </w:r>
            <w:r w:rsidRPr="005D6998">
              <w:rPr>
                <w:rFonts w:ascii="Times New Roman" w:hAnsi="Times New Roman"/>
              </w:rPr>
              <w:lastRenderedPageBreak/>
              <w:t xml:space="preserve">întrucât unele informații pot necesita verificări suplimentare, inclusiv prin mecanisme de cooperare internațională, iar durata acestora poate depăși termenul procedural intern. </w:t>
            </w:r>
          </w:p>
        </w:tc>
        <w:tc>
          <w:tcPr>
            <w:tcW w:w="5012" w:type="dxa"/>
            <w:gridSpan w:val="3"/>
            <w:shd w:val="clear" w:color="auto" w:fill="FFFFFF"/>
          </w:tcPr>
          <w:p w14:paraId="27E76B46" w14:textId="63DBA4E9"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7E7B1A51"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27998A80" w14:textId="407D8F4B"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Alin. (1</w:t>
            </w:r>
            <w:r w:rsidRPr="005D6998">
              <w:rPr>
                <w:rFonts w:ascii="Times New Roman" w:hAnsi="Times New Roman"/>
                <w:vertAlign w:val="superscript"/>
              </w:rPr>
              <w:t>1</w:t>
            </w:r>
            <w:r w:rsidRPr="005D6998">
              <w:rPr>
                <w:rFonts w:ascii="Times New Roman" w:hAnsi="Times New Roman"/>
              </w:rPr>
              <w:t>) și alin. (3</w:t>
            </w:r>
            <w:r w:rsidRPr="005D6998">
              <w:rPr>
                <w:rFonts w:ascii="Times New Roman" w:hAnsi="Times New Roman"/>
                <w:vertAlign w:val="superscript"/>
              </w:rPr>
              <w:t>1</w:t>
            </w:r>
            <w:r w:rsidRPr="005D6998">
              <w:rPr>
                <w:rFonts w:ascii="Times New Roman" w:hAnsi="Times New Roman"/>
              </w:rPr>
              <w:t>) au fost redactate pentru o abordare fidelă cu cea din CRD VI, după cum urmează:</w:t>
            </w:r>
          </w:p>
          <w:p w14:paraId="717F4730" w14:textId="5715EC9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1</w:t>
            </w:r>
            <w:r w:rsidRPr="005D6998">
              <w:rPr>
                <w:rFonts w:ascii="Times New Roman" w:hAnsi="Times New Roman"/>
              </w:rPr>
              <w:t xml:space="preserve">) În scopul evaluării criteriului prevăzut la alin. (1) lit. e), Banca Națională a Moldovei, în calitate de autoritate competentă, consultă în contextul </w:t>
            </w:r>
            <w:r w:rsidRPr="005D6998">
              <w:rPr>
                <w:rFonts w:ascii="Times New Roman" w:hAnsi="Times New Roman"/>
              </w:rPr>
              <w:lastRenderedPageBreak/>
              <w:t>verificărilor efectuate de aceasta, organul cu funcții de supraveghere în domeniul combaterii spălării banilor sau a combaterii finanțării terorismului în conformitate cu Legea nr. 308/2017.</w:t>
            </w:r>
          </w:p>
          <w:p w14:paraId="4E91D038" w14:textId="196EE788" w:rsidR="00513EDC" w:rsidRPr="005D6998" w:rsidRDefault="00513EDC" w:rsidP="00513EDC">
            <w:pPr>
              <w:jc w:val="both"/>
              <w:rPr>
                <w:rFonts w:ascii="Times New Roman" w:hAnsi="Times New Roman"/>
              </w:rPr>
            </w:pPr>
            <w:r w:rsidRPr="005D6998">
              <w:rPr>
                <w:rFonts w:ascii="Times New Roman" w:hAnsi="Times New Roman"/>
              </w:rPr>
              <w:t>(3</w:t>
            </w:r>
            <w:r w:rsidRPr="005D6998">
              <w:rPr>
                <w:rFonts w:ascii="Times New Roman" w:hAnsi="Times New Roman"/>
                <w:vertAlign w:val="superscript"/>
              </w:rPr>
              <w:t>1</w:t>
            </w:r>
            <w:r w:rsidRPr="005D6998">
              <w:rPr>
                <w:rFonts w:ascii="Times New Roman" w:hAnsi="Times New Roman"/>
              </w:rPr>
              <w:t>) În scopul alin. (3) și în ceea ce privește criteriul prevăzut la alin. (1) lit. e), luând în considerare prevederile alin. (1</w:t>
            </w:r>
            <w:r w:rsidRPr="005D6998">
              <w:rPr>
                <w:rFonts w:ascii="Times New Roman" w:hAnsi="Times New Roman"/>
                <w:vertAlign w:val="superscript"/>
              </w:rPr>
              <w:t>1</w:t>
            </w:r>
            <w:r w:rsidRPr="005D6998">
              <w:rPr>
                <w:rFonts w:ascii="Times New Roman" w:hAnsi="Times New Roman"/>
              </w:rPr>
              <w:t>), la evaluarea adecvării achizitorului potenţial, Banca Națională a Moldovei va avea în vedere în mod corespunzător avizul negativ din partea organului cu funcții de supraveghere în domeniul combaterii spălării banilor sau a combaterii finanțării terorismului în conformitate cu Legea nr. 308/2017, recepționat în termen de 30 de zile lucrătoare de la cererea inițială, acesta putând constitui un motiv rezonabil de opoziție.”.</w:t>
            </w:r>
          </w:p>
        </w:tc>
      </w:tr>
      <w:tr w:rsidR="00513EDC" w:rsidRPr="005D6998" w14:paraId="1D2B6EB3" w14:textId="77777777" w:rsidTr="00651F58">
        <w:trPr>
          <w:gridAfter w:val="1"/>
          <w:wAfter w:w="10" w:type="dxa"/>
          <w:trHeight w:val="105"/>
        </w:trPr>
        <w:tc>
          <w:tcPr>
            <w:tcW w:w="899" w:type="dxa"/>
            <w:gridSpan w:val="3"/>
            <w:shd w:val="clear" w:color="auto" w:fill="FFFFFF"/>
          </w:tcPr>
          <w:p w14:paraId="25B1D2AB"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21661D1"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53.</w:t>
            </w:r>
            <w:r w:rsidRPr="005D6998">
              <w:rPr>
                <w:rFonts w:ascii="Times New Roman" w:hAnsi="Times New Roman"/>
              </w:rPr>
              <w:t xml:space="preserve"> Se completează cu </w:t>
            </w:r>
            <w:r w:rsidRPr="005D6998">
              <w:rPr>
                <w:rFonts w:ascii="Times New Roman" w:hAnsi="Times New Roman"/>
                <w:b/>
                <w:bCs/>
              </w:rPr>
              <w:t>articolele 58</w:t>
            </w:r>
            <w:r w:rsidRPr="005D6998">
              <w:rPr>
                <w:rFonts w:ascii="Times New Roman" w:hAnsi="Times New Roman"/>
                <w:b/>
                <w:bCs/>
                <w:vertAlign w:val="superscript"/>
              </w:rPr>
              <w:t>1</w:t>
            </w:r>
            <w:r w:rsidRPr="005D6998">
              <w:rPr>
                <w:rFonts w:ascii="Times New Roman" w:hAnsi="Times New Roman"/>
              </w:rPr>
              <w:t xml:space="preserve"> – </w:t>
            </w:r>
            <w:r w:rsidRPr="005D6998">
              <w:rPr>
                <w:rFonts w:ascii="Times New Roman" w:hAnsi="Times New Roman"/>
                <w:b/>
                <w:bCs/>
              </w:rPr>
              <w:t>58</w:t>
            </w:r>
            <w:r w:rsidRPr="005D6998">
              <w:rPr>
                <w:rFonts w:ascii="Times New Roman" w:hAnsi="Times New Roman"/>
                <w:b/>
                <w:bCs/>
                <w:vertAlign w:val="superscript"/>
              </w:rPr>
              <w:t>4</w:t>
            </w:r>
            <w:r w:rsidRPr="005D6998">
              <w:rPr>
                <w:rFonts w:ascii="Times New Roman" w:hAnsi="Times New Roman"/>
              </w:rPr>
              <w:t xml:space="preserve"> cu următorul cuprins:</w:t>
            </w:r>
          </w:p>
          <w:p w14:paraId="0FB369E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 Banca Națională a Moldovei evaluează notificarea proiectului de achiziție prevăzută la art. 58</w:t>
            </w:r>
            <w:r w:rsidRPr="005D6998">
              <w:rPr>
                <w:rFonts w:ascii="Times New Roman" w:hAnsi="Times New Roman"/>
                <w:vertAlign w:val="superscript"/>
              </w:rPr>
              <w:t xml:space="preserve"> </w:t>
            </w:r>
            <w:r w:rsidRPr="005D6998">
              <w:rPr>
                <w:rFonts w:ascii="Times New Roman" w:hAnsi="Times New Roman"/>
              </w:rPr>
              <w:t>alin. (1) și a informațiilor menționate la art. 58</w:t>
            </w:r>
            <w:r w:rsidRPr="005D6998">
              <w:rPr>
                <w:rFonts w:ascii="Times New Roman" w:hAnsi="Times New Roman"/>
                <w:vertAlign w:val="superscript"/>
              </w:rPr>
              <w:t xml:space="preserve"> </w:t>
            </w:r>
            <w:r w:rsidRPr="005D6998">
              <w:rPr>
                <w:rFonts w:ascii="Times New Roman" w:hAnsi="Times New Roman"/>
              </w:rPr>
              <w:t>alin. (10) din perspectiva unei administrări sănătoase și prudente de către potențialul achizitor și, în special, riscurile la care acesta este sau ar putea fi expus după achiziție, în conformitate cu următoarele criterii:</w:t>
            </w:r>
          </w:p>
          <w:p w14:paraId="70F216E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 </w:t>
            </w:r>
          </w:p>
          <w:p w14:paraId="1266B721" w14:textId="77777777" w:rsidR="00513EDC" w:rsidRPr="005D6998" w:rsidRDefault="00513EDC" w:rsidP="00513EDC">
            <w:pPr>
              <w:spacing w:after="0" w:line="240" w:lineRule="auto"/>
              <w:jc w:val="both"/>
              <w:rPr>
                <w:rFonts w:ascii="Times New Roman" w:hAnsi="Times New Roman"/>
                <w:i/>
                <w:iCs/>
              </w:rPr>
            </w:pPr>
            <w:r w:rsidRPr="005D6998">
              <w:rPr>
                <w:rFonts w:ascii="Times New Roman" w:hAnsi="Times New Roman"/>
              </w:rPr>
              <w:t>b) dacă există motive rezonabile de a se suspecta că, în legătură cu proiectul de achiziție, a fost sau este săvârșită o faptă sau o tentativă de spălare de bani sau de finanțare a unor acte de terorism în sensul Legii nr. 308/2017 cu privire la prevenirea şi combaterea spălării banilor şi finanţării terorismului sau că proiectul de achiziție ar putea face să crească un astfel de risc</w:t>
            </w:r>
            <w:r w:rsidRPr="005D6998">
              <w:rPr>
                <w:rFonts w:ascii="Times New Roman" w:hAnsi="Times New Roman"/>
                <w:i/>
                <w:iCs/>
              </w:rPr>
              <w:t xml:space="preserve">.  </w:t>
            </w:r>
          </w:p>
          <w:p w14:paraId="098C1A7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5EE0513F"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 xml:space="preserve">(2) În scopul evaluării criteriului prevăzut la alin. (1) lit. b), Banca Națională a Moldovei consultă, în contextul verificărilor sale, </w:t>
            </w:r>
            <w:r w:rsidRPr="005D6998">
              <w:rPr>
                <w:rFonts w:ascii="Times New Roman" w:hAnsi="Times New Roman"/>
                <w:b/>
              </w:rPr>
              <w:t xml:space="preserve">autoritățile responsabile cu supravegherea potențialului achizitor în conformitate cu legislația cu privire la prevenirea şi </w:t>
            </w:r>
            <w:r w:rsidRPr="005D6998">
              <w:rPr>
                <w:rFonts w:ascii="Times New Roman" w:hAnsi="Times New Roman"/>
                <w:b/>
              </w:rPr>
              <w:lastRenderedPageBreak/>
              <w:t>combaterea spălării banilor şi finanţării terorismului</w:t>
            </w:r>
            <w:r w:rsidRPr="005D6998">
              <w:rPr>
                <w:rFonts w:ascii="Times New Roman" w:hAnsi="Times New Roman"/>
              </w:rPr>
              <w:t>.</w:t>
            </w:r>
            <w:r w:rsidRPr="005D6998">
              <w:rPr>
                <w:rFonts w:ascii="Times New Roman" w:hAnsi="Times New Roman"/>
                <w:b/>
                <w:bCs/>
                <w:color w:val="FF0000"/>
              </w:rPr>
              <w:t xml:space="preserve"> </w:t>
            </w:r>
          </w:p>
          <w:p w14:paraId="31EBA3F8" w14:textId="5E99CE0E" w:rsidR="00513EDC" w:rsidRPr="005D6998" w:rsidRDefault="00513EDC" w:rsidP="00513EDC">
            <w:pPr>
              <w:pStyle w:val="a7"/>
              <w:tabs>
                <w:tab w:val="left" w:pos="426"/>
              </w:tabs>
              <w:spacing w:after="0" w:line="240" w:lineRule="auto"/>
              <w:ind w:left="0"/>
              <w:jc w:val="both"/>
              <w:rPr>
                <w:rFonts w:ascii="Times New Roman" w:hAnsi="Times New Roman"/>
                <w:b/>
                <w:bCs/>
              </w:rPr>
            </w:pPr>
            <w:r w:rsidRPr="005D6998">
              <w:rPr>
                <w:rFonts w:ascii="Times New Roman" w:hAnsi="Times New Roman"/>
              </w:rPr>
              <w:t xml:space="preserve">(4) Banca Națională a Moldovei ia în considerare, la evaluarea proiectului de achiziție, în mod corespunzător un aviz negativ emis de </w:t>
            </w:r>
            <w:r w:rsidRPr="005D6998">
              <w:rPr>
                <w:rFonts w:ascii="Times New Roman" w:hAnsi="Times New Roman"/>
                <w:b/>
              </w:rPr>
              <w:t>autoritățile responsabile cu supravegherea potențialului achizitor în conformitate cu Legea nr. 308/2017 cu privire la prevenirea şi combaterea spălării banilor şi finanţării terorismului</w:t>
            </w:r>
            <w:r w:rsidRPr="005D6998">
              <w:rPr>
                <w:rFonts w:ascii="Times New Roman" w:hAnsi="Times New Roman"/>
              </w:rPr>
              <w:t>, recepționat în termen de 30 de zile lucrătoare de la cererea inițială, în temeiul alin. (1) lit. b), acesta putând constitui un motiv rezonabil de opoziție.</w:t>
            </w:r>
            <w:r w:rsidRPr="005D6998">
              <w:rPr>
                <w:rFonts w:ascii="Times New Roman" w:hAnsi="Times New Roman"/>
                <w:b/>
                <w:bCs/>
                <w:color w:val="FF0000"/>
              </w:rPr>
              <w:t xml:space="preserve"> </w:t>
            </w:r>
          </w:p>
        </w:tc>
        <w:tc>
          <w:tcPr>
            <w:tcW w:w="1559" w:type="dxa"/>
            <w:gridSpan w:val="3"/>
            <w:shd w:val="clear" w:color="auto" w:fill="FFFFFF"/>
          </w:tcPr>
          <w:p w14:paraId="544396C9"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37FE1D43" w14:textId="3FFC7A3B"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2AB567B6"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3EA01C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58</w:t>
            </w:r>
            <w:r w:rsidRPr="005D6998">
              <w:rPr>
                <w:rFonts w:ascii="Times New Roman" w:hAnsi="Times New Roman"/>
                <w:vertAlign w:val="superscript"/>
              </w:rPr>
              <w:t>1</w:t>
            </w:r>
            <w:r w:rsidRPr="005D6998">
              <w:rPr>
                <w:rFonts w:ascii="Times New Roman" w:hAnsi="Times New Roman"/>
              </w:rPr>
              <w:t>, alin. (1) lit. b), alin. (2) și alin. (4), se propune substituirea formulei „autoritățile responsabile cu supravegherea” cu „organele cu funcții de supraveghere competente, în sensul Legii nr. 308/2017”.</w:t>
            </w:r>
          </w:p>
          <w:p w14:paraId="5352E8B0" w14:textId="77777777" w:rsidR="00513EDC" w:rsidRPr="005D6998" w:rsidRDefault="00513EDC" w:rsidP="00513EDC">
            <w:pPr>
              <w:spacing w:after="0" w:line="240" w:lineRule="auto"/>
              <w:jc w:val="both"/>
              <w:rPr>
                <w:rFonts w:ascii="Times New Roman" w:hAnsi="Times New Roman"/>
              </w:rPr>
            </w:pPr>
          </w:p>
          <w:p w14:paraId="2EB58706" w14:textId="31D2E5CF" w:rsidR="00513EDC" w:rsidRPr="005D6998" w:rsidRDefault="00513EDC" w:rsidP="00513EDC">
            <w:pPr>
              <w:spacing w:after="0" w:line="240" w:lineRule="auto"/>
              <w:jc w:val="both"/>
              <w:rPr>
                <w:rFonts w:ascii="Times New Roman" w:hAnsi="Times New Roman"/>
              </w:rPr>
            </w:pPr>
            <w:r w:rsidRPr="005D6998">
              <w:rPr>
                <w:rFonts w:ascii="Times New Roman" w:hAnsi="Times New Roman"/>
              </w:rPr>
              <w:t>Totodată, în măsura în care evaluarea presupune solicitarea de informații de la Serviciu, se propune ca textul să prevadă comunicarea informațiilor relevante disponibile, în limita competențelor deținute și cu respectarea regimului informațiilor protejate prin lege, fără instituirea unei obligații de avizare într-o formă care ar putea presupune divulgarea informațiilor protejate.</w:t>
            </w:r>
          </w:p>
          <w:p w14:paraId="0509B7EA" w14:textId="77777777" w:rsidR="00513EDC" w:rsidRPr="005D6998" w:rsidRDefault="00513EDC" w:rsidP="00513EDC">
            <w:pPr>
              <w:spacing w:after="0" w:line="240" w:lineRule="auto"/>
              <w:jc w:val="both"/>
              <w:rPr>
                <w:rFonts w:ascii="Times New Roman" w:hAnsi="Times New Roman"/>
              </w:rPr>
            </w:pPr>
          </w:p>
          <w:p w14:paraId="0C5878D4" w14:textId="77777777"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6428F7F6"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41D9300B" w14:textId="2D7981DF"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 fost înlocuit textul “autoritățile responsabile cu supravegherea” cu textul “organele cu funcții de supraveghere” și textul “legislația cu privire la prevenirea și combaterea spălării banilor și finanțării terorismului” cu textul “Legea nr. 308/2017” din art. 58</w:t>
            </w:r>
            <w:r w:rsidRPr="005D6998">
              <w:rPr>
                <w:rFonts w:ascii="Times New Roman" w:hAnsi="Times New Roman"/>
                <w:vertAlign w:val="superscript"/>
              </w:rPr>
              <w:t>1</w:t>
            </w:r>
            <w:r w:rsidRPr="005D6998">
              <w:rPr>
                <w:rFonts w:ascii="Times New Roman" w:hAnsi="Times New Roman"/>
              </w:rPr>
              <w:t xml:space="preserve"> alin. (2) și alin. (4).</w:t>
            </w:r>
          </w:p>
          <w:p w14:paraId="014A1347"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392009F9" w14:textId="25561E15"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La art. 58</w:t>
            </w:r>
            <w:r w:rsidRPr="005D6998">
              <w:rPr>
                <w:rFonts w:ascii="Times New Roman" w:hAnsi="Times New Roman"/>
                <w:vertAlign w:val="superscript"/>
              </w:rPr>
              <w:t>1</w:t>
            </w:r>
            <w:r w:rsidRPr="005D6998">
              <w:rPr>
                <w:rFonts w:ascii="Times New Roman" w:hAnsi="Times New Roman"/>
              </w:rPr>
              <w:t xml:space="preserve"> alin. (1) lit. b) nu este cazul, deoarece nu face referință la autorități.</w:t>
            </w:r>
          </w:p>
        </w:tc>
      </w:tr>
      <w:tr w:rsidR="00513EDC" w:rsidRPr="005D6998" w14:paraId="3ED89283" w14:textId="77777777" w:rsidTr="00651F58">
        <w:trPr>
          <w:gridAfter w:val="1"/>
          <w:wAfter w:w="10" w:type="dxa"/>
          <w:trHeight w:val="105"/>
        </w:trPr>
        <w:tc>
          <w:tcPr>
            <w:tcW w:w="899" w:type="dxa"/>
            <w:gridSpan w:val="3"/>
            <w:shd w:val="clear" w:color="auto" w:fill="FFFFFF"/>
          </w:tcPr>
          <w:p w14:paraId="448D6F6C"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FDE5BE1" w14:textId="3AA813F4"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58.</w:t>
            </w:r>
            <w:r w:rsidRPr="005D6998">
              <w:rPr>
                <w:rFonts w:ascii="Times New Roman" w:hAnsi="Times New Roman"/>
              </w:rPr>
              <w:t xml:space="preserve"> La articolul 66 alineatul (2), cifrele „90” se substituie cu cifrele „180” iar textul „30” se substituie cu cifrele „90”;</w:t>
            </w:r>
          </w:p>
          <w:p w14:paraId="00F86392" w14:textId="77777777" w:rsidR="00513EDC" w:rsidRPr="005D6998" w:rsidRDefault="00513EDC" w:rsidP="00513EDC">
            <w:pPr>
              <w:pStyle w:val="a7"/>
              <w:tabs>
                <w:tab w:val="left" w:pos="426"/>
              </w:tabs>
              <w:spacing w:after="0" w:line="240" w:lineRule="auto"/>
              <w:ind w:left="0"/>
              <w:jc w:val="both"/>
              <w:rPr>
                <w:rFonts w:ascii="Times New Roman" w:hAnsi="Times New Roman"/>
                <w:b/>
                <w:bCs/>
              </w:rPr>
            </w:pPr>
          </w:p>
        </w:tc>
        <w:tc>
          <w:tcPr>
            <w:tcW w:w="1559" w:type="dxa"/>
            <w:gridSpan w:val="3"/>
            <w:shd w:val="clear" w:color="auto" w:fill="FFFFFF"/>
          </w:tcPr>
          <w:p w14:paraId="02326563"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62683A7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41089A4" w14:textId="043AFD72"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197D3BDD"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52F79BE"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Asociat prevederilor vizate la art. 66 alin. (2) privind modelele interne, se consideră necesară completarea cadrului privind modelele interne prin introducerea unei clasificări clare a modificărilor aduse acestora. </w:t>
            </w:r>
          </w:p>
          <w:p w14:paraId="4EBA0AFC" w14:textId="77777777" w:rsidR="00513EDC" w:rsidRPr="005D6998" w:rsidRDefault="00513EDC" w:rsidP="00513EDC">
            <w:pPr>
              <w:pStyle w:val="a7"/>
              <w:tabs>
                <w:tab w:val="left" w:pos="426"/>
              </w:tabs>
              <w:spacing w:after="0" w:line="240" w:lineRule="auto"/>
              <w:ind w:left="0"/>
              <w:jc w:val="both"/>
              <w:rPr>
                <w:rFonts w:ascii="Times New Roman" w:hAnsi="Times New Roman"/>
              </w:rPr>
            </w:pPr>
          </w:p>
          <w:p w14:paraId="79385430"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De asemenea, se recomandă stabilirea, prin acte normative, a unei distincții între: modificări semnificative ale modelelor, supuse aprobării prealabile; modificări nesemnificative, supuse notificării; extinderi ale modelelor la noi portofolii, supuse unei proceduri distincte de aprobare. </w:t>
            </w:r>
          </w:p>
          <w:p w14:paraId="746E3FB6" w14:textId="68440134"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Se opinează că criteriile de clasificare și procedurile aferente ar urma să fie stabilite de BNM, în concordanță cu Ghidurile EBA privind modelele interne (EBA/GL/2023/01). Se estimează că o astfel de abordare ar contribui la eficientizarea procesului de supraveghere, reducerea costurilor de conformitate și menținerea calității și </w:t>
            </w:r>
            <w:r w:rsidRPr="005D6998">
              <w:rPr>
                <w:rFonts w:ascii="Times New Roman" w:hAnsi="Times New Roman"/>
              </w:rPr>
              <w:lastRenderedPageBreak/>
              <w:t>robusteții modelelor interne utilizate de instituțiile de credit.</w:t>
            </w:r>
          </w:p>
        </w:tc>
        <w:tc>
          <w:tcPr>
            <w:tcW w:w="5012" w:type="dxa"/>
            <w:gridSpan w:val="3"/>
            <w:shd w:val="clear" w:color="auto" w:fill="FFFFFF"/>
          </w:tcPr>
          <w:p w14:paraId="067C8AE0" w14:textId="59682EBC"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108AA39D"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Prin Regulamentul privind tratamentul riscului de credit potrivit abordării bazate pe modele interne de rating, aprobat prin HCE al BNM nr. 162 din 2 iulie 2026, a fost instituit cadrul normativ secundar aferent abordării bazate pe modele interne de rating pentru riscul de credit.</w:t>
            </w:r>
          </w:p>
          <w:p w14:paraId="31B38A8A" w14:textId="2D8E217F"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Totodată, în vederea alinierii cadrului normativ național la acquis-ul Uniunii Europene, menționăm că cadru normativ secundar urmează a fi completat, inclusiv sub aspectul reglementării gradului de importanță al extinderilor și modificărilor aduse sistemelor interne de rating.</w:t>
            </w:r>
          </w:p>
          <w:p w14:paraId="448F0C53" w14:textId="45AC625D" w:rsidR="00513EDC" w:rsidRPr="005D6998" w:rsidRDefault="00513EDC" w:rsidP="00513EDC">
            <w:pPr>
              <w:tabs>
                <w:tab w:val="left" w:pos="884"/>
                <w:tab w:val="left" w:pos="1196"/>
              </w:tabs>
              <w:spacing w:after="0" w:line="240" w:lineRule="auto"/>
              <w:jc w:val="both"/>
              <w:rPr>
                <w:rFonts w:ascii="Times New Roman" w:hAnsi="Times New Roman"/>
                <w:lang w:val="ro-MD"/>
              </w:rPr>
            </w:pPr>
          </w:p>
        </w:tc>
      </w:tr>
      <w:tr w:rsidR="00513EDC" w:rsidRPr="005D6998" w14:paraId="7CDB5061" w14:textId="77777777" w:rsidTr="00651F58">
        <w:trPr>
          <w:gridAfter w:val="1"/>
          <w:wAfter w:w="10" w:type="dxa"/>
          <w:trHeight w:val="105"/>
        </w:trPr>
        <w:tc>
          <w:tcPr>
            <w:tcW w:w="899" w:type="dxa"/>
            <w:gridSpan w:val="3"/>
            <w:shd w:val="clear" w:color="auto" w:fill="FFFFFF"/>
          </w:tcPr>
          <w:p w14:paraId="5134F031"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FB38C21" w14:textId="18A3FEDD"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59.</w:t>
            </w:r>
            <w:r w:rsidRPr="005D6998">
              <w:rPr>
                <w:rFonts w:ascii="Times New Roman" w:hAnsi="Times New Roman"/>
              </w:rPr>
              <w:t xml:space="preserve"> Articolul 70,</w:t>
            </w:r>
          </w:p>
          <w:p w14:paraId="0662518A" w14:textId="7349A3DC"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04DEDBF3"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la alineatul (3), </w:t>
            </w:r>
          </w:p>
          <w:p w14:paraId="74A8B152"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prima propoziție va avea următorul cuprins:</w:t>
            </w:r>
          </w:p>
          <w:p w14:paraId="4CA5B168"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„Condiţiile în care instituțiile de credit </w:t>
            </w:r>
            <w:r w:rsidRPr="005D6998">
              <w:rPr>
                <w:rFonts w:ascii="Times New Roman" w:hAnsi="Times New Roman"/>
                <w:b/>
                <w:bCs/>
              </w:rPr>
              <w:t>solicită aprobările prealabile</w:t>
            </w:r>
            <w:r w:rsidRPr="005D6998">
              <w:rPr>
                <w:rFonts w:ascii="Times New Roman" w:hAnsi="Times New Roman"/>
              </w:rPr>
              <w:t xml:space="preserve"> aferente calculării cerințelor de fonduri proprii pentru riscul operațional sunt prevăzute de actele normative emise pentru aplicarea prezentei legi.” </w:t>
            </w:r>
          </w:p>
          <w:p w14:paraId="76EF7BC9" w14:textId="116493D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iar în a doua propoziție, textul „ , depuse conform alin.(2) lit.c) și d),” se exclude.</w:t>
            </w:r>
          </w:p>
        </w:tc>
        <w:tc>
          <w:tcPr>
            <w:tcW w:w="1559" w:type="dxa"/>
            <w:gridSpan w:val="3"/>
            <w:shd w:val="clear" w:color="auto" w:fill="FFFFFF"/>
          </w:tcPr>
          <w:p w14:paraId="7575740F"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35F248D4"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C6CD51D" w14:textId="03D87D59"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5638A68E"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A68A63F" w14:textId="13188CCD"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70 alin. (3), se propune eliminarea sintagmei „solicită aprobările prealabile” sau, după caz, reformularea textului în vederea alinierii cu regimul normativ efectiv aplicabil.</w:t>
            </w:r>
          </w:p>
          <w:p w14:paraId="35720869" w14:textId="77777777" w:rsidR="00513EDC" w:rsidRPr="005D6998" w:rsidRDefault="00513EDC" w:rsidP="00513EDC">
            <w:pPr>
              <w:spacing w:after="0" w:line="240" w:lineRule="auto"/>
              <w:jc w:val="both"/>
              <w:rPr>
                <w:rFonts w:ascii="Times New Roman" w:hAnsi="Times New Roman"/>
              </w:rPr>
            </w:pPr>
          </w:p>
          <w:p w14:paraId="565A7A70" w14:textId="20A99D0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ar exista o nealiniere cu reglementările în vigoare ale Băncii Naționale a Moldovei. În speță, în conformitate cu Regulamentul privind cerința de fonduri proprii pentru riscul operațional, modificarea și abrogarea unor acte normative ale Băncii Naționale a Moldovei nr. 311 din 23.12.2025, cadrul aplicabil instituțiilor de credit din Republica Moldova prevede o singură metodă pentru calcularea cerinței de fonduri proprii pentru riscul operațional, respectiv abordarea standardizată, aplicabilă uniform tuturor băncilor. </w:t>
            </w:r>
          </w:p>
        </w:tc>
        <w:tc>
          <w:tcPr>
            <w:tcW w:w="5012" w:type="dxa"/>
            <w:gridSpan w:val="3"/>
            <w:shd w:val="clear" w:color="auto" w:fill="FFFFFF"/>
          </w:tcPr>
          <w:p w14:paraId="4B764BDC"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3404FD18" w14:textId="602C63A9"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Conform Regulamentul nr.311/2025 stabilește că BNM eliberează aprobări prealabile pentru:</w:t>
            </w:r>
          </w:p>
          <w:p w14:paraId="3E6E4561"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excluderea din indicatorul de activitate a cuantumurilor legate de entităţile sau activităţile cedate (pct.15);</w:t>
            </w:r>
          </w:p>
          <w:p w14:paraId="276874E7"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excluderea din calculul pierderii sale anuale din riscul operaţional a evenimentelor excepţionale de risc operaţional care nu mai sunt relevante pentru profilul de risc al băncii (pct.40).</w:t>
            </w:r>
          </w:p>
          <w:p w14:paraId="68180742" w14:textId="6E9C9154"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Prin urmare, sintagma „solicită aprobările prealabile” urmează a fi păstrată.</w:t>
            </w:r>
          </w:p>
        </w:tc>
      </w:tr>
      <w:tr w:rsidR="00513EDC" w:rsidRPr="005D6998" w14:paraId="2E89CCA5" w14:textId="77777777" w:rsidTr="00651F58">
        <w:trPr>
          <w:gridAfter w:val="1"/>
          <w:wAfter w:w="10" w:type="dxa"/>
          <w:trHeight w:val="105"/>
        </w:trPr>
        <w:tc>
          <w:tcPr>
            <w:tcW w:w="899" w:type="dxa"/>
            <w:gridSpan w:val="3"/>
            <w:shd w:val="clear" w:color="auto" w:fill="FFFFFF"/>
          </w:tcPr>
          <w:p w14:paraId="41279BA4"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77C9241" w14:textId="30DF3488"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61.</w:t>
            </w:r>
            <w:r w:rsidRPr="005D6998">
              <w:rPr>
                <w:rFonts w:ascii="Times New Roman" w:hAnsi="Times New Roman"/>
              </w:rPr>
              <w:t xml:space="preserve"> La articolul 72, </w:t>
            </w:r>
          </w:p>
          <w:p w14:paraId="43557A9E" w14:textId="6E8AFD81"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414DDD19"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la alineatul (2),  cuvintele „pentru riscurile indicate la alin.(1)” se exclud, cifrele „60” se substituie cu cifrele „180” iar cifrele „30” se substituie cu cifrele „90”.</w:t>
            </w:r>
          </w:p>
          <w:p w14:paraId="278AB65A" w14:textId="77777777" w:rsidR="00513EDC" w:rsidRPr="005D6998" w:rsidRDefault="00513EDC" w:rsidP="00513EDC">
            <w:pPr>
              <w:tabs>
                <w:tab w:val="left" w:pos="426"/>
              </w:tabs>
              <w:spacing w:after="0" w:line="240" w:lineRule="auto"/>
              <w:jc w:val="both"/>
              <w:rPr>
                <w:rFonts w:ascii="Times New Roman" w:hAnsi="Times New Roman"/>
                <w:b/>
                <w:bCs/>
              </w:rPr>
            </w:pPr>
          </w:p>
        </w:tc>
        <w:tc>
          <w:tcPr>
            <w:tcW w:w="1559" w:type="dxa"/>
            <w:gridSpan w:val="3"/>
            <w:shd w:val="clear" w:color="auto" w:fill="FFFFFF"/>
          </w:tcPr>
          <w:p w14:paraId="04F4AD2D"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39A4553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F825106" w14:textId="6C99481C"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156AFABF"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4222144" w14:textId="27234877" w:rsidR="00513EDC" w:rsidRPr="005D6998" w:rsidRDefault="007E3600" w:rsidP="00513EDC">
            <w:pPr>
              <w:spacing w:after="0" w:line="240" w:lineRule="auto"/>
              <w:jc w:val="both"/>
              <w:rPr>
                <w:rFonts w:ascii="Times New Roman" w:hAnsi="Times New Roman"/>
              </w:rPr>
            </w:pPr>
            <w:r w:rsidRPr="005D6998">
              <w:rPr>
                <w:rFonts w:ascii="Times New Roman" w:hAnsi="Times New Roman"/>
              </w:rPr>
              <w:t xml:space="preserve">Asociat prevederilor vizate la art. 72 alin. (2), privind modelele interne, se consideră necesară completarea cadrului privind modelele interne prin introducerea unei clasificări clare a modificărilor aduse acestora. De asemenea, se recomandă stabilirea, prin acte normative, a unei distincții între: modificări semnificative ale modelelor, supuse aprobării prealabile; modificări nesemnificative, supuse notificării; extinderi ale modelelor la noi portofolii, supuse unei proceduri distincte de aprobare. Criteriile de clasificare și procedurile aferente ar urma să fie stabilite de BNM, în concordanță cu Ghidurile EBA privind modelele interne (EBA/GL/2023/01). Estimăm că o astfel de abordare ar contribui </w:t>
            </w:r>
            <w:r w:rsidRPr="005D6998">
              <w:rPr>
                <w:rFonts w:ascii="Times New Roman" w:hAnsi="Times New Roman"/>
              </w:rPr>
              <w:lastRenderedPageBreak/>
              <w:t>la eficientizarea procesului de supraveghere, reducerea costurilor de conformitate și menținerea calității și robusteții modelelor interne utilizate de instituțiile de credit.</w:t>
            </w:r>
          </w:p>
        </w:tc>
        <w:tc>
          <w:tcPr>
            <w:tcW w:w="5012" w:type="dxa"/>
            <w:gridSpan w:val="3"/>
            <w:shd w:val="clear" w:color="auto" w:fill="FFFFFF"/>
          </w:tcPr>
          <w:p w14:paraId="67577155" w14:textId="6B6FEA8D"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6C630A2A" w14:textId="39FBB58C"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Proiectul regulamentului de modificare a  Regulamentului privind cerinţele de fonduri proprii pentru riscul de piață (supus consultării publice 24.06.2026-24.07.2026) stabilește procedura de emitere de către BNM a aprobărilor şi permisiunilor în contextul aprobărilor prealabile, aprobărilor și permisiunilor aferente calculării cerințelor de fonduri proprii pentru riscul de piață. Alte aspecte tehnice urmează a fi stabilite în actele normative ale BNM în funcție de evoluțiile cadrului european.</w:t>
            </w:r>
          </w:p>
        </w:tc>
      </w:tr>
      <w:tr w:rsidR="00513EDC" w:rsidRPr="005D6998" w14:paraId="7CBEA806" w14:textId="77777777" w:rsidTr="00651F58">
        <w:trPr>
          <w:gridAfter w:val="1"/>
          <w:wAfter w:w="10" w:type="dxa"/>
          <w:trHeight w:val="105"/>
        </w:trPr>
        <w:tc>
          <w:tcPr>
            <w:tcW w:w="899" w:type="dxa"/>
            <w:gridSpan w:val="3"/>
            <w:shd w:val="clear" w:color="auto" w:fill="FFFFFF"/>
          </w:tcPr>
          <w:p w14:paraId="1097780A"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DE4CD6F" w14:textId="2C9D8159" w:rsidR="00513EDC" w:rsidRPr="005D6998" w:rsidRDefault="00513EDC" w:rsidP="00513EDC">
            <w:pPr>
              <w:tabs>
                <w:tab w:val="left" w:pos="426"/>
              </w:tabs>
              <w:spacing w:after="0" w:line="240" w:lineRule="auto"/>
              <w:jc w:val="both"/>
              <w:rPr>
                <w:rFonts w:ascii="Times New Roman" w:hAnsi="Times New Roman"/>
                <w:b/>
                <w:bCs/>
              </w:rPr>
            </w:pPr>
            <w:r w:rsidRPr="005D6998">
              <w:rPr>
                <w:rFonts w:ascii="Times New Roman" w:hAnsi="Times New Roman"/>
                <w:b/>
                <w:bCs/>
              </w:rPr>
              <w:t>69.</w:t>
            </w:r>
            <w:r w:rsidRPr="005D6998">
              <w:rPr>
                <w:rFonts w:ascii="Times New Roman" w:hAnsi="Times New Roman"/>
              </w:rPr>
              <w:t xml:space="preserve"> La articolul 85 alineatul (3), textul „Organele de conducere ale băncii sînt responsabile” se substituie cu textul „Organul de conducere al instituției de credit este responsabil”.</w:t>
            </w:r>
          </w:p>
        </w:tc>
        <w:tc>
          <w:tcPr>
            <w:tcW w:w="1559" w:type="dxa"/>
            <w:gridSpan w:val="3"/>
            <w:shd w:val="clear" w:color="auto" w:fill="FFFFFF"/>
          </w:tcPr>
          <w:p w14:paraId="0ADAE103"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09F6E72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DA9DED5" w14:textId="244DA65D"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28D68478"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46432BF" w14:textId="1F74AD6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85 alin. (3), având în vedere că cele două componente ale organului de conducere – Consiliul și organul executiv – exercită atribuții distincte în cadrul sistemului de guvernanță, se consideră oportună clarificarea modului în care responsabilitatea prevăzută de normă se distribuie între acestea, pentru a evita eventuale dificultăți de interpretare și aplicare.</w:t>
            </w:r>
          </w:p>
          <w:p w14:paraId="7F1AD85C" w14:textId="77777777" w:rsidR="00513EDC" w:rsidRPr="005D6998" w:rsidRDefault="00513EDC" w:rsidP="00513EDC">
            <w:pPr>
              <w:spacing w:after="0" w:line="240" w:lineRule="auto"/>
              <w:jc w:val="both"/>
              <w:rPr>
                <w:rFonts w:ascii="Times New Roman" w:hAnsi="Times New Roman"/>
              </w:rPr>
            </w:pPr>
          </w:p>
          <w:p w14:paraId="48A4C96F" w14:textId="636262E4"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înlocuirea referirii la „organele de conducere ale băncii sunt responsabile” cu noțiunea de „organ de conducere al instituției de credit responsabil” poate genera neclarități privind întinderea responsabilităților care revin funcției de supraveghere și funcției de conducere efectivă a instituției de credit. Or, în structura de guvernanță duală a băncii (organ de supraveghere – Consiliu și organ executiv), formularea la singular poate genera ambiguitate cu privire la alocarea răspunderii între cele două componente ale organului de conducere, cu posibile consecințe în proceduri de sancționare individuală sau în litigii privind răspunderea administratorilor. </w:t>
            </w:r>
          </w:p>
        </w:tc>
        <w:tc>
          <w:tcPr>
            <w:tcW w:w="5012" w:type="dxa"/>
            <w:gridSpan w:val="3"/>
            <w:shd w:val="clear" w:color="auto" w:fill="FFFFFF"/>
          </w:tcPr>
          <w:p w14:paraId="7C2DD097"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6B88CE88" w14:textId="462C2305"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Aceasta modificare are caracter de uniformizare terminologică și de aducere în concordanță cu abordarea utilizată în întregul proiect în ceea ce privește noțiunea de „organ de conducere”.</w:t>
            </w:r>
          </w:p>
          <w:p w14:paraId="741F05E3"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Or, conform art. 40 din proiect, precum și definiția de “organ de conducere” din art. 3 stabilește că atunci când se utilizează acest termen se au în vedere atât organul executiv cât și Consiliul. </w:t>
            </w:r>
          </w:p>
          <w:p w14:paraId="21009B04" w14:textId="50E59642"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Aceasta abordare reflectă conceptul unitar de „organ de conducere”,, responsabilitățile fiind exercitate de fiecare componentă în limitele competențelor specifice care îi revin potrivit cadrului de guvernanță aplicabil instituției de credit.</w:t>
            </w:r>
          </w:p>
          <w:p w14:paraId="74D078FE"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tc>
      </w:tr>
      <w:tr w:rsidR="00513EDC" w:rsidRPr="005D6998" w14:paraId="2C9FDC94" w14:textId="77777777" w:rsidTr="00651F58">
        <w:trPr>
          <w:gridAfter w:val="1"/>
          <w:wAfter w:w="10" w:type="dxa"/>
          <w:trHeight w:val="105"/>
        </w:trPr>
        <w:tc>
          <w:tcPr>
            <w:tcW w:w="899" w:type="dxa"/>
            <w:gridSpan w:val="3"/>
            <w:shd w:val="clear" w:color="auto" w:fill="FFFFFF"/>
          </w:tcPr>
          <w:p w14:paraId="48E97D50" w14:textId="77777777" w:rsidR="00513EDC" w:rsidRPr="005D6998" w:rsidRDefault="00513EDC" w:rsidP="00513EDC">
            <w:pPr>
              <w:tabs>
                <w:tab w:val="left" w:pos="884"/>
                <w:tab w:val="left" w:pos="1196"/>
              </w:tabs>
              <w:spacing w:after="0" w:line="240" w:lineRule="auto"/>
              <w:jc w:val="both"/>
              <w:rPr>
                <w:rFonts w:ascii="Times New Roman" w:hAnsi="Times New Roman"/>
                <w:b/>
              </w:rPr>
            </w:pPr>
          </w:p>
        </w:tc>
        <w:tc>
          <w:tcPr>
            <w:tcW w:w="3637" w:type="dxa"/>
            <w:shd w:val="clear" w:color="auto" w:fill="FFFFFF"/>
          </w:tcPr>
          <w:p w14:paraId="7C615F45"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80.</w:t>
            </w:r>
            <w:r w:rsidRPr="005D6998">
              <w:rPr>
                <w:rFonts w:ascii="Times New Roman" w:hAnsi="Times New Roman"/>
              </w:rPr>
              <w:t xml:space="preserve"> Articolul 103 va avea următorul cuprins:</w:t>
            </w:r>
          </w:p>
          <w:p w14:paraId="3E90DCF7"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4079350A" w14:textId="5679D628" w:rsidR="00513EDC" w:rsidRPr="005D6998" w:rsidRDefault="00513EDC" w:rsidP="00513EDC">
            <w:pPr>
              <w:tabs>
                <w:tab w:val="left" w:pos="426"/>
              </w:tabs>
              <w:spacing w:after="0" w:line="240" w:lineRule="auto"/>
              <w:jc w:val="both"/>
              <w:rPr>
                <w:rFonts w:ascii="Times New Roman" w:hAnsi="Times New Roman"/>
                <w:b/>
                <w:bCs/>
              </w:rPr>
            </w:pPr>
            <w:r w:rsidRPr="005D6998">
              <w:rPr>
                <w:rFonts w:ascii="Times New Roman" w:hAnsi="Times New Roman"/>
              </w:rPr>
              <w:t xml:space="preserve">(5) În cazul în care verificările și evaluarea prevăzute la alin. (1), în special evaluarea cadrului de administrare, a modelului de afaceri sau a activităţilor unei instituţii de </w:t>
            </w:r>
            <w:r w:rsidRPr="005D6998">
              <w:rPr>
                <w:rFonts w:ascii="Times New Roman" w:hAnsi="Times New Roman"/>
              </w:rPr>
              <w:lastRenderedPageBreak/>
              <w:t>credit, oferă Băncii Naționale a Moldovei motive întemeiate pentru a suspecta că, în legătură cu instituţia de credit respectivă, este sau a fost săvârşită o infracţiune ori o tentativă a infracţiunii de spălare de bani sau de finanţare a terorismului sau că există un risc crescut în acest sens, aceasta informează imediat atât Autoritatea Bancară Europeană, cât și Serviciului Prevenirea şi Combaterea Spălării Banilor. În situaţia unui eventual risc crescut de spălare a banilor sau finanţare a terorismului, Banca Națională și Serviciul Prevenirea şi Combaterea Spălării Banilor cooperează și transmit imediat Autorității Bancare Europene evaluarea lor comună, fără a aduce atingere dreptului Băncii Naționale a Moldovei de a lua, după caz, măsuri corespunzătoare în conformitate cu prezenta lege.</w:t>
            </w:r>
          </w:p>
        </w:tc>
        <w:tc>
          <w:tcPr>
            <w:tcW w:w="1559" w:type="dxa"/>
            <w:gridSpan w:val="3"/>
            <w:shd w:val="clear" w:color="auto" w:fill="FFFFFF"/>
          </w:tcPr>
          <w:p w14:paraId="1B19A1FD"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04F48559" w14:textId="4168182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33AC4A1A"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172DD8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103, alin. (5), se consideră că, sintagma „infracțiune ori tentativă a infracțiunii de spălare de bani sau de finanțare a terorismului” urmează a fi ajustată, întrucât Banca Națională a Moldovei nu califică penal faptele, corespunzător este necesară utilizarea unei formule neutre, compatibile cu atribuțiile autorităților administrative: „fapte </w:t>
            </w:r>
            <w:r w:rsidRPr="005D6998">
              <w:rPr>
                <w:rFonts w:ascii="Times New Roman" w:hAnsi="Times New Roman"/>
              </w:rPr>
              <w:lastRenderedPageBreak/>
              <w:t>sau circumstanțe care pot indica spălarea banilor, infracțiuni predicat sau finanțarea terorismului”.</w:t>
            </w:r>
          </w:p>
          <w:p w14:paraId="73A385B5" w14:textId="3EA8F2E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precizează că, informațiile comunicate Serviciului în asemenea situații nu trebuie tratate ca simple notificări administrative, ci ca informații relevante în sensul atribuțiilor Serviciului de primire, analiză, prelucrare și, după caz, diseminare a informațiilor privind activități și tranzacții suspecte potrivit Legii nr. 308/2017. Subsecvent, se propune coroborarea textului cu atribuțiile Serviciului și regimul juridic prevăzut de art. 16 din Legea nr. 308/2017.</w:t>
            </w:r>
          </w:p>
        </w:tc>
        <w:tc>
          <w:tcPr>
            <w:tcW w:w="5012" w:type="dxa"/>
            <w:gridSpan w:val="3"/>
            <w:shd w:val="clear" w:color="auto" w:fill="FFFFFF"/>
          </w:tcPr>
          <w:p w14:paraId="38D9C05F"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729E85DE"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Textul transpune art. 97 alin. (6) din Directiva 2013/36/UE (modificată prin Directiva 2019/878/UE) și utilizează terminologia prevăzută de aceasta. Referirea la „infracțiune ori tentativă a infracțiunii de spălare a banilor sau de finanțare a terorismului” nu atribuie BNM competențe de calificare penală a faptelor, ci vizează identificarea unor suspiciuni sau </w:t>
            </w:r>
            <w:r w:rsidRPr="005D6998">
              <w:rPr>
                <w:rFonts w:ascii="Times New Roman" w:hAnsi="Times New Roman"/>
              </w:rPr>
              <w:lastRenderedPageBreak/>
              <w:t>indicii care justifică transmiterea informațiilor către Serviciu.</w:t>
            </w:r>
          </w:p>
          <w:p w14:paraId="017BD539"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634D6EC8" w14:textId="711C15C9"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Luând în considerare că BNM poate obține informații de la Serviciu, în contextul colaborării dintre acestea autorități, iar BNM poate disemina informații ABE doar, după ce, în comun cu Serviciul a cooperat la realizarea evaluării, condițiile art. 16 în ceea ce privește regimul de utilizare, divulgare și retransmitere a informațiilor furnizate de Serviciu continuă să fie guvernat de normele speciale aplicabile, inclusiv de Legea nr. 308/2017. </w:t>
            </w:r>
          </w:p>
        </w:tc>
      </w:tr>
      <w:tr w:rsidR="00513EDC" w:rsidRPr="005D6998" w14:paraId="5976D2B0" w14:textId="77777777" w:rsidTr="00651F58">
        <w:trPr>
          <w:gridAfter w:val="1"/>
          <w:wAfter w:w="10" w:type="dxa"/>
          <w:trHeight w:val="105"/>
        </w:trPr>
        <w:tc>
          <w:tcPr>
            <w:tcW w:w="899" w:type="dxa"/>
            <w:gridSpan w:val="3"/>
            <w:shd w:val="clear" w:color="auto" w:fill="FFFFFF"/>
          </w:tcPr>
          <w:p w14:paraId="2F46CB3C"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29D560F" w14:textId="42E6C28D" w:rsidR="00513EDC" w:rsidRPr="005D6998" w:rsidRDefault="00513EDC" w:rsidP="00513EDC">
            <w:pPr>
              <w:tabs>
                <w:tab w:val="left" w:pos="426"/>
              </w:tabs>
              <w:spacing w:after="0" w:line="240" w:lineRule="auto"/>
              <w:jc w:val="both"/>
              <w:rPr>
                <w:rFonts w:ascii="Times New Roman" w:hAnsi="Times New Roman"/>
              </w:rPr>
            </w:pPr>
            <w:r w:rsidRPr="005D6998">
              <w:rPr>
                <w:rFonts w:ascii="Times New Roman" w:hAnsi="Times New Roman"/>
                <w:b/>
                <w:bCs/>
              </w:rPr>
              <w:t>89.</w:t>
            </w:r>
            <w:r w:rsidRPr="005D6998">
              <w:rPr>
                <w:rFonts w:ascii="Times New Roman" w:hAnsi="Times New Roman"/>
              </w:rPr>
              <w:t xml:space="preserve"> Articolul 109 […]</w:t>
            </w:r>
          </w:p>
          <w:p w14:paraId="31C3705E"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alineatele (1</w:t>
            </w:r>
            <w:r w:rsidRPr="005D6998">
              <w:rPr>
                <w:rFonts w:ascii="Times New Roman" w:hAnsi="Times New Roman"/>
                <w:vertAlign w:val="superscript"/>
              </w:rPr>
              <w:t>1</w:t>
            </w:r>
            <w:r w:rsidRPr="005D6998">
              <w:rPr>
                <w:rFonts w:ascii="Times New Roman" w:hAnsi="Times New Roman"/>
              </w:rPr>
              <w:t>) – (1</w:t>
            </w:r>
            <w:r w:rsidRPr="005D6998">
              <w:rPr>
                <w:rFonts w:ascii="Times New Roman" w:hAnsi="Times New Roman"/>
                <w:vertAlign w:val="superscript"/>
              </w:rPr>
              <w:t>8</w:t>
            </w:r>
            <w:r w:rsidRPr="005D6998">
              <w:rPr>
                <w:rFonts w:ascii="Times New Roman" w:hAnsi="Times New Roman"/>
              </w:rPr>
              <w:t>) cu următorul cuprins:</w:t>
            </w:r>
          </w:p>
          <w:p w14:paraId="31BAA3A9" w14:textId="77777777" w:rsidR="00513EDC" w:rsidRPr="005D6998" w:rsidRDefault="00513EDC" w:rsidP="00513EDC">
            <w:pPr>
              <w:spacing w:after="0" w:line="240" w:lineRule="auto"/>
              <w:jc w:val="both"/>
              <w:rPr>
                <w:rFonts w:ascii="Times New Roman" w:hAnsi="Times New Roman"/>
                <w:color w:val="FF0000"/>
              </w:rPr>
            </w:pPr>
            <w:r w:rsidRPr="005D6998">
              <w:rPr>
                <w:rFonts w:ascii="Times New Roman" w:hAnsi="Times New Roman"/>
              </w:rPr>
              <w:t>„(1</w:t>
            </w:r>
            <w:r w:rsidRPr="005D6998">
              <w:rPr>
                <w:rFonts w:ascii="Times New Roman" w:hAnsi="Times New Roman"/>
                <w:vertAlign w:val="superscript"/>
              </w:rPr>
              <w:t>1</w:t>
            </w:r>
            <w:r w:rsidRPr="005D6998">
              <w:rPr>
                <w:rFonts w:ascii="Times New Roman" w:hAnsi="Times New Roman"/>
              </w:rPr>
              <w:t xml:space="preserve">) În cazul în care o întreprindere-mamă este o societate de investiții-mamă din Republica Moldova sau o societate de investiții-mamă din UE și niciuna dintre filialele acesteia nu este o instituție de credit din Republica Moldova, supravegherea pe bază consolidată se exercită de către Comisia Națională a Pieței Financiare, respectiv autoritatea competentă care supraveghează respectiva societate de </w:t>
            </w:r>
            <w:r w:rsidRPr="005D6998">
              <w:rPr>
                <w:rFonts w:ascii="Times New Roman" w:hAnsi="Times New Roman"/>
              </w:rPr>
              <w:lastRenderedPageBreak/>
              <w:t xml:space="preserve">investiții-mamă din UE pe bază individuală. </w:t>
            </w:r>
          </w:p>
          <w:p w14:paraId="6025583E" w14:textId="5D47EE36" w:rsidR="00513EDC" w:rsidRPr="005D6998" w:rsidRDefault="00513EDC" w:rsidP="00513EDC">
            <w:pPr>
              <w:spacing w:after="0" w:line="240" w:lineRule="auto"/>
              <w:jc w:val="both"/>
              <w:rPr>
                <w:rFonts w:ascii="Times New Roman" w:hAnsi="Times New Roman"/>
                <w:color w:val="FF0000"/>
              </w:rPr>
            </w:pPr>
            <w:r w:rsidRPr="005D6998">
              <w:rPr>
                <w:rFonts w:ascii="Times New Roman" w:hAnsi="Times New Roman"/>
              </w:rPr>
              <w:t>[...]</w:t>
            </w:r>
          </w:p>
          <w:p w14:paraId="13B7382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3</w:t>
            </w:r>
            <w:r w:rsidRPr="005D6998">
              <w:rPr>
                <w:rFonts w:ascii="Times New Roman" w:hAnsi="Times New Roman"/>
              </w:rPr>
              <w:t>) În cazul în care două sau mai multe instituții de credit sau societăți de investiții din Uniunea Europeană au ca instituție de credit-mamă aceeași societate financiară holding-mamă din Republica Moldova, aceeași societate financiară holding mixtă-mamă din Republica Moldova, aceeași societate financiară holding-mamă din UE sau aceeași societate financiară holding mixtă-mamă din UE, supravegherea pe bază consolidată se exercită de către Banca Națională a Moldovei în cazul în care:</w:t>
            </w:r>
          </w:p>
          <w:p w14:paraId="76F25D7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 există o instituție de credit în cadrul grupului;</w:t>
            </w:r>
          </w:p>
          <w:p w14:paraId="4AF8F054"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b) instituția de credit are cel mai mare total al bilanțului, în cazul în care există mai multe instituții de credit în cadrul grupului.</w:t>
            </w:r>
          </w:p>
          <w:p w14:paraId="4B28ACA4" w14:textId="77777777" w:rsidR="00513EDC" w:rsidRPr="005D6998" w:rsidRDefault="00513EDC" w:rsidP="00513EDC">
            <w:pPr>
              <w:spacing w:after="0" w:line="240" w:lineRule="auto"/>
              <w:jc w:val="both"/>
              <w:rPr>
                <w:rFonts w:ascii="Times New Roman" w:hAnsi="Times New Roman"/>
                <w:color w:val="FF0000"/>
              </w:rPr>
            </w:pPr>
            <w:r w:rsidRPr="005D6998">
              <w:rPr>
                <w:rFonts w:ascii="Times New Roman" w:hAnsi="Times New Roman"/>
              </w:rPr>
              <w:t>În cazul în care grupul nu include nicio instituție de credit, Comisia Națională a Pieței Financiare exercită supravegherea pe bază consolidată  în cazul în care este autoritatea competentă a societății de investiții cu cel mai mare total al bilanțului.</w:t>
            </w:r>
          </w:p>
          <w:p w14:paraId="60EC03F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1723D6B5" w14:textId="12019754"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6</w:t>
            </w:r>
            <w:r w:rsidRPr="005D6998">
              <w:rPr>
                <w:rFonts w:ascii="Times New Roman" w:hAnsi="Times New Roman"/>
              </w:rPr>
              <w:t>) Prin derogare de la alin. (1</w:t>
            </w:r>
            <w:r w:rsidRPr="005D6998">
              <w:rPr>
                <w:rFonts w:ascii="Times New Roman" w:hAnsi="Times New Roman"/>
                <w:vertAlign w:val="superscript"/>
              </w:rPr>
              <w:t>3</w:t>
            </w:r>
            <w:r w:rsidRPr="005D6998">
              <w:rPr>
                <w:rFonts w:ascii="Times New Roman" w:hAnsi="Times New Roman"/>
              </w:rPr>
              <w:t xml:space="preserve">) ultima teză, în cazul în care Comisia Națională a Pieței Financiare supraveghează pe bază individuală mai mult de o societate de investiții din cadrul unui grup, supraveghetorul consolidant este autoritatea competentă care </w:t>
            </w:r>
            <w:r w:rsidRPr="005D6998">
              <w:rPr>
                <w:rFonts w:ascii="Times New Roman" w:hAnsi="Times New Roman"/>
              </w:rPr>
              <w:lastRenderedPageBreak/>
              <w:t>supraveghează pe bază individuală una sau mai multe societăți de investiții din cadrul grupului cu cel mai mare total al bilanțului cumulat.</w:t>
            </w:r>
            <w:r w:rsidRPr="005D6998">
              <w:rPr>
                <w:rFonts w:ascii="Times New Roman" w:hAnsi="Times New Roman"/>
                <w:color w:val="FF0000"/>
              </w:rPr>
              <w:t xml:space="preserve"> </w:t>
            </w:r>
          </w:p>
          <w:p w14:paraId="223A4DB2" w14:textId="6C5A179A" w:rsidR="00513EDC" w:rsidRPr="005D6998" w:rsidRDefault="00513EDC" w:rsidP="00513EDC">
            <w:pPr>
              <w:tabs>
                <w:tab w:val="left" w:pos="426"/>
              </w:tabs>
              <w:spacing w:after="0" w:line="240" w:lineRule="auto"/>
              <w:jc w:val="both"/>
              <w:rPr>
                <w:rFonts w:ascii="Times New Roman" w:hAnsi="Times New Roman"/>
              </w:rPr>
            </w:pPr>
            <w:r w:rsidRPr="005D6998">
              <w:rPr>
                <w:rFonts w:ascii="Times New Roman" w:hAnsi="Times New Roman"/>
              </w:rPr>
              <w:t>[...]</w:t>
            </w:r>
          </w:p>
          <w:p w14:paraId="49EF8ACC" w14:textId="77777777" w:rsidR="00513EDC" w:rsidRPr="005D6998" w:rsidRDefault="00513EDC" w:rsidP="00513EDC">
            <w:pPr>
              <w:spacing w:after="0" w:line="240" w:lineRule="auto"/>
              <w:jc w:val="both"/>
              <w:rPr>
                <w:rFonts w:ascii="Times New Roman" w:hAnsi="Times New Roman"/>
                <w:b/>
                <w:bCs/>
              </w:rPr>
            </w:pPr>
          </w:p>
        </w:tc>
        <w:tc>
          <w:tcPr>
            <w:tcW w:w="1559" w:type="dxa"/>
            <w:gridSpan w:val="3"/>
            <w:shd w:val="clear" w:color="auto" w:fill="FFFFFF"/>
          </w:tcPr>
          <w:p w14:paraId="4ABC3BAC"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CNPF</w:t>
            </w:r>
          </w:p>
          <w:p w14:paraId="324A0BF4"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5AC9153" w14:textId="4CD5B0AF"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03-4/2736 din 01.07.2026 din 15.06.2026</w:t>
            </w:r>
          </w:p>
        </w:tc>
        <w:tc>
          <w:tcPr>
            <w:tcW w:w="426" w:type="dxa"/>
            <w:shd w:val="clear" w:color="auto" w:fill="FFFFFF"/>
          </w:tcPr>
          <w:p w14:paraId="484FCF21"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53C753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efectuarea modificărilor corespunzătoare în vederea excluderii referințelor la CNPF, ca fiind autoritatea investită cu atribuții de supraveghere prudențială a instituțiilor de credit, întrucât supravegherea prudențială a instituțiilor de credit ține exclusiv de atribuțiile și competența BNM în conformitate cu Directiva UE 2013/36.</w:t>
            </w:r>
          </w:p>
          <w:p w14:paraId="38CA04BF" w14:textId="594B0DC6"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rPr>
              <w:t xml:space="preserve">Se argumentează că firmele de investiții care obțin o autorizație de instituție de credit urmează să fie supravegheate de BNM, deoarece activitatea și profilul lor de risc sunt comparabile cu cele ale băncilor. În conformitate cu cadrul european, aceste </w:t>
            </w:r>
            <w:r w:rsidRPr="005D6998">
              <w:rPr>
                <w:rFonts w:ascii="Times New Roman" w:hAnsi="Times New Roman"/>
              </w:rPr>
              <w:lastRenderedPageBreak/>
              <w:t>entități sunt supuse regimului prudențial aplicabil instituțiilor de credit, iar supravegherea lor de către BNM asigură aplicarea uniformă a cerințelor de capital, lichiditate și administrare a riscurilor, contribuind la menținerea stabilității sistemului financiar și la evitarea arbitrajului de reglementare.</w:t>
            </w:r>
          </w:p>
        </w:tc>
        <w:tc>
          <w:tcPr>
            <w:tcW w:w="5012" w:type="dxa"/>
            <w:gridSpan w:val="3"/>
            <w:shd w:val="clear" w:color="auto" w:fill="FFFFFF"/>
          </w:tcPr>
          <w:p w14:paraId="416AA6F3" w14:textId="3FB264AB"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651BB8C3" w14:textId="0F9FD32D"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 se vedea argumentul autorului proiectului legii de la pct. 1</w:t>
            </w:r>
            <w:r w:rsidR="00A05BA7" w:rsidRPr="005D6998">
              <w:rPr>
                <w:rFonts w:ascii="Times New Roman" w:hAnsi="Times New Roman"/>
              </w:rPr>
              <w:t>2</w:t>
            </w:r>
            <w:r w:rsidRPr="005D6998">
              <w:rPr>
                <w:rFonts w:ascii="Times New Roman" w:hAnsi="Times New Roman"/>
              </w:rPr>
              <w:t xml:space="preserve"> din prezenta Sinteză.</w:t>
            </w:r>
          </w:p>
          <w:p w14:paraId="1051F3D3" w14:textId="59A6B2E6"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Totodată, este important de menționat că art. 109 reglementează regimul aplicării consolidării prudențiale, care nu este legată de cazul unei societăți de investiții calificată ca fiind instituție de credit. </w:t>
            </w:r>
          </w:p>
          <w:p w14:paraId="3924F279" w14:textId="29BDCBE5"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Respectiv, observația nu este relevantă pentru că alineatele propuse stabilesc principiile aplicabile supravegherii pe bază consolidată a </w:t>
            </w:r>
            <w:r w:rsidRPr="005D6998">
              <w:rPr>
                <w:rFonts w:ascii="Times New Roman" w:hAnsi="Times New Roman"/>
                <w:b/>
                <w:bCs/>
              </w:rPr>
              <w:t>conglomeratelor financiare</w:t>
            </w:r>
            <w:r w:rsidRPr="005D6998">
              <w:rPr>
                <w:rFonts w:ascii="Times New Roman" w:hAnsi="Times New Roman"/>
              </w:rPr>
              <w:t>, inclusiv în cazul în care o societate de investiții are calitatea de întreprindere-mamă.</w:t>
            </w:r>
          </w:p>
        </w:tc>
      </w:tr>
      <w:tr w:rsidR="00513EDC" w:rsidRPr="005D6998" w14:paraId="4752FEA3" w14:textId="77777777" w:rsidTr="00651F58">
        <w:trPr>
          <w:gridAfter w:val="1"/>
          <w:wAfter w:w="10" w:type="dxa"/>
          <w:trHeight w:val="105"/>
        </w:trPr>
        <w:tc>
          <w:tcPr>
            <w:tcW w:w="899" w:type="dxa"/>
            <w:gridSpan w:val="3"/>
            <w:shd w:val="clear" w:color="auto" w:fill="FFFFFF"/>
          </w:tcPr>
          <w:p w14:paraId="26D7ECFD"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65F1D24" w14:textId="33192D50"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114.</w:t>
            </w:r>
            <w:r w:rsidRPr="005D6998">
              <w:rPr>
                <w:rFonts w:ascii="Times New Roman" w:hAnsi="Times New Roman"/>
              </w:rPr>
              <w:t xml:space="preserve"> Se completează cu articolul 131</w:t>
            </w:r>
            <w:r w:rsidRPr="005D6998">
              <w:rPr>
                <w:rFonts w:ascii="Times New Roman" w:hAnsi="Times New Roman"/>
                <w:vertAlign w:val="superscript"/>
              </w:rPr>
              <w:t>1</w:t>
            </w:r>
            <w:r w:rsidRPr="005D6998">
              <w:rPr>
                <w:rFonts w:ascii="Times New Roman" w:hAnsi="Times New Roman"/>
              </w:rPr>
              <w:t xml:space="preserve"> cu următorul cuprins:</w:t>
            </w:r>
          </w:p>
          <w:p w14:paraId="09EDA70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bookmarkStart w:id="16" w:name="_Hlk215571682"/>
            <w:r w:rsidRPr="005D6998">
              <w:rPr>
                <w:rFonts w:ascii="Times New Roman" w:hAnsi="Times New Roman"/>
                <w:b/>
                <w:bCs/>
              </w:rPr>
              <w:t>Articolul 131</w:t>
            </w:r>
            <w:r w:rsidRPr="005D6998">
              <w:rPr>
                <w:rFonts w:ascii="Times New Roman" w:hAnsi="Times New Roman"/>
                <w:b/>
                <w:bCs/>
                <w:vertAlign w:val="superscript"/>
              </w:rPr>
              <w:t>1</w:t>
            </w:r>
            <w:r w:rsidRPr="005D6998">
              <w:rPr>
                <w:rFonts w:ascii="Times New Roman" w:hAnsi="Times New Roman"/>
                <w:b/>
                <w:bCs/>
              </w:rPr>
              <w:t>.</w:t>
            </w:r>
            <w:r w:rsidRPr="005D6998">
              <w:rPr>
                <w:rFonts w:ascii="Times New Roman" w:hAnsi="Times New Roman"/>
              </w:rPr>
              <w:t xml:space="preserve"> Transmiterea informaţiilor către organisme internaționale</w:t>
            </w:r>
          </w:p>
          <w:bookmarkEnd w:id="16"/>
          <w:p w14:paraId="7D2D6CD0" w14:textId="010844A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44AB6539" w14:textId="383F554E" w:rsidR="00513EDC" w:rsidRPr="005D6998" w:rsidRDefault="00513EDC" w:rsidP="00513EDC">
            <w:pPr>
              <w:pStyle w:val="a7"/>
              <w:tabs>
                <w:tab w:val="left" w:pos="426"/>
              </w:tabs>
              <w:spacing w:after="0" w:line="240" w:lineRule="auto"/>
              <w:ind w:left="0"/>
              <w:jc w:val="both"/>
              <w:rPr>
                <w:rFonts w:ascii="Times New Roman" w:hAnsi="Times New Roman"/>
                <w:b/>
                <w:bCs/>
              </w:rPr>
            </w:pPr>
            <w:r w:rsidRPr="005D6998">
              <w:rPr>
                <w:rFonts w:ascii="Times New Roman" w:hAnsi="Times New Roman"/>
              </w:rPr>
              <w:t>(4) În măsura în care furnizarea de informaţii potrivit prezentului articol implică prelucrarea de date cu caracter personal, trebuie respectate prevederile Legii nr. 195/2024 privind protecţia datelor cu caracter personal.”.</w:t>
            </w:r>
          </w:p>
        </w:tc>
        <w:tc>
          <w:tcPr>
            <w:tcW w:w="1559" w:type="dxa"/>
            <w:gridSpan w:val="3"/>
            <w:shd w:val="clear" w:color="auto" w:fill="FFFFFF"/>
          </w:tcPr>
          <w:p w14:paraId="5CC33111"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473E3E6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E572833" w14:textId="1BF909C6"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70AE2D54"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50DD2A5" w14:textId="74DAA86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131</w:t>
            </w:r>
            <w:r w:rsidRPr="005D6998">
              <w:rPr>
                <w:rFonts w:ascii="Times New Roman" w:hAnsi="Times New Roman"/>
                <w:vertAlign w:val="superscript"/>
              </w:rPr>
              <w:t>1</w:t>
            </w:r>
            <w:r w:rsidRPr="005D6998">
              <w:rPr>
                <w:rFonts w:ascii="Times New Roman" w:hAnsi="Times New Roman"/>
              </w:rPr>
              <w:t xml:space="preserve"> alin. (4), se recomandă efectuarea unei analize specifice de impact asupra protecției datelor cu caracter personal în raport cu fluxurile de informații ce implică instituțiile internaționale relevante.</w:t>
            </w:r>
          </w:p>
        </w:tc>
        <w:tc>
          <w:tcPr>
            <w:tcW w:w="5012" w:type="dxa"/>
            <w:gridSpan w:val="3"/>
            <w:shd w:val="clear" w:color="auto" w:fill="FFFFFF"/>
          </w:tcPr>
          <w:p w14:paraId="66767209"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5E56E9C4" w14:textId="1DFB9923"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Obligația de respectare a prevederilor legislației privind protecția datelor cu caracter personal este preluată din art. 58a alin. (4) din Directiva 2013/36/UE. Astfel, orice transmitere de informații către organisme internaționale care implică prelucrarea datelor cu caracter personal urmează a fi realizată cu respectarea cerințelor aplicabile în materie, inclusiv a Legii nr. 195/2024 privind protecția datelor cu caracter personal, independent de efectuarea unei eventuale analize de impact.</w:t>
            </w:r>
          </w:p>
        </w:tc>
      </w:tr>
      <w:tr w:rsidR="00513EDC" w:rsidRPr="005D6998" w14:paraId="12930037" w14:textId="77777777" w:rsidTr="00651F58">
        <w:trPr>
          <w:gridAfter w:val="1"/>
          <w:wAfter w:w="10" w:type="dxa"/>
          <w:trHeight w:val="105"/>
        </w:trPr>
        <w:tc>
          <w:tcPr>
            <w:tcW w:w="899" w:type="dxa"/>
            <w:gridSpan w:val="3"/>
            <w:shd w:val="clear" w:color="auto" w:fill="FFFFFF"/>
          </w:tcPr>
          <w:p w14:paraId="7265F862"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B122565"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122.</w:t>
            </w:r>
            <w:r w:rsidRPr="005D6998">
              <w:rPr>
                <w:rFonts w:ascii="Times New Roman" w:hAnsi="Times New Roman"/>
              </w:rPr>
              <w:t xml:space="preserve"> Articolul 140,</w:t>
            </w:r>
          </w:p>
          <w:p w14:paraId="7231551A"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alineatul (1) va avea următorul cuprins:</w:t>
            </w:r>
          </w:p>
          <w:p w14:paraId="4B71302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„(1) Banca Naţională a Moldovei are competenţa aplicării sancţiunilor, penalităților cu titlu cominatoriu şi măsurilor sancţionatorii prevăzute la art. 141 în toate cazurile în care constată că o instituție de credit, după caz, o societate financiară holding ori o societate financiară holding mixtă şi/sau oricare dintre persoanele prevăzute la art. 43 și art. 44</w:t>
            </w:r>
            <w:r w:rsidRPr="005D6998">
              <w:rPr>
                <w:rFonts w:ascii="Times New Roman" w:hAnsi="Times New Roman"/>
                <w:vertAlign w:val="superscript"/>
              </w:rPr>
              <w:t>1</w:t>
            </w:r>
            <w:r w:rsidRPr="005D6998">
              <w:rPr>
                <w:rFonts w:ascii="Times New Roman" w:hAnsi="Times New Roman"/>
              </w:rPr>
              <w:t xml:space="preserve"> se fac vinovate de următoarele fapte:</w:t>
            </w:r>
          </w:p>
          <w:p w14:paraId="785C0FA1" w14:textId="371E9EA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4CF6B12D" w14:textId="0EB7366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i) instituția de credit nu comunică/publică informaţii sau furnizează/publică informaţii incomplete ori inexacte, încălcând prevederile art. 91 şi ale actelor normative ale Băncii Naţionale a </w:t>
            </w:r>
            <w:r w:rsidRPr="005D6998">
              <w:rPr>
                <w:rFonts w:ascii="Times New Roman" w:hAnsi="Times New Roman"/>
              </w:rPr>
              <w:lastRenderedPageBreak/>
              <w:t>Moldovei emise în aplicarea prezentei legi;</w:t>
            </w:r>
            <w:r w:rsidRPr="005D6998">
              <w:rPr>
                <w:rFonts w:ascii="Times New Roman" w:hAnsi="Times New Roman"/>
                <w:color w:val="FF0000"/>
              </w:rPr>
              <w:t xml:space="preserve"> </w:t>
            </w:r>
          </w:p>
        </w:tc>
        <w:tc>
          <w:tcPr>
            <w:tcW w:w="1559" w:type="dxa"/>
            <w:gridSpan w:val="3"/>
            <w:shd w:val="clear" w:color="auto" w:fill="FFFFFF"/>
          </w:tcPr>
          <w:p w14:paraId="34854EEA"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793124B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EF7E2A4" w14:textId="4F6B7D10"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76BE7881"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7576269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140 alin. (1) lit. i) cu privire la regimul sancționator ESG, se consideră oportună introducerea unei perioade de aplicare graduală de 24 de luni pentru obligațiile de raportare ESG prevăzute la art. 91 alin. (1</w:t>
            </w:r>
            <w:r w:rsidRPr="005D6998">
              <w:rPr>
                <w:rFonts w:ascii="Times New Roman" w:hAnsi="Times New Roman"/>
                <w:vertAlign w:val="superscript"/>
              </w:rPr>
              <w:t>1</w:t>
            </w:r>
            <w:r w:rsidRPr="005D6998">
              <w:rPr>
                <w:rFonts w:ascii="Times New Roman" w:hAnsi="Times New Roman"/>
              </w:rPr>
              <w:t>).</w:t>
            </w:r>
          </w:p>
          <w:p w14:paraId="2A5D65CC"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 </w:t>
            </w:r>
          </w:p>
          <w:p w14:paraId="5BFC57F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arată că, în această perioadă, eventualele deficiențe privind calitatea, completitudinea sau metodologia raportărilor ar urma să fie abordate prioritar prin măsuri de supraveghere, recomandări și solicitări de remediere, fără aplicarea sancțiunilor administrative. </w:t>
            </w:r>
          </w:p>
          <w:p w14:paraId="0421DF48" w14:textId="3EC5B90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această abordare nu afectează obligația de conformare, ci urmărește consolidarea progresivă a capacităților instituționale, dezvoltarea infrastructurii de date și îmbunătățirea </w:t>
            </w:r>
            <w:r w:rsidRPr="005D6998">
              <w:rPr>
                <w:rFonts w:ascii="Times New Roman" w:hAnsi="Times New Roman"/>
              </w:rPr>
              <w:lastRenderedPageBreak/>
              <w:t>calității raportării, în linie cu practicile europene de supraveghere graduală.</w:t>
            </w:r>
          </w:p>
        </w:tc>
        <w:tc>
          <w:tcPr>
            <w:tcW w:w="5012" w:type="dxa"/>
            <w:gridSpan w:val="3"/>
            <w:shd w:val="clear" w:color="auto" w:fill="FFFFFF"/>
          </w:tcPr>
          <w:p w14:paraId="322629F0" w14:textId="435DC41A"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w:t>
            </w:r>
          </w:p>
          <w:p w14:paraId="1F288B47" w14:textId="017525F1" w:rsidR="00513EDC" w:rsidRPr="005D6998" w:rsidRDefault="00513EDC" w:rsidP="00513EDC">
            <w:pPr>
              <w:tabs>
                <w:tab w:val="left" w:pos="884"/>
                <w:tab w:val="left" w:pos="1196"/>
              </w:tabs>
              <w:spacing w:after="0" w:line="240" w:lineRule="auto"/>
              <w:jc w:val="both"/>
            </w:pPr>
            <w:r w:rsidRPr="005D6998">
              <w:rPr>
                <w:rFonts w:ascii="Times New Roman" w:hAnsi="Times New Roman"/>
              </w:rPr>
              <w:t xml:space="preserve">Art. IV Dispoziții finale se completează cu alin. (7) cu următorul cuprins: </w:t>
            </w:r>
          </w:p>
          <w:p w14:paraId="6420ECBF" w14:textId="063D31B2" w:rsidR="00513EDC" w:rsidRPr="005D6998" w:rsidRDefault="00513EDC" w:rsidP="00513EDC">
            <w:pPr>
              <w:tabs>
                <w:tab w:val="left" w:pos="884"/>
                <w:tab w:val="left" w:pos="1196"/>
              </w:tabs>
              <w:spacing w:after="0" w:line="240" w:lineRule="auto"/>
              <w:jc w:val="both"/>
              <w:rPr>
                <w:rFonts w:ascii="Times New Roman" w:hAnsi="Times New Roman"/>
              </w:rPr>
            </w:pPr>
            <w:bookmarkStart w:id="17" w:name="_Hlk235475791"/>
            <w:r w:rsidRPr="005D6998">
              <w:rPr>
                <w:rFonts w:ascii="Times New Roman" w:hAnsi="Times New Roman"/>
              </w:rPr>
              <w:t>“(7) Pe parcursul a 12 luni de la data intrării în vigoare a prezentei legi, prevederile art. 141 din Legea nr. 202/2017 nu se aplică în ceea ce privește cerințele de publicare referitoare la riscurile de mediu, sociale și de guvernanță prevăzute la pct. 70 a Art. III.”.</w:t>
            </w:r>
          </w:p>
          <w:bookmarkEnd w:id="17"/>
          <w:p w14:paraId="227F8EB8" w14:textId="213D7C7C"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745CC64D" w14:textId="77777777" w:rsidTr="00651F58">
        <w:trPr>
          <w:gridAfter w:val="1"/>
          <w:wAfter w:w="10" w:type="dxa"/>
          <w:trHeight w:val="105"/>
        </w:trPr>
        <w:tc>
          <w:tcPr>
            <w:tcW w:w="899" w:type="dxa"/>
            <w:gridSpan w:val="3"/>
            <w:shd w:val="clear" w:color="auto" w:fill="FFFFFF"/>
          </w:tcPr>
          <w:p w14:paraId="1475454C"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DC3CF4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43F03F6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 instituția de credit sau </w:t>
            </w:r>
            <w:r w:rsidRPr="005D6998">
              <w:rPr>
                <w:rFonts w:ascii="Times New Roman" w:hAnsi="Times New Roman"/>
                <w:b/>
                <w:bCs/>
              </w:rPr>
              <w:t>o persoană fizică</w:t>
            </w:r>
            <w:r w:rsidRPr="005D6998">
              <w:rPr>
                <w:rFonts w:ascii="Times New Roman" w:hAnsi="Times New Roman"/>
              </w:rPr>
              <w:t xml:space="preserve"> nu respectă în mod repetat o decizie impusă de Banca Națională a Moldovei conform prezentei legi; </w:t>
            </w:r>
          </w:p>
          <w:p w14:paraId="4AF8C026" w14:textId="5B1CA0DF"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71F02AB4" w14:textId="220861BE" w:rsidR="00513EDC" w:rsidRPr="005D6998" w:rsidRDefault="00513EDC" w:rsidP="00513EDC">
            <w:pPr>
              <w:spacing w:after="0" w:line="240" w:lineRule="auto"/>
              <w:jc w:val="both"/>
              <w:rPr>
                <w:rFonts w:ascii="Times New Roman" w:hAnsi="Times New Roman"/>
                <w:i/>
                <w:color w:val="0F9ED5" w:themeColor="accent4"/>
              </w:rPr>
            </w:pPr>
          </w:p>
        </w:tc>
        <w:tc>
          <w:tcPr>
            <w:tcW w:w="1559" w:type="dxa"/>
            <w:gridSpan w:val="3"/>
            <w:shd w:val="clear" w:color="auto" w:fill="FFFFFF"/>
          </w:tcPr>
          <w:p w14:paraId="607F45AD"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0DA0F6B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5A34124" w14:textId="2B3F5148"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0306BE66"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CD95396" w14:textId="4A0EA28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140 alin. (1) lit. s), se opinează că formularea literei este susceptibilă de o interpretare extensivă a sferei persoanelor fizice potențial sancționabile, generând incertitudine privind aplicabilitatea sa la nivelul personalului băncii. În acest sens, se impune delimitarea expresă, la lit. s), a categoriilor de persoane fizice vizate, pentru a evita o aplicare disproporționată.</w:t>
            </w:r>
          </w:p>
          <w:p w14:paraId="26933421" w14:textId="77777777" w:rsidR="00513EDC" w:rsidRPr="005D6998" w:rsidRDefault="00513EDC" w:rsidP="00513EDC">
            <w:pPr>
              <w:spacing w:after="0" w:line="240" w:lineRule="auto"/>
              <w:jc w:val="both"/>
              <w:rPr>
                <w:rFonts w:ascii="Times New Roman" w:hAnsi="Times New Roman"/>
              </w:rPr>
            </w:pPr>
          </w:p>
          <w:p w14:paraId="34C30B00" w14:textId="6495791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prin prevederea din lit. s) se sancționează nerespectarea repetată a unei decizii BNM de către „o persoană fizică”, fără ca sfera acesteia (membru al organului de conducere, acționar, salariat) să fie delimitată expres în context. </w:t>
            </w:r>
          </w:p>
        </w:tc>
        <w:tc>
          <w:tcPr>
            <w:tcW w:w="5012" w:type="dxa"/>
            <w:gridSpan w:val="3"/>
            <w:shd w:val="clear" w:color="auto" w:fill="FFFFFF"/>
          </w:tcPr>
          <w:p w14:paraId="67528F48"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606FAF5C" w14:textId="51F8AABE"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Noțiunea de „persoană fizică” urmează a fi interpretată în contextul întregii legi în contextul destinatarilor măsurilor și sancțiunilor aplicate de BNM. Fiind o transpunere fidelă a art. 67 alin. (1) lit. s) din CRD VI, nu se poate afirma că se extinde sfera persoanelor care pot fi sancționate, dar conferă temeiul legal pentru aplicarea sancțiunilor tuturor categoriilor de persoane în conformitate cu prevederile legii față de care BNM, in limitele competentei stabilite prin Legea 202/2017 are dreptul de a emite astfel de decizii. </w:t>
            </w:r>
          </w:p>
          <w:p w14:paraId="277FDB7E"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1C5B8A16"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1DE8D183"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0F90D755"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p w14:paraId="3989BE78"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16563D31" w14:textId="77777777" w:rsidTr="00651F58">
        <w:trPr>
          <w:gridAfter w:val="1"/>
          <w:wAfter w:w="10" w:type="dxa"/>
          <w:trHeight w:val="105"/>
        </w:trPr>
        <w:tc>
          <w:tcPr>
            <w:tcW w:w="899" w:type="dxa"/>
            <w:gridSpan w:val="3"/>
            <w:shd w:val="clear" w:color="auto" w:fill="FFFFFF"/>
          </w:tcPr>
          <w:p w14:paraId="5A49404E"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734E0E1" w14:textId="369A8A9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ac) instituția de credit admite încălcarea prezentei legi, a actelor normative emise pentru aplicarea acesteia, a prevederilor art.5</w:t>
            </w:r>
            <w:r w:rsidRPr="005D6998">
              <w:rPr>
                <w:rFonts w:ascii="Times New Roman" w:hAnsi="Times New Roman"/>
                <w:vertAlign w:val="superscript"/>
              </w:rPr>
              <w:t>2</w:t>
            </w:r>
            <w:r w:rsidRPr="005D6998">
              <w:rPr>
                <w:rFonts w:ascii="Times New Roman" w:hAnsi="Times New Roman"/>
              </w:rPr>
              <w:t xml:space="preserve"> din Legea nr.548/1995 cu privire la Banca Naţională a Moldovei, a statutului şi/sau a reglementărilor interne ale instituției de credit aprobate pentru aplicarea prezentei legi şi a actelor normative emise pentru aplicarea acesteia, </w:t>
            </w:r>
            <w:r w:rsidRPr="005D6998">
              <w:rPr>
                <w:rFonts w:ascii="Times New Roman" w:hAnsi="Times New Roman"/>
                <w:b/>
                <w:bCs/>
              </w:rPr>
              <w:t>în măsura în care aceste situaţii nu cad sub incidenţa prevederilor lit. a)–o)</w:t>
            </w:r>
            <w:r w:rsidRPr="005D6998">
              <w:rPr>
                <w:rFonts w:ascii="Times New Roman" w:hAnsi="Times New Roman"/>
              </w:rPr>
              <w:t xml:space="preserve"> din prezentul articol.”</w:t>
            </w:r>
          </w:p>
        </w:tc>
        <w:tc>
          <w:tcPr>
            <w:tcW w:w="1559" w:type="dxa"/>
            <w:gridSpan w:val="3"/>
            <w:shd w:val="clear" w:color="auto" w:fill="FFFFFF"/>
          </w:tcPr>
          <w:p w14:paraId="14AE1DF9"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76C089A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2A3EAD5" w14:textId="536D0430"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7574D813"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55300E8" w14:textId="6C569BC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140 alin. (1) lit. ac), se propune înlocuirea textului cu „în măsura în care aceste situații nu cad sub incidența prevederilor lit. a)–ab) din prezentul articol”, pentru coerență cu noua numerotare a literelor, lit. a)–o) a fost extinsă la lit. a)–ab). </w:t>
            </w:r>
          </w:p>
          <w:p w14:paraId="1E9243EB" w14:textId="77777777"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66127987"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6C446150" w14:textId="5F468435"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39442D86" w14:textId="77777777" w:rsidTr="00651F58">
        <w:trPr>
          <w:gridAfter w:val="1"/>
          <w:wAfter w:w="10" w:type="dxa"/>
          <w:trHeight w:val="105"/>
        </w:trPr>
        <w:tc>
          <w:tcPr>
            <w:tcW w:w="899" w:type="dxa"/>
            <w:gridSpan w:val="3"/>
            <w:shd w:val="clear" w:color="auto" w:fill="FFFFFF"/>
          </w:tcPr>
          <w:p w14:paraId="505FFEFF"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366116A" w14:textId="29D41F66"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123.</w:t>
            </w:r>
            <w:r w:rsidRPr="005D6998">
              <w:rPr>
                <w:rFonts w:ascii="Times New Roman" w:hAnsi="Times New Roman"/>
              </w:rPr>
              <w:t xml:space="preserve"> Articolul 141,</w:t>
            </w:r>
          </w:p>
          <w:p w14:paraId="0DB6EE5F" w14:textId="1A33F4BF"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4F5BFB4A"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alineatele (2</w:t>
            </w:r>
            <w:r w:rsidRPr="005D6998">
              <w:rPr>
                <w:rFonts w:ascii="Times New Roman" w:hAnsi="Times New Roman"/>
                <w:vertAlign w:val="superscript"/>
              </w:rPr>
              <w:t>1</w:t>
            </w:r>
            <w:r w:rsidRPr="005D6998">
              <w:rPr>
                <w:rFonts w:ascii="Times New Roman" w:hAnsi="Times New Roman"/>
              </w:rPr>
              <w:t>) – (2</w:t>
            </w:r>
            <w:r w:rsidRPr="005D6998">
              <w:rPr>
                <w:rFonts w:ascii="Times New Roman" w:hAnsi="Times New Roman"/>
                <w:vertAlign w:val="superscript"/>
              </w:rPr>
              <w:t>5</w:t>
            </w:r>
            <w:r w:rsidRPr="005D6998">
              <w:rPr>
                <w:rFonts w:ascii="Times New Roman" w:hAnsi="Times New Roman"/>
              </w:rPr>
              <w:t>) cu următorul cuprins:</w:t>
            </w:r>
          </w:p>
          <w:p w14:paraId="16C41D1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„(2</w:t>
            </w:r>
            <w:r w:rsidRPr="005D6998">
              <w:rPr>
                <w:rFonts w:ascii="Times New Roman" w:hAnsi="Times New Roman"/>
                <w:vertAlign w:val="superscript"/>
              </w:rPr>
              <w:t>1</w:t>
            </w:r>
            <w:r w:rsidRPr="005D6998">
              <w:rPr>
                <w:rFonts w:ascii="Times New Roman" w:hAnsi="Times New Roman"/>
              </w:rPr>
              <w:t>) Penalitățile cu titlu cominatoriu potrivit prezentei legi sunt:</w:t>
            </w:r>
          </w:p>
          <w:p w14:paraId="7C9D326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 penalități cu titlu cominatoriu aplicabile unei persoane juridice, de până la 5 % din valoarea netă zilnică medie a cifrei de afaceri pe care, în cazul unei încălcări continue, persoana juridică este obligată să le plătească pentru fiecare zi de încălcare până la restabilirea situației de respectare a unei obligații; </w:t>
            </w:r>
          </w:p>
          <w:p w14:paraId="35A38FF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b) penalități cu titlu cominatoriu aplicabile unei persoane fizice, de până la 1 milion MDL, pe care, în cazul unei încălcări continue, persoana fizică este obligată să le plătească pentru fiecare zi de încălcare până la restabilirea situației de respectare a unei obligații.</w:t>
            </w:r>
            <w:r w:rsidRPr="005D6998">
              <w:rPr>
                <w:rFonts w:ascii="Times New Roman" w:hAnsi="Times New Roman"/>
                <w:i/>
                <w:iCs/>
                <w:color w:val="0F9ED5" w:themeColor="accent4"/>
              </w:rPr>
              <w:t xml:space="preserve"> </w:t>
            </w:r>
          </w:p>
          <w:p w14:paraId="5ED66B44"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(2</w:t>
            </w:r>
            <w:r w:rsidRPr="005D6998">
              <w:rPr>
                <w:rFonts w:ascii="Times New Roman" w:hAnsi="Times New Roman"/>
                <w:vertAlign w:val="superscript"/>
              </w:rPr>
              <w:t>2</w:t>
            </w:r>
            <w:r w:rsidRPr="005D6998">
              <w:rPr>
                <w:rFonts w:ascii="Times New Roman" w:hAnsi="Times New Roman"/>
              </w:rPr>
              <w:t>) Penalitățile cu titlu cominatoriu prevăzute la alin. (2</w:t>
            </w:r>
            <w:r w:rsidRPr="005D6998">
              <w:rPr>
                <w:rFonts w:ascii="Times New Roman" w:hAnsi="Times New Roman"/>
                <w:vertAlign w:val="superscript"/>
              </w:rPr>
              <w:t>1</w:t>
            </w:r>
            <w:r w:rsidRPr="005D6998">
              <w:rPr>
                <w:rFonts w:ascii="Times New Roman" w:hAnsi="Times New Roman"/>
              </w:rPr>
              <w:t>) pot fi impuse pe o perioadă de până la 6 luni de la data prevăzută în decizia Băncii Naționale a Moldovei prin care se solicită încetarea încălcării și prin care se impun penalitățile cu titlu cominatoriu. Penalitățile cu titlu cominatoriu pot fi impuse la o anumită dată și pot începe să se aplice la o dată ulterioară.</w:t>
            </w:r>
          </w:p>
          <w:p w14:paraId="38CDEF24" w14:textId="52DDD988" w:rsidR="00513EDC" w:rsidRPr="005D6998" w:rsidRDefault="00513EDC" w:rsidP="00513EDC">
            <w:pPr>
              <w:pStyle w:val="a7"/>
              <w:tabs>
                <w:tab w:val="left" w:pos="426"/>
              </w:tabs>
              <w:spacing w:after="0" w:line="240" w:lineRule="auto"/>
              <w:ind w:left="0"/>
              <w:jc w:val="both"/>
              <w:rPr>
                <w:rFonts w:ascii="Times New Roman" w:hAnsi="Times New Roman"/>
                <w:i/>
                <w:iCs/>
              </w:rPr>
            </w:pPr>
            <w:r w:rsidRPr="005D6998">
              <w:rPr>
                <w:rFonts w:ascii="Times New Roman" w:hAnsi="Times New Roman"/>
                <w:i/>
                <w:iCs/>
              </w:rPr>
              <w:t>Art. 141 alin. (1) lit. e) în vigoare</w:t>
            </w:r>
          </w:p>
          <w:p w14:paraId="0DC64F83" w14:textId="50EAA10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e) amendă aplicabilă membrului organului de conducere sau persoanei care deţine funcţii-cheie, de la 1 la 100 de salarii medii ale persoanei fizice sancţionate, pentru ultimele 12 luni, care includ toate beneficiile (suplimente, prime şi alte adaosuri la salariul de funcţie); </w:t>
            </w:r>
          </w:p>
        </w:tc>
        <w:tc>
          <w:tcPr>
            <w:tcW w:w="1559" w:type="dxa"/>
            <w:gridSpan w:val="3"/>
            <w:shd w:val="clear" w:color="auto" w:fill="FFFFFF"/>
          </w:tcPr>
          <w:p w14:paraId="1556E3A1"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4167671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0BE50406" w14:textId="17D7F44D"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6BD80CD4"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E9AF51C" w14:textId="393BAAF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141 alin. (1) lit. e) și alin. (2</w:t>
            </w:r>
            <w:r w:rsidRPr="005D6998">
              <w:rPr>
                <w:rFonts w:ascii="Times New Roman" w:hAnsi="Times New Roman"/>
                <w:vertAlign w:val="superscript"/>
              </w:rPr>
              <w:t>1</w:t>
            </w:r>
            <w:r w:rsidRPr="005D6998">
              <w:rPr>
                <w:rFonts w:ascii="Times New Roman" w:hAnsi="Times New Roman"/>
              </w:rPr>
              <w:t>)–(2</w:t>
            </w:r>
            <w:r w:rsidRPr="005D6998">
              <w:rPr>
                <w:rFonts w:ascii="Times New Roman" w:hAnsi="Times New Roman"/>
                <w:vertAlign w:val="superscript"/>
              </w:rPr>
              <w:t>2</w:t>
            </w:r>
            <w:r w:rsidRPr="005D6998">
              <w:rPr>
                <w:rFonts w:ascii="Times New Roman" w:hAnsi="Times New Roman"/>
              </w:rPr>
              <w:t xml:space="preserve">), se consideră oportună evaluarea proporționalității mecanismului propus în raport cu dimensiunea și specificul pieței bancare din Republica Moldova, precum și </w:t>
            </w:r>
            <w:r w:rsidRPr="005D6998">
              <w:rPr>
                <w:rFonts w:ascii="Times New Roman" w:hAnsi="Times New Roman"/>
              </w:rPr>
              <w:lastRenderedPageBreak/>
              <w:t xml:space="preserve">clarificarea limitelor maxime ale expunerii financiare rezultate din aplicarea cumulativă a penalităților. </w:t>
            </w:r>
          </w:p>
          <w:p w14:paraId="5FAC17FC" w14:textId="77777777" w:rsidR="00513EDC" w:rsidRPr="005D6998" w:rsidRDefault="00513EDC" w:rsidP="00513EDC">
            <w:pPr>
              <w:spacing w:after="0" w:line="240" w:lineRule="auto"/>
              <w:jc w:val="both"/>
              <w:rPr>
                <w:rFonts w:ascii="Times New Roman" w:hAnsi="Times New Roman"/>
              </w:rPr>
            </w:pPr>
          </w:p>
          <w:p w14:paraId="577AB66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arată că prin proiect se introduc penalități cu titlu cominatoriu zilnice, până la 5% din cifra de afaceri zilnică medie pentru persoana juridică, respectiv până la 1 milion MDL/zi pentru persoana fizică, cumulabile pe o perioadă de până la 6 luni, alături de posibilitatea interzicerii temporare a exercitării de funcții pentru un membru al organului de conducere, fără un plafon valoric absolut prevăzut expres pentru penalitățile cumulate. </w:t>
            </w:r>
          </w:p>
          <w:p w14:paraId="7E7BFA96" w14:textId="6821104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Respectiv, regimul sancționator propus instituie penalități cominatorii cu un impact financiar potențial semnificativ, calculate prin raportare la cifra de afaceri zilnică medie a persoanei juridice sau la un cuantum zilnic aplicabil persoanelor fizice, fără stabilirea unui plafon maxim expres al sumelor ce pot fi acumulate.</w:t>
            </w:r>
          </w:p>
          <w:p w14:paraId="15A0568D" w14:textId="77777777" w:rsidR="00513EDC" w:rsidRPr="005D6998" w:rsidRDefault="00513EDC" w:rsidP="00513EDC">
            <w:pPr>
              <w:spacing w:after="0" w:line="240" w:lineRule="auto"/>
              <w:jc w:val="both"/>
              <w:rPr>
                <w:rFonts w:ascii="Times New Roman" w:hAnsi="Times New Roman"/>
              </w:rPr>
            </w:pPr>
          </w:p>
          <w:p w14:paraId="563AF78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în absența unui plafon absolut, expunerea financiară cumulată, de exemplu pe o perioadă de 6 luni, poate atinge niveluri foarte ridicate. Sancțiunea de interzicere a exercitării funcției are, în plus, un impact personal direct și practic ireversibil pe termen scurt asupra membrului organului de conducere vizat, fără o prevedere expresă privind un eventual efect suspensiv al contestației înainte de punerea în aplicare. </w:t>
            </w:r>
          </w:p>
          <w:p w14:paraId="5A711920" w14:textId="117CC68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Totodată, se arată că proiectul nu reglementează expres mecanismul procedural aplicabil contestării acestor măsuri, inclusiv sub aspectul autorității competente să </w:t>
            </w:r>
            <w:r w:rsidRPr="005D6998">
              <w:rPr>
                <w:rFonts w:ascii="Times New Roman" w:hAnsi="Times New Roman"/>
              </w:rPr>
              <w:lastRenderedPageBreak/>
              <w:t>examineze contestația, efectului suspensiv al contestației, termenelor aplicabile și efectelor exercitării căilor de atac asupra executării măsurii dispuse. Având în vedere impactul patrimonial semnificativ al penalităților și posibilitatea aplicării unor măsuri cu efect direct asupra exercitării funcțiilor de conducere, se consideră utilă completarea normei cu garanții procedurale care să asigure un nivel adecvat de previzibilitate și securitate juridică.</w:t>
            </w:r>
          </w:p>
        </w:tc>
        <w:tc>
          <w:tcPr>
            <w:tcW w:w="5012" w:type="dxa"/>
            <w:gridSpan w:val="3"/>
            <w:shd w:val="clear" w:color="auto" w:fill="FFFFFF"/>
          </w:tcPr>
          <w:p w14:paraId="5F476903"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1D7A7F79"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Proiectul stabilește aceste limite care reprezintă plafoane maxime, aliniate prevederilor CRD VI. Reglementarea stabilește nivelul maxim până la care autoritatea de supraveghere poate interveni, fără a </w:t>
            </w:r>
            <w:r w:rsidRPr="005D6998">
              <w:rPr>
                <w:rFonts w:ascii="Times New Roman" w:hAnsi="Times New Roman"/>
                <w:lang w:val="ro-MD"/>
              </w:rPr>
              <w:lastRenderedPageBreak/>
              <w:t>presupune că penalitățile vor fi aplicate în mod invariabil la cuantumul maxim permis de lege.</w:t>
            </w:r>
          </w:p>
          <w:p w14:paraId="6788A7A2" w14:textId="0BE64F3D"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 </w:t>
            </w:r>
          </w:p>
          <w:p w14:paraId="416A31EE" w14:textId="647DD5FE"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Respectiv, BNM, în calitate de autoritate de supraveghere va adapta penalitatea la gravitatea și durata încălcării, situația instituției de credit și a persoanei fizice supuse penalității.</w:t>
            </w:r>
          </w:p>
          <w:p w14:paraId="1CC4F2FB"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4DC29B0D" w14:textId="21225C4C"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În ceea ce privește</w:t>
            </w:r>
            <w:r w:rsidRPr="005D6998">
              <w:rPr>
                <w:rFonts w:ascii="Times New Roman" w:hAnsi="Times New Roman"/>
              </w:rPr>
              <w:t xml:space="preserve"> mecanismul procedural aplicabil contestării penalităților </w:t>
            </w:r>
            <w:r w:rsidRPr="005D6998">
              <w:rPr>
                <w:rFonts w:ascii="Times New Roman" w:hAnsi="Times New Roman"/>
                <w:lang w:val="ro-MD"/>
              </w:rPr>
              <w:t>cu titlu cominatoriu, se precizează că natura acestora este, la fel, una administrativă. Respectiv, acestea urmează regimul juridic general aplicabil celorlalte măsuri/sancțiuni aplicate de BNM.</w:t>
            </w:r>
          </w:p>
          <w:p w14:paraId="339986AF"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3FDDC10F" w14:textId="5A1D0AC3" w:rsidR="00513EDC" w:rsidRPr="005D6998" w:rsidRDefault="00513EDC" w:rsidP="00513EDC">
            <w:pPr>
              <w:tabs>
                <w:tab w:val="left" w:pos="884"/>
                <w:tab w:val="left" w:pos="1196"/>
              </w:tabs>
              <w:spacing w:after="0" w:line="240" w:lineRule="auto"/>
              <w:jc w:val="both"/>
              <w:rPr>
                <w:rFonts w:ascii="Times New Roman" w:hAnsi="Times New Roman"/>
                <w:lang w:val="ro-MD"/>
              </w:rPr>
            </w:pPr>
          </w:p>
        </w:tc>
      </w:tr>
      <w:tr w:rsidR="00513EDC" w:rsidRPr="005D6998" w14:paraId="237CE5A6" w14:textId="77777777" w:rsidTr="00651F58">
        <w:trPr>
          <w:gridAfter w:val="1"/>
          <w:wAfter w:w="10" w:type="dxa"/>
          <w:trHeight w:val="105"/>
        </w:trPr>
        <w:tc>
          <w:tcPr>
            <w:tcW w:w="899" w:type="dxa"/>
            <w:gridSpan w:val="3"/>
            <w:shd w:val="clear" w:color="auto" w:fill="FFFFFF"/>
          </w:tcPr>
          <w:p w14:paraId="1FD39453"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2EE0A66" w14:textId="3A8B637D" w:rsidR="00513EDC" w:rsidRPr="005D6998" w:rsidRDefault="00513EDC" w:rsidP="00513EDC">
            <w:pPr>
              <w:spacing w:line="240" w:lineRule="auto"/>
              <w:jc w:val="both"/>
              <w:rPr>
                <w:rFonts w:ascii="Times New Roman" w:hAnsi="Times New Roman"/>
              </w:rPr>
            </w:pPr>
            <w:r w:rsidRPr="005D6998">
              <w:rPr>
                <w:rFonts w:ascii="Times New Roman" w:hAnsi="Times New Roman"/>
              </w:rPr>
              <w:t>(3) Pentru reperfectarea autorizațiilor în scop de desfăşurare a activităţilor permise instituțiilor de credit conform alin.(2) lit. a) din prezentul articol, precum şi pentru înregistrarea modificărilor şi completărilor în statutul instituțiilor de credit, în legătură cu ajustarea acestuia la prevederile prezentei legi, nu se percepe plată.</w:t>
            </w:r>
          </w:p>
        </w:tc>
        <w:tc>
          <w:tcPr>
            <w:tcW w:w="1559" w:type="dxa"/>
            <w:gridSpan w:val="3"/>
            <w:shd w:val="clear" w:color="auto" w:fill="FFFFFF"/>
          </w:tcPr>
          <w:p w14:paraId="290F87CD"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ABM </w:t>
            </w:r>
          </w:p>
          <w:p w14:paraId="53D97EB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569232EA"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02-06/188 din 07.07.2026</w:t>
            </w:r>
          </w:p>
          <w:p w14:paraId="4EDC30CE" w14:textId="77777777" w:rsidR="00513EDC" w:rsidRPr="005D6998" w:rsidRDefault="00513EDC" w:rsidP="00513EDC">
            <w:pPr>
              <w:tabs>
                <w:tab w:val="left" w:pos="884"/>
                <w:tab w:val="left" w:pos="1196"/>
              </w:tabs>
              <w:spacing w:after="0" w:line="240" w:lineRule="auto"/>
              <w:jc w:val="center"/>
              <w:rPr>
                <w:rFonts w:ascii="Times New Roman" w:hAnsi="Times New Roman"/>
                <w:bCs/>
              </w:rPr>
            </w:pPr>
          </w:p>
          <w:p w14:paraId="0D1614F9"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AmCham</w:t>
            </w:r>
          </w:p>
          <w:p w14:paraId="232F441D"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6754D41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C59621A"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58155EF2" w14:textId="77777777" w:rsidR="00513EDC" w:rsidRPr="005D6998" w:rsidRDefault="00513EDC" w:rsidP="00513EDC">
            <w:pPr>
              <w:tabs>
                <w:tab w:val="left" w:pos="884"/>
                <w:tab w:val="left" w:pos="1196"/>
              </w:tabs>
              <w:spacing w:after="0" w:line="240" w:lineRule="auto"/>
              <w:jc w:val="center"/>
              <w:rPr>
                <w:rFonts w:ascii="Times New Roman" w:hAnsi="Times New Roman"/>
                <w:bCs/>
              </w:rPr>
            </w:pPr>
          </w:p>
          <w:p w14:paraId="56794195"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Asociația Businessului European</w:t>
            </w:r>
          </w:p>
          <w:p w14:paraId="04D5CD25"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92BBA05" w14:textId="2C11084B"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recepționat prin e-mail din 19.06.2026</w:t>
            </w:r>
          </w:p>
          <w:p w14:paraId="5111A127" w14:textId="5D0A9883"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2C60348E"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B5CE7A6" w14:textId="4FEECB4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vederea facilitării procesului de ajustare a cadrului juridic și operațional al instituțiilor de credit la noile cerințe legislative, cu referire la obligația băncilor de a-și obține noile autorizații și de a-și modifica statutele, se propune ca alin. (3) al art. V „Dispoziții tranzitorii” să fie expus în următoarea redacție: </w:t>
            </w:r>
          </w:p>
          <w:p w14:paraId="01CCE7D5" w14:textId="5203D2F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„(3) Pentru reperfectarea autorizațiilor în scopul desfășurării activităților permise instituțiilor de credit conform alin. (2) lit. a) din prezentul articol, precum și pentru înregistrarea de stat a modificărilor și completărilor operate în statutul instituțiilor de credit, efectuate în vederea aducerii acestuia în concordanță cu prevederile prezentei legi, nu se percep taxele prevăzute la art. 20 din prezenta lege și la capitolul I pct. 1 din Anexa la Legea nr. 202/2007 privind înregistrarea de stat a persoanelor juridice și a întreprinzătorilor individuali.”</w:t>
            </w:r>
          </w:p>
        </w:tc>
        <w:tc>
          <w:tcPr>
            <w:tcW w:w="5012" w:type="dxa"/>
            <w:gridSpan w:val="3"/>
            <w:shd w:val="clear" w:color="auto" w:fill="FFFFFF"/>
          </w:tcPr>
          <w:p w14:paraId="05687746"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 xml:space="preserve">Nu se acceptă. </w:t>
            </w:r>
          </w:p>
          <w:p w14:paraId="2CE68B5B" w14:textId="2A5AC736"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Proiectul de lege are ca obiect reglementarea cadrului juridic aplicabil instituțiilor de credit și a competențelor BNM, inclusiv plățile percepute de BNM. Respectiv, prevederea tranzitorie se va referi doar la aceste aspecte din Legea nr. 202/2017.</w:t>
            </w:r>
          </w:p>
        </w:tc>
      </w:tr>
      <w:tr w:rsidR="00513EDC" w:rsidRPr="005D6998" w14:paraId="737A4A77" w14:textId="77777777" w:rsidTr="00651F58">
        <w:trPr>
          <w:gridAfter w:val="1"/>
          <w:wAfter w:w="10" w:type="dxa"/>
          <w:trHeight w:val="105"/>
        </w:trPr>
        <w:tc>
          <w:tcPr>
            <w:tcW w:w="899" w:type="dxa"/>
            <w:gridSpan w:val="3"/>
            <w:shd w:val="clear" w:color="auto" w:fill="FFFFFF"/>
          </w:tcPr>
          <w:p w14:paraId="7DADF8AE"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A477CF8" w14:textId="6A0F149D"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95.</w:t>
            </w:r>
            <w:r w:rsidRPr="005D6998">
              <w:rPr>
                <w:rFonts w:ascii="Times New Roman" w:hAnsi="Times New Roman"/>
              </w:rPr>
              <w:t xml:space="preserve"> Articolul 113</w:t>
            </w:r>
          </w:p>
          <w:p w14:paraId="342B556C" w14:textId="0A1E06B9"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78DCE00E" w14:textId="4BE43EA6"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(11) Fără a aduce atingere alin. (1), Banca Națională a Moldovei cooperează strâns cu unitățile de informații financiare și Serviciul </w:t>
            </w:r>
            <w:r w:rsidRPr="005D6998">
              <w:rPr>
                <w:rFonts w:ascii="Times New Roman" w:hAnsi="Times New Roman"/>
              </w:rPr>
              <w:lastRenderedPageBreak/>
              <w:t>Prevenirea și Combaterea Spălării Banilor în limita competențelor lor și furnizează informații pertinente pentru îndeplinirea sarcinilor care îi revin în temeiul prezentei legi și al actelor normative emise în aplicarea acesteia, al Regulamentului (UE) nr. 575/2013 și al Legii nr. 308/2017 cu privire la prevenirea și combaterea spălării banilor și finanțării terorismului, cu condiția ca această cooperare și acest schimb de informații să nu afecteze o anchetă, o investigație sau o procedură aflată în curs de desfășurare în conformitate cu legislația națională aplicabilă.”.</w:t>
            </w:r>
          </w:p>
          <w:p w14:paraId="162A1AA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shd w:val="clear" w:color="auto" w:fill="FFFFFF"/>
          </w:tcPr>
          <w:p w14:paraId="7DB90802"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684C7039" w14:textId="1DA594A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lastRenderedPageBreak/>
              <w:t>Aviz nr. 01/2-30-1015 din 19 iunie 2026</w:t>
            </w:r>
          </w:p>
        </w:tc>
        <w:tc>
          <w:tcPr>
            <w:tcW w:w="426" w:type="dxa"/>
            <w:shd w:val="clear" w:color="auto" w:fill="FFFFFF"/>
          </w:tcPr>
          <w:p w14:paraId="577A1D76"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1C129F1" w14:textId="0E443E80"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113, alin. (11), se propune reformularea textului după cum urmează: „Banca Națională a Moldovei cooperează cu Serviciul Prevenirea și Combaterea Spălării Banilor</w:t>
            </w:r>
            <w:bookmarkStart w:id="18" w:name="_Hlk235452043"/>
            <w:r w:rsidRPr="005D6998">
              <w:rPr>
                <w:rFonts w:ascii="Times New Roman" w:hAnsi="Times New Roman"/>
              </w:rPr>
              <w:t xml:space="preserve">, în calitatea acestuia de Unitate de Informații Financiare a Republicii Moldova, </w:t>
            </w:r>
            <w:r w:rsidRPr="005D6998">
              <w:rPr>
                <w:rFonts w:ascii="Times New Roman" w:hAnsi="Times New Roman"/>
              </w:rPr>
              <w:lastRenderedPageBreak/>
              <w:t>precum și, după caz, cu unitățile de informații financiare din alte state, în condițiile legii.</w:t>
            </w:r>
            <w:bookmarkEnd w:id="18"/>
            <w:r w:rsidRPr="005D6998">
              <w:rPr>
                <w:rFonts w:ascii="Times New Roman" w:hAnsi="Times New Roman"/>
              </w:rPr>
              <w:t>”</w:t>
            </w:r>
          </w:p>
          <w:p w14:paraId="5F23637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în ceea ce privește faptul că proiectul prevede cooperarea Băncii Naționale a Moldovei cu „unitățile de informații financiare și Serviciul Prevenirea și Combaterea Spălării Banilor și Finanțării Terorismului”, norma conține o suprapunere terminologică și instituțională. Or în Republica Moldova Unitatea de Informații Financiare este Serviciul Prevenirea și Combaterea Spălării Banilor. </w:t>
            </w:r>
          </w:p>
          <w:p w14:paraId="02C92125" w14:textId="1FF270AB"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Prin urmare, se consideră că referința cumulativă la „unitățile de informații financiare și Serviciul” poate crea impresia existenței unor autorități distincte la nivel național. </w:t>
            </w:r>
          </w:p>
        </w:tc>
        <w:tc>
          <w:tcPr>
            <w:tcW w:w="5012" w:type="dxa"/>
            <w:gridSpan w:val="3"/>
            <w:shd w:val="clear" w:color="auto" w:fill="FFFFFF"/>
          </w:tcPr>
          <w:p w14:paraId="238043B7"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21A53D14" w14:textId="3F463D6C"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Pentru aliniere fidelă a prevederii corelative din CRD (art. 117 alin. (5)), se expune în următoarea redacție:</w:t>
            </w:r>
          </w:p>
          <w:p w14:paraId="2613B582" w14:textId="058D694B" w:rsidR="00513EDC" w:rsidRPr="005D6998" w:rsidRDefault="00513EDC" w:rsidP="00513EDC">
            <w:pPr>
              <w:pStyle w:val="a7"/>
              <w:tabs>
                <w:tab w:val="left" w:pos="426"/>
              </w:tabs>
              <w:spacing w:after="0"/>
              <w:ind w:left="0"/>
              <w:jc w:val="both"/>
              <w:rPr>
                <w:rFonts w:ascii="Times New Roman" w:hAnsi="Times New Roman"/>
              </w:rPr>
            </w:pPr>
            <w:r w:rsidRPr="005D6998">
              <w:rPr>
                <w:rFonts w:ascii="Times New Roman" w:hAnsi="Times New Roman"/>
              </w:rPr>
              <w:t xml:space="preserve">(11) Fără a aduce atingere alin. (1), Banca Națională a Moldovei cooperează strâns Serviciul Prevenirea și </w:t>
            </w:r>
            <w:r w:rsidRPr="005D6998">
              <w:rPr>
                <w:rFonts w:ascii="Times New Roman" w:hAnsi="Times New Roman"/>
              </w:rPr>
              <w:lastRenderedPageBreak/>
              <w:t>Combaterea Spălării Banilor, în calitatea acestuia de Unitate de Informații Financiare a Republicii Moldova, precum și, după caz, cu unitățile de informații financiare din alte state, în limita competențelor lor și furnizează informații pertinente pentru îndeplinirea sarcinilor care îi revin în temeiul prezentei legi și al actelor normative emise în aplicarea acesteia, Legii nr. 308/2017 cu privire la prevenirea și combaterea spălării banilor și finanțării terorismului, cu condiția ca această cooperare și acest schimb de informații să nu afecteze o anchetă, o investigație sau o procedură aflată în curs de desfășurare în conformitate cu legislația națională aplicabilă.”.</w:t>
            </w:r>
          </w:p>
          <w:p w14:paraId="790943C8" w14:textId="6AAC7E4C"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7DB3CBFD" w14:textId="77777777" w:rsidTr="00651F58">
        <w:trPr>
          <w:gridAfter w:val="1"/>
          <w:wAfter w:w="10" w:type="dxa"/>
          <w:trHeight w:val="105"/>
        </w:trPr>
        <w:tc>
          <w:tcPr>
            <w:tcW w:w="899" w:type="dxa"/>
            <w:gridSpan w:val="3"/>
            <w:shd w:val="clear" w:color="auto" w:fill="FFFFFF"/>
          </w:tcPr>
          <w:p w14:paraId="20108B6A"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12154EE" w14:textId="173A42E0"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b/>
              </w:rPr>
              <w:t xml:space="preserve">109. </w:t>
            </w:r>
            <w:r w:rsidRPr="005D6998">
              <w:rPr>
                <w:rFonts w:ascii="Times New Roman" w:hAnsi="Times New Roman"/>
              </w:rPr>
              <w:t xml:space="preserve">Articolul 128: </w:t>
            </w:r>
          </w:p>
          <w:p w14:paraId="08F52F39" w14:textId="46C5CF1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titlul articolului se completează cu textul „și consultarea bazelor de date</w:t>
            </w:r>
          </w:p>
          <w:p w14:paraId="7A0FF956" w14:textId="01593282"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(3) În cazul în care evaluează reputația în sensul art. 11 alin. (2), art. 18 alin. (3), art. 43, art. 44</w:t>
            </w:r>
            <w:r w:rsidRPr="005D6998">
              <w:rPr>
                <w:rFonts w:ascii="Times New Roman" w:hAnsi="Times New Roman"/>
                <w:vertAlign w:val="superscript"/>
              </w:rPr>
              <w:t>1</w:t>
            </w:r>
            <w:r w:rsidRPr="005D6998">
              <w:rPr>
                <w:rFonts w:ascii="Times New Roman" w:hAnsi="Times New Roman"/>
              </w:rPr>
              <w:t xml:space="preserve"> și art. 119 alin. (1), Banca Națională a Moldovei </w:t>
            </w:r>
            <w:r w:rsidRPr="005D6998">
              <w:rPr>
                <w:rFonts w:ascii="Times New Roman" w:hAnsi="Times New Roman"/>
                <w:b/>
                <w:bCs/>
              </w:rPr>
              <w:t xml:space="preserve">consultă baza de date centralizată a sancțiunilor pe care Autoritatea Bancară Europeană o administrează. </w:t>
            </w:r>
          </w:p>
          <w:p w14:paraId="35C122D9" w14:textId="3FB7F25C" w:rsidR="00513EDC" w:rsidRPr="005D6998" w:rsidRDefault="00513EDC" w:rsidP="00513EDC">
            <w:pPr>
              <w:pStyle w:val="a7"/>
              <w:tabs>
                <w:tab w:val="left" w:pos="426"/>
              </w:tabs>
              <w:spacing w:after="0" w:line="240" w:lineRule="auto"/>
              <w:ind w:left="0"/>
              <w:jc w:val="both"/>
              <w:rPr>
                <w:rFonts w:ascii="Times New Roman" w:hAnsi="Times New Roman"/>
                <w:b/>
                <w:bCs/>
              </w:rPr>
            </w:pPr>
            <w:r w:rsidRPr="005D6998">
              <w:rPr>
                <w:rFonts w:ascii="Times New Roman" w:hAnsi="Times New Roman"/>
              </w:rPr>
              <w:t>(4) În cazul în care evaluează îndeplinirea cerințelor prevăzute la art. 43 – 43</w:t>
            </w:r>
            <w:r w:rsidRPr="005D6998">
              <w:rPr>
                <w:rFonts w:ascii="Times New Roman" w:hAnsi="Times New Roman"/>
                <w:vertAlign w:val="superscript"/>
              </w:rPr>
              <w:t>1</w:t>
            </w:r>
            <w:r w:rsidRPr="005D6998">
              <w:rPr>
                <w:rFonts w:ascii="Times New Roman" w:hAnsi="Times New Roman"/>
              </w:rPr>
              <w:t xml:space="preserve"> de către membrii organului de conducere, persoanele cu funcții cheie, Banca Națională a Moldovei </w:t>
            </w:r>
            <w:r w:rsidRPr="005D6998">
              <w:rPr>
                <w:rFonts w:ascii="Times New Roman" w:hAnsi="Times New Roman"/>
                <w:b/>
                <w:bCs/>
              </w:rPr>
              <w:t xml:space="preserve">poate consulta baza de date centrală aferentă combaterii spălării banilor şi finanţării terorismului, instituită de Autoritatea pentru Combaterea Spălării Banilor și a Finanțării </w:t>
            </w:r>
            <w:r w:rsidRPr="005D6998">
              <w:rPr>
                <w:rFonts w:ascii="Times New Roman" w:hAnsi="Times New Roman"/>
                <w:b/>
                <w:bCs/>
              </w:rPr>
              <w:lastRenderedPageBreak/>
              <w:t>Terorismului de la nivelul UE, dacă i s-a acordat acces la aceasta.</w:t>
            </w:r>
          </w:p>
        </w:tc>
        <w:tc>
          <w:tcPr>
            <w:tcW w:w="1559" w:type="dxa"/>
            <w:gridSpan w:val="3"/>
            <w:shd w:val="clear" w:color="auto" w:fill="FFFFFF"/>
          </w:tcPr>
          <w:p w14:paraId="303D4E7D"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4D62A14B" w14:textId="0543051D"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5BD29881"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F5075BB" w14:textId="4E74110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128, alin. (4), se propune revizuirea normei sub aspectul aplicabilității temporale, întrucât accesul la asemenea mecanisme depinde de statutul juridic al Republicii Moldova în raport cu Uniunea Europeană și condițiile concrete de acces stabilite la nivel european, norma urmând a fi corelată cu dispozițiile finale privind intrarea în vigoare și aplicarea prevederilor dependente de aderarea Republicii Moldova la Uniunea Europeană.</w:t>
            </w:r>
          </w:p>
          <w:p w14:paraId="39317A09" w14:textId="2BC4C9D5" w:rsidR="00513EDC" w:rsidRPr="005D6998" w:rsidRDefault="00513EDC" w:rsidP="00513EDC">
            <w:pPr>
              <w:spacing w:after="0" w:line="240" w:lineRule="auto"/>
              <w:jc w:val="both"/>
              <w:rPr>
                <w:rFonts w:ascii="Times New Roman" w:hAnsi="Times New Roman"/>
              </w:rPr>
            </w:pPr>
          </w:p>
        </w:tc>
        <w:tc>
          <w:tcPr>
            <w:tcW w:w="5012" w:type="dxa"/>
            <w:gridSpan w:val="3"/>
            <w:shd w:val="clear" w:color="auto" w:fill="FFFFFF"/>
          </w:tcPr>
          <w:p w14:paraId="22BBDC70"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3A2377B2" w14:textId="075C633D"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Conform Art. V alin. (3) lit. a),  pct. 109 din proiect prin care se modifică art. 128 intră în vigoare la data aderării.</w:t>
            </w:r>
          </w:p>
        </w:tc>
      </w:tr>
      <w:tr w:rsidR="00513EDC" w:rsidRPr="005D6998" w14:paraId="34669F8C" w14:textId="77777777" w:rsidTr="00651F58">
        <w:trPr>
          <w:gridAfter w:val="1"/>
          <w:wAfter w:w="10" w:type="dxa"/>
          <w:trHeight w:val="105"/>
        </w:trPr>
        <w:tc>
          <w:tcPr>
            <w:tcW w:w="899" w:type="dxa"/>
            <w:gridSpan w:val="3"/>
            <w:shd w:val="clear" w:color="auto" w:fill="FFFFFF"/>
          </w:tcPr>
          <w:p w14:paraId="31855014"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DC68197" w14:textId="77777777" w:rsidR="00513EDC" w:rsidRPr="005D6998" w:rsidRDefault="00513EDC" w:rsidP="00513EDC">
            <w:pPr>
              <w:tabs>
                <w:tab w:val="left" w:pos="884"/>
                <w:tab w:val="left" w:pos="1196"/>
              </w:tabs>
              <w:spacing w:after="0" w:line="240" w:lineRule="auto"/>
              <w:rPr>
                <w:rFonts w:ascii="Times New Roman" w:hAnsi="Times New Roman"/>
              </w:rPr>
            </w:pPr>
            <w:r w:rsidRPr="005D6998">
              <w:rPr>
                <w:rFonts w:ascii="Times New Roman" w:hAnsi="Times New Roman"/>
                <w:b/>
                <w:bCs/>
              </w:rPr>
              <w:t>111.</w:t>
            </w:r>
            <w:r w:rsidRPr="005D6998">
              <w:rPr>
                <w:rFonts w:ascii="Times New Roman" w:hAnsi="Times New Roman"/>
              </w:rPr>
              <w:t xml:space="preserve"> Articolul 129, alineatul (1),</w:t>
            </w:r>
          </w:p>
          <w:p w14:paraId="6D59CBB5" w14:textId="19641B42" w:rsidR="00513EDC" w:rsidRPr="005D6998" w:rsidRDefault="00513EDC" w:rsidP="00513EDC">
            <w:pPr>
              <w:tabs>
                <w:tab w:val="left" w:pos="884"/>
                <w:tab w:val="left" w:pos="1196"/>
              </w:tabs>
              <w:spacing w:after="0" w:line="240" w:lineRule="auto"/>
              <w:rPr>
                <w:rFonts w:ascii="Times New Roman" w:hAnsi="Times New Roman"/>
              </w:rPr>
            </w:pPr>
            <w:r w:rsidRPr="005D6998">
              <w:rPr>
                <w:rFonts w:ascii="Times New Roman" w:hAnsi="Times New Roman"/>
              </w:rPr>
              <w:t>[...]</w:t>
            </w:r>
          </w:p>
          <w:p w14:paraId="625DEE46" w14:textId="5FDB1F1A" w:rsidR="00513EDC" w:rsidRPr="005D6998" w:rsidRDefault="00513EDC" w:rsidP="00513EDC">
            <w:pPr>
              <w:spacing w:after="0" w:line="240" w:lineRule="auto"/>
              <w:jc w:val="both"/>
              <w:rPr>
                <w:rFonts w:ascii="Times New Roman" w:hAnsi="Times New Roman"/>
                <w:color w:val="FF0000"/>
              </w:rPr>
            </w:pPr>
            <w:r w:rsidRPr="005D6998">
              <w:rPr>
                <w:rFonts w:ascii="Times New Roman" w:hAnsi="Times New Roman"/>
              </w:rPr>
              <w:t xml:space="preserve">„g) autorităţi sau organisme din Republica Moldova sau din alte state responsabile, în temeiul legii, de depistarea şi investigarea încălcărilor legislaţiei privind societăţile pe acţiuni şi/sau responsabile cu supravegherea instituțiilor de credit, în calitate de entități raportoare, pentru a asigura respectarea Legii nr. 308/2017 cu privire la prevenirea şi combaterea spălării banilor şi finanţării terorismului, precum și unitățile de informații financiare;” </w:t>
            </w:r>
          </w:p>
        </w:tc>
        <w:tc>
          <w:tcPr>
            <w:tcW w:w="1559" w:type="dxa"/>
            <w:gridSpan w:val="3"/>
            <w:shd w:val="clear" w:color="auto" w:fill="FFFFFF"/>
          </w:tcPr>
          <w:p w14:paraId="58FEFEF7"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488AD98F" w14:textId="12D8EBB4"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11C90C88"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3DABA38E" w14:textId="4D08AB6C"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129, alin. (1), lit. g), se propune completarea textului cu o mențiune expresă privind respectarea regimului special al informațiilor protejate prin lege și a limitărilor prevăzute de Legea nr. 308/2017.</w:t>
            </w:r>
          </w:p>
          <w:p w14:paraId="68F27F1E" w14:textId="2092F2B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necesară coroborarea acestei norme cu art. 16 din Legea nr. 308/2017, or schimbul de informații dintre Banca Națională a Moldovei și Serviciu trebuie să fie proporțional, limitat la necesitatea exercitării atribuțiilor legale și realizat cu respectarea regimului secretelor protejate prin lege. Se argumentează că norma nu trebuie să permită interpretarea potrivit căreia informațiile deținute de Serviciu pot fi retransmise sau utilizate în afara scopurilor prevăzute de Legea nr. 308/2017. </w:t>
            </w:r>
          </w:p>
        </w:tc>
        <w:tc>
          <w:tcPr>
            <w:tcW w:w="5012" w:type="dxa"/>
            <w:gridSpan w:val="3"/>
            <w:shd w:val="clear" w:color="auto" w:fill="FFFFFF"/>
          </w:tcPr>
          <w:p w14:paraId="4C8A5C2C"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0C6EBC46"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Schimbul de informații prevăzut de art. 129 nu exclude aplicarea prevederilor altor legi speciale, inclusiv prevederile Legii nr. 308/2017. </w:t>
            </w:r>
            <w:r w:rsidRPr="005D6998">
              <w:rPr>
                <w:rFonts w:ascii="Times New Roman" w:hAnsi="Times New Roman"/>
                <w:lang w:val="ro-MD"/>
              </w:rPr>
              <w:t>Scopul prevederii, astfel cum este transpus din art. 56 lit. g) din CRD, are ca obiect exclusiv stabilirea posibilității schimbului de informații între autoritățile competente și autoritățile/organismele responsabile de aplicarea legislației în domeniul prevenirii și combaterii spălării banilor și finanțării terorismului.</w:t>
            </w:r>
          </w:p>
          <w:p w14:paraId="7355C821" w14:textId="25C02E59"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Respectiv, respectarea condițiilor, limitărilor și garanțiilor prevăzute de Legea nr. 308/2017 rezultă din aplicarea acesteia și nu necesită reiterare în Legea privind activitatea băncilor. Introducerea unei trimiteri exprese ar depăși conținutul normei transpuse și este redundantă.</w:t>
            </w:r>
          </w:p>
          <w:p w14:paraId="3A038734" w14:textId="11516C1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lang w:val="ro-MD"/>
              </w:rPr>
              <w:t>În ceea ce privește faptul că ar putea exista o interpretare că informațiile deținute de Serviciu pot fi retransmise nu poate fi reținut. Regimul de utilizare, divulgare și retransmitere a informațiilor furnizate de Serviciu continuă să fie guvernat de normele speciale aplicabile, inclusiv de Legea nr. 308/2017, de dispozițiile privind secretul profesional și de prevederile proiectului referitoare la utilizarea informațiilor confidențiale și schimbul de informații dintre autorități. În plus, regimul schimbului de informații dintre BNM și alte autorități, inclusiv  cu Serviciul, se realizează în conformitate cu art. 130 din Legea nr. 202/2017 care detaliază garanții de confidențialitate și interes public.</w:t>
            </w:r>
          </w:p>
        </w:tc>
      </w:tr>
      <w:tr w:rsidR="00513EDC" w:rsidRPr="005D6998" w14:paraId="32AF9AA2" w14:textId="77777777" w:rsidTr="00651F58">
        <w:trPr>
          <w:gridAfter w:val="1"/>
          <w:wAfter w:w="10" w:type="dxa"/>
          <w:trHeight w:val="105"/>
        </w:trPr>
        <w:tc>
          <w:tcPr>
            <w:tcW w:w="899" w:type="dxa"/>
            <w:gridSpan w:val="3"/>
            <w:shd w:val="clear" w:color="auto" w:fill="FFFFFF"/>
          </w:tcPr>
          <w:p w14:paraId="09FF73F7"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D89496D" w14:textId="70066C0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122.</w:t>
            </w:r>
            <w:r w:rsidRPr="005D6998">
              <w:rPr>
                <w:rFonts w:ascii="Times New Roman" w:hAnsi="Times New Roman"/>
              </w:rPr>
              <w:t xml:space="preserve"> Articolul 140,</w:t>
            </w:r>
          </w:p>
          <w:p w14:paraId="66D29C75"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alineatul (1) va avea următorul cuprins:</w:t>
            </w:r>
          </w:p>
          <w:p w14:paraId="38C927B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„(1) Banca Naţională a Moldovei are competenţa aplicării sancţiunilor, penalităților cu titlu cominatoriu şi măsurilor sancţionatorii prevăzute la </w:t>
            </w:r>
            <w:r w:rsidRPr="005D6998">
              <w:rPr>
                <w:rFonts w:ascii="Times New Roman" w:hAnsi="Times New Roman"/>
              </w:rPr>
              <w:lastRenderedPageBreak/>
              <w:t>art. 141 în toate cazurile în care constată că o instituție de credit, după caz, o societate financiară holding ori o societate financiară holding mixtă şi/sau oricare dintre persoanele prevăzute la art. 43 și art. 44</w:t>
            </w:r>
            <w:r w:rsidRPr="005D6998">
              <w:rPr>
                <w:rFonts w:ascii="Times New Roman" w:hAnsi="Times New Roman"/>
                <w:vertAlign w:val="superscript"/>
              </w:rPr>
              <w:t>1</w:t>
            </w:r>
            <w:r w:rsidRPr="005D6998">
              <w:rPr>
                <w:rFonts w:ascii="Times New Roman" w:hAnsi="Times New Roman"/>
              </w:rPr>
              <w:t xml:space="preserve"> se fac vinovate de următoarele fapte:</w:t>
            </w:r>
          </w:p>
          <w:p w14:paraId="35A442B4" w14:textId="4FBC7F0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w:t>
            </w:r>
          </w:p>
          <w:p w14:paraId="28108686" w14:textId="767A839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k) instituția de credit </w:t>
            </w:r>
            <w:r w:rsidRPr="005D6998">
              <w:rPr>
                <w:rFonts w:ascii="Times New Roman" w:hAnsi="Times New Roman"/>
                <w:b/>
                <w:bCs/>
              </w:rPr>
              <w:t>este declarată vinovată de o încălcare gravă</w:t>
            </w:r>
            <w:r w:rsidRPr="005D6998">
              <w:rPr>
                <w:rFonts w:ascii="Times New Roman" w:hAnsi="Times New Roman"/>
              </w:rPr>
              <w:t xml:space="preserve"> a prevederilor legale aferente prevenirii utilizării sistemului financiar în scopul spălării banilor și finanțării terorismului;</w:t>
            </w:r>
            <w:r w:rsidRPr="005D6998">
              <w:rPr>
                <w:rFonts w:ascii="Times New Roman" w:hAnsi="Times New Roman"/>
                <w:color w:val="FF0000"/>
              </w:rPr>
              <w:t xml:space="preserve"> </w:t>
            </w:r>
          </w:p>
        </w:tc>
        <w:tc>
          <w:tcPr>
            <w:tcW w:w="1559" w:type="dxa"/>
            <w:gridSpan w:val="3"/>
            <w:shd w:val="clear" w:color="auto" w:fill="FFFFFF"/>
          </w:tcPr>
          <w:p w14:paraId="28D54F15"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1D059A93" w14:textId="2395CDD2"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rPr>
              <w:lastRenderedPageBreak/>
              <w:t>Aviz nr. 01/2-30-1015 din 19 iunie 2026</w:t>
            </w:r>
          </w:p>
        </w:tc>
        <w:tc>
          <w:tcPr>
            <w:tcW w:w="426" w:type="dxa"/>
            <w:shd w:val="clear" w:color="auto" w:fill="FFFFFF"/>
          </w:tcPr>
          <w:p w14:paraId="7B07AF59"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F19939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140, alin. (1) lit. k), se propune reformularea normei prin raportare la „încălcări constatate definitiv potrivit legislației speciale în domeniul prevenirii și combaterii spălării banilor și finanțării terorismului” sau definirea expresă a </w:t>
            </w:r>
            <w:r w:rsidRPr="005D6998">
              <w:rPr>
                <w:rFonts w:ascii="Times New Roman" w:hAnsi="Times New Roman"/>
              </w:rPr>
              <w:lastRenderedPageBreak/>
              <w:t>încălcărilor care pot atrage consecințele prevăzute de art. 140.</w:t>
            </w:r>
          </w:p>
          <w:p w14:paraId="3CC97EDE" w14:textId="77777777" w:rsidR="00513EDC" w:rsidRPr="005D6998" w:rsidRDefault="00513EDC" w:rsidP="00513EDC">
            <w:pPr>
              <w:spacing w:after="0" w:line="240" w:lineRule="auto"/>
              <w:jc w:val="both"/>
              <w:rPr>
                <w:rFonts w:ascii="Times New Roman" w:hAnsi="Times New Roman"/>
              </w:rPr>
            </w:pPr>
          </w:p>
          <w:p w14:paraId="7FD52A9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că norma este problematică sub aspectul clarității și previzibilității, or Legea nr. 75/2020 nu operează cu o clasificare normativă a încălcărilor în „grave” și „mai puțin grave”, ci stabilește criterii pentru individualizarea sancțiunii, inclusiv gravitatea și durata încălcării, consecințele acesteia, vinovăția, situația financiară, cooperarea și încălcările anterioare. </w:t>
            </w:r>
          </w:p>
          <w:p w14:paraId="4F758B3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Prin urmare, introducerea sintagmei „încălcare gravă”, fără definirea acesteia, poate genera incertitudine și aplicare neuniformă. </w:t>
            </w:r>
          </w:p>
          <w:p w14:paraId="70DEE124" w14:textId="6B69832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Suplimentar, textul nu precizează dacă vinovăția trebuie să rezulte dintr-o decizie definitivă emisă potrivit Legii nr. 75/2020, dintr-un act al Băncii Naționale a Moldovei, dintr-un act al Serviciului sau dintr-o hotărâre judecătorească. </w:t>
            </w:r>
          </w:p>
        </w:tc>
        <w:tc>
          <w:tcPr>
            <w:tcW w:w="5012" w:type="dxa"/>
            <w:gridSpan w:val="3"/>
            <w:shd w:val="clear" w:color="auto" w:fill="FFFFFF"/>
          </w:tcPr>
          <w:p w14:paraId="66B8C53A"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65FC1878"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Sintagma „încălcare gravă” reproduce terminologia utilizată de art. 67 alin. (1) lit. (o) din Directiva 2013/36/UE și urmărește asigurarea unei transpuneri fidele a acesteia. Directiva nu condiționează aplicarea măsurilor de supraveghere de existența unei constatări </w:t>
            </w:r>
            <w:r w:rsidRPr="005D6998">
              <w:rPr>
                <w:rFonts w:ascii="Times New Roman" w:hAnsi="Times New Roman"/>
                <w:lang w:val="ro-MD"/>
              </w:rPr>
              <w:lastRenderedPageBreak/>
              <w:t>definitive realizate de o altă autoritate și nici nu impune definirea exhaustivă a categoriilor de încălcări care pot fi considerate grave.</w:t>
            </w:r>
          </w:p>
          <w:p w14:paraId="24230D07" w14:textId="68EC3988"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Acceptarea propunerii de înlocuire a sintagmei „încălcare gravă” cu „încălcări constatate definitiv” ar modifica substanța dispoziției transpuse. Art. 67 alin. (1) lit. (o) CRD condiționează aplicarea măsurilor de existența unei încălcări grave a legislației AML/CFT, nu de existența unei decizii definitive a unei alte autorități sau instanțe. O asemenea completare ar introduce o condiție suplimentară care nu rezultă din directivă și ar putea limita eficacitatea atribuțiilor de supraveghere ale autorității competente de la caz la caz.</w:t>
            </w:r>
          </w:p>
          <w:p w14:paraId="3C50662C" w14:textId="402852C5"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 </w:t>
            </w:r>
          </w:p>
          <w:p w14:paraId="31700D01"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tc>
      </w:tr>
      <w:tr w:rsidR="00513EDC" w:rsidRPr="005D6998" w14:paraId="71349F1C" w14:textId="77777777" w:rsidTr="00651F58">
        <w:trPr>
          <w:gridAfter w:val="1"/>
          <w:wAfter w:w="10" w:type="dxa"/>
          <w:trHeight w:val="105"/>
        </w:trPr>
        <w:tc>
          <w:tcPr>
            <w:tcW w:w="899" w:type="dxa"/>
            <w:gridSpan w:val="3"/>
            <w:shd w:val="clear" w:color="auto" w:fill="FFFFFF"/>
          </w:tcPr>
          <w:p w14:paraId="0DE49DC7"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222CF9B"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123.</w:t>
            </w:r>
            <w:r w:rsidRPr="005D6998">
              <w:rPr>
                <w:rFonts w:ascii="Times New Roman" w:hAnsi="Times New Roman"/>
              </w:rPr>
              <w:t xml:space="preserve"> Articolul 141,</w:t>
            </w:r>
          </w:p>
          <w:p w14:paraId="57B8AF7E" w14:textId="6A8C21CB"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1C834EA5"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alineatele (2</w:t>
            </w:r>
            <w:r w:rsidRPr="005D6998">
              <w:rPr>
                <w:rFonts w:ascii="Times New Roman" w:hAnsi="Times New Roman"/>
                <w:vertAlign w:val="superscript"/>
              </w:rPr>
              <w:t>1</w:t>
            </w:r>
            <w:r w:rsidRPr="005D6998">
              <w:rPr>
                <w:rFonts w:ascii="Times New Roman" w:hAnsi="Times New Roman"/>
              </w:rPr>
              <w:t>) – (2</w:t>
            </w:r>
            <w:r w:rsidRPr="005D6998">
              <w:rPr>
                <w:rFonts w:ascii="Times New Roman" w:hAnsi="Times New Roman"/>
                <w:vertAlign w:val="superscript"/>
              </w:rPr>
              <w:t>5</w:t>
            </w:r>
            <w:r w:rsidRPr="005D6998">
              <w:rPr>
                <w:rFonts w:ascii="Times New Roman" w:hAnsi="Times New Roman"/>
              </w:rPr>
              <w:t>) cu următorul cuprins:</w:t>
            </w:r>
          </w:p>
          <w:p w14:paraId="746CC18B"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„(2</w:t>
            </w:r>
            <w:r w:rsidRPr="005D6998">
              <w:rPr>
                <w:rFonts w:ascii="Times New Roman" w:hAnsi="Times New Roman"/>
                <w:vertAlign w:val="superscript"/>
              </w:rPr>
              <w:t>1</w:t>
            </w:r>
            <w:r w:rsidRPr="005D6998">
              <w:rPr>
                <w:rFonts w:ascii="Times New Roman" w:hAnsi="Times New Roman"/>
              </w:rPr>
              <w:t>) Penalitățile cu titlu cominatoriu potrivit prezentei legi sunt:</w:t>
            </w:r>
          </w:p>
          <w:p w14:paraId="6FB01BAE" w14:textId="0B49D4C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 penalități cu titlu cominatoriu aplicabile unei persoane juridice, de până la 5 % din valoarea netă zilnică medie a cifrei de afaceri pe care, în cazul unei încălcări continue, persoana juridică este obligată să le plătească pentru fiecare zi de încălcare până la restabilirea situației de respectare a unei obligații;</w:t>
            </w:r>
          </w:p>
          <w:p w14:paraId="294511D3" w14:textId="55A9D729"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b) penalități cu titlu cominatoriu aplicabile unei persoane fizice, de până la 1 milion MDL, pe care, în cazul unei încălcări continue, persoana fizică este obligată să le plătească pentru fiecare zi de încălcare până la restabilirea situației de respectare a unei obligații.</w:t>
            </w:r>
            <w:r w:rsidRPr="005D6998">
              <w:rPr>
                <w:rFonts w:ascii="Times New Roman" w:hAnsi="Times New Roman"/>
                <w:i/>
                <w:iCs/>
                <w:color w:val="0F9ED5" w:themeColor="accent4"/>
              </w:rPr>
              <w:t xml:space="preserve"> </w:t>
            </w:r>
          </w:p>
          <w:p w14:paraId="59C9A138"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(2</w:t>
            </w:r>
            <w:r w:rsidRPr="005D6998">
              <w:rPr>
                <w:rFonts w:ascii="Times New Roman" w:hAnsi="Times New Roman"/>
                <w:vertAlign w:val="superscript"/>
              </w:rPr>
              <w:t>2</w:t>
            </w:r>
            <w:r w:rsidRPr="005D6998">
              <w:rPr>
                <w:rFonts w:ascii="Times New Roman" w:hAnsi="Times New Roman"/>
              </w:rPr>
              <w:t>) Penalitățile cu titlu cominatoriu prevăzute la alin. (2</w:t>
            </w:r>
            <w:r w:rsidRPr="005D6998">
              <w:rPr>
                <w:rFonts w:ascii="Times New Roman" w:hAnsi="Times New Roman"/>
                <w:vertAlign w:val="superscript"/>
              </w:rPr>
              <w:t>1</w:t>
            </w:r>
            <w:r w:rsidRPr="005D6998">
              <w:rPr>
                <w:rFonts w:ascii="Times New Roman" w:hAnsi="Times New Roman"/>
              </w:rPr>
              <w:t>) pot fi impuse pe o perioadă de până la 6 luni de la data prevăzută în decizia Băncii Naționale a Moldovei prin care se solicită încetarea încălcării și prin care se impun penalitățile cu titlu cominatoriu. Penalitățile cu titlu cominatoriu pot fi impuse la o anumită dată și pot începe să se aplice la o dată ulterioară.</w:t>
            </w:r>
          </w:p>
          <w:p w14:paraId="4701C409" w14:textId="77777777" w:rsidR="00513EDC" w:rsidRPr="005D6998" w:rsidRDefault="00513EDC" w:rsidP="00513EDC">
            <w:pPr>
              <w:spacing w:after="0"/>
              <w:jc w:val="both"/>
              <w:rPr>
                <w:rFonts w:ascii="Times New Roman" w:hAnsi="Times New Roman"/>
              </w:rPr>
            </w:pPr>
            <w:r w:rsidRPr="005D6998">
              <w:rPr>
                <w:rFonts w:ascii="Times New Roman" w:hAnsi="Times New Roman"/>
              </w:rPr>
              <w:t>(2</w:t>
            </w:r>
            <w:r w:rsidRPr="005D6998">
              <w:rPr>
                <w:rFonts w:ascii="Times New Roman" w:hAnsi="Times New Roman"/>
                <w:vertAlign w:val="superscript"/>
              </w:rPr>
              <w:t>3</w:t>
            </w:r>
            <w:r w:rsidRPr="005D6998">
              <w:rPr>
                <w:rFonts w:ascii="Times New Roman" w:hAnsi="Times New Roman"/>
              </w:rPr>
              <w:t>) În sensul alin. (1) lit. d), valoarea totală anuală netă a cifrei de afaceri este suma următoarelor elemente:</w:t>
            </w:r>
          </w:p>
          <w:p w14:paraId="29CA6AC8" w14:textId="77777777" w:rsidR="00513EDC" w:rsidRPr="005D6998" w:rsidRDefault="00513EDC" w:rsidP="00513EDC">
            <w:pPr>
              <w:spacing w:after="0"/>
              <w:jc w:val="both"/>
              <w:rPr>
                <w:rFonts w:ascii="Times New Roman" w:hAnsi="Times New Roman"/>
              </w:rPr>
            </w:pPr>
            <w:r w:rsidRPr="005D6998">
              <w:rPr>
                <w:rFonts w:ascii="Times New Roman" w:hAnsi="Times New Roman"/>
              </w:rPr>
              <w:t>a) venituri din dobânzi;</w:t>
            </w:r>
          </w:p>
          <w:p w14:paraId="556F4881" w14:textId="77777777" w:rsidR="00513EDC" w:rsidRPr="005D6998" w:rsidRDefault="00513EDC" w:rsidP="00513EDC">
            <w:pPr>
              <w:spacing w:after="0"/>
              <w:jc w:val="both"/>
              <w:rPr>
                <w:rFonts w:ascii="Times New Roman" w:hAnsi="Times New Roman"/>
              </w:rPr>
            </w:pPr>
            <w:r w:rsidRPr="005D6998">
              <w:rPr>
                <w:rFonts w:ascii="Times New Roman" w:hAnsi="Times New Roman"/>
              </w:rPr>
              <w:t>b) cheltuieli cu dobânzile;</w:t>
            </w:r>
          </w:p>
          <w:p w14:paraId="293D7281" w14:textId="77777777" w:rsidR="00513EDC" w:rsidRPr="005D6998" w:rsidRDefault="00513EDC" w:rsidP="00513EDC">
            <w:pPr>
              <w:spacing w:after="0"/>
              <w:jc w:val="both"/>
              <w:rPr>
                <w:rFonts w:ascii="Times New Roman" w:hAnsi="Times New Roman"/>
              </w:rPr>
            </w:pPr>
            <w:r w:rsidRPr="005D6998">
              <w:rPr>
                <w:rFonts w:ascii="Times New Roman" w:hAnsi="Times New Roman"/>
              </w:rPr>
              <w:t>c) cheltuieli cu capitalul social rambursabil la cerere;</w:t>
            </w:r>
          </w:p>
          <w:p w14:paraId="355E7915" w14:textId="77777777" w:rsidR="00513EDC" w:rsidRPr="005D6998" w:rsidRDefault="00513EDC" w:rsidP="00513EDC">
            <w:pPr>
              <w:spacing w:after="0"/>
              <w:jc w:val="both"/>
              <w:rPr>
                <w:rFonts w:ascii="Times New Roman" w:hAnsi="Times New Roman"/>
              </w:rPr>
            </w:pPr>
            <w:r w:rsidRPr="005D6998">
              <w:rPr>
                <w:rFonts w:ascii="Times New Roman" w:hAnsi="Times New Roman"/>
              </w:rPr>
              <w:t>d) venituri din dividende;</w:t>
            </w:r>
          </w:p>
          <w:p w14:paraId="0457F9A4"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e) venituri din onorarii și comisioane; </w:t>
            </w:r>
          </w:p>
          <w:p w14:paraId="3E10C858"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f) cheltuieli cu onorarii și comisioane; </w:t>
            </w:r>
          </w:p>
          <w:p w14:paraId="24E2A18D"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g) câștiguri sau pierderi aferente activelor și datoriilor financiare deținute în vederea tranzacționării – net; </w:t>
            </w:r>
          </w:p>
          <w:p w14:paraId="255C5FF0"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h) câștiguri sau pierderi aferente activelor și datoriilor financiare desemnate la valoarea justă prin profit sau pierdere – net; </w:t>
            </w:r>
          </w:p>
          <w:p w14:paraId="63D93920" w14:textId="77777777" w:rsidR="00513EDC" w:rsidRPr="005D6998" w:rsidRDefault="00513EDC" w:rsidP="00513EDC">
            <w:pPr>
              <w:spacing w:after="0"/>
              <w:jc w:val="both"/>
              <w:rPr>
                <w:rFonts w:ascii="Times New Roman" w:hAnsi="Times New Roman"/>
              </w:rPr>
            </w:pPr>
            <w:r w:rsidRPr="005D6998">
              <w:rPr>
                <w:rFonts w:ascii="Times New Roman" w:hAnsi="Times New Roman"/>
              </w:rPr>
              <w:lastRenderedPageBreak/>
              <w:t xml:space="preserve">i) câștiguri sau pierderi din contabilitatea de acoperire împotriva riscurilor – net; </w:t>
            </w:r>
          </w:p>
          <w:p w14:paraId="1F7170A5"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(j) diferențe de curs de schimb (câștig sau pierdere) – net; </w:t>
            </w:r>
          </w:p>
          <w:p w14:paraId="5DFB329F" w14:textId="77777777" w:rsidR="00513EDC" w:rsidRPr="005D6998" w:rsidRDefault="00513EDC" w:rsidP="00513EDC">
            <w:pPr>
              <w:spacing w:after="0"/>
              <w:jc w:val="both"/>
              <w:rPr>
                <w:rFonts w:ascii="Times New Roman" w:hAnsi="Times New Roman"/>
              </w:rPr>
            </w:pPr>
            <w:r w:rsidRPr="005D6998">
              <w:rPr>
                <w:rFonts w:ascii="Times New Roman" w:hAnsi="Times New Roman"/>
              </w:rPr>
              <w:t xml:space="preserve">k) alte venituri din exploatare; </w:t>
            </w:r>
          </w:p>
          <w:p w14:paraId="08D1DEF3" w14:textId="77777777" w:rsidR="00513EDC" w:rsidRPr="005D6998" w:rsidRDefault="00513EDC" w:rsidP="00513EDC">
            <w:pPr>
              <w:spacing w:after="0"/>
              <w:jc w:val="both"/>
              <w:rPr>
                <w:rFonts w:ascii="Times New Roman" w:hAnsi="Times New Roman"/>
                <w:b/>
                <w:bCs/>
                <w:color w:val="FF0000"/>
              </w:rPr>
            </w:pPr>
            <w:r w:rsidRPr="005D6998">
              <w:rPr>
                <w:rFonts w:ascii="Times New Roman" w:hAnsi="Times New Roman"/>
              </w:rPr>
              <w:t xml:space="preserve">l) alte cheltuieli de exploatare. </w:t>
            </w:r>
          </w:p>
          <w:p w14:paraId="7662B3F1" w14:textId="77777777" w:rsidR="00513EDC" w:rsidRPr="005D6998" w:rsidRDefault="00513EDC" w:rsidP="00513EDC">
            <w:pPr>
              <w:spacing w:after="0"/>
              <w:jc w:val="both"/>
              <w:rPr>
                <w:rFonts w:ascii="Times New Roman" w:hAnsi="Times New Roman"/>
                <w:b/>
                <w:bCs/>
                <w:color w:val="FF0000"/>
              </w:rPr>
            </w:pPr>
            <w:r w:rsidRPr="005D6998">
              <w:rPr>
                <w:rFonts w:ascii="Times New Roman" w:hAnsi="Times New Roman"/>
              </w:rPr>
              <w:t>(2</w:t>
            </w:r>
            <w:r w:rsidRPr="005D6998">
              <w:rPr>
                <w:rFonts w:ascii="Times New Roman" w:hAnsi="Times New Roman"/>
                <w:vertAlign w:val="superscript"/>
              </w:rPr>
              <w:t>4</w:t>
            </w:r>
            <w:r w:rsidRPr="005D6998">
              <w:rPr>
                <w:rFonts w:ascii="Times New Roman" w:hAnsi="Times New Roman"/>
              </w:rPr>
              <w:t xml:space="preserve">) În sensul prezentului articol, baza de calcul o reprezintă cele mai recente informații financiare anuale în materie de supraveghere care generează un indicator mai mare decât zero. În cazul în care persoana juridică menționată la alin. (2) din prezentul articol nu intră sub incidența actelor normative ale Băncii Naționale a Moldovei care stabilesc cerințe de raportare în scopuri de supraveghere, valoarea totală anuală netă relevantă a cifrei de afaceri este valoarea totală anuală netă a cifrei de afaceri sau tipul de venit corespunzător în conformitate cu cadrul contabil aplicabil. În cazul în care întreprinderea în cauză face parte dintr-un grup, valoarea totală anuală netă relevantă a cifrei de afaceri este valoarea totală anuală netă a cifrei de afaceri care rezultă din conturile consolidate ale întreprinderii-mamă de cel mai înalt rang. </w:t>
            </w:r>
          </w:p>
          <w:p w14:paraId="168586FB" w14:textId="224C0BE7" w:rsidR="00513EDC" w:rsidRPr="005D6998" w:rsidRDefault="00513EDC" w:rsidP="00513EDC">
            <w:pPr>
              <w:pStyle w:val="a7"/>
              <w:tabs>
                <w:tab w:val="left" w:pos="426"/>
              </w:tabs>
              <w:spacing w:after="0"/>
              <w:ind w:left="0"/>
              <w:jc w:val="both"/>
              <w:rPr>
                <w:rFonts w:ascii="Times New Roman" w:hAnsi="Times New Roman"/>
                <w:b/>
              </w:rPr>
            </w:pPr>
            <w:r w:rsidRPr="005D6998">
              <w:rPr>
                <w:rFonts w:ascii="Times New Roman" w:hAnsi="Times New Roman"/>
              </w:rPr>
              <w:t>(2</w:t>
            </w:r>
            <w:r w:rsidRPr="005D6998">
              <w:rPr>
                <w:rFonts w:ascii="Times New Roman" w:hAnsi="Times New Roman"/>
                <w:vertAlign w:val="superscript"/>
              </w:rPr>
              <w:t>5</w:t>
            </w:r>
            <w:r w:rsidRPr="005D6998">
              <w:rPr>
                <w:rFonts w:ascii="Times New Roman" w:hAnsi="Times New Roman"/>
              </w:rPr>
              <w:t>) În sensul alin. (2</w:t>
            </w:r>
            <w:r w:rsidRPr="005D6998">
              <w:rPr>
                <w:rFonts w:ascii="Times New Roman" w:hAnsi="Times New Roman"/>
                <w:vertAlign w:val="superscript"/>
              </w:rPr>
              <w:t>1</w:t>
            </w:r>
            <w:r w:rsidRPr="005D6998">
              <w:rPr>
                <w:rFonts w:ascii="Times New Roman" w:hAnsi="Times New Roman"/>
              </w:rPr>
              <w:t xml:space="preserve">) lit. a), valoarea netă zilnică medie a cifrei de afaceri este valoarea totală anuală netă a cifrei </w:t>
            </w:r>
            <w:r w:rsidRPr="005D6998">
              <w:rPr>
                <w:rFonts w:ascii="Times New Roman" w:hAnsi="Times New Roman"/>
              </w:rPr>
              <w:lastRenderedPageBreak/>
              <w:t>de afaceri menționată la alin. (2</w:t>
            </w:r>
            <w:r w:rsidRPr="005D6998">
              <w:rPr>
                <w:rFonts w:ascii="Times New Roman" w:hAnsi="Times New Roman"/>
                <w:vertAlign w:val="superscript"/>
              </w:rPr>
              <w:t>3</w:t>
            </w:r>
            <w:r w:rsidRPr="005D6998">
              <w:rPr>
                <w:rFonts w:ascii="Times New Roman" w:hAnsi="Times New Roman"/>
              </w:rPr>
              <w:t>) împărțită la 365.”;</w:t>
            </w:r>
          </w:p>
        </w:tc>
        <w:tc>
          <w:tcPr>
            <w:tcW w:w="1559" w:type="dxa"/>
            <w:gridSpan w:val="3"/>
            <w:shd w:val="clear" w:color="auto" w:fill="FFFFFF"/>
          </w:tcPr>
          <w:p w14:paraId="15B1D3B1"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1B97FAB1" w14:textId="08EA12B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307911EC"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2959D5AB" w14:textId="1B8A68CB"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completarea art. 141 sau, după caz, art. 142, cu mențiunea că stabilirea cuantumului sancțiunii și penalității cu titlu cominatoriu se realizează cu respectarea principiilor proporționalității, necesității și caracterului efectiv, disuasiv și adecvat al măsurii aplicate.</w:t>
            </w:r>
          </w:p>
          <w:p w14:paraId="4690EA18" w14:textId="77777777" w:rsidR="00513EDC" w:rsidRPr="005D6998" w:rsidRDefault="00513EDC" w:rsidP="00513EDC">
            <w:pPr>
              <w:spacing w:after="0" w:line="240" w:lineRule="auto"/>
              <w:jc w:val="both"/>
              <w:rPr>
                <w:rFonts w:ascii="Times New Roman" w:hAnsi="Times New Roman"/>
              </w:rPr>
            </w:pPr>
          </w:p>
          <w:p w14:paraId="4D416229" w14:textId="1D46348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141, se constată că proiectul introduce instituția penalităților cu titlu cominatoriu, aplicabile distinct de sancțiuni și măsuri sancționatoare. Mecanismul poate fi justificat ca instrument de constrângere pentru restabilirea conformării, însă norma necesită delimitare clară față de sancțiunea administrativă propriu-zisă, pentru a evita </w:t>
            </w:r>
            <w:r w:rsidRPr="005D6998">
              <w:rPr>
                <w:rFonts w:ascii="Times New Roman" w:hAnsi="Times New Roman"/>
              </w:rPr>
              <w:lastRenderedPageBreak/>
              <w:t>calificarea penalității cominatorii drept sancțiune punitivă cumulativă pentru aceeași faptă, astfel că se propune completarea textului cu precizarea că penalitatea cu titlu cominatoriu are caracter coercitiv, se aplică pentru determinarea încetării unei încălcări continue sau pentru restabilirea conformării și nu substituie procedura de constatare a încălcărilor prevăzută de legislația specială în domeniul prevenirii și combaterii spălării banilor și finanțării terorismului.</w:t>
            </w:r>
          </w:p>
          <w:p w14:paraId="5CF8B374" w14:textId="77777777" w:rsidR="00513EDC" w:rsidRPr="005D6998" w:rsidRDefault="00513EDC" w:rsidP="00513EDC">
            <w:pPr>
              <w:spacing w:after="0" w:line="240" w:lineRule="auto"/>
              <w:jc w:val="both"/>
              <w:rPr>
                <w:rFonts w:ascii="Times New Roman" w:hAnsi="Times New Roman"/>
              </w:rPr>
            </w:pPr>
          </w:p>
          <w:p w14:paraId="2FB1585D" w14:textId="493F723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141, alin. (2</w:t>
            </w:r>
            <w:r w:rsidRPr="005D6998">
              <w:rPr>
                <w:rFonts w:ascii="Times New Roman" w:hAnsi="Times New Roman"/>
                <w:vertAlign w:val="superscript"/>
              </w:rPr>
              <w:t>3</w:t>
            </w:r>
            <w:r w:rsidRPr="005D6998">
              <w:rPr>
                <w:rFonts w:ascii="Times New Roman" w:hAnsi="Times New Roman"/>
              </w:rPr>
              <w:t>)-(2</w:t>
            </w:r>
            <w:r w:rsidRPr="005D6998">
              <w:rPr>
                <w:rFonts w:ascii="Times New Roman" w:hAnsi="Times New Roman"/>
                <w:vertAlign w:val="superscript"/>
              </w:rPr>
              <w:t>5</w:t>
            </w:r>
            <w:r w:rsidRPr="005D6998">
              <w:rPr>
                <w:rFonts w:ascii="Times New Roman" w:hAnsi="Times New Roman"/>
              </w:rPr>
              <w:t xml:space="preserve">), care instituie baza de calcul a valorii totale anuale nete a cifrei de afaceri, se constată că norma urmează corelată cu principiul proporționalității sancțiunii și cu criteriile de individualizare prevăzute la art. 142, or în lipsa unei coroborări, cuantumul sancțiunii sau penalității cu titlu cominatoriu poate deveni disproporționat în raport cu natura încălcării, durata acesteia, consecințele produse, gradul de vinovăție, cooperarea persoanei vizate și măsurile de remediere întreprinse. </w:t>
            </w:r>
          </w:p>
        </w:tc>
        <w:tc>
          <w:tcPr>
            <w:tcW w:w="5012" w:type="dxa"/>
            <w:gridSpan w:val="3"/>
            <w:shd w:val="clear" w:color="auto" w:fill="FFFFFF"/>
          </w:tcPr>
          <w:p w14:paraId="054FCF84" w14:textId="2953BBD8" w:rsidR="00513EDC" w:rsidRPr="005D6998" w:rsidRDefault="00513EDC" w:rsidP="00513EDC">
            <w:pPr>
              <w:tabs>
                <w:tab w:val="left" w:pos="426"/>
              </w:tabs>
              <w:spacing w:line="240" w:lineRule="auto"/>
              <w:jc w:val="both"/>
              <w:rPr>
                <w:rFonts w:ascii="Times New Roman" w:hAnsi="Times New Roman"/>
                <w:b/>
                <w:bCs/>
              </w:rPr>
            </w:pPr>
            <w:r w:rsidRPr="005D6998">
              <w:rPr>
                <w:rFonts w:ascii="Times New Roman" w:hAnsi="Times New Roman"/>
                <w:b/>
                <w:bCs/>
                <w:lang w:val="ro-MD"/>
              </w:rPr>
              <w:lastRenderedPageBreak/>
              <w:t>Se acceptă parțial</w:t>
            </w:r>
            <w:r w:rsidRPr="005D6998">
              <w:rPr>
                <w:rFonts w:ascii="Times New Roman" w:hAnsi="Times New Roman"/>
                <w:b/>
                <w:bCs/>
              </w:rPr>
              <w:t>.</w:t>
            </w:r>
          </w:p>
          <w:p w14:paraId="105FB917" w14:textId="7E046351" w:rsidR="00513EDC" w:rsidRPr="005D6998" w:rsidRDefault="00513EDC" w:rsidP="00513EDC">
            <w:pPr>
              <w:tabs>
                <w:tab w:val="left" w:pos="426"/>
              </w:tabs>
              <w:spacing w:line="240" w:lineRule="auto"/>
              <w:jc w:val="both"/>
              <w:rPr>
                <w:rFonts w:ascii="Times New Roman" w:hAnsi="Times New Roman"/>
                <w:lang w:val="ro-MD"/>
              </w:rPr>
            </w:pPr>
            <w:r w:rsidRPr="005D6998">
              <w:rPr>
                <w:rFonts w:ascii="Times New Roman" w:hAnsi="Times New Roman"/>
                <w:lang w:val="ro-MD"/>
              </w:rPr>
              <w:t>Principiile proporționalității și individualizării sunt deja reflectate în art. 142 alin. (2), care obligă Banca Națională a Moldovei să ia în considerare toate circumstanțele relevante ale cauzei, inclusiv gravitatea și durata faptei, gradul de vinovăție, capacitatea financiară, cooperarea persoanei vizate și eventualele consecințe sistemice. Totodată, alin. (6) și (7) ale art. 142 introduse reprezintă garanții suficiente pentru asigurarea caracterului proporțional și adecvat al măsurilor dispuse de BNM, inclusiv al penalităților cu titlu cominatoriu.</w:t>
            </w:r>
          </w:p>
          <w:p w14:paraId="1A81EBF4" w14:textId="7DC96BCB"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lang w:val="ro-MD"/>
              </w:rPr>
              <w:t xml:space="preserve">Pentru claritatea aplicării acestor norme și în privința penalităților cu titlu cominatoriu la </w:t>
            </w:r>
            <w:r w:rsidRPr="005D6998">
              <w:rPr>
                <w:rFonts w:ascii="Times New Roman" w:hAnsi="Times New Roman"/>
              </w:rPr>
              <w:t xml:space="preserve">pct. 124 prin care </w:t>
            </w:r>
            <w:r w:rsidRPr="005D6998">
              <w:rPr>
                <w:rFonts w:ascii="Times New Roman" w:hAnsi="Times New Roman"/>
              </w:rPr>
              <w:lastRenderedPageBreak/>
              <w:t>se modifică articolul 142, se adaugă o completare după cum urmează:</w:t>
            </w:r>
          </w:p>
          <w:p w14:paraId="0545A9B7"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„alineatul (2), după textul „La stabilirea tipului sancțiunii” se completează cu textul „ ,penalității cu titlu cominatoriu“;”.</w:t>
            </w:r>
          </w:p>
          <w:p w14:paraId="42C1AECB" w14:textId="5C8C7C30" w:rsidR="00513EDC" w:rsidRPr="005D6998" w:rsidRDefault="00513EDC" w:rsidP="00513EDC">
            <w:pPr>
              <w:tabs>
                <w:tab w:val="left" w:pos="426"/>
              </w:tabs>
              <w:spacing w:line="240" w:lineRule="auto"/>
              <w:jc w:val="both"/>
              <w:rPr>
                <w:rFonts w:ascii="Times New Roman" w:hAnsi="Times New Roman"/>
              </w:rPr>
            </w:pPr>
          </w:p>
          <w:p w14:paraId="7397FEAD" w14:textId="284EF909" w:rsidR="00513EDC" w:rsidRPr="005D6998" w:rsidRDefault="00513EDC" w:rsidP="00513EDC">
            <w:pPr>
              <w:tabs>
                <w:tab w:val="left" w:pos="426"/>
              </w:tabs>
              <w:spacing w:line="240" w:lineRule="auto"/>
              <w:jc w:val="both"/>
              <w:rPr>
                <w:rFonts w:ascii="Times New Roman" w:hAnsi="Times New Roman"/>
                <w:lang w:val="ro-MD"/>
              </w:rPr>
            </w:pPr>
            <w:r w:rsidRPr="005D6998">
              <w:rPr>
                <w:rFonts w:ascii="Times New Roman" w:hAnsi="Times New Roman"/>
                <w:lang w:val="ro-MD"/>
              </w:rPr>
              <w:t>Totodată, art. 141 alin. (2</w:t>
            </w:r>
            <w:r w:rsidRPr="005D6998">
              <w:rPr>
                <w:rFonts w:ascii="Times New Roman" w:hAnsi="Times New Roman"/>
                <w:vertAlign w:val="superscript"/>
                <w:lang w:val="ro-MD"/>
              </w:rPr>
              <w:t>1</w:t>
            </w:r>
            <w:r w:rsidRPr="005D6998">
              <w:rPr>
                <w:rFonts w:ascii="Times New Roman" w:hAnsi="Times New Roman"/>
                <w:lang w:val="ro-MD"/>
              </w:rPr>
              <w:t>)-(2</w:t>
            </w:r>
            <w:r w:rsidRPr="005D6998">
              <w:rPr>
                <w:rFonts w:ascii="Times New Roman" w:hAnsi="Times New Roman"/>
                <w:vertAlign w:val="superscript"/>
                <w:lang w:val="ro-MD"/>
              </w:rPr>
              <w:t>5</w:t>
            </w:r>
            <w:r w:rsidRPr="005D6998">
              <w:rPr>
                <w:rFonts w:ascii="Times New Roman" w:hAnsi="Times New Roman"/>
                <w:lang w:val="ro-MD"/>
              </w:rPr>
              <w:t xml:space="preserve">) stabilește </w:t>
            </w:r>
            <w:r w:rsidRPr="005D6998">
              <w:rPr>
                <w:rFonts w:ascii="Times New Roman" w:hAnsi="Times New Roman"/>
                <w:b/>
                <w:bCs/>
                <w:lang w:val="ro-MD"/>
              </w:rPr>
              <w:t>limitele maxime</w:t>
            </w:r>
            <w:r w:rsidRPr="005D6998">
              <w:rPr>
                <w:rFonts w:ascii="Times New Roman" w:hAnsi="Times New Roman"/>
                <w:lang w:val="ro-MD"/>
              </w:rPr>
              <w:t xml:space="preserve"> și modalitatea de calcul a penalităților cu titlu cominatoriu, fără a determina cuantumul concret al acestora. Caracterul coercitiv al penalităților cu titlu cominatoriu rezultă deja din definiția acestora și din faptul că sunt aplicate pentru fiecare zi de încălcare până la restabilirea conformării. Prin urmare, completările propuse sunt redundante.</w:t>
            </w:r>
          </w:p>
          <w:p w14:paraId="470545AE" w14:textId="1FC3EA18" w:rsidR="00513EDC" w:rsidRPr="005D6998" w:rsidRDefault="00513EDC" w:rsidP="00513EDC">
            <w:pPr>
              <w:tabs>
                <w:tab w:val="left" w:pos="426"/>
              </w:tabs>
              <w:spacing w:line="240" w:lineRule="auto"/>
              <w:jc w:val="both"/>
              <w:rPr>
                <w:rFonts w:ascii="Times New Roman" w:hAnsi="Times New Roman"/>
                <w:lang w:val="ro-MD"/>
              </w:rPr>
            </w:pPr>
            <w:r w:rsidRPr="005D6998">
              <w:rPr>
                <w:rFonts w:ascii="Times New Roman" w:hAnsi="Times New Roman"/>
                <w:lang w:val="ro-MD"/>
              </w:rPr>
              <w:t>La fel, se menționează că art. 141 alin. (2</w:t>
            </w:r>
            <w:r w:rsidRPr="005D6998">
              <w:rPr>
                <w:rFonts w:ascii="Times New Roman" w:hAnsi="Times New Roman"/>
                <w:vertAlign w:val="superscript"/>
                <w:lang w:val="ro-MD"/>
              </w:rPr>
              <w:t>1</w:t>
            </w:r>
            <w:r w:rsidRPr="005D6998">
              <w:rPr>
                <w:rFonts w:ascii="Times New Roman" w:hAnsi="Times New Roman"/>
                <w:lang w:val="ro-MD"/>
              </w:rPr>
              <w:t>)-(2</w:t>
            </w:r>
            <w:r w:rsidRPr="005D6998">
              <w:rPr>
                <w:rFonts w:ascii="Times New Roman" w:hAnsi="Times New Roman"/>
                <w:vertAlign w:val="superscript"/>
                <w:lang w:val="ro-MD"/>
              </w:rPr>
              <w:t>5</w:t>
            </w:r>
            <w:r w:rsidRPr="005D6998">
              <w:rPr>
                <w:rFonts w:ascii="Times New Roman" w:hAnsi="Times New Roman"/>
                <w:lang w:val="ro-MD"/>
              </w:rPr>
              <w:t xml:space="preserve">) reglementează penalitățile cu titlu cominatoriu ca </w:t>
            </w:r>
            <w:r w:rsidRPr="005D6998">
              <w:rPr>
                <w:rFonts w:ascii="Times New Roman" w:hAnsi="Times New Roman"/>
                <w:b/>
                <w:bCs/>
                <w:lang w:val="ro-MD"/>
              </w:rPr>
              <w:t>instrument general de supraveghere</w:t>
            </w:r>
            <w:r w:rsidRPr="005D6998">
              <w:rPr>
                <w:rFonts w:ascii="Times New Roman" w:hAnsi="Times New Roman"/>
                <w:lang w:val="ro-MD"/>
              </w:rPr>
              <w:t xml:space="preserve"> aplicabil în contextul încălcărilor prevăzute de prezenta lege și nu sunt limitate la domeniul prevenirii și combaterii spălării banilor și finanțării terorismului. Norma nu se referă la procedura de constatare a încălcărilor legislației AML/CFT și nu interferează cu competențele autorităților prevăzute de cadrul normativ special aplicabil acestui domeniu, ci are o aplicabilitate generală.</w:t>
            </w:r>
          </w:p>
          <w:p w14:paraId="679B349F" w14:textId="304EED44" w:rsidR="00513EDC" w:rsidRPr="005D6998" w:rsidRDefault="00513EDC" w:rsidP="00513EDC">
            <w:pPr>
              <w:tabs>
                <w:tab w:val="left" w:pos="426"/>
              </w:tabs>
              <w:spacing w:line="240" w:lineRule="auto"/>
              <w:jc w:val="both"/>
              <w:rPr>
                <w:rFonts w:ascii="Times New Roman" w:hAnsi="Times New Roman"/>
                <w:lang w:val="ro-MD"/>
              </w:rPr>
            </w:pPr>
          </w:p>
          <w:p w14:paraId="60FC7022" w14:textId="77777777" w:rsidR="00513EDC" w:rsidRPr="005D6998" w:rsidRDefault="00513EDC" w:rsidP="00513EDC">
            <w:pPr>
              <w:pStyle w:val="a7"/>
              <w:tabs>
                <w:tab w:val="left" w:pos="426"/>
              </w:tabs>
              <w:spacing w:after="0" w:line="240" w:lineRule="auto"/>
              <w:ind w:left="0"/>
              <w:jc w:val="both"/>
              <w:rPr>
                <w:rFonts w:ascii="Times New Roman" w:hAnsi="Times New Roman"/>
              </w:rPr>
            </w:pPr>
          </w:p>
          <w:p w14:paraId="4197A228" w14:textId="77777777" w:rsidR="00513EDC" w:rsidRPr="005D6998" w:rsidRDefault="00513EDC" w:rsidP="00513EDC">
            <w:pPr>
              <w:pStyle w:val="a7"/>
              <w:tabs>
                <w:tab w:val="left" w:pos="426"/>
              </w:tabs>
              <w:spacing w:after="0" w:line="240" w:lineRule="auto"/>
              <w:ind w:left="0"/>
              <w:jc w:val="both"/>
              <w:rPr>
                <w:rFonts w:ascii="Times New Roman" w:hAnsi="Times New Roman"/>
                <w:b/>
                <w:lang w:val="ro-MD"/>
              </w:rPr>
            </w:pPr>
          </w:p>
        </w:tc>
      </w:tr>
      <w:tr w:rsidR="00513EDC" w:rsidRPr="005D6998" w14:paraId="00263D9B" w14:textId="77777777" w:rsidTr="00651F58">
        <w:trPr>
          <w:gridAfter w:val="1"/>
          <w:wAfter w:w="10" w:type="dxa"/>
          <w:trHeight w:val="105"/>
        </w:trPr>
        <w:tc>
          <w:tcPr>
            <w:tcW w:w="899" w:type="dxa"/>
            <w:gridSpan w:val="3"/>
            <w:vMerge w:val="restart"/>
            <w:shd w:val="clear" w:color="auto" w:fill="FFFFFF"/>
          </w:tcPr>
          <w:p w14:paraId="4982E76A"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val="restart"/>
            <w:shd w:val="clear" w:color="auto" w:fill="FFFFFF"/>
          </w:tcPr>
          <w:p w14:paraId="422B3710"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b/>
                <w:bCs/>
              </w:rPr>
              <w:t>124.</w:t>
            </w:r>
            <w:r w:rsidRPr="005D6998">
              <w:rPr>
                <w:rFonts w:ascii="Times New Roman" w:hAnsi="Times New Roman"/>
              </w:rPr>
              <w:t xml:space="preserve"> Articolul 142,</w:t>
            </w:r>
          </w:p>
          <w:p w14:paraId="33F51DC5" w14:textId="77777777" w:rsidR="00513EDC" w:rsidRPr="005D6998" w:rsidRDefault="00513EDC" w:rsidP="00513EDC">
            <w:pPr>
              <w:pStyle w:val="a7"/>
              <w:tabs>
                <w:tab w:val="left" w:pos="426"/>
              </w:tabs>
              <w:spacing w:after="0" w:line="240" w:lineRule="auto"/>
              <w:ind w:left="0"/>
              <w:jc w:val="both"/>
              <w:rPr>
                <w:rFonts w:ascii="Times New Roman" w:hAnsi="Times New Roman"/>
              </w:rPr>
            </w:pPr>
          </w:p>
          <w:p w14:paraId="0EEC3F73"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se completează cu alineatele (6) – (8) cu următorul cuprins:</w:t>
            </w:r>
          </w:p>
          <w:p w14:paraId="184AE211" w14:textId="77777777" w:rsidR="00513EDC" w:rsidRPr="005D6998" w:rsidRDefault="00513EDC" w:rsidP="00513EDC">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„(6) În exercitarea competențelor Băncii Naționale a Moldovei de a dispune măsuri de supraveghere potrivit art. 139 și/sau să aplice sancțiuni sau măsuri sancționatoare conform prezentei legi, Banca Națională a Moldovei cooperează îndeaproape cu alte autorități competente pentru a se asigura că sancțiunile și măsurile respective produc rezultatele urmărite de prezenta lege. </w:t>
            </w:r>
            <w:r w:rsidRPr="005D6998">
              <w:rPr>
                <w:rFonts w:ascii="Times New Roman" w:hAnsi="Times New Roman"/>
                <w:b/>
                <w:bCs/>
              </w:rPr>
              <w:t>Bana</w:t>
            </w:r>
            <w:r w:rsidRPr="005D6998">
              <w:rPr>
                <w:rFonts w:ascii="Times New Roman" w:hAnsi="Times New Roman"/>
              </w:rPr>
              <w:t xml:space="preserve"> Națională a Moldovei își coordonează, de asemenea, acțiunile pentru a preveni acumularea și suprapunerea măsurilor și sancțiunilor pe care le aplică în cazuri transfrontaliere.</w:t>
            </w:r>
          </w:p>
          <w:p w14:paraId="0BCF5E00" w14:textId="77777777" w:rsidR="00513EDC" w:rsidRPr="005D6998" w:rsidRDefault="00513EDC" w:rsidP="00513EDC">
            <w:pPr>
              <w:spacing w:after="0" w:line="240" w:lineRule="auto"/>
              <w:jc w:val="both"/>
              <w:rPr>
                <w:rFonts w:ascii="Times New Roman" w:hAnsi="Times New Roman"/>
                <w:b/>
                <w:bCs/>
                <w:color w:val="FF0000"/>
              </w:rPr>
            </w:pPr>
            <w:r w:rsidRPr="005D6998">
              <w:rPr>
                <w:rFonts w:ascii="Times New Roman" w:hAnsi="Times New Roman"/>
              </w:rPr>
              <w:t>(7) Banca Națională a Moldovei poate aplica sancțiuni unei persoane fizice sau juridice responsabile de aceleași fapte sau omisiuni în cazul cumulării unor proceduri administrative și penale referitoare la aceeași încălcare. Cu toate acestea, o astfel de cumulare de proceduri și de sancțiuni este strict necesară și proporțională pentru a se urmări obiective de interes general diferite și complementare.</w:t>
            </w:r>
            <w:r w:rsidRPr="005D6998">
              <w:rPr>
                <w:rFonts w:ascii="Times New Roman" w:hAnsi="Times New Roman"/>
                <w:b/>
                <w:bCs/>
                <w:color w:val="FF0000"/>
              </w:rPr>
              <w:t xml:space="preserve"> </w:t>
            </w:r>
          </w:p>
          <w:p w14:paraId="3DF4AD6B" w14:textId="2D55E5D7" w:rsidR="00513EDC" w:rsidRPr="005D6998" w:rsidRDefault="00513EDC" w:rsidP="00513EDC">
            <w:pPr>
              <w:pStyle w:val="a7"/>
              <w:tabs>
                <w:tab w:val="left" w:pos="426"/>
              </w:tabs>
              <w:spacing w:after="0" w:line="240" w:lineRule="auto"/>
              <w:ind w:left="0"/>
              <w:jc w:val="both"/>
              <w:rPr>
                <w:rFonts w:ascii="Times New Roman" w:hAnsi="Times New Roman"/>
                <w:b/>
                <w:bCs/>
              </w:rPr>
            </w:pPr>
            <w:r w:rsidRPr="005D6998">
              <w:rPr>
                <w:rFonts w:ascii="Times New Roman" w:hAnsi="Times New Roman"/>
              </w:rPr>
              <w:t xml:space="preserve">(8) Banca Națională a Moldovei utilizează toate mecanismele necesare pentru a se asigura că este informată în </w:t>
            </w:r>
            <w:r w:rsidRPr="005D6998">
              <w:rPr>
                <w:rFonts w:ascii="Times New Roman" w:hAnsi="Times New Roman"/>
              </w:rPr>
              <w:lastRenderedPageBreak/>
              <w:t>mod corespunzător, în timp util, în cazul în care sunt inițiate proceduri administrative și penale împotriva unei persoane fizice sau juridice care poate fi considerată responsabilă de același comportament în cadrul ambelor proceduri.”.</w:t>
            </w:r>
          </w:p>
        </w:tc>
        <w:tc>
          <w:tcPr>
            <w:tcW w:w="1559" w:type="dxa"/>
            <w:gridSpan w:val="3"/>
            <w:vMerge w:val="restart"/>
            <w:shd w:val="clear" w:color="auto" w:fill="FFFFFF"/>
          </w:tcPr>
          <w:p w14:paraId="535F39A7"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6EADA887" w14:textId="07339FA0"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Cs/>
              </w:rPr>
              <w:t>Aviz nr. 02-06/188 din 07.07.2026</w:t>
            </w:r>
          </w:p>
        </w:tc>
        <w:tc>
          <w:tcPr>
            <w:tcW w:w="426" w:type="dxa"/>
            <w:shd w:val="clear" w:color="auto" w:fill="FFFFFF"/>
          </w:tcPr>
          <w:p w14:paraId="172727E6"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43268E9" w14:textId="627F7C70"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referire la art. 142 alin. (6), se propune înlocuirea cuvântului „Bana” cu cuvântul „Banca”. </w:t>
            </w:r>
          </w:p>
        </w:tc>
        <w:tc>
          <w:tcPr>
            <w:tcW w:w="5012" w:type="dxa"/>
            <w:gridSpan w:val="3"/>
            <w:shd w:val="clear" w:color="auto" w:fill="FFFFFF"/>
          </w:tcPr>
          <w:p w14:paraId="2CEFA1FD" w14:textId="4FD5C12F"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tc>
      </w:tr>
      <w:tr w:rsidR="00513EDC" w:rsidRPr="005D6998" w14:paraId="56F2AFEE" w14:textId="77777777" w:rsidTr="00651F58">
        <w:trPr>
          <w:gridAfter w:val="1"/>
          <w:wAfter w:w="10" w:type="dxa"/>
          <w:trHeight w:val="105"/>
        </w:trPr>
        <w:tc>
          <w:tcPr>
            <w:tcW w:w="899" w:type="dxa"/>
            <w:gridSpan w:val="3"/>
            <w:vMerge/>
            <w:shd w:val="clear" w:color="auto" w:fill="FFFFFF"/>
          </w:tcPr>
          <w:p w14:paraId="0F0AFFCC" w14:textId="77777777" w:rsidR="00513EDC" w:rsidRPr="005D6998" w:rsidRDefault="00513EDC" w:rsidP="00513EDC">
            <w:p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3403E6F0" w14:textId="77777777" w:rsidR="00513EDC" w:rsidRPr="005D6998" w:rsidRDefault="00513EDC" w:rsidP="00513EDC">
            <w:pPr>
              <w:pStyle w:val="a7"/>
              <w:tabs>
                <w:tab w:val="left" w:pos="426"/>
              </w:tabs>
              <w:spacing w:after="0" w:line="240" w:lineRule="auto"/>
              <w:ind w:left="0"/>
              <w:jc w:val="both"/>
              <w:rPr>
                <w:rFonts w:ascii="Times New Roman" w:hAnsi="Times New Roman"/>
                <w:b/>
                <w:bCs/>
              </w:rPr>
            </w:pPr>
          </w:p>
        </w:tc>
        <w:tc>
          <w:tcPr>
            <w:tcW w:w="1559" w:type="dxa"/>
            <w:gridSpan w:val="3"/>
            <w:vMerge/>
            <w:shd w:val="clear" w:color="auto" w:fill="FFFFFF"/>
          </w:tcPr>
          <w:p w14:paraId="14BF5703"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p>
        </w:tc>
        <w:tc>
          <w:tcPr>
            <w:tcW w:w="426" w:type="dxa"/>
            <w:shd w:val="clear" w:color="auto" w:fill="FFFFFF"/>
          </w:tcPr>
          <w:p w14:paraId="0B79CF0E"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661028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La alin. (6)–(8), se consideră oportună detalierea expresă a criteriilor care justifică aplicarea cumulativă a sancțiunilor administrative și penale, precum și a garanțiilor procedurale aplicabile în asemenea situații.</w:t>
            </w:r>
          </w:p>
          <w:p w14:paraId="62AA3EA5" w14:textId="77777777" w:rsidR="00513EDC" w:rsidRPr="005D6998" w:rsidRDefault="00513EDC" w:rsidP="00513EDC">
            <w:pPr>
              <w:spacing w:after="0" w:line="240" w:lineRule="auto"/>
              <w:jc w:val="both"/>
              <w:rPr>
                <w:rFonts w:ascii="Times New Roman" w:hAnsi="Times New Roman"/>
              </w:rPr>
            </w:pPr>
          </w:p>
          <w:p w14:paraId="38321EB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dispoziția permite aplicarea concomitentă a procedurilor și sancțiunilor administrative și penale pentru aceleași fapte, limitând această posibilitate prin referire la caracterul „strict necesar și proporțional” al cumulului. </w:t>
            </w:r>
          </w:p>
          <w:p w14:paraId="75D196CA" w14:textId="77777777" w:rsidR="00513EDC" w:rsidRPr="005D6998" w:rsidRDefault="00513EDC" w:rsidP="00513EDC">
            <w:pPr>
              <w:spacing w:after="0" w:line="240" w:lineRule="auto"/>
              <w:jc w:val="both"/>
              <w:rPr>
                <w:rFonts w:ascii="Times New Roman" w:hAnsi="Times New Roman"/>
              </w:rPr>
            </w:pPr>
          </w:p>
          <w:p w14:paraId="0492BFB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Totuși, se arată că proiectul nu stabilește criterii clare care să permită determinarea situațiilor în care un asemenea cumul este justificat și nici modul în care urmează să fie evaluată proporționalitatea măsurilor aplicate. Având în vedere că sancțiunile administrative prevăzute de lege pot avea un caracter pronunțat represiv și disuasiv, inclusiv prin cuantumul acestora și prin efectele asupra dreptului de a exercita funcții de conducere, se consideră că există riscul ca acestea să fie calificate, prin natura și severitatea lor, ca având caracter penal în sens autonom. </w:t>
            </w:r>
          </w:p>
          <w:p w14:paraId="0CD0A9F8" w14:textId="77777777" w:rsidR="00513EDC" w:rsidRPr="005D6998" w:rsidRDefault="00513EDC" w:rsidP="00513EDC">
            <w:pPr>
              <w:spacing w:after="0" w:line="240" w:lineRule="auto"/>
              <w:jc w:val="both"/>
              <w:rPr>
                <w:rFonts w:ascii="Times New Roman" w:hAnsi="Times New Roman"/>
              </w:rPr>
            </w:pPr>
          </w:p>
          <w:p w14:paraId="5B091211" w14:textId="3C153934"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aceste condiții, aplicarea cumulativă a unor sancțiuni administrative și penale pentru aceeași conduită poate ridica probleme de </w:t>
            </w:r>
            <w:r w:rsidRPr="005D6998">
              <w:rPr>
                <w:rFonts w:ascii="Times New Roman" w:hAnsi="Times New Roman"/>
              </w:rPr>
              <w:lastRenderedPageBreak/>
              <w:t>compatibilitate cu principiul ne bis in idem și poate genera probleme aferente proporționalității și legalității măsurilor dispuse.</w:t>
            </w:r>
          </w:p>
        </w:tc>
        <w:tc>
          <w:tcPr>
            <w:tcW w:w="5012" w:type="dxa"/>
            <w:gridSpan w:val="3"/>
            <w:shd w:val="clear" w:color="auto" w:fill="FFFFFF"/>
          </w:tcPr>
          <w:p w14:paraId="4DEDB67D"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b/>
                <w:bCs/>
              </w:rPr>
              <w:lastRenderedPageBreak/>
              <w:t>Nu se acceptă.</w:t>
            </w:r>
            <w:r w:rsidRPr="005D6998">
              <w:rPr>
                <w:rFonts w:ascii="Times New Roman" w:hAnsi="Times New Roman"/>
              </w:rPr>
              <w:t xml:space="preserve"> </w:t>
            </w:r>
          </w:p>
          <w:p w14:paraId="6137E72C" w14:textId="4770D023"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Dispozițiile alin. (6)–(8) reprezintă transpunerea art. 70 alin. (2)–(4) din Directiva (UE) 2024/1619 (CRD VI), fără a depăși conținutul acesteia. </w:t>
            </w:r>
          </w:p>
          <w:p w14:paraId="38AC6F1B"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4A2F3CC5"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În acest sens, directiva stabilește expres că aplicarea cumulativă a procedurilor și sancțiunilor administrative și penale este posibilă numai dacă aceasta este strict necesară și proporțională pentru urmărirea unor obiective de interes general diferite și complementare. </w:t>
            </w:r>
            <w:r w:rsidRPr="005D6998">
              <w:rPr>
                <w:rFonts w:ascii="Times New Roman" w:hAnsi="Times New Roman"/>
                <w:lang w:val="ro-MD"/>
              </w:rPr>
              <w:t>Aprecierea caracterului necesar și proporțional al măsurilor se realizează de la caz la caz.</w:t>
            </w:r>
          </w:p>
          <w:p w14:paraId="113B22DE"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24B55533"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lang w:val="ro-MD"/>
              </w:rPr>
              <w:t xml:space="preserve">Introducerea unor criterii ar putea restrânge sau modifica sensul avut în vedere de legiuitorul european. Totodată,  dispozițiile în discuție nu înlătură obligația BNM de a </w:t>
            </w:r>
            <w:r w:rsidRPr="005D6998">
              <w:rPr>
                <w:rFonts w:ascii="Times New Roman" w:hAnsi="Times New Roman"/>
              </w:rPr>
              <w:t>respecta principiului ne bis in idem, precum și obligația de a evalua caracterul necesar și proporțional al unei asemenea cumulări.</w:t>
            </w:r>
          </w:p>
          <w:p w14:paraId="5B9241FE"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0607090B"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52E0AD64" w14:textId="77777777" w:rsidTr="00651F58">
        <w:trPr>
          <w:gridAfter w:val="1"/>
          <w:wAfter w:w="10" w:type="dxa"/>
          <w:trHeight w:val="105"/>
        </w:trPr>
        <w:tc>
          <w:tcPr>
            <w:tcW w:w="899" w:type="dxa"/>
            <w:gridSpan w:val="3"/>
            <w:shd w:val="clear" w:color="auto" w:fill="FFFFFF"/>
          </w:tcPr>
          <w:p w14:paraId="6091DC91"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56C78AC7" w14:textId="77777777" w:rsidR="00513EDC" w:rsidRPr="005D6998" w:rsidRDefault="00513EDC" w:rsidP="00513EDC">
            <w:pPr>
              <w:pStyle w:val="a7"/>
              <w:tabs>
                <w:tab w:val="left" w:pos="426"/>
              </w:tabs>
              <w:spacing w:after="0" w:line="240" w:lineRule="auto"/>
              <w:ind w:left="0"/>
              <w:jc w:val="both"/>
              <w:rPr>
                <w:rFonts w:ascii="Times New Roman" w:hAnsi="Times New Roman"/>
                <w:b/>
              </w:rPr>
            </w:pPr>
          </w:p>
        </w:tc>
        <w:tc>
          <w:tcPr>
            <w:tcW w:w="1559" w:type="dxa"/>
            <w:gridSpan w:val="3"/>
            <w:vMerge w:val="restart"/>
            <w:shd w:val="clear" w:color="auto" w:fill="FFFFFF"/>
          </w:tcPr>
          <w:p w14:paraId="0B28EE3E"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Serviciul Prevenirea și Combaterea Spălării Banilor</w:t>
            </w:r>
          </w:p>
          <w:p w14:paraId="20E8B411"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p w14:paraId="4023E7E8" w14:textId="23CCD6CD"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3C849389"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9E76044" w14:textId="0C64CA1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referire la art. 142, alin. (6)-(8), se propune completarea textului cu prevederea că, în cazul în care faptele examinate au legătură cu încălcări ale legislației speciale în domeniul prevenirii și combaterii spălării banilor și finanțării terorismului, Banca Națională a Moldovei cooperează cu organul cu funcții de supraveghere competent și, după caz, cu Serviciul Prevenirea și Combaterea Spălării Banilor, în limitele competențelor deținute și cu respectarea regimului informațiilor protejate prin lege.</w:t>
            </w:r>
          </w:p>
          <w:p w14:paraId="41D5385B" w14:textId="77777777" w:rsidR="00513EDC" w:rsidRPr="005D6998" w:rsidRDefault="00513EDC" w:rsidP="00513EDC">
            <w:pPr>
              <w:spacing w:after="0" w:line="240" w:lineRule="auto"/>
              <w:jc w:val="both"/>
              <w:rPr>
                <w:rFonts w:ascii="Times New Roman" w:hAnsi="Times New Roman"/>
              </w:rPr>
            </w:pPr>
          </w:p>
          <w:p w14:paraId="451CC9F5" w14:textId="1AFF846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consideră că norma este necesară, însă urmează a fi redactată astfel încât să asigure evitarea suprapunerii nejustificate a răspunderii pentru aceeași conduită, în special în situațiile în care aceleași fapte pot cădea sub incidența atât sferei supravegherii prudențiale, cât și sferei legislației speciale privind prevenirea și combaterea spălării banilor și finanțării terorismului. </w:t>
            </w:r>
          </w:p>
        </w:tc>
        <w:tc>
          <w:tcPr>
            <w:tcW w:w="5012" w:type="dxa"/>
            <w:gridSpan w:val="3"/>
            <w:shd w:val="clear" w:color="auto" w:fill="FFFFFF"/>
          </w:tcPr>
          <w:p w14:paraId="49161B8C"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3767044F" w14:textId="6B5AF238"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Alin. (6)-(8) reglementează mecanisme generale de coordonare a măsurilor de supraveghere, sancțiunilor și procedurilor administrative sau penale aplicabile în exercitarea atribuțiilor prevăzute de prezenta lege. Aceste norme vizează toate modul în care poate BNM aplica măsurile de supraveghere, sancționatorii, penalități cu titlu cominatoriu și sancțiuni, inclusiv pentru încălcări de domeniul AML/CFT.</w:t>
            </w:r>
          </w:p>
          <w:p w14:paraId="440391B5"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Proiectul conține deja prevederi generale privind cooperarea și schimbul de informații dintre autoritățile competente, inclusiv cu respectarea cerințelor referitoare la secretul profesional și regimul informațiilor protejate prin lege.</w:t>
            </w:r>
          </w:p>
          <w:p w14:paraId="31336C4E" w14:textId="56FA0F33"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Respectiv, cooperarea cu autoritățile competente în domeniul prevenirii și combaterii spălării banilor și finanțării terorismului, inclusiv Serviciul, se realizează în temeiul acestor dispoziții generale și al cadrului normativ special aplicabil, fără a fi necesară reiterarea lor în cadrul normei analizate.</w:t>
            </w:r>
          </w:p>
          <w:p w14:paraId="18BAA619"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7C7C9803"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tc>
      </w:tr>
      <w:tr w:rsidR="00513EDC" w:rsidRPr="005D6998" w14:paraId="7D7DBC35" w14:textId="77777777" w:rsidTr="00651F58">
        <w:trPr>
          <w:gridAfter w:val="1"/>
          <w:wAfter w:w="10" w:type="dxa"/>
          <w:trHeight w:val="105"/>
        </w:trPr>
        <w:tc>
          <w:tcPr>
            <w:tcW w:w="899" w:type="dxa"/>
            <w:gridSpan w:val="3"/>
            <w:shd w:val="clear" w:color="auto" w:fill="FFFFFF"/>
          </w:tcPr>
          <w:p w14:paraId="69F2A36F"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vMerge/>
            <w:shd w:val="clear" w:color="auto" w:fill="FFFFFF"/>
          </w:tcPr>
          <w:p w14:paraId="1C74B6E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vMerge/>
            <w:shd w:val="clear" w:color="auto" w:fill="FFFFFF"/>
          </w:tcPr>
          <w:p w14:paraId="4499DD77" w14:textId="550C3686"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5DD1E962"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58F3358F" w14:textId="379F764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în cazul cumulării procedurilor administrative și penale, ca proiectul să prevadă expres că aplicarea sancțiunilor urmează să țină cont de sancțiunile sau măsurile deja aplicate pentru aceeași conduită, pentru asigurarea proporționalității răspunderii și pentru evitarea dublării disproporționate a consecințelor juridice.</w:t>
            </w:r>
          </w:p>
        </w:tc>
        <w:tc>
          <w:tcPr>
            <w:tcW w:w="5012" w:type="dxa"/>
            <w:gridSpan w:val="3"/>
            <w:shd w:val="clear" w:color="auto" w:fill="FFFFFF"/>
          </w:tcPr>
          <w:p w14:paraId="4014C632" w14:textId="393E4495"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55ECBDB3"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Se menționează că proiectul conține o garanție expresă în acest sens la art. 142 alin. (2) lit. i), care obligă BNM să ia în considerare, la stabilirea tipului sancțiunii, penalității cu titlu cominatoriu sau măsurii sancționatoare, „</w:t>
            </w:r>
            <w:r w:rsidRPr="005D6998">
              <w:rPr>
                <w:rFonts w:ascii="Times New Roman" w:hAnsi="Times New Roman"/>
                <w:b/>
                <w:bCs/>
                <w:lang w:val="ro-MD"/>
              </w:rPr>
              <w:t>sancțiuni penale aplicate anterior pentru aceeași încălcare persoanei fizice sau juridice responsabile</w:t>
            </w:r>
            <w:r w:rsidRPr="005D6998">
              <w:rPr>
                <w:rFonts w:ascii="Times New Roman" w:hAnsi="Times New Roman"/>
                <w:lang w:val="ro-MD"/>
              </w:rPr>
              <w:t xml:space="preserve">”. </w:t>
            </w:r>
          </w:p>
          <w:p w14:paraId="49EEFC80"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Totodată,  necesitatea luării în considerare a consecințelor juridice deja aplicate pentru aceeași conduită rezultă deja din mecanismul instituit de alin. (7) propus. Norma permite cumularea procedurilor </w:t>
            </w:r>
            <w:r w:rsidRPr="005D6998">
              <w:rPr>
                <w:rFonts w:ascii="Times New Roman" w:hAnsi="Times New Roman"/>
                <w:lang w:val="ro-MD"/>
              </w:rPr>
              <w:lastRenderedPageBreak/>
              <w:t xml:space="preserve">administrative și penale numai ca excepție, în cazul în care aceasta este „strict necesară și proporțională” pentru urmărirea unor obiective de interes general diferite și complementare. </w:t>
            </w:r>
          </w:p>
          <w:p w14:paraId="055A8A71" w14:textId="43E52CA8"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lang w:val="ro-MD"/>
              </w:rPr>
              <w:t xml:space="preserve">Deci, </w:t>
            </w:r>
            <w:r w:rsidRPr="005D6998">
              <w:rPr>
                <w:rFonts w:ascii="Times New Roman" w:hAnsi="Times New Roman"/>
                <w:i/>
                <w:iCs/>
                <w:lang w:val="ro-MD"/>
              </w:rPr>
              <w:t>per a contrario</w:t>
            </w:r>
            <w:r w:rsidRPr="005D6998">
              <w:rPr>
                <w:rFonts w:ascii="Times New Roman" w:hAnsi="Times New Roman"/>
                <w:lang w:val="ro-MD"/>
              </w:rPr>
              <w:t>, în situația în care existența unor sancțiuni sau măsuri deja aplicate ar conduce la un rezultat disproporționat ori ar face inutilă aplicarea unor măsuri suplimentare, condițiile prevăzute de alin. (7) nu ar mai fi întrunite, iar cumularea nu ar putea fi justificată.</w:t>
            </w:r>
          </w:p>
        </w:tc>
      </w:tr>
      <w:tr w:rsidR="00513EDC" w:rsidRPr="005D6998" w14:paraId="15CE0C55" w14:textId="77777777" w:rsidTr="00651F58">
        <w:trPr>
          <w:gridAfter w:val="1"/>
          <w:wAfter w:w="10" w:type="dxa"/>
          <w:trHeight w:val="105"/>
        </w:trPr>
        <w:tc>
          <w:tcPr>
            <w:tcW w:w="899" w:type="dxa"/>
            <w:gridSpan w:val="3"/>
            <w:shd w:val="clear" w:color="auto" w:fill="FFFFFF"/>
          </w:tcPr>
          <w:p w14:paraId="29503C25"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32C6BBD"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b/>
                <w:bCs/>
              </w:rPr>
              <w:t>Art. IV.</w:t>
            </w:r>
            <w:r w:rsidRPr="005D6998">
              <w:rPr>
                <w:rFonts w:ascii="Times New Roman" w:hAnsi="Times New Roman"/>
              </w:rPr>
              <w:t xml:space="preserve"> Dispoziţii tranzitorii</w:t>
            </w:r>
          </w:p>
          <w:p w14:paraId="27583583" w14:textId="0A2E2D12" w:rsidR="00513EDC" w:rsidRPr="005D6998" w:rsidRDefault="00513EDC" w:rsidP="00513EDC">
            <w:pPr>
              <w:tabs>
                <w:tab w:val="left" w:pos="884"/>
                <w:tab w:val="left" w:pos="1196"/>
              </w:tabs>
              <w:spacing w:after="0" w:line="240" w:lineRule="auto"/>
              <w:rPr>
                <w:rFonts w:ascii="Times New Roman" w:hAnsi="Times New Roman"/>
                <w:b/>
              </w:rPr>
            </w:pPr>
            <w:r w:rsidRPr="005D6998">
              <w:rPr>
                <w:rFonts w:ascii="Times New Roman" w:hAnsi="Times New Roman"/>
                <w:b/>
              </w:rPr>
              <w:t>[…]</w:t>
            </w:r>
          </w:p>
        </w:tc>
        <w:tc>
          <w:tcPr>
            <w:tcW w:w="1559" w:type="dxa"/>
            <w:gridSpan w:val="3"/>
            <w:shd w:val="clear" w:color="auto" w:fill="FFFFFF"/>
          </w:tcPr>
          <w:p w14:paraId="5082BFA1" w14:textId="396D0B5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AmCham</w:t>
            </w:r>
          </w:p>
          <w:p w14:paraId="42FE6EDD"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35EFE9E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FEE1A8A" w14:textId="4B0143A6"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06202B5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1B2C530C" w14:textId="76028AD8"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9E83EFA" w14:textId="1B550411"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recomandă introducerea unei norme tranzitorii, după cum urmează:</w:t>
            </w:r>
          </w:p>
          <w:p w14:paraId="6DC4C78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„Banca Națională va aproba, în termen de 12 luni de la intrarea în vigoare a legii, metodologia de evaluare și raportare a politicilor de remunerare neutre din punct de vedere al genului.”.</w:t>
            </w:r>
          </w:p>
          <w:p w14:paraId="31273D31" w14:textId="77777777" w:rsidR="00513EDC" w:rsidRPr="005D6998" w:rsidRDefault="00513EDC" w:rsidP="00513EDC">
            <w:pPr>
              <w:spacing w:after="0" w:line="240" w:lineRule="auto"/>
              <w:jc w:val="both"/>
              <w:rPr>
                <w:rFonts w:ascii="Times New Roman" w:hAnsi="Times New Roman"/>
              </w:rPr>
            </w:pPr>
          </w:p>
          <w:p w14:paraId="49634EA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La definiția „politică de remunerare neutră din punctul de vedere al genului”, proiectul introduce noțiunea în concordanță cu evoluțiile cadrului normativ european privind guvernanța corporativă și remunerarea în sectorul financiar. Cu toate acestea, proiectul nu conține prevederi care să clarifice modalitatea de aplicare a acestui principiu la nivelul instituțiilor de credit.</w:t>
            </w:r>
          </w:p>
          <w:p w14:paraId="01CD2BF2" w14:textId="77777777" w:rsidR="00513EDC" w:rsidRPr="005D6998" w:rsidRDefault="00513EDC" w:rsidP="00513EDC">
            <w:pPr>
              <w:spacing w:after="0" w:line="240" w:lineRule="auto"/>
              <w:jc w:val="both"/>
              <w:rPr>
                <w:rFonts w:ascii="Times New Roman" w:hAnsi="Times New Roman"/>
              </w:rPr>
            </w:pPr>
          </w:p>
          <w:p w14:paraId="3968005D" w14:textId="70FC3CC8"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particular, nu sunt stabilite criterii sau metodologii pentru evaluarea caracterului neutru al politicilor de remunerare, indicatorii care urmează a fi monitorizați și nici obligațiile de raportare sau documentare aferente.</w:t>
            </w:r>
          </w:p>
          <w:p w14:paraId="0E7AB90C" w14:textId="6CE337E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lipsa unor clarificări, există riscul unor interpretări neuniforme și al unor dificultăți practice în implementarea și verificarea respectării acestei cerințe.</w:t>
            </w:r>
          </w:p>
        </w:tc>
        <w:tc>
          <w:tcPr>
            <w:tcW w:w="5012" w:type="dxa"/>
            <w:gridSpan w:val="3"/>
            <w:shd w:val="clear" w:color="auto" w:fill="FFFFFF"/>
          </w:tcPr>
          <w:p w14:paraId="4252170D" w14:textId="5D3F40A8"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2DC16A37" w14:textId="43B622CB"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lang w:val="ro-MD"/>
              </w:rPr>
              <w:t xml:space="preserve">Proiectul de lege fortifică prevederile în vigoare care se referă la neutralitatea politicilor de remunerare. În acest sens, se menționează că la momentul actual, Legea nr. 202/2017 și </w:t>
            </w:r>
            <w:r w:rsidRPr="005D6998">
              <w:rPr>
                <w:rFonts w:ascii="Times New Roman" w:hAnsi="Times New Roman"/>
              </w:rPr>
              <w:t>Regulamentului BNM nr. 322/2018 privind cadrul de administrare stabilește obligația băncilor de a dispune, ca parte a cadrului de administrare, politici și practici de remunerare neutre din punct de vedere al genului. Respectiv, băncile deja dispun de aceste politici și practici în prezent.</w:t>
            </w:r>
          </w:p>
          <w:p w14:paraId="636823DB" w14:textId="77777777" w:rsidR="00513EDC" w:rsidRPr="005D6998" w:rsidRDefault="00513EDC" w:rsidP="00513EDC">
            <w:pPr>
              <w:tabs>
                <w:tab w:val="left" w:pos="884"/>
                <w:tab w:val="left" w:pos="1196"/>
              </w:tabs>
              <w:spacing w:after="0" w:line="240" w:lineRule="auto"/>
              <w:jc w:val="both"/>
              <w:rPr>
                <w:rFonts w:ascii="Times New Roman" w:hAnsi="Times New Roman"/>
                <w:lang w:val="ro-MD"/>
              </w:rPr>
            </w:pPr>
          </w:p>
          <w:p w14:paraId="0E336D43" w14:textId="497EC7E5"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lang w:val="ro-MD"/>
              </w:rPr>
              <w:t>Se menționează că fortificarea acestor cerințe are loc și prin p</w:t>
            </w:r>
            <w:r w:rsidRPr="005D6998">
              <w:rPr>
                <w:rFonts w:ascii="Times New Roman" w:hAnsi="Times New Roman"/>
              </w:rPr>
              <w:t>roiectul regulamentului BNM de modificare a Regulamentului BNM nr. 322/2018 privind cadrul de administrare (care a fost supus consultării publice în perioada 13.05.2026-03.06.2026) care stabilește cerințe detaliate legate de neutralitatea politicilor de remunerare care permit fiecărei instituții de credit (a se vedea în acest sens, cel puțin, pct. 47</w:t>
            </w:r>
            <w:r w:rsidRPr="005D6998">
              <w:rPr>
                <w:rFonts w:ascii="Times New Roman" w:hAnsi="Times New Roman"/>
                <w:vertAlign w:val="superscript"/>
              </w:rPr>
              <w:t>2</w:t>
            </w:r>
            <w:r w:rsidRPr="005D6998">
              <w:rPr>
                <w:rFonts w:ascii="Times New Roman" w:hAnsi="Times New Roman"/>
              </w:rPr>
              <w:t>, pct. 74</w:t>
            </w:r>
            <w:r w:rsidRPr="005D6998">
              <w:rPr>
                <w:rFonts w:ascii="Times New Roman" w:hAnsi="Times New Roman"/>
                <w:vertAlign w:val="superscript"/>
              </w:rPr>
              <w:t>3</w:t>
            </w:r>
            <w:r w:rsidRPr="005D6998">
              <w:rPr>
                <w:rFonts w:ascii="Times New Roman" w:hAnsi="Times New Roman"/>
              </w:rPr>
              <w:t>, pct. pct. 112-112</w:t>
            </w:r>
            <w:r w:rsidRPr="005D6998">
              <w:rPr>
                <w:rFonts w:ascii="Times New Roman" w:hAnsi="Times New Roman"/>
                <w:vertAlign w:val="superscript"/>
              </w:rPr>
              <w:t>1</w:t>
            </w:r>
            <w:r w:rsidRPr="005D6998">
              <w:rPr>
                <w:rFonts w:ascii="Times New Roman" w:hAnsi="Times New Roman"/>
              </w:rPr>
              <w:t>, 119</w:t>
            </w:r>
            <w:r w:rsidRPr="005D6998">
              <w:rPr>
                <w:rFonts w:ascii="Times New Roman" w:hAnsi="Times New Roman"/>
                <w:vertAlign w:val="superscript"/>
              </w:rPr>
              <w:t>1</w:t>
            </w:r>
            <w:r w:rsidRPr="005D6998">
              <w:rPr>
                <w:rFonts w:ascii="Times New Roman" w:hAnsi="Times New Roman"/>
              </w:rPr>
              <w:t>-119</w:t>
            </w:r>
            <w:r w:rsidRPr="005D6998">
              <w:rPr>
                <w:rFonts w:ascii="Times New Roman" w:hAnsi="Times New Roman"/>
                <w:vertAlign w:val="superscript"/>
              </w:rPr>
              <w:t>3</w:t>
            </w:r>
            <w:r w:rsidRPr="005D6998">
              <w:rPr>
                <w:rFonts w:ascii="Times New Roman" w:hAnsi="Times New Roman"/>
              </w:rPr>
              <w:t xml:space="preserve"> incluse prin proiect) să își configureze propriile mecanisme interne de implementare și monitorizare, corespunzător profilului său de risc și structurii organizaționale, fără a impune un model unic general aplicabil.</w:t>
            </w:r>
          </w:p>
          <w:p w14:paraId="670948FD" w14:textId="0635ADE4"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Modificările respective sunt în concordanță cu standardele europene, în special </w:t>
            </w:r>
            <w:hyperlink r:id="rId14" w:history="1">
              <w:r w:rsidRPr="005D6998">
                <w:rPr>
                  <w:rStyle w:val="afb"/>
                  <w:rFonts w:ascii="Times New Roman" w:hAnsi="Times New Roman"/>
                </w:rPr>
                <w:t>Ghidul privind politicile solide de remunerare în temeiul Directivei 2013/36/UE</w:t>
              </w:r>
            </w:hyperlink>
            <w:r w:rsidRPr="005D6998">
              <w:rPr>
                <w:rFonts w:ascii="Times New Roman" w:hAnsi="Times New Roman"/>
              </w:rPr>
              <w:t>.</w:t>
            </w:r>
          </w:p>
          <w:p w14:paraId="1519B1FE" w14:textId="743BA549"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lastRenderedPageBreak/>
              <w:t>Aspectele de transparență legate de neutralitatea politicilor de remunerare vor fi stabilite în modificările planificate la proiectul Regulamentului BNM nr. 158/2020 cu privire la cerințele de publicare a informațiilor de către instituțiile de credit.</w:t>
            </w:r>
          </w:p>
        </w:tc>
      </w:tr>
      <w:tr w:rsidR="00513EDC" w:rsidRPr="005D6998" w14:paraId="7F6F7EC1" w14:textId="77777777" w:rsidTr="00651F58">
        <w:trPr>
          <w:trHeight w:val="105"/>
        </w:trPr>
        <w:tc>
          <w:tcPr>
            <w:tcW w:w="899" w:type="dxa"/>
            <w:gridSpan w:val="3"/>
            <w:shd w:val="clear" w:color="auto" w:fill="FFFFFF"/>
          </w:tcPr>
          <w:p w14:paraId="0D24F8EE"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FB64DF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b/>
                <w:bCs/>
              </w:rPr>
              <w:t>Art. IV.</w:t>
            </w:r>
            <w:r w:rsidRPr="005D6998">
              <w:rPr>
                <w:rFonts w:ascii="Times New Roman" w:hAnsi="Times New Roman"/>
              </w:rPr>
              <w:t xml:space="preserve"> Dispoziţii tranzitorii</w:t>
            </w:r>
          </w:p>
          <w:p w14:paraId="5E6E6B12" w14:textId="2FD8D92A"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rPr>
              <w:t>[…]</w:t>
            </w:r>
          </w:p>
        </w:tc>
        <w:tc>
          <w:tcPr>
            <w:tcW w:w="1559" w:type="dxa"/>
            <w:gridSpan w:val="3"/>
            <w:shd w:val="clear" w:color="auto" w:fill="FFFFFF"/>
          </w:tcPr>
          <w:p w14:paraId="2D0FE618"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AmCham</w:t>
            </w:r>
          </w:p>
          <w:p w14:paraId="55FAE548"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153AEEB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0E3FFF4"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4D0E7C9C"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p>
        </w:tc>
        <w:tc>
          <w:tcPr>
            <w:tcW w:w="426" w:type="dxa"/>
            <w:shd w:val="clear" w:color="auto" w:fill="FFFFFF"/>
          </w:tcPr>
          <w:p w14:paraId="3FCF5C2A"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55" w:type="dxa"/>
            <w:gridSpan w:val="4"/>
            <w:shd w:val="clear" w:color="auto" w:fill="FFFFFF"/>
          </w:tcPr>
          <w:p w14:paraId="15DEEC9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completarea proiectului de lege cu o dispoziție tranzitorie, cu următorul cuprins:</w:t>
            </w:r>
          </w:p>
          <w:p w14:paraId="24271222"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„Până la aprobarea cadrului normativ secundar, instituțiile de credit vor raporta separat expunerile directe și indirecte la criptoactive și vor respecta limitele stabilite de Banca Națională.”.</w:t>
            </w:r>
          </w:p>
          <w:p w14:paraId="09EF5B73" w14:textId="77777777" w:rsidR="00513EDC" w:rsidRPr="005D6998" w:rsidRDefault="00513EDC" w:rsidP="00513EDC">
            <w:pPr>
              <w:spacing w:after="0" w:line="240" w:lineRule="auto"/>
              <w:jc w:val="both"/>
              <w:rPr>
                <w:rFonts w:ascii="Times New Roman" w:hAnsi="Times New Roman"/>
              </w:rPr>
            </w:pPr>
          </w:p>
          <w:p w14:paraId="3E940DFD"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menționează, cu referire la noțiunea „criptoactiv”, că proiectul introduce în legislația națională noțiunea de „criptoactiv”, în vederea alinierii cadrului normativ la evoluțiile recente din domeniul serviciilor financiare și la standardele europene relevante. </w:t>
            </w:r>
          </w:p>
          <w:p w14:paraId="50E97A20"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Cu toate acestea, proiectul nu reglementează aspectele prudențiale aferente deținerii sau expunerii instituțiilor de credit la astfel de active.</w:t>
            </w:r>
          </w:p>
          <w:p w14:paraId="110F9BE4" w14:textId="27FF07F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particular, lipsesc prevederi referitoare la limitele de expunere, cerințele de capital, obligațiile de raportare și tratamentul prudențial aplicabil expunerilor directe sau indirecte la criptoactive. Absența unor reguli tranzitorii poate genera incertitudini privind modul de gestionare și monitorizare a acestor expuneri până la adoptarea reglementărilor secundare de către Banca Națională a Moldovei.</w:t>
            </w:r>
          </w:p>
        </w:tc>
        <w:tc>
          <w:tcPr>
            <w:tcW w:w="4968" w:type="dxa"/>
            <w:gridSpan w:val="3"/>
            <w:shd w:val="clear" w:color="auto" w:fill="FFFFFF"/>
          </w:tcPr>
          <w:p w14:paraId="7DE0C572"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1EDC2B22" w14:textId="3303B441"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rPr>
              <w:t>Limitele de expunere, cerințele de capital, obligațiile de raportare și tratamentul prudențial aplicabil expunerilor directe sau indirecte la criptoactive urmează a fi detaliate prin actele normative ale BNM, care transpun prevederile relevante ale Regulamentului (UE) nr. 575/2013 în acest context.</w:t>
            </w:r>
          </w:p>
        </w:tc>
      </w:tr>
      <w:tr w:rsidR="00513EDC" w:rsidRPr="005D6998" w14:paraId="5D241602" w14:textId="77777777" w:rsidTr="00651F58">
        <w:trPr>
          <w:trHeight w:val="105"/>
        </w:trPr>
        <w:tc>
          <w:tcPr>
            <w:tcW w:w="899" w:type="dxa"/>
            <w:gridSpan w:val="3"/>
            <w:shd w:val="clear" w:color="auto" w:fill="FFFFFF"/>
          </w:tcPr>
          <w:p w14:paraId="19AB3DBE"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026F59C" w14:textId="77777777" w:rsidR="00513EDC" w:rsidRPr="005D6998" w:rsidRDefault="00513EDC" w:rsidP="00513EDC">
            <w:pPr>
              <w:spacing w:line="240" w:lineRule="auto"/>
              <w:jc w:val="both"/>
              <w:rPr>
                <w:rFonts w:ascii="Times New Roman" w:hAnsi="Times New Roman"/>
              </w:rPr>
            </w:pPr>
            <w:r w:rsidRPr="005D6998">
              <w:rPr>
                <w:rFonts w:ascii="Times New Roman" w:hAnsi="Times New Roman"/>
              </w:rPr>
              <w:t>(2) În termen de șase luni de la data intrării în vigoare a prezentei legi:</w:t>
            </w:r>
          </w:p>
          <w:p w14:paraId="61A92CE6" w14:textId="77777777" w:rsidR="00513EDC" w:rsidRPr="005D6998" w:rsidRDefault="00513EDC" w:rsidP="00513EDC">
            <w:pPr>
              <w:spacing w:line="240" w:lineRule="auto"/>
              <w:jc w:val="both"/>
              <w:rPr>
                <w:rFonts w:ascii="Times New Roman" w:hAnsi="Times New Roman"/>
              </w:rPr>
            </w:pPr>
            <w:r w:rsidRPr="005D6998">
              <w:rPr>
                <w:rFonts w:ascii="Times New Roman" w:hAnsi="Times New Roman"/>
              </w:rPr>
              <w:lastRenderedPageBreak/>
              <w:t xml:space="preserve">a) instituțiile de credit care deţin licenţa Băncii Naţionale a Moldovei pentru desfăşurarea activităţilor permise acestora, eliberată în temeiul Legii nr. 202/2017 privind activitatea băncilor, vor obţine noile autorizații. Instituțiile de credit vor prezenta Băncii Naţionale a Moldovei originalul licenţelor pentru desfăşurarea activităţilor permise acestora. Banca Naţională a Moldovei va reperfecta autorizațiile la data prezentării originalului licenţelor deţinute; </w:t>
            </w:r>
          </w:p>
          <w:p w14:paraId="322C5B7B" w14:textId="77777777" w:rsidR="00513EDC" w:rsidRPr="005D6998" w:rsidRDefault="00513EDC" w:rsidP="00513EDC">
            <w:pPr>
              <w:spacing w:line="240" w:lineRule="auto"/>
              <w:jc w:val="both"/>
              <w:rPr>
                <w:rFonts w:ascii="Times New Roman" w:hAnsi="Times New Roman"/>
              </w:rPr>
            </w:pPr>
            <w:r w:rsidRPr="005D6998">
              <w:rPr>
                <w:rFonts w:ascii="Times New Roman" w:hAnsi="Times New Roman"/>
              </w:rPr>
              <w:t>b) instituțiile de credit îşi vor aduce statutele în conformitate cu prevederile prezentei legi.</w:t>
            </w:r>
          </w:p>
          <w:p w14:paraId="596C6502" w14:textId="77777777" w:rsidR="00513EDC" w:rsidRPr="005D6998" w:rsidRDefault="00513EDC" w:rsidP="00513EDC">
            <w:pPr>
              <w:spacing w:after="0" w:line="240" w:lineRule="auto"/>
              <w:jc w:val="both"/>
              <w:rPr>
                <w:rFonts w:ascii="Times New Roman" w:hAnsi="Times New Roman"/>
                <w:b/>
                <w:bCs/>
              </w:rPr>
            </w:pPr>
          </w:p>
        </w:tc>
        <w:tc>
          <w:tcPr>
            <w:tcW w:w="1559" w:type="dxa"/>
            <w:gridSpan w:val="3"/>
            <w:shd w:val="clear" w:color="auto" w:fill="FFFFFF"/>
          </w:tcPr>
          <w:p w14:paraId="6ABE550C"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22D1A59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E6BE667" w14:textId="5FCB8CB1"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Cs/>
              </w:rPr>
              <w:lastRenderedPageBreak/>
              <w:t>Aviz nr. 02-06/188 din 07.07.2026</w:t>
            </w:r>
          </w:p>
        </w:tc>
        <w:tc>
          <w:tcPr>
            <w:tcW w:w="426" w:type="dxa"/>
            <w:shd w:val="clear" w:color="auto" w:fill="FFFFFF"/>
          </w:tcPr>
          <w:p w14:paraId="7C72CDBD"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55" w:type="dxa"/>
            <w:gridSpan w:val="4"/>
            <w:shd w:val="clear" w:color="auto" w:fill="FFFFFF"/>
          </w:tcPr>
          <w:p w14:paraId="1EE14A8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Cu privire la art. V alin. (2) privind dispozițiile tranzitorii, se consideră că termenul de 6 luni prevăzut pentru reperfectarea autorizațiilor și aducerea statutelor instituțiilor de credit în </w:t>
            </w:r>
            <w:r w:rsidRPr="005D6998">
              <w:rPr>
                <w:rFonts w:ascii="Times New Roman" w:hAnsi="Times New Roman"/>
              </w:rPr>
              <w:lastRenderedPageBreak/>
              <w:t>conformitate cu noile prevederi necesită o reevaluare din perspectiva complexității proceselor interne pe care le implică.</w:t>
            </w:r>
          </w:p>
          <w:p w14:paraId="43F4E9EB" w14:textId="77777777" w:rsidR="00513EDC" w:rsidRPr="005D6998" w:rsidRDefault="00513EDC" w:rsidP="00513EDC">
            <w:pPr>
              <w:spacing w:after="0" w:line="240" w:lineRule="auto"/>
              <w:jc w:val="both"/>
              <w:rPr>
                <w:rFonts w:ascii="Times New Roman" w:hAnsi="Times New Roman"/>
              </w:rPr>
            </w:pPr>
          </w:p>
          <w:p w14:paraId="25BEC42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arată că modificarea statutelor presupune parcurgerea procedurilor corporative interne, convocarea și desfășurarea AGA, obținerea aprobărilor necesare, înregistrarea modificărilor la Agenția Servicii Publice, publicarea în Monitorul Oficial și alte acțiuni aferente. </w:t>
            </w:r>
          </w:p>
          <w:p w14:paraId="2277AF3D" w14:textId="77777777" w:rsidR="00513EDC" w:rsidRPr="005D6998" w:rsidRDefault="00513EDC" w:rsidP="00513EDC">
            <w:pPr>
              <w:spacing w:after="0" w:line="240" w:lineRule="auto"/>
              <w:jc w:val="both"/>
              <w:rPr>
                <w:rFonts w:ascii="Times New Roman" w:hAnsi="Times New Roman"/>
              </w:rPr>
            </w:pPr>
          </w:p>
          <w:p w14:paraId="648A6AE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oportună examinarea posibilității stabilirii unei perioade tranzitorii mai extinse, de exemplu de până la 3 ani, sau cel puțin a unei implementări etapizate pentru anumite obligații, astfel încât procesul de conformare să poată fi realizat într-un mod ordonat și eficient, având în vedere amploarea modificărilor introduse prin proiectul de lege.</w:t>
            </w:r>
          </w:p>
          <w:p w14:paraId="2D35405F" w14:textId="77777777" w:rsidR="00513EDC" w:rsidRPr="005D6998" w:rsidRDefault="00513EDC" w:rsidP="00513EDC">
            <w:pPr>
              <w:spacing w:after="0" w:line="240" w:lineRule="auto"/>
              <w:jc w:val="both"/>
              <w:rPr>
                <w:rFonts w:ascii="Times New Roman" w:hAnsi="Times New Roman"/>
              </w:rPr>
            </w:pPr>
          </w:p>
          <w:p w14:paraId="6EF3456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În ceea ce privește alin. (2) al aceluiași articol, se recomandă evaluarea oportunității extinderii normei tranzitorii și asupra actelor emise de instituțiile de credit anterior intrării în vigoare a legii, astfel încât referirile existente să fie interpretate de drept ca referiri la noțiunile introduse prin noul cadru normativ. </w:t>
            </w:r>
          </w:p>
          <w:p w14:paraId="05BAE999" w14:textId="77777777" w:rsidR="00513EDC" w:rsidRPr="005D6998" w:rsidRDefault="00513EDC" w:rsidP="00513EDC">
            <w:pPr>
              <w:spacing w:after="0" w:line="240" w:lineRule="auto"/>
              <w:jc w:val="both"/>
              <w:rPr>
                <w:rFonts w:ascii="Times New Roman" w:hAnsi="Times New Roman"/>
              </w:rPr>
            </w:pPr>
          </w:p>
          <w:p w14:paraId="6EA0503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Respectiv, se recomandă completarea art. IV alin. (6), după cuvintele „în actele normative existente”, cu textul „precum și în actele juridice, documentele, contractele, condițiile generale, actele normative interne și alte documente emise de bănci”. </w:t>
            </w:r>
          </w:p>
          <w:p w14:paraId="17336D89"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Alternativ, se recomandă să fie evaluată posibilitatea menținerii valabilității actelor </w:t>
            </w:r>
            <w:r w:rsidRPr="005D6998">
              <w:rPr>
                <w:rFonts w:ascii="Times New Roman" w:hAnsi="Times New Roman"/>
              </w:rPr>
              <w:lastRenderedPageBreak/>
              <w:t>existente până la prima lor modificare ulterioară, evitând astfel necesitatea unei revizuiri formale într-un termen redus exclusiv ca urmare a schimbării terminologiei utilizate de lege, sau renunțarea, în general, la modificările sintactice/terminologice.</w:t>
            </w:r>
          </w:p>
          <w:p w14:paraId="2AFDE2EF" w14:textId="77777777" w:rsidR="00513EDC" w:rsidRPr="005D6998" w:rsidRDefault="00513EDC" w:rsidP="00513EDC">
            <w:pPr>
              <w:spacing w:after="0" w:line="240" w:lineRule="auto"/>
              <w:jc w:val="both"/>
              <w:rPr>
                <w:rFonts w:ascii="Times New Roman" w:hAnsi="Times New Roman"/>
              </w:rPr>
            </w:pPr>
          </w:p>
          <w:p w14:paraId="68F7AD3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salută reglementarea efectelor substituției terminologice în raport cu actele normative existente la data intrării în vigoare a legii însă se consideră că modificările propuse prin proiectul de lege vor avea impact și asupra unui volum considerabil de documente emise de bănci, inclusiv contracte-cadru, condiții generale, formulare standardizate, politici și regulamente interne, proceduri operaționale și alte acte utilizate în activitatea curentă. </w:t>
            </w:r>
          </w:p>
          <w:p w14:paraId="00BCC7EA" w14:textId="77777777" w:rsidR="00513EDC" w:rsidRPr="005D6998" w:rsidRDefault="00513EDC" w:rsidP="00513EDC">
            <w:pPr>
              <w:spacing w:after="0" w:line="240" w:lineRule="auto"/>
              <w:jc w:val="both"/>
              <w:rPr>
                <w:rFonts w:ascii="Times New Roman" w:hAnsi="Times New Roman"/>
              </w:rPr>
            </w:pPr>
          </w:p>
          <w:p w14:paraId="5B4BC112" w14:textId="654E009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arată că, în lipsa unei clarificări exprese, poate apărea incertitudinea dacă referirile existente la noțiunea de „bancă” din aceste documente își păstrează valabilitatea juridică până la actualizarea lor formală. </w:t>
            </w:r>
          </w:p>
        </w:tc>
        <w:tc>
          <w:tcPr>
            <w:tcW w:w="4968" w:type="dxa"/>
            <w:gridSpan w:val="3"/>
            <w:shd w:val="clear" w:color="auto" w:fill="FFFFFF"/>
          </w:tcPr>
          <w:p w14:paraId="7E8BE615"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5806A4FF"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Termenul prevăzut pentru reperfectarea autorizațiilor și aducerea statutelor în conformitate cu noile prevederi modificat la perioada e 12 luni.</w:t>
            </w:r>
          </w:p>
          <w:p w14:paraId="11F49DBC"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Art. IV completat cu alineatul (3) cu următorul cuprins:</w:t>
            </w:r>
          </w:p>
          <w:p w14:paraId="7053F9A1" w14:textId="77777777" w:rsidR="00513EDC" w:rsidRPr="005D6998" w:rsidRDefault="00513EDC" w:rsidP="00513EDC">
            <w:pPr>
              <w:jc w:val="both"/>
              <w:rPr>
                <w:rFonts w:ascii="Times New Roman" w:hAnsi="Times New Roman"/>
              </w:rPr>
            </w:pPr>
            <w:r w:rsidRPr="005D6998">
              <w:rPr>
                <w:rFonts w:ascii="Times New Roman" w:hAnsi="Times New Roman"/>
              </w:rPr>
              <w:t>“(3)</w:t>
            </w:r>
            <w:r w:rsidRPr="005D6998">
              <w:t xml:space="preserve"> </w:t>
            </w:r>
            <w:r w:rsidRPr="005D6998">
              <w:rPr>
                <w:rFonts w:ascii="Times New Roman" w:hAnsi="Times New Roman"/>
              </w:rPr>
              <w:t>Licențele eliberate anterior intrării în vigoare a prezentei legi își păstrează valabilitatea până la obținerea autorizațiilor acestora în conformitate cu prevederile prezentei legi.”.</w:t>
            </w:r>
          </w:p>
          <w:p w14:paraId="609C8880" w14:textId="77777777" w:rsidR="00513EDC" w:rsidRPr="005D6998" w:rsidRDefault="00513EDC" w:rsidP="00513EDC">
            <w:pPr>
              <w:jc w:val="both"/>
              <w:rPr>
                <w:rFonts w:ascii="Times New Roman" w:hAnsi="Times New Roman"/>
              </w:rPr>
            </w:pPr>
          </w:p>
          <w:p w14:paraId="702D8FCE" w14:textId="77777777" w:rsidR="00513EDC" w:rsidRPr="005D6998" w:rsidRDefault="00513EDC" w:rsidP="00513EDC">
            <w:pPr>
              <w:jc w:val="both"/>
              <w:rPr>
                <w:rFonts w:ascii="Times New Roman" w:hAnsi="Times New Roman"/>
              </w:rPr>
            </w:pPr>
          </w:p>
          <w:p w14:paraId="1EF2D4F6" w14:textId="77777777" w:rsidR="00513EDC" w:rsidRPr="005D6998" w:rsidRDefault="00513EDC" w:rsidP="00513EDC">
            <w:pPr>
              <w:jc w:val="both"/>
              <w:rPr>
                <w:rFonts w:ascii="Times New Roman" w:hAnsi="Times New Roman"/>
              </w:rPr>
            </w:pPr>
          </w:p>
          <w:p w14:paraId="64E0B669" w14:textId="77777777" w:rsidR="00513EDC" w:rsidRPr="005D6998" w:rsidRDefault="00513EDC" w:rsidP="00513EDC">
            <w:pPr>
              <w:jc w:val="both"/>
              <w:rPr>
                <w:rFonts w:ascii="Times New Roman" w:hAnsi="Times New Roman"/>
              </w:rPr>
            </w:pPr>
          </w:p>
          <w:p w14:paraId="1BC2BA35" w14:textId="77777777" w:rsidR="00513EDC" w:rsidRPr="005D6998" w:rsidRDefault="00513EDC" w:rsidP="00513EDC">
            <w:pPr>
              <w:jc w:val="both"/>
              <w:rPr>
                <w:rFonts w:ascii="Times New Roman" w:hAnsi="Times New Roman"/>
              </w:rPr>
            </w:pPr>
          </w:p>
          <w:p w14:paraId="3809A05A" w14:textId="77777777" w:rsidR="00513EDC" w:rsidRPr="005D6998" w:rsidRDefault="00513EDC" w:rsidP="00513EDC">
            <w:pPr>
              <w:jc w:val="both"/>
              <w:rPr>
                <w:rFonts w:ascii="Times New Roman" w:hAnsi="Times New Roman"/>
              </w:rPr>
            </w:pPr>
          </w:p>
          <w:p w14:paraId="20857D71" w14:textId="77777777" w:rsidR="00513EDC" w:rsidRPr="005D6998" w:rsidRDefault="00513EDC" w:rsidP="00513EDC">
            <w:pPr>
              <w:jc w:val="both"/>
              <w:rPr>
                <w:rFonts w:ascii="Times New Roman" w:hAnsi="Times New Roman"/>
              </w:rPr>
            </w:pPr>
          </w:p>
          <w:p w14:paraId="34F1E13E" w14:textId="77777777" w:rsidR="00513EDC" w:rsidRPr="005D6998" w:rsidRDefault="00513EDC" w:rsidP="00513EDC">
            <w:pPr>
              <w:jc w:val="both"/>
              <w:rPr>
                <w:rFonts w:ascii="Times New Roman" w:hAnsi="Times New Roman"/>
              </w:rPr>
            </w:pPr>
          </w:p>
          <w:p w14:paraId="3B6B4DA9" w14:textId="77777777" w:rsidR="00513EDC" w:rsidRPr="005D6998" w:rsidRDefault="00513EDC" w:rsidP="00513EDC">
            <w:pPr>
              <w:jc w:val="both"/>
              <w:rPr>
                <w:rFonts w:ascii="Times New Roman" w:hAnsi="Times New Roman"/>
              </w:rPr>
            </w:pPr>
          </w:p>
          <w:p w14:paraId="75DCF067" w14:textId="77777777" w:rsidR="00513EDC" w:rsidRPr="005D6998" w:rsidRDefault="00513EDC" w:rsidP="00513EDC">
            <w:pPr>
              <w:jc w:val="both"/>
              <w:rPr>
                <w:rFonts w:ascii="Times New Roman" w:hAnsi="Times New Roman"/>
              </w:rPr>
            </w:pPr>
          </w:p>
          <w:p w14:paraId="65677F66" w14:textId="77777777" w:rsidR="00513EDC" w:rsidRPr="005D6998" w:rsidRDefault="00513EDC" w:rsidP="00513EDC">
            <w:pPr>
              <w:jc w:val="both"/>
              <w:rPr>
                <w:rFonts w:ascii="Times New Roman" w:hAnsi="Times New Roman"/>
              </w:rPr>
            </w:pPr>
          </w:p>
          <w:p w14:paraId="6DA3A3E2" w14:textId="77777777" w:rsidR="00513EDC" w:rsidRPr="005D6998" w:rsidRDefault="00513EDC" w:rsidP="00513EDC">
            <w:pPr>
              <w:jc w:val="both"/>
              <w:rPr>
                <w:rFonts w:ascii="Times New Roman" w:hAnsi="Times New Roman"/>
              </w:rPr>
            </w:pPr>
          </w:p>
          <w:p w14:paraId="6459770F" w14:textId="77777777" w:rsidR="00513EDC" w:rsidRPr="005D6998" w:rsidRDefault="00513EDC" w:rsidP="00513EDC">
            <w:pPr>
              <w:jc w:val="both"/>
              <w:rPr>
                <w:rFonts w:ascii="Times New Roman" w:hAnsi="Times New Roman"/>
              </w:rPr>
            </w:pPr>
          </w:p>
          <w:p w14:paraId="57395689" w14:textId="77777777" w:rsidR="00513EDC" w:rsidRPr="005D6998" w:rsidRDefault="00513EDC" w:rsidP="00513EDC">
            <w:pPr>
              <w:jc w:val="both"/>
              <w:rPr>
                <w:rFonts w:ascii="Times New Roman" w:hAnsi="Times New Roman"/>
              </w:rPr>
            </w:pPr>
            <w:r w:rsidRPr="005D6998">
              <w:rPr>
                <w:rFonts w:ascii="Times New Roman" w:hAnsi="Times New Roman"/>
              </w:rPr>
              <w:t xml:space="preserve">Nu se consideră oportună completarea dispozițiilor tranzitorii care să se aplice actelor emise de instituțiile de credit în relațiile cu clienții. Dispozițiile tranzitorii ale proiectului se referă la efectele modificărilor la </w:t>
            </w:r>
            <w:r w:rsidRPr="005D6998">
              <w:rPr>
                <w:rFonts w:ascii="Times New Roman" w:hAnsi="Times New Roman"/>
              </w:rPr>
              <w:lastRenderedPageBreak/>
              <w:t>Legea nr. 202/2017 în ceea ce privește supravegherea prudențială a activității instituției de credit, în timp ce contractele, condițiile generale, formularele și celelalte documente sunt acte de drept privat, supuse regimului juridic prevăzut de legislația civilă și de legislația specială aplicabilă (cum este de exemplu, legislația privind protecția consumatorului). Aceste acte nu se vor modifica prin efectul legii, dar conform procedurilor derulării relațiilor contractuale.</w:t>
            </w:r>
          </w:p>
          <w:p w14:paraId="4DB9A8AD" w14:textId="77777777" w:rsidR="00513EDC" w:rsidRPr="005D6998" w:rsidRDefault="00513EDC" w:rsidP="00513EDC">
            <w:pPr>
              <w:jc w:val="both"/>
              <w:rPr>
                <w:rFonts w:ascii="Times New Roman" w:hAnsi="Times New Roman"/>
              </w:rPr>
            </w:pPr>
          </w:p>
          <w:p w14:paraId="479D2CB5" w14:textId="16EEE621" w:rsidR="00513EDC" w:rsidRPr="005D6998" w:rsidRDefault="00513EDC" w:rsidP="00513EDC">
            <w:pPr>
              <w:jc w:val="both"/>
              <w:rPr>
                <w:rFonts w:ascii="Times New Roman" w:hAnsi="Times New Roman"/>
              </w:rPr>
            </w:pPr>
            <w:r w:rsidRPr="005D6998">
              <w:rPr>
                <w:rFonts w:ascii="Times New Roman" w:hAnsi="Times New Roman"/>
              </w:rPr>
              <w:t>În  privința referirilor existente la noțiunea de “bancă” din aceste documente, aceasta continuă să poată fi utilizată cu același înțeles, modificările vizând exclusiv terminologia utilizată în cuprinsul actului normativ pentru alinierea la acquis-ul UE. Prin urmare, utilizarea în continuare a termenului „bancă” în documentele emise de instituțiile de credit nu afectează valabilitatea acestora și nu impune instituirea unei norme tranzitorii suplimentare.</w:t>
            </w:r>
          </w:p>
          <w:p w14:paraId="043AC1A9"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6502FB75" w14:textId="77777777" w:rsidTr="00651F58">
        <w:trPr>
          <w:trHeight w:val="105"/>
        </w:trPr>
        <w:tc>
          <w:tcPr>
            <w:tcW w:w="899" w:type="dxa"/>
            <w:gridSpan w:val="3"/>
            <w:shd w:val="clear" w:color="auto" w:fill="FFFFFF"/>
          </w:tcPr>
          <w:p w14:paraId="3F992068"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DE16F9C" w14:textId="04125048" w:rsidR="00513EDC" w:rsidRPr="005D6998" w:rsidRDefault="00513EDC" w:rsidP="00513EDC">
            <w:pPr>
              <w:spacing w:after="0" w:line="240" w:lineRule="auto"/>
              <w:jc w:val="both"/>
              <w:rPr>
                <w:rFonts w:ascii="Times New Roman" w:hAnsi="Times New Roman"/>
              </w:rPr>
            </w:pPr>
            <w:r w:rsidRPr="005D6998">
              <w:rPr>
                <w:rFonts w:ascii="Times New Roman" w:hAnsi="Times New Roman"/>
                <w:b/>
                <w:bCs/>
              </w:rPr>
              <w:t>Art. IV.</w:t>
            </w:r>
            <w:r w:rsidRPr="005D6998">
              <w:rPr>
                <w:rFonts w:ascii="Times New Roman" w:hAnsi="Times New Roman"/>
              </w:rPr>
              <w:t xml:space="preserve"> Dispoziţii tranzitorii</w:t>
            </w:r>
          </w:p>
          <w:p w14:paraId="6C836353" w14:textId="77777777" w:rsidR="00513EDC" w:rsidRPr="005D6998" w:rsidRDefault="00513EDC" w:rsidP="00513EDC">
            <w:pPr>
              <w:spacing w:line="240" w:lineRule="auto"/>
              <w:jc w:val="both"/>
              <w:rPr>
                <w:rFonts w:ascii="Times New Roman" w:hAnsi="Times New Roman"/>
              </w:rPr>
            </w:pPr>
            <w:r w:rsidRPr="005D6998">
              <w:rPr>
                <w:rFonts w:ascii="Times New Roman" w:hAnsi="Times New Roman"/>
              </w:rPr>
              <w:t>[…]</w:t>
            </w:r>
          </w:p>
          <w:p w14:paraId="07865513" w14:textId="2149B06E" w:rsidR="00513EDC" w:rsidRPr="005D6998" w:rsidRDefault="00513EDC" w:rsidP="00513EDC">
            <w:pPr>
              <w:spacing w:line="240" w:lineRule="auto"/>
              <w:jc w:val="both"/>
              <w:rPr>
                <w:rFonts w:ascii="Times New Roman" w:hAnsi="Times New Roman"/>
              </w:rPr>
            </w:pPr>
            <w:r w:rsidRPr="005D6998">
              <w:rPr>
                <w:rFonts w:ascii="Times New Roman" w:hAnsi="Times New Roman"/>
              </w:rPr>
              <w:t xml:space="preserve">(4) Achiziţia sau deţinerea unei dețineri calificate în capitalul social al instituțiilor de credit fără aprobarea prealabilă a Băncii Naţionale a Moldovei, în calitate de beneficiar efectiv/beneficiari efectivi, astfel cum este definit de prezenta lege, pînă la intrarea în vigoare a prezentei legi, conduce la incidenţa prevederilor art. 46 alin. (2)-(4) din Legea nr. 202/2017 </w:t>
            </w:r>
            <w:r w:rsidRPr="005D6998">
              <w:rPr>
                <w:rFonts w:ascii="Times New Roman" w:hAnsi="Times New Roman"/>
              </w:rPr>
              <w:lastRenderedPageBreak/>
              <w:t>şi „data achiziţiei” se va considera data intrării în vigoare a prezentei legi.</w:t>
            </w:r>
          </w:p>
          <w:p w14:paraId="477A7F5C" w14:textId="77777777" w:rsidR="00513EDC" w:rsidRPr="005D6998" w:rsidRDefault="00513EDC" w:rsidP="00513EDC">
            <w:pPr>
              <w:spacing w:line="240" w:lineRule="auto"/>
              <w:jc w:val="both"/>
              <w:rPr>
                <w:rFonts w:ascii="Times New Roman" w:hAnsi="Times New Roman"/>
              </w:rPr>
            </w:pPr>
            <w:r w:rsidRPr="005D6998">
              <w:rPr>
                <w:rFonts w:ascii="Times New Roman" w:hAnsi="Times New Roman"/>
              </w:rPr>
              <w:t>(5) Instituția de credit urmează să informeze Banca Naţională a Moldovei în termen de 30 zile de la data intrării în vigoare a prezentei legi despre achiziţiile sau deţinerile de dețineri calificate în capitalul său în calitate de beneficiar efectiv, prevăzute la alin. (4), conform informaţiilor de care dispune.</w:t>
            </w:r>
          </w:p>
          <w:p w14:paraId="707CFD7C" w14:textId="77777777" w:rsidR="00513EDC" w:rsidRPr="005D6998" w:rsidRDefault="00513EDC" w:rsidP="00513EDC">
            <w:pPr>
              <w:spacing w:after="0" w:line="240" w:lineRule="auto"/>
              <w:jc w:val="both"/>
              <w:rPr>
                <w:rFonts w:ascii="Times New Roman" w:hAnsi="Times New Roman"/>
                <w:b/>
                <w:bCs/>
              </w:rPr>
            </w:pPr>
          </w:p>
        </w:tc>
        <w:tc>
          <w:tcPr>
            <w:tcW w:w="1559" w:type="dxa"/>
            <w:gridSpan w:val="3"/>
            <w:shd w:val="clear" w:color="auto" w:fill="FFFFFF"/>
          </w:tcPr>
          <w:p w14:paraId="68B38A72"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061577BC" w14:textId="4AD32D5A"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009F1A2D"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55" w:type="dxa"/>
            <w:gridSpan w:val="4"/>
            <w:shd w:val="clear" w:color="auto" w:fill="FFFFFF"/>
          </w:tcPr>
          <w:p w14:paraId="227FABCA" w14:textId="4A0E0E09"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Pentru a evita aplicarea retroactivă a unor consecințe juridice noi asupra unor situații juridice consumate anterior, se propune reformularea textului art. IV alin. (4) și (5), în sensul că persoanele care la data intrării în vigoare a legii dețin sau achiziționează o deținere calificată în capitalul social al instituției de credit, în calitate de beneficiari efectivi, fără aprobarea prealabilă a Băncii Naționale a Moldovei, au obligația de notificare și conformare în termenul stabilit de lege, iar efectele teste stres prevăzute de art. </w:t>
            </w:r>
            <w:r w:rsidRPr="005D6998">
              <w:rPr>
                <w:rFonts w:ascii="Times New Roman" w:hAnsi="Times New Roman"/>
              </w:rPr>
              <w:lastRenderedPageBreak/>
              <w:t>46, alin. (2)-(4) se aplică doar pentru situațiile care continuă să producă efecte după intrarea în vigoare a legii.</w:t>
            </w:r>
          </w:p>
          <w:p w14:paraId="72BBF0A2" w14:textId="77777777" w:rsidR="00513EDC" w:rsidRPr="005D6998" w:rsidRDefault="00513EDC" w:rsidP="00513EDC">
            <w:pPr>
              <w:spacing w:after="0" w:line="240" w:lineRule="auto"/>
              <w:jc w:val="both"/>
              <w:rPr>
                <w:rFonts w:ascii="Times New Roman" w:hAnsi="Times New Roman"/>
              </w:rPr>
            </w:pPr>
          </w:p>
        </w:tc>
        <w:tc>
          <w:tcPr>
            <w:tcW w:w="4968" w:type="dxa"/>
            <w:gridSpan w:val="3"/>
            <w:shd w:val="clear" w:color="auto" w:fill="FFFFFF"/>
          </w:tcPr>
          <w:p w14:paraId="6F39D29C" w14:textId="32A2EA3D"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36133796" w14:textId="16BD5128"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Luând în considerare că noțiunea de beneficiar efectiv din Legea nr. 202/2017 se modifică prin Art. III pct. 5 din prezentul proiect, se instituie o perioadă tranzitorie pentru persoanele care până la data intrării în vigoare a prezentei legi nu au fost supuse evaluării calității acționariatului. Această soluție este necesară pentru a asigura transparența structurii acționariatului și pentru a preveni exercitarea unei influențe necorespunzătoare asupra activității instituției de credit de către beneficiari efectivi care nu întrunesc criteriile de competență și onorabilitate (fit and proper).</w:t>
            </w:r>
          </w:p>
          <w:p w14:paraId="1754F6B4" w14:textId="7C2ED88A"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În ceea ce privește situațiile juridice consumate anterior,  se precizează că obligația de a obține aprobarea prealabilă nu vizează momentul dobândirii deținerii, care aparține trecutului, ci intervine de la data intrării în vigoare a prezentei legi. Prin această abordare, se urmărește ca întreaga structură a acționariatului, inclusiv beneficiarii efectivi, să fie supusă acelorași cerințe de calitate și să se evite crearea unui tratament inechitabil și diferențiat față de beneficiarii efectivi care au fost deja identificați și evaluați în condițiile legii.</w:t>
            </w:r>
          </w:p>
          <w:p w14:paraId="2F0B7136" w14:textId="22B1E3A1"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2921FA2E" w14:textId="77777777" w:rsidTr="00651F58">
        <w:trPr>
          <w:gridAfter w:val="1"/>
          <w:wAfter w:w="10" w:type="dxa"/>
          <w:trHeight w:val="105"/>
        </w:trPr>
        <w:tc>
          <w:tcPr>
            <w:tcW w:w="899" w:type="dxa"/>
            <w:gridSpan w:val="3"/>
            <w:shd w:val="clear" w:color="auto" w:fill="FFFFFF"/>
          </w:tcPr>
          <w:p w14:paraId="19E33FB9"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D1C5069" w14:textId="77777777" w:rsidR="00513EDC" w:rsidRPr="005D6998" w:rsidRDefault="00513EDC" w:rsidP="00513EDC">
            <w:pPr>
              <w:spacing w:after="0" w:line="240" w:lineRule="auto"/>
              <w:jc w:val="both"/>
              <w:rPr>
                <w:rFonts w:ascii="Times New Roman" w:hAnsi="Times New Roman"/>
                <w:b/>
              </w:rPr>
            </w:pPr>
            <w:r w:rsidRPr="005D6998">
              <w:rPr>
                <w:rFonts w:ascii="Times New Roman" w:hAnsi="Times New Roman"/>
                <w:b/>
                <w:bCs/>
              </w:rPr>
              <w:t xml:space="preserve">Art. </w:t>
            </w:r>
            <w:r w:rsidRPr="005D6998">
              <w:rPr>
                <w:rFonts w:ascii="Times New Roman" w:hAnsi="Times New Roman"/>
                <w:b/>
              </w:rPr>
              <w:t xml:space="preserve">V. Dispoziții finale </w:t>
            </w:r>
          </w:p>
          <w:p w14:paraId="366D7E53" w14:textId="03AF5152" w:rsidR="00513EDC" w:rsidRPr="005D6998" w:rsidRDefault="00513EDC" w:rsidP="00513EDC">
            <w:pPr>
              <w:spacing w:after="0" w:line="240" w:lineRule="auto"/>
              <w:jc w:val="both"/>
              <w:rPr>
                <w:rFonts w:ascii="Times New Roman" w:hAnsi="Times New Roman"/>
                <w:bCs/>
              </w:rPr>
            </w:pPr>
            <w:r w:rsidRPr="005D6998">
              <w:rPr>
                <w:rFonts w:ascii="Times New Roman" w:hAnsi="Times New Roman"/>
                <w:bCs/>
              </w:rPr>
              <w:t>[…]</w:t>
            </w:r>
          </w:p>
          <w:p w14:paraId="291CAB53"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(2) Prin derogare de la prevederile alin.(1), următoarele prevederi ale Art. III vor intra în vigoare:</w:t>
            </w:r>
          </w:p>
          <w:p w14:paraId="6508A380" w14:textId="77777777"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b/>
                <w:bCs/>
              </w:rPr>
              <w:t>[...]</w:t>
            </w:r>
          </w:p>
          <w:p w14:paraId="710D4397"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a) la data intrării în vigoare a Tratatului de aderare a Republicii Moldova la Uniunea Europeană – [...] </w:t>
            </w:r>
          </w:p>
          <w:p w14:paraId="3E1069FC" w14:textId="2FC5B832" w:rsidR="00513EDC" w:rsidRPr="005D6998" w:rsidRDefault="00513EDC" w:rsidP="00513EDC">
            <w:pPr>
              <w:spacing w:after="0" w:line="240" w:lineRule="auto"/>
              <w:jc w:val="both"/>
              <w:rPr>
                <w:rFonts w:ascii="Times New Roman" w:hAnsi="Times New Roman"/>
                <w:b/>
                <w:bCs/>
              </w:rPr>
            </w:pPr>
            <w:r w:rsidRPr="005D6998">
              <w:rPr>
                <w:rFonts w:ascii="Times New Roman" w:hAnsi="Times New Roman"/>
              </w:rPr>
              <w:t>pct. 5, în partea care se referă modificările la noțiunea „</w:t>
            </w:r>
            <w:r w:rsidRPr="005D6998">
              <w:rPr>
                <w:rFonts w:ascii="Times New Roman" w:hAnsi="Times New Roman"/>
                <w:b/>
                <w:bCs/>
              </w:rPr>
              <w:t>achiziție propusă”, „afiliată a unei persoane</w:t>
            </w:r>
            <w:r w:rsidRPr="005D6998">
              <w:rPr>
                <w:rFonts w:ascii="Times New Roman" w:hAnsi="Times New Roman"/>
              </w:rPr>
              <w:t>”, [...] modificările la noțiunea „</w:t>
            </w:r>
            <w:r w:rsidRPr="005D6998">
              <w:rPr>
                <w:rFonts w:ascii="Times New Roman" w:hAnsi="Times New Roman"/>
                <w:b/>
                <w:bCs/>
              </w:rPr>
              <w:t>deținere calificată</w:t>
            </w:r>
            <w:r w:rsidRPr="005D6998">
              <w:rPr>
                <w:rFonts w:ascii="Times New Roman" w:hAnsi="Times New Roman"/>
              </w:rPr>
              <w:t>” [...]</w:t>
            </w:r>
          </w:p>
        </w:tc>
        <w:tc>
          <w:tcPr>
            <w:tcW w:w="1559" w:type="dxa"/>
            <w:gridSpan w:val="3"/>
            <w:shd w:val="clear" w:color="auto" w:fill="FFFFFF"/>
          </w:tcPr>
          <w:p w14:paraId="4E7A6E35"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CNPF</w:t>
            </w:r>
          </w:p>
          <w:p w14:paraId="49E2D2DA" w14:textId="604210D6"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03-4/2736 din 01.07.2026 din 15.06.2026</w:t>
            </w:r>
          </w:p>
          <w:p w14:paraId="16BEB0D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2C937FE7"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12160D4F" w14:textId="275CB70D"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La Art. V alin. (2) lit. c) din proiect, </w:t>
            </w:r>
          </w:p>
          <w:p w14:paraId="319E7931" w14:textId="29F5F48F"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devansarea termenului de intrare în vigoare a pct. 5, în partea ce vizează modificarea noțiunilor „deținere calificată”, „afiliată a unei alte persoane”, „achiziție propusă”, precum și a prevederilor conexe acestora. În acest sens, se precizează că autorul propunerii s-a expus, în repetate rânduri, cu privire la importanța și necesitatea creșterii rapide a pragurilor pentru deținerile calificate pentru a asigura realizarea atingerii obiectivelor stabilite prin Strategia națională privind dezvoltarea pieței de capital din Republica Moldova pentru perioada 2025-2030.</w:t>
            </w:r>
          </w:p>
        </w:tc>
        <w:tc>
          <w:tcPr>
            <w:tcW w:w="5012" w:type="dxa"/>
            <w:gridSpan w:val="3"/>
            <w:shd w:val="clear" w:color="auto" w:fill="FFFFFF"/>
          </w:tcPr>
          <w:p w14:paraId="481432AE"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279C1017" w14:textId="2A070B32"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Conform Poziției de negociere cu Uniunea Europeană, nivelul deținerii calificate de 10% urmează  fi implementat începând cu data aderării.</w:t>
            </w:r>
          </w:p>
        </w:tc>
      </w:tr>
      <w:tr w:rsidR="00513EDC" w:rsidRPr="005D6998" w14:paraId="193CDB33" w14:textId="77777777" w:rsidTr="00651F58">
        <w:trPr>
          <w:gridAfter w:val="1"/>
          <w:wAfter w:w="10" w:type="dxa"/>
          <w:trHeight w:val="105"/>
        </w:trPr>
        <w:tc>
          <w:tcPr>
            <w:tcW w:w="899" w:type="dxa"/>
            <w:gridSpan w:val="3"/>
            <w:shd w:val="clear" w:color="auto" w:fill="FFFFFF"/>
          </w:tcPr>
          <w:p w14:paraId="247270A7"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85329F4" w14:textId="19478A80"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(3) Fără a aduce atingere prevederilor alin. (1), orice referințe din prezenta lege la “state membre” și „state terțe” la orice formă gramaticală intră în vigoare la data aderării Republicii Moldova la Uniunea Europeană. Până la data intrării în vigoare a Tratatului de aderare a Republicii Moldova la Uniunea Europeană, referințele din </w:t>
            </w:r>
            <w:r w:rsidRPr="005D6998">
              <w:rPr>
                <w:rFonts w:ascii="Times New Roman" w:hAnsi="Times New Roman"/>
              </w:rPr>
              <w:lastRenderedPageBreak/>
              <w:t>prezenta lege la „state membre” și „state terțe”, la orice formă gramaticală vor fi citite drept referinţe la „alte state”, la forma gramaticală corespunzătoare.</w:t>
            </w:r>
          </w:p>
          <w:p w14:paraId="697D3CAC" w14:textId="77777777" w:rsidR="00513EDC" w:rsidRPr="005D6998" w:rsidRDefault="00513EDC" w:rsidP="00513EDC">
            <w:pPr>
              <w:spacing w:after="0" w:line="240" w:lineRule="auto"/>
              <w:jc w:val="both"/>
              <w:rPr>
                <w:rFonts w:ascii="Times New Roman" w:hAnsi="Times New Roman"/>
              </w:rPr>
            </w:pPr>
          </w:p>
          <w:p w14:paraId="55588FD5" w14:textId="2EA2CE91" w:rsidR="00513EDC" w:rsidRPr="005D6998" w:rsidRDefault="00513EDC" w:rsidP="00513EDC">
            <w:pPr>
              <w:spacing w:after="0" w:line="240" w:lineRule="auto"/>
              <w:jc w:val="both"/>
              <w:rPr>
                <w:rFonts w:ascii="Times New Roman" w:hAnsi="Times New Roman"/>
              </w:rPr>
            </w:pPr>
            <w:r w:rsidRPr="005D6998">
              <w:rPr>
                <w:rFonts w:ascii="Times New Roman" w:hAnsi="Times New Roman"/>
              </w:rPr>
              <w:t>(4) Orice referințe sau condiții care se referă la societățile financiare holding-mamă din Uniunea Europeană, societate financiară holding-mamă dintr-un stat membru, societățile financiare holding mixte-mamă din Uniunea Europeană, societate financiară holding mixtă-mamă dintr-un stat membru, instituție-mamă dintr-un stat membru, instituție-mamă din Uniunea Europeană, instituția-mamă relevantă, întreprindere-mamă din Uniunea Europeană, întreprindere-mamă dintr-un stat terț, stat membru al Uniunii Europene, stat terț, filială din Uniunea Europeană, sucursală în Uniune, sucursală semnificativă, instituție dintr-un stat terț intră în vigoare la data intrării în vigoare a Tratatului de aderare a Republicii Moldova la Uniunea Europeană.</w:t>
            </w:r>
          </w:p>
        </w:tc>
        <w:tc>
          <w:tcPr>
            <w:tcW w:w="1559" w:type="dxa"/>
            <w:gridSpan w:val="3"/>
            <w:shd w:val="clear" w:color="auto" w:fill="FFFFFF"/>
          </w:tcPr>
          <w:p w14:paraId="40F6391D" w14:textId="77777777" w:rsidR="00513EDC" w:rsidRPr="005D6998" w:rsidRDefault="00513EDC" w:rsidP="00513EDC">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Serviciul Prevenirea și Combaterea Spălării Banilor</w:t>
            </w:r>
          </w:p>
          <w:p w14:paraId="4192BE10" w14:textId="40F9DAA3"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rPr>
              <w:t>Aviz nr. 01/2-30-1015 din 19 iunie 2026</w:t>
            </w:r>
          </w:p>
        </w:tc>
        <w:tc>
          <w:tcPr>
            <w:tcW w:w="426" w:type="dxa"/>
            <w:shd w:val="clear" w:color="auto" w:fill="FFFFFF"/>
          </w:tcPr>
          <w:p w14:paraId="359243EE"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5ED7A55" w14:textId="027ABEC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revizuirea dispozițiilor finale și tranzitorii, astfel încât normele care presupun exercitarea unor drepturi, obligații sau mecanisme instituționale specifice statutului de stat membru al Uniunii Europene să intre în vigoare la data la care Republica Moldova va dobândi calitatea respectivă, fără a fi aplicate printr-o ficțiune juridică asupra raporturilor cu „alte state”.</w:t>
            </w:r>
          </w:p>
          <w:p w14:paraId="0EFC3CCD" w14:textId="587154E3"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Se consideră că tehnica legislativă care instituie o soluție tranzitorie potrivit căreia referințele la „state membre” și „state terțe” urmează a fi citite, până la intrarea în vigoare a Tratatului de aderare a Republicii Moldova la Uniunea Europeană, drept referințe la „alte state” poate genera incertitudine normativă.</w:t>
            </w:r>
          </w:p>
          <w:p w14:paraId="4744CC50" w14:textId="1AA3C2C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argumentează că unele mecanisme propuse sunt concepute pentru raporturi juridice aferente pieței interne a Uniunii Europene, pentru cooperarea cu Autoritatea Bancară Europeană, pentru colegii de supraveghetori sau pentru regimuri juridice care presupun calitatea de stat membru. </w:t>
            </w:r>
          </w:p>
        </w:tc>
        <w:tc>
          <w:tcPr>
            <w:tcW w:w="5012" w:type="dxa"/>
            <w:gridSpan w:val="3"/>
            <w:shd w:val="clear" w:color="auto" w:fill="FFFFFF"/>
          </w:tcPr>
          <w:p w14:paraId="321A69E2"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4ECD7ABA" w14:textId="2D37B94E"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Alin. (3) din Art. V Dispoziții finale</w:t>
            </w:r>
            <w:r w:rsidRPr="005D6998">
              <w:t xml:space="preserve"> ar ca scop </w:t>
            </w:r>
            <w:r w:rsidRPr="005D6998">
              <w:rPr>
                <w:rFonts w:ascii="Times New Roman" w:hAnsi="Times New Roman"/>
              </w:rPr>
              <w:t xml:space="preserve">asigurarea unei reglementări complete și lipsită de echivoc a regimului aplicabil statelor membre și statelor terțe. </w:t>
            </w:r>
          </w:p>
          <w:p w14:paraId="19C8BFC4"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Această prevedere clarifică abordarea că aceste noțiuni pot produce efecte juridice în mod evident numai din momentul aderării Republicii Moldova la Uniunea Europeană. </w:t>
            </w:r>
          </w:p>
          <w:p w14:paraId="355F0483" w14:textId="67C10E9B"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Până la acel moment (data aderării), din perspectiva ordinii juridice naționale, toate celelalte state (state membre și state terțe) sunt tratate ca „alte state”, indiferent de statutul lor în raport cu Uniunea Europeană. Norma completează dispoziția din Art. V alin. (3) lit. a) care stabilește lista prevederilor din proiect care urmează să fie aplicabile din data aderării.</w:t>
            </w:r>
          </w:p>
        </w:tc>
      </w:tr>
      <w:tr w:rsidR="00513EDC" w:rsidRPr="005D6998" w14:paraId="55F7B841" w14:textId="77777777" w:rsidTr="00651F58">
        <w:trPr>
          <w:gridAfter w:val="1"/>
          <w:wAfter w:w="10" w:type="dxa"/>
          <w:trHeight w:val="105"/>
        </w:trPr>
        <w:tc>
          <w:tcPr>
            <w:tcW w:w="899" w:type="dxa"/>
            <w:gridSpan w:val="3"/>
            <w:shd w:val="clear" w:color="auto" w:fill="FFFFFF"/>
          </w:tcPr>
          <w:p w14:paraId="11E78CFB"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7C0BE04" w14:textId="5524C2E6" w:rsidR="00513EDC" w:rsidRPr="005D6998" w:rsidRDefault="00513EDC" w:rsidP="00513EDC">
            <w:pPr>
              <w:pStyle w:val="a7"/>
              <w:spacing w:after="0" w:line="240" w:lineRule="auto"/>
              <w:ind w:left="0" w:firstLine="708"/>
              <w:jc w:val="both"/>
              <w:rPr>
                <w:rFonts w:ascii="Times New Roman" w:hAnsi="Times New Roman"/>
              </w:rPr>
            </w:pPr>
            <w:r w:rsidRPr="005D6998">
              <w:rPr>
                <w:rFonts w:ascii="Times New Roman" w:hAnsi="Times New Roman"/>
              </w:rPr>
              <w:t xml:space="preserve">d) </w:t>
            </w:r>
            <w:r w:rsidRPr="005D6998">
              <w:rPr>
                <w:rFonts w:ascii="Times New Roman" w:hAnsi="Times New Roman"/>
                <w:b/>
                <w:bCs/>
              </w:rPr>
              <w:t xml:space="preserve">în termen de 4 luni </w:t>
            </w:r>
            <w:r w:rsidRPr="005D6998">
              <w:rPr>
                <w:rFonts w:ascii="Times New Roman" w:hAnsi="Times New Roman"/>
              </w:rPr>
              <w:t xml:space="preserve">de la data publicării în Monitorul Oficial – </w:t>
            </w:r>
            <w:r w:rsidRPr="005D6998">
              <w:rPr>
                <w:rFonts w:ascii="Times New Roman" w:hAnsi="Times New Roman"/>
                <w:b/>
                <w:bCs/>
              </w:rPr>
              <w:t>pct. 29, în partea care se referă la modificarea alin. (1) și (4) din art. 38; pct. 30</w:t>
            </w:r>
            <w:r w:rsidRPr="005D6998">
              <w:rPr>
                <w:rFonts w:ascii="Times New Roman" w:hAnsi="Times New Roman"/>
              </w:rPr>
              <w:t>; pct. 31, în partea care se referă la completarea lit. a) de la alin. (1) din art. 39 și în partea care se referă la riscurile de mediu, sociale și de guvernanță din modificarea lit. a) a alin. (2) din art. 39; pct. 33, în partea care se referă la completarea cu lit. i</w:t>
            </w:r>
            <w:r w:rsidRPr="005D6998">
              <w:rPr>
                <w:rFonts w:ascii="Times New Roman" w:hAnsi="Times New Roman"/>
                <w:vertAlign w:val="superscript"/>
              </w:rPr>
              <w:t>1</w:t>
            </w:r>
            <w:r w:rsidRPr="005D6998">
              <w:rPr>
                <w:rFonts w:ascii="Times New Roman" w:hAnsi="Times New Roman"/>
              </w:rPr>
              <w:t>)-</w:t>
            </w:r>
            <w:r w:rsidRPr="005D6998">
              <w:rPr>
                <w:rFonts w:ascii="Times New Roman" w:hAnsi="Times New Roman"/>
              </w:rPr>
              <w:lastRenderedPageBreak/>
              <w:t>i</w:t>
            </w:r>
            <w:r w:rsidRPr="005D6998">
              <w:rPr>
                <w:rFonts w:ascii="Times New Roman" w:hAnsi="Times New Roman"/>
                <w:vertAlign w:val="superscript"/>
              </w:rPr>
              <w:t>2</w:t>
            </w:r>
            <w:r w:rsidRPr="005D6998">
              <w:rPr>
                <w:rFonts w:ascii="Times New Roman" w:hAnsi="Times New Roman"/>
              </w:rPr>
              <w:t>) a alin. (3) și completarea cu alin. (8) a art. 41; pct. 34; pct. 36, pct. 60, pct. 64 în partea care se referă la modificarea alin. (1) din art. 78; pct. 68, în partea care se referă la completarea alin. (1) cu expunerile la riscurile de mediu, sociale și de guvernanță din art. 84; pct. 70, în partea care se referă la completarea alin. (1) cu riscurile de mediu, sociale și de guvernanță și completarea cu alin. (1</w:t>
            </w:r>
            <w:r w:rsidRPr="005D6998">
              <w:rPr>
                <w:rFonts w:ascii="Times New Roman" w:hAnsi="Times New Roman"/>
                <w:vertAlign w:val="superscript"/>
              </w:rPr>
              <w:t>1</w:t>
            </w:r>
            <w:r w:rsidRPr="005D6998">
              <w:rPr>
                <w:rFonts w:ascii="Times New Roman" w:hAnsi="Times New Roman"/>
              </w:rPr>
              <w:t xml:space="preserve">) din art. 91; pct. 76, în partea care se referă la completarea cu riscurile de mediu, sociale și de guvernanță de la lit. a) a alin. (1) din art. 100; pct. 77, în partea care se referă la completarea lit. a) a alin. (1) și completarea cu lit. j) a alin. (1) și în partea care se referă la completarea alin. (2) cu litera d) din art. 101; pct. 119, în partea care se referă la completarea cu lit. q) a alin. (3) din art. 139; </w:t>
            </w:r>
          </w:p>
          <w:p w14:paraId="7B18312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shd w:val="clear" w:color="auto" w:fill="FFFFFF"/>
          </w:tcPr>
          <w:p w14:paraId="19F93ACA"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 xml:space="preserve">ABM </w:t>
            </w:r>
          </w:p>
          <w:p w14:paraId="0951065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6A22994E" w14:textId="0AB9ABCD"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02-06/188 din 07.07.2026</w:t>
            </w:r>
          </w:p>
        </w:tc>
        <w:tc>
          <w:tcPr>
            <w:tcW w:w="426" w:type="dxa"/>
            <w:shd w:val="clear" w:color="auto" w:fill="FFFFFF"/>
          </w:tcPr>
          <w:p w14:paraId="4C603428" w14:textId="77777777"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43697E6" w14:textId="5BF3252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Asociat prevederii vizate la pct. 29 care se referă la modificarea art. 38, pct. 30 care se referă la introducerea art. 38</w:t>
            </w:r>
            <w:r w:rsidRPr="005D6998">
              <w:rPr>
                <w:rFonts w:ascii="Times New Roman" w:hAnsi="Times New Roman"/>
                <w:vertAlign w:val="superscript"/>
              </w:rPr>
              <w:t>3</w:t>
            </w:r>
            <w:r w:rsidRPr="005D6998">
              <w:rPr>
                <w:rFonts w:ascii="Times New Roman" w:hAnsi="Times New Roman"/>
              </w:rPr>
              <w:t xml:space="preserve"> (nou) și, în general, integral, art. IV alin. (2) lit. b), privind termenul de implementare ESG, se recomandă înlocuirea termenului de 4 luni prevăzut pentru implementarea cerințelor ESG cu un calendar etapizat de implementare, structurat în două faze. </w:t>
            </w:r>
          </w:p>
          <w:p w14:paraId="3EBF6B8A" w14:textId="77777777" w:rsidR="00513EDC" w:rsidRPr="005D6998" w:rsidRDefault="00513EDC" w:rsidP="00513EDC">
            <w:pPr>
              <w:spacing w:after="0" w:line="240" w:lineRule="auto"/>
              <w:jc w:val="both"/>
              <w:rPr>
                <w:rFonts w:ascii="Times New Roman" w:hAnsi="Times New Roman"/>
              </w:rPr>
            </w:pPr>
          </w:p>
          <w:p w14:paraId="7039D511"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lastRenderedPageBreak/>
              <w:t xml:space="preserve">Se propune ca în prima etapă, în termen de 12 luni de la publicarea legii, instituțiile de credit ar urma să asigure aprobarea la nivel de Consiliu a strategiei ESG, a politicilor interne de identificare și raportare a riscurilor ESG și stabilirea cadrului de guvernanță aferent. </w:t>
            </w:r>
          </w:p>
          <w:p w14:paraId="79E35E6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Respectiv, în etapa a doua, în termen de 24 de luni, ar urma să fie realizată operaționalizarea completă a cadrului ESG, inclusiv integrarea acestuia în procesele de administrare a riscurilor, adecvare a capitalului (ICAAP), raportare, procese de creditare, precum și dezvoltarea și validarea metodologiilor de evaluare și stres-testare climatică.</w:t>
            </w:r>
          </w:p>
          <w:p w14:paraId="56358A25" w14:textId="77777777" w:rsidR="00513EDC" w:rsidRPr="005D6998" w:rsidRDefault="00513EDC" w:rsidP="00513EDC">
            <w:pPr>
              <w:spacing w:after="0" w:line="240" w:lineRule="auto"/>
              <w:jc w:val="both"/>
              <w:rPr>
                <w:rFonts w:ascii="Times New Roman" w:hAnsi="Times New Roman"/>
              </w:rPr>
            </w:pPr>
          </w:p>
          <w:p w14:paraId="7A8D97FE"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același context, ABM consideră necesară emiterea de către BNM, în termen de 6 luni de la intrarea în vigoare a legii, a unor ghiduri de supraveghere care să detalieze cerințele minime de implementare și să asigure aplicarea principiului proporționalității, în funcție de dimensiunea, profilul de risc și complexitatea instituțiilor de credit. Considerăm că termenul de 4 luni este insuficient, având în vedere necesitatea dezvoltării infrastructurii de date, a metodologiilor de evaluare și stres-testare, precum și a proceselor interne de guvernanță și 9 raportare ESG. În plus, la nivel european, Ghidurile EBA (EBA/GL/2023/06) prevăd o implementare graduală de 12–24 de luni, în funcție de complexitatea instituțiilor.</w:t>
            </w:r>
          </w:p>
          <w:p w14:paraId="57DCFE1A"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De asemenea, se consideră oportună introducerea expresă a principiului integrării graduale a factorilor ESG în cadrul de administrare a riscurilor. În acest sens, instituțiile de credit ar urma să integreze factorii ESG în funcție de materialitatea </w:t>
            </w:r>
            <w:r w:rsidRPr="005D6998">
              <w:rPr>
                <w:rFonts w:ascii="Times New Roman" w:hAnsi="Times New Roman"/>
              </w:rPr>
              <w:lastRenderedPageBreak/>
              <w:t xml:space="preserve">riscurilor, dimensiunea și complexitatea activității, cu prioritate, în etapa inițială, în procesul de evaluare și administrare a riscului de credit, urmând ca aplicarea să fie extinsă progresiv și asupra celorlalte categorii de risc. </w:t>
            </w:r>
          </w:p>
          <w:p w14:paraId="21BDAECF" w14:textId="2A353FC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argumentează că această abordare este în concordanță cu bunele practici europene și permite dezvoltarea treptată a cadrului de guvernanță, a bazelor de date și a metodologiilor de evaluare, evitând aplicarea formală a unor cerințe pentru care infrastructura de date și metodologiile nu sunt încă pe deplin dezvoltate.</w:t>
            </w:r>
          </w:p>
        </w:tc>
        <w:tc>
          <w:tcPr>
            <w:tcW w:w="5012" w:type="dxa"/>
            <w:gridSpan w:val="3"/>
            <w:shd w:val="clear" w:color="auto" w:fill="FFFFFF"/>
          </w:tcPr>
          <w:p w14:paraId="3FF1BE52"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76BF7837"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Proiectul de lege instituie cadrul general privind integrarea riscurilor ESG, iar cerințele detaliate privind cadrul de administrare, politicile și procesele interne vor fi stabilite prin actele normative ale BNM. Elaborarea acestora va permite consultarea instituțiilor de credit și, subsecvent, pregătirea măsurilor de implementare, inclusiv dezvoltarea strategiilor, politicilor interne, proceselor de evaluare și raportare a riscurilor ESG.</w:t>
            </w:r>
          </w:p>
          <w:p w14:paraId="04E81198" w14:textId="760103D7"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539449B7" w14:textId="77777777" w:rsidTr="00651F58">
        <w:trPr>
          <w:gridAfter w:val="1"/>
          <w:wAfter w:w="10" w:type="dxa"/>
          <w:trHeight w:val="105"/>
        </w:trPr>
        <w:tc>
          <w:tcPr>
            <w:tcW w:w="899" w:type="dxa"/>
            <w:gridSpan w:val="3"/>
            <w:shd w:val="clear" w:color="auto" w:fill="FFFFFF"/>
          </w:tcPr>
          <w:p w14:paraId="68F1348B"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Cs/>
              </w:rPr>
            </w:pPr>
          </w:p>
        </w:tc>
        <w:tc>
          <w:tcPr>
            <w:tcW w:w="3637" w:type="dxa"/>
            <w:shd w:val="clear" w:color="auto" w:fill="FFFFFF"/>
          </w:tcPr>
          <w:p w14:paraId="782E3BFE" w14:textId="7E9E152D" w:rsidR="00513EDC" w:rsidRPr="005D6998" w:rsidRDefault="00513EDC" w:rsidP="00513EDC">
            <w:pPr>
              <w:tabs>
                <w:tab w:val="left" w:pos="884"/>
                <w:tab w:val="left" w:pos="1196"/>
              </w:tabs>
              <w:spacing w:after="0" w:line="240" w:lineRule="auto"/>
              <w:jc w:val="both"/>
              <w:rPr>
                <w:rFonts w:ascii="Times New Roman" w:hAnsi="Times New Roman"/>
                <w:bCs/>
              </w:rPr>
            </w:pPr>
            <w:r w:rsidRPr="005D6998">
              <w:rPr>
                <w:rFonts w:ascii="Times New Roman" w:hAnsi="Times New Roman"/>
                <w:b/>
                <w:lang w:val="ro-MD"/>
              </w:rPr>
              <w:t>12.</w:t>
            </w:r>
            <w:r w:rsidRPr="005D6998">
              <w:rPr>
                <w:rFonts w:ascii="Times New Roman" w:hAnsi="Times New Roman"/>
                <w:bCs/>
                <w:lang w:val="ro-MD"/>
              </w:rPr>
              <w:t xml:space="preserve"> La articolul 9, alineatul (1), cuvintele „“100 milioane lei” se substituie cu cuvintele „“echivalentul în MDL a 5 milioane EUR.</w:t>
            </w:r>
          </w:p>
        </w:tc>
        <w:tc>
          <w:tcPr>
            <w:tcW w:w="1559" w:type="dxa"/>
            <w:gridSpan w:val="3"/>
            <w:shd w:val="clear" w:color="auto" w:fill="FFFFFF"/>
          </w:tcPr>
          <w:p w14:paraId="7C7CFA1E" w14:textId="4BC5A3EB"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AmCham</w:t>
            </w:r>
          </w:p>
          <w:p w14:paraId="619456DE"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12D57A2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22BC45DF" w14:textId="11EC6934"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0879A90B"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3E56B7BB" w14:textId="2ECBC140"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675AA5B4" w14:textId="724B3BF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completarea art. 9 alin. (1) cu o prevedere care să stabilească expres modalitatea de determinare a echivalentului în moneda națională, după cum urmează:</w:t>
            </w:r>
          </w:p>
          <w:p w14:paraId="230082B6"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„Echivalentul în MDL se determină conform cursului oficial al BNM valabil la data depunerii cererii de autorizare.”</w:t>
            </w:r>
          </w:p>
          <w:p w14:paraId="44439A42" w14:textId="77777777" w:rsidR="00513EDC" w:rsidRPr="005D6998" w:rsidRDefault="00513EDC" w:rsidP="00513EDC">
            <w:pPr>
              <w:spacing w:after="0" w:line="240" w:lineRule="auto"/>
              <w:jc w:val="both"/>
              <w:rPr>
                <w:rFonts w:ascii="Times New Roman" w:hAnsi="Times New Roman"/>
              </w:rPr>
            </w:pPr>
          </w:p>
          <w:p w14:paraId="1FD34545" w14:textId="340FB36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Prin intermediul Art. III pct. 12, proiectul propune înlocuirea pragului minim al capitalului inițial exprimat în monedă națională, de 100 milioane MDL, cu cerința privind deținerea unui capital inițial de cel puțin echivalentul a 5 milioane EUR. Deși modificarea urmărește alinierea la cerințele europene, proiectul nu precizează modalitatea de determinare a echivalentului în lei moldovenești, inclusiv cursul de schimb aplicabil, momentul la care acesta urmează a fi calculat și modul de tratare a eventualelor fluctuații valutare. Lipsa acestor clarificări poate genera incertitudini în procesul de autorizare și interpretări diferite cu privire la îndeplinirea cerinței de capital minim.</w:t>
            </w:r>
          </w:p>
        </w:tc>
        <w:tc>
          <w:tcPr>
            <w:tcW w:w="5012" w:type="dxa"/>
            <w:gridSpan w:val="3"/>
            <w:shd w:val="clear" w:color="auto" w:fill="FFFFFF"/>
          </w:tcPr>
          <w:p w14:paraId="398D8486" w14:textId="1E23F95E" w:rsidR="00513EDC" w:rsidRPr="005D6998" w:rsidRDefault="00513EDC" w:rsidP="00513EDC">
            <w:pPr>
              <w:tabs>
                <w:tab w:val="left" w:pos="884"/>
                <w:tab w:val="left" w:pos="1196"/>
              </w:tabs>
              <w:spacing w:after="0" w:line="240" w:lineRule="auto"/>
              <w:jc w:val="both"/>
              <w:rPr>
                <w:rFonts w:ascii="Times New Roman" w:hAnsi="Times New Roman"/>
                <w:b/>
                <w:lang w:val="ro-MD"/>
              </w:rPr>
            </w:pPr>
            <w:r w:rsidRPr="005D6998">
              <w:rPr>
                <w:rFonts w:ascii="Times New Roman" w:hAnsi="Times New Roman"/>
                <w:b/>
                <w:lang w:val="ro-MD"/>
              </w:rPr>
              <w:t>Se acceptă par</w:t>
            </w:r>
            <w:r w:rsidRPr="005D6998">
              <w:rPr>
                <w:rFonts w:ascii="Times New Roman" w:hAnsi="Times New Roman"/>
                <w:b/>
              </w:rPr>
              <w:t>ț</w:t>
            </w:r>
            <w:r w:rsidRPr="005D6998">
              <w:rPr>
                <w:rFonts w:ascii="Times New Roman" w:hAnsi="Times New Roman"/>
                <w:b/>
                <w:lang w:val="ro-MD"/>
              </w:rPr>
              <w:t>ial.</w:t>
            </w:r>
          </w:p>
          <w:p w14:paraId="5E4CA3F6" w14:textId="114FB9BF" w:rsidR="00513EDC" w:rsidRPr="005D6998" w:rsidRDefault="00513EDC" w:rsidP="00513EDC">
            <w:pPr>
              <w:spacing w:after="0"/>
              <w:jc w:val="both"/>
              <w:rPr>
                <w:rFonts w:ascii="Times New Roman" w:hAnsi="Times New Roman"/>
              </w:rPr>
            </w:pPr>
            <w:r w:rsidRPr="005D6998">
              <w:rPr>
                <w:rFonts w:ascii="Times New Roman" w:hAnsi="Times New Roman"/>
              </w:rPr>
              <w:t>În ceea ce privește calculul pragurilor prevăzute în proiect în euro, dispozițiile finale din proiect (art.IV) au fost completate după cum urmează:</w:t>
            </w:r>
          </w:p>
          <w:p w14:paraId="3D3AF014" w14:textId="3DA87E7A" w:rsidR="00513EDC" w:rsidRPr="005D6998" w:rsidRDefault="00513EDC" w:rsidP="00513EDC">
            <w:pPr>
              <w:spacing w:after="0"/>
              <w:jc w:val="both"/>
              <w:rPr>
                <w:rFonts w:ascii="Times New Roman" w:hAnsi="Times New Roman"/>
              </w:rPr>
            </w:pPr>
            <w:r w:rsidRPr="005D6998">
              <w:rPr>
                <w:rFonts w:ascii="Times New Roman" w:hAnsi="Times New Roman"/>
                <w:lang w:val="it-CH"/>
              </w:rPr>
              <w:t>“</w:t>
            </w:r>
            <w:r w:rsidRPr="005D6998">
              <w:rPr>
                <w:rFonts w:ascii="Times New Roman" w:hAnsi="Times New Roman"/>
              </w:rPr>
              <w:t>(6) Echivalentul în lei moldovenești a</w:t>
            </w:r>
            <w:r w:rsidR="008328A0" w:rsidRPr="005D6998">
              <w:rPr>
                <w:rFonts w:ascii="Times New Roman" w:hAnsi="Times New Roman"/>
              </w:rPr>
              <w:t>l</w:t>
            </w:r>
            <w:r w:rsidRPr="005D6998">
              <w:rPr>
                <w:rFonts w:ascii="Times New Roman" w:hAnsi="Times New Roman"/>
              </w:rPr>
              <w:t xml:space="preserve"> pragurilor stabilite în euro din prezenta lege se va calcula la cursul oficial al leului moldovenesc stabilit de Banca Națională a Moldovei la data prevăzută în actele normative emise în aplicarea prezentei legi.”.</w:t>
            </w:r>
          </w:p>
          <w:p w14:paraId="36FCA51A" w14:textId="502AB312" w:rsidR="00513EDC" w:rsidRPr="005D6998" w:rsidRDefault="00513EDC" w:rsidP="00513EDC">
            <w:pPr>
              <w:spacing w:after="0"/>
              <w:jc w:val="both"/>
              <w:rPr>
                <w:rFonts w:ascii="Times New Roman" w:hAnsi="Times New Roman"/>
              </w:rPr>
            </w:pPr>
          </w:p>
          <w:p w14:paraId="071534B9" w14:textId="35FC9C15"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19C264BC" w14:textId="77777777" w:rsidTr="00651F58">
        <w:trPr>
          <w:gridAfter w:val="1"/>
          <w:wAfter w:w="10" w:type="dxa"/>
          <w:trHeight w:val="105"/>
        </w:trPr>
        <w:tc>
          <w:tcPr>
            <w:tcW w:w="899" w:type="dxa"/>
            <w:gridSpan w:val="3"/>
            <w:shd w:val="clear" w:color="auto" w:fill="FFFFFF"/>
          </w:tcPr>
          <w:p w14:paraId="354BB181"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4C8458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shd w:val="clear" w:color="auto" w:fill="FFFFFF"/>
          </w:tcPr>
          <w:p w14:paraId="2BD140B9" w14:textId="4A6CA379"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AmCham</w:t>
            </w:r>
          </w:p>
          <w:p w14:paraId="15ACC257"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1FA841E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14F3DFAE" w14:textId="6E644A54"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33E5635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02214419" w14:textId="49A7AE6B"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067E5A93" w14:textId="0CDC371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consideră necesară introducerea unei norme exprese privind obligațiile de raportare statistică, prudențială și participarea la mecanismele naționale de protecție a deponenților.</w:t>
            </w:r>
          </w:p>
          <w:p w14:paraId="01FAD0EE" w14:textId="77777777" w:rsidR="00513EDC" w:rsidRPr="005D6998" w:rsidRDefault="00513EDC" w:rsidP="00513EDC">
            <w:pPr>
              <w:spacing w:after="0" w:line="240" w:lineRule="auto"/>
              <w:jc w:val="both"/>
              <w:rPr>
                <w:rFonts w:ascii="Times New Roman" w:hAnsi="Times New Roman"/>
              </w:rPr>
            </w:pPr>
          </w:p>
          <w:p w14:paraId="513E22BC" w14:textId="36BCDD30" w:rsidR="00513EDC" w:rsidRPr="005D6998" w:rsidRDefault="00513EDC" w:rsidP="00513EDC">
            <w:pPr>
              <w:spacing w:after="0" w:line="240" w:lineRule="auto"/>
              <w:jc w:val="both"/>
              <w:rPr>
                <w:rFonts w:ascii="Times New Roman" w:hAnsi="Times New Roman"/>
              </w:rPr>
            </w:pPr>
            <w:r w:rsidRPr="005D6998">
              <w:rPr>
                <w:rFonts w:ascii="Times New Roman" w:hAnsi="Times New Roman"/>
              </w:rPr>
              <w:t>La Art. III pct. 22, noul art. 23² reglementează condițiile de desfășurare a activității în Republica Moldova de către instituțiile de credit autorizate în statele membre ale Uniunii Europene, în baza principiului pașaportului european. Cu toate acestea, proiectul nu clarifică în mod expres regimul obligațiilor aplicabile sucursalelor acestor instituții în raport cu autoritățile naționale. În particular, nu este clar dacă și în ce măsură sucursalele instituțiilor de credit din statele membre vor avea obligații de raportare statistică sau prudențială către Banca Națională a Moldovei, inclusiv în ceea ce privește transmiterea unor seturi de date financiare și de supraveghere. De asemenea, proiectul nu precizează modul de aplicare a mecanismelor naționale de protecție a deponenților și obligațiile aferente acestora.</w:t>
            </w:r>
          </w:p>
        </w:tc>
        <w:tc>
          <w:tcPr>
            <w:tcW w:w="5012" w:type="dxa"/>
            <w:gridSpan w:val="3"/>
            <w:shd w:val="clear" w:color="auto" w:fill="FFFFFF"/>
          </w:tcPr>
          <w:p w14:paraId="15D46129"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313D890D"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Proiectul de lege reglementează în mod expres aspectele invocate. A se vedea, în acest sens, prevederile art. 23</w:t>
            </w:r>
            <w:r w:rsidRPr="005D6998">
              <w:rPr>
                <w:rFonts w:ascii="Times New Roman" w:hAnsi="Times New Roman"/>
                <w:vertAlign w:val="superscript"/>
              </w:rPr>
              <w:t>3</w:t>
            </w:r>
            <w:r w:rsidRPr="005D6998">
              <w:rPr>
                <w:rFonts w:ascii="Times New Roman" w:hAnsi="Times New Roman"/>
              </w:rPr>
              <w:t xml:space="preserve"> care stabilește în mod explicit obligațiile de raportare aplicabile instituțiilor de credit din statele membre care își desfășoară activitatea pe teritoriul Republicii Moldova prin intermediul unei sucursale. </w:t>
            </w:r>
          </w:p>
          <w:p w14:paraId="3377A204"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Este important de menționat  că conform principiului de supraveghere de către autoritatea competentă din statul de origine consacrat de Directiva 2013/36/UE, autoritatea competentă din statul membru gazdă, în speță, BNM, nu exercită supravegherea prudențială a sucursalei unei instituții de credit deschise pe teritoriul R. Moldova.</w:t>
            </w:r>
          </w:p>
          <w:p w14:paraId="57C77438" w14:textId="64EE3373"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Această competență revine autorității competente din statul membru de origine. Rolul BNM, în calitate de autoritate competentă din statul gazdă este limitat la exercitarea competențelor expres prevăzute de cadrul legal aplicabil, inclusiv în ceea ce privește colectarea informațiilor necesare, cooperarea cu autoritatea din statul de origine și aplicarea măsurilor destinate protejării interesului general pe teritoriul său (a se vedea în acest sens art. art. 23</w:t>
            </w:r>
            <w:r w:rsidRPr="005D6998">
              <w:rPr>
                <w:rFonts w:ascii="Times New Roman" w:hAnsi="Times New Roman"/>
                <w:vertAlign w:val="superscript"/>
              </w:rPr>
              <w:t>2</w:t>
            </w:r>
            <w:r w:rsidRPr="005D6998">
              <w:rPr>
                <w:rFonts w:ascii="Times New Roman" w:hAnsi="Times New Roman"/>
              </w:rPr>
              <w:t xml:space="preserve"> alin. (1)).</w:t>
            </w:r>
          </w:p>
        </w:tc>
      </w:tr>
      <w:tr w:rsidR="00513EDC" w:rsidRPr="005D6998" w14:paraId="5E9FA28F" w14:textId="77777777" w:rsidTr="00651F58">
        <w:trPr>
          <w:gridAfter w:val="1"/>
          <w:wAfter w:w="10" w:type="dxa"/>
          <w:trHeight w:val="105"/>
        </w:trPr>
        <w:tc>
          <w:tcPr>
            <w:tcW w:w="899" w:type="dxa"/>
            <w:gridSpan w:val="3"/>
            <w:shd w:val="clear" w:color="auto" w:fill="FFFFFF"/>
          </w:tcPr>
          <w:p w14:paraId="67CA1E60" w14:textId="77777777" w:rsidR="00513EDC" w:rsidRPr="005D6998" w:rsidRDefault="00513EDC" w:rsidP="00513EDC">
            <w:pPr>
              <w:pStyle w:val="a7"/>
              <w:numPr>
                <w:ilvl w:val="0"/>
                <w:numId w:val="15"/>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CC82D7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shd w:val="clear" w:color="auto" w:fill="FFFFFF"/>
          </w:tcPr>
          <w:p w14:paraId="6AD8DD9E" w14:textId="3C6FEC4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AmCham</w:t>
            </w:r>
          </w:p>
          <w:p w14:paraId="1CBAD436"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466BDEF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35601F9" w14:textId="2A7FFA64"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4FFC4A33"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1CB77400" w14:textId="3E9C0BF0" w:rsidR="00513EDC" w:rsidRPr="005D6998" w:rsidRDefault="00513EDC" w:rsidP="00A94E86">
            <w:pPr>
              <w:pStyle w:val="a7"/>
              <w:numPr>
                <w:ilvl w:val="0"/>
                <w:numId w:val="25"/>
              </w:numPr>
              <w:tabs>
                <w:tab w:val="left" w:pos="884"/>
                <w:tab w:val="left" w:pos="1196"/>
              </w:tabs>
              <w:spacing w:after="0" w:line="240" w:lineRule="auto"/>
              <w:jc w:val="center"/>
              <w:rPr>
                <w:rFonts w:ascii="Times New Roman" w:hAnsi="Times New Roman"/>
                <w:bCs/>
              </w:rPr>
            </w:pPr>
          </w:p>
        </w:tc>
        <w:tc>
          <w:tcPr>
            <w:tcW w:w="4201" w:type="dxa"/>
            <w:gridSpan w:val="3"/>
            <w:shd w:val="clear" w:color="auto" w:fill="FFFFFF"/>
          </w:tcPr>
          <w:p w14:paraId="433D2F24" w14:textId="12A191EA"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recomandă completarea capitolului privind cadrul de administrare și gestionare a riscurilor cu un articol nou, cu următorul cuprins: „Instituțiile de credit trebuie să dispună de un cadru de administrare a riscurilor aferente tehnologiei informației și comunicațiilor (ICT), aprobat de organul de conducere și supus evaluării periodice de către funcția de audit intern.”.</w:t>
            </w:r>
          </w:p>
          <w:p w14:paraId="274BE7FC" w14:textId="77777777" w:rsidR="00513EDC" w:rsidRPr="005D6998" w:rsidRDefault="00513EDC" w:rsidP="00513EDC">
            <w:pPr>
              <w:spacing w:after="0" w:line="240" w:lineRule="auto"/>
              <w:jc w:val="both"/>
              <w:rPr>
                <w:rFonts w:ascii="Times New Roman" w:hAnsi="Times New Roman"/>
              </w:rPr>
            </w:pPr>
          </w:p>
          <w:p w14:paraId="44E9E5F0" w14:textId="719EA7D5"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Proiectul transpune un set important de modificări aferente Directivei (UE) 2024/1619 (CRD VI) și consolidează cadrul </w:t>
            </w:r>
            <w:r w:rsidRPr="005D6998">
              <w:rPr>
                <w:rFonts w:ascii="Times New Roman" w:hAnsi="Times New Roman"/>
              </w:rPr>
              <w:lastRenderedPageBreak/>
              <w:t>de guvernanță și supraveghere aplicabil instituțiilor de credit. Cu toate acestea, nu au fost identificate prevederi explicite referitoare la administrarea riscurilor aferente tehnologiei informației și comunicațiilor (ICT), responsabilitățile organului de conducere în domeniul riscurilor cibernetice, testarea rezilienței operaționale digitale și gestionarea sau raportarea incidentelor cibernetice. Deși aceste aspecte pot face obiectul unor reglementări sectoriale distincte, ele reprezintă componente esențiale ale cadrului european actual de reziliență operațională digitală și sunt strâns corelate cu cerințele de guvernanță și administrare a riscurilor promovate prin CRD VI. În acest context, lipsa unor prevederi-cadru în legislația primară poate genera incertitudini privind responsabilitățile instituțiilor și ale organelor de conducere în materie de gestionare a riscurilor ICT.</w:t>
            </w:r>
          </w:p>
        </w:tc>
        <w:tc>
          <w:tcPr>
            <w:tcW w:w="5012" w:type="dxa"/>
            <w:gridSpan w:val="3"/>
            <w:shd w:val="clear" w:color="auto" w:fill="FFFFFF"/>
          </w:tcPr>
          <w:p w14:paraId="393E7789"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4E5F8008" w14:textId="2CFD4D6D"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Prezentul proiect nu reprezintă un instrument de detaliere a cadrului ICT. Prevederile propuse în acest context se limitează la cerințele privind cadrul de administrare și gestionare a riscurilor prevăzute de Directiva 2013/36/UE, astfel cum aceasta a fost modificată prin Directiva 2022/2556 privind reziliența operațională digitală pentru sectorul financiar, inclusiv aspectele referitoare la guvernanță, responsabilitățile organului de conducere și cadrul de control intern al instituțiilor de credit, în limitele domeniului de aplicare specific Legii nr. 202/2017.</w:t>
            </w:r>
          </w:p>
          <w:p w14:paraId="4901F13E" w14:textId="67061BFC"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În acest sens, sunt relevante următoarele prevederi din proiect – pct. 29, prin care se modifică art. 38, lit d), pct. 76, prin care se completează alin. (1) al art. 100 cu lit. d), pct. 119 prin care se modifică art. 138 alin. (5), precum și proiectul de modificare a Regulamentului nr. 322/2018 privind cadrul de administrare a activității.</w:t>
            </w:r>
          </w:p>
          <w:p w14:paraId="09D2515C"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4AE0485A" w14:textId="3748A7C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Se precizează că aplicarea cerințelor privind riscurile ICT și reziliența operațională digitală urmează a fi asigurată în cadrul actelor normative speciale aplicabile acestui domeniu.</w:t>
            </w:r>
          </w:p>
          <w:p w14:paraId="5C26FC08" w14:textId="54E34B15" w:rsidR="00513EDC" w:rsidRPr="005D6998" w:rsidRDefault="00513EDC" w:rsidP="00513EDC">
            <w:pPr>
              <w:spacing w:after="0"/>
              <w:jc w:val="both"/>
              <w:rPr>
                <w:rFonts w:ascii="Times New Roman" w:hAnsi="Times New Roman"/>
                <w:b/>
                <w:bCs/>
              </w:rPr>
            </w:pPr>
          </w:p>
        </w:tc>
      </w:tr>
      <w:tr w:rsidR="00513EDC" w:rsidRPr="005D6998" w14:paraId="701A820A" w14:textId="77777777" w:rsidTr="00651F58">
        <w:trPr>
          <w:gridAfter w:val="1"/>
          <w:wAfter w:w="10" w:type="dxa"/>
          <w:trHeight w:val="105"/>
        </w:trPr>
        <w:tc>
          <w:tcPr>
            <w:tcW w:w="899" w:type="dxa"/>
            <w:gridSpan w:val="3"/>
            <w:shd w:val="clear" w:color="auto" w:fill="FFFFFF"/>
          </w:tcPr>
          <w:p w14:paraId="459635C6" w14:textId="77777777" w:rsidR="00513EDC" w:rsidRPr="005D6998" w:rsidRDefault="00513EDC" w:rsidP="00513EDC">
            <w:pPr>
              <w:pStyle w:val="a7"/>
              <w:numPr>
                <w:ilvl w:val="0"/>
                <w:numId w:val="15"/>
              </w:numPr>
              <w:tabs>
                <w:tab w:val="left" w:pos="360"/>
                <w:tab w:val="left" w:pos="884"/>
                <w:tab w:val="left" w:pos="1196"/>
              </w:tabs>
              <w:spacing w:after="0" w:line="240" w:lineRule="auto"/>
              <w:rPr>
                <w:rFonts w:ascii="Times New Roman" w:hAnsi="Times New Roman"/>
                <w:b/>
              </w:rPr>
            </w:pPr>
          </w:p>
        </w:tc>
        <w:tc>
          <w:tcPr>
            <w:tcW w:w="3637" w:type="dxa"/>
            <w:shd w:val="clear" w:color="auto" w:fill="FFFFFF"/>
          </w:tcPr>
          <w:p w14:paraId="2E99D30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shd w:val="clear" w:color="auto" w:fill="FFFFFF"/>
          </w:tcPr>
          <w:p w14:paraId="1D95117E"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AmCham</w:t>
            </w:r>
          </w:p>
          <w:p w14:paraId="7ACCC9AA"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Moldova</w:t>
            </w:r>
          </w:p>
          <w:p w14:paraId="1D61761F"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EFD4460"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78 din 15.06.2026</w:t>
            </w:r>
          </w:p>
          <w:p w14:paraId="5E42B007"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3F67E49E" w14:textId="77777777" w:rsidR="00513EDC" w:rsidRPr="005D6998" w:rsidRDefault="00513EDC" w:rsidP="00A94E86">
            <w:pPr>
              <w:pStyle w:val="a7"/>
              <w:numPr>
                <w:ilvl w:val="0"/>
                <w:numId w:val="25"/>
              </w:numPr>
              <w:tabs>
                <w:tab w:val="left" w:pos="884"/>
                <w:tab w:val="left" w:pos="1196"/>
              </w:tabs>
              <w:spacing w:after="0" w:line="240" w:lineRule="auto"/>
              <w:rPr>
                <w:rFonts w:ascii="Times New Roman" w:hAnsi="Times New Roman"/>
                <w:bCs/>
              </w:rPr>
            </w:pPr>
          </w:p>
        </w:tc>
        <w:tc>
          <w:tcPr>
            <w:tcW w:w="4255" w:type="dxa"/>
            <w:gridSpan w:val="4"/>
            <w:shd w:val="clear" w:color="auto" w:fill="FFFFFF"/>
          </w:tcPr>
          <w:p w14:paraId="1534EACC" w14:textId="68C3E27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 xml:space="preserve">Se recomandă completarea secțiunii dedicate holdingurilor cu prevederea: </w:t>
            </w:r>
          </w:p>
          <w:p w14:paraId="2A20585F"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„Societatea financiară holding aprobată este responsabilă pentru respectarea cerințelor prudențiale la nivel consolidat și pentru transmiterea raportărilor consolidate către autoritatea competentă.”.</w:t>
            </w:r>
          </w:p>
          <w:p w14:paraId="35EAFA32" w14:textId="77777777" w:rsidR="00513EDC" w:rsidRPr="005D6998" w:rsidRDefault="00513EDC" w:rsidP="00513EDC">
            <w:pPr>
              <w:spacing w:after="0" w:line="240" w:lineRule="auto"/>
              <w:jc w:val="both"/>
              <w:rPr>
                <w:rFonts w:ascii="Times New Roman" w:hAnsi="Times New Roman"/>
                <w:i/>
                <w:iCs/>
              </w:rPr>
            </w:pPr>
          </w:p>
          <w:p w14:paraId="128D2729" w14:textId="5B809C42" w:rsidR="00513EDC" w:rsidRPr="005D6998" w:rsidRDefault="00513EDC" w:rsidP="00513EDC">
            <w:pPr>
              <w:spacing w:after="0" w:line="240" w:lineRule="auto"/>
              <w:jc w:val="both"/>
              <w:rPr>
                <w:rFonts w:ascii="Times New Roman" w:hAnsi="Times New Roman"/>
              </w:rPr>
            </w:pPr>
            <w:r w:rsidRPr="005D6998">
              <w:rPr>
                <w:rFonts w:ascii="Times New Roman" w:hAnsi="Times New Roman"/>
              </w:rPr>
              <w:t>La definiția „societate financiară holding” și la Art. III pct. 6 (completarea art. 4 cu alin. (2</w:t>
            </w:r>
            <w:r w:rsidRPr="005D6998">
              <w:rPr>
                <w:rFonts w:ascii="Times New Roman" w:hAnsi="Times New Roman"/>
                <w:vertAlign w:val="superscript"/>
              </w:rPr>
              <w:t>1</w:t>
            </w:r>
            <w:r w:rsidRPr="005D6998">
              <w:rPr>
                <w:rFonts w:ascii="Times New Roman" w:hAnsi="Times New Roman"/>
              </w:rPr>
              <w:t xml:space="preserve">) din Legea nr. 202/2017), proiectul introduce cadrul privind aprobarea și supravegherea societăților financiare holding și a societăților financiare holding mixte, atribuind Băncii Naționale a Moldovei competențe de autorizare și supraveghere a acestora. Totuși, proiectul nu reglementează în mod expres </w:t>
            </w:r>
            <w:r w:rsidRPr="005D6998">
              <w:rPr>
                <w:rFonts w:ascii="Times New Roman" w:hAnsi="Times New Roman"/>
              </w:rPr>
              <w:lastRenderedPageBreak/>
              <w:t>responsabilitățile acestor entități în raport cu respectarea cerințelor prudențiale la nivel consolidat și cu obligațiile de raportare aferente grupului.</w:t>
            </w:r>
          </w:p>
          <w:p w14:paraId="0FBA66B4" w14:textId="4C23FEF3" w:rsidR="00513EDC" w:rsidRPr="005D6998" w:rsidRDefault="00513EDC" w:rsidP="00513EDC">
            <w:pPr>
              <w:spacing w:after="0" w:line="240" w:lineRule="auto"/>
              <w:jc w:val="both"/>
              <w:rPr>
                <w:rFonts w:ascii="Times New Roman" w:hAnsi="Times New Roman"/>
              </w:rPr>
            </w:pPr>
            <w:r w:rsidRPr="005D6998">
              <w:rPr>
                <w:rFonts w:ascii="Times New Roman" w:hAnsi="Times New Roman"/>
              </w:rPr>
              <w:t>În lipsa unor prevederi explicite, pot apărea incertitudini privind rolul și răspunderea societății financiare holding în asigurarea conformării grupului la cerințele de supraveghere consolidată, inclusiv în ceea ce privește furnizarea informațiilor și raportărilor necesare autorității competente.</w:t>
            </w:r>
          </w:p>
        </w:tc>
        <w:tc>
          <w:tcPr>
            <w:tcW w:w="4958" w:type="dxa"/>
            <w:gridSpan w:val="2"/>
            <w:shd w:val="clear" w:color="auto" w:fill="FFFFFF"/>
          </w:tcPr>
          <w:p w14:paraId="7902D687" w14:textId="34865C54"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7057FC4B" w14:textId="1E0DA520"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Textul propunerii de completare are caracter redundant, luând în considerare următoarele.</w:t>
            </w:r>
          </w:p>
          <w:p w14:paraId="41FD1F34" w14:textId="77777777" w:rsidR="00513EDC" w:rsidRPr="005D6998" w:rsidRDefault="00513EDC" w:rsidP="00513EDC">
            <w:pPr>
              <w:tabs>
                <w:tab w:val="left" w:pos="884"/>
                <w:tab w:val="left" w:pos="1196"/>
              </w:tabs>
              <w:spacing w:after="0" w:line="240" w:lineRule="auto"/>
              <w:jc w:val="both"/>
              <w:rPr>
                <w:rFonts w:ascii="Times New Roman" w:hAnsi="Times New Roman"/>
              </w:rPr>
            </w:pPr>
          </w:p>
          <w:p w14:paraId="174846E0" w14:textId="77777777" w:rsidR="00513EDC" w:rsidRPr="005D6998" w:rsidRDefault="00513EDC" w:rsidP="00513EDC">
            <w:pPr>
              <w:spacing w:after="0"/>
              <w:jc w:val="both"/>
              <w:rPr>
                <w:rFonts w:ascii="Times New Roman" w:hAnsi="Times New Roman"/>
              </w:rPr>
            </w:pPr>
            <w:r w:rsidRPr="005D6998">
              <w:rPr>
                <w:rFonts w:ascii="Times New Roman" w:hAnsi="Times New Roman"/>
              </w:rPr>
              <w:t>Responsabilitatea societăților financiare holding pentru respectarea cerințelor prudențiale la nivel consolidat și pentru furnizarea/raportarea informațiilor aferente grupului rezultă din prevederile privind aprobarea și supravegherea holdingurilor financiare, coroborate cu dispozițiile referitoare la supravegherea pe bază consolidată. De exemplu, în acest sens, art. 116</w:t>
            </w:r>
            <w:r w:rsidRPr="005D6998">
              <w:rPr>
                <w:rFonts w:ascii="Times New Roman" w:hAnsi="Times New Roman"/>
                <w:vertAlign w:val="superscript"/>
              </w:rPr>
              <w:t>1</w:t>
            </w:r>
            <w:r w:rsidRPr="005D6998">
              <w:rPr>
                <w:rFonts w:ascii="Times New Roman" w:hAnsi="Times New Roman"/>
              </w:rPr>
              <w:t xml:space="preserve"> alin. (1), stabilește în teza introductivă “</w:t>
            </w:r>
            <w:r w:rsidRPr="005D6998">
              <w:rPr>
                <w:rFonts w:ascii="Times New Roman" w:hAnsi="Times New Roman"/>
                <w:b/>
                <w:bCs/>
              </w:rPr>
              <w:t>În scopul asigurării conformităţii cu cerinţele prudenţiale pe bază consolidată</w:t>
            </w:r>
            <w:r w:rsidRPr="005D6998">
              <w:rPr>
                <w:rFonts w:ascii="Times New Roman" w:hAnsi="Times New Roman"/>
              </w:rPr>
              <w:t xml:space="preserve"> [...].”. </w:t>
            </w:r>
          </w:p>
          <w:p w14:paraId="1DDD089C" w14:textId="706C6F4E" w:rsidR="00513EDC" w:rsidRPr="005D6998" w:rsidRDefault="00513EDC" w:rsidP="00513EDC">
            <w:pPr>
              <w:spacing w:after="0"/>
              <w:jc w:val="both"/>
              <w:rPr>
                <w:rFonts w:ascii="Times New Roman" w:hAnsi="Times New Roman"/>
              </w:rPr>
            </w:pPr>
            <w:r w:rsidRPr="005D6998">
              <w:rPr>
                <w:rFonts w:ascii="Times New Roman" w:hAnsi="Times New Roman"/>
              </w:rPr>
              <w:lastRenderedPageBreak/>
              <w:t>Totodată, aprobarea acestor tipuri de societăți este realizată prin prisma organizării și a monitorizățrii activității acesteia, tocmai pentru asigurarea existenței unei repsonsabilități concrete a acestor holdinguri pentru respectarea cerințelor la nivel consolidat.</w:t>
            </w:r>
          </w:p>
          <w:p w14:paraId="7D02D10B" w14:textId="0847F0B6" w:rsidR="00513EDC" w:rsidRPr="005D6998" w:rsidRDefault="00513EDC" w:rsidP="00513EDC">
            <w:pPr>
              <w:tabs>
                <w:tab w:val="left" w:pos="884"/>
                <w:tab w:val="left" w:pos="1196"/>
              </w:tabs>
              <w:spacing w:after="0" w:line="240" w:lineRule="auto"/>
              <w:jc w:val="both"/>
              <w:rPr>
                <w:rFonts w:ascii="Times New Roman" w:hAnsi="Times New Roman"/>
              </w:rPr>
            </w:pPr>
          </w:p>
        </w:tc>
      </w:tr>
      <w:tr w:rsidR="00513EDC" w:rsidRPr="005D6998" w14:paraId="3ED056A2" w14:textId="77777777" w:rsidTr="00651F58">
        <w:trPr>
          <w:gridAfter w:val="1"/>
          <w:wAfter w:w="10" w:type="dxa"/>
          <w:trHeight w:val="105"/>
        </w:trPr>
        <w:tc>
          <w:tcPr>
            <w:tcW w:w="899" w:type="dxa"/>
            <w:gridSpan w:val="3"/>
            <w:shd w:val="clear" w:color="auto" w:fill="FFFFFF"/>
          </w:tcPr>
          <w:p w14:paraId="29700243" w14:textId="77777777" w:rsidR="00513EDC" w:rsidRPr="005D6998" w:rsidRDefault="00513EDC" w:rsidP="00513EDC">
            <w:pPr>
              <w:tabs>
                <w:tab w:val="left" w:pos="360"/>
                <w:tab w:val="left" w:pos="884"/>
                <w:tab w:val="left" w:pos="1196"/>
              </w:tabs>
              <w:spacing w:after="0" w:line="240" w:lineRule="auto"/>
              <w:ind w:left="360"/>
              <w:rPr>
                <w:rFonts w:ascii="Times New Roman" w:hAnsi="Times New Roman"/>
                <w:b/>
              </w:rPr>
            </w:pPr>
          </w:p>
        </w:tc>
        <w:tc>
          <w:tcPr>
            <w:tcW w:w="3637" w:type="dxa"/>
            <w:shd w:val="clear" w:color="auto" w:fill="FFFFFF"/>
          </w:tcPr>
          <w:p w14:paraId="4913955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shd w:val="clear" w:color="auto" w:fill="FFFFFF"/>
          </w:tcPr>
          <w:p w14:paraId="6F46A90D" w14:textId="1F8182CA"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MDED</w:t>
            </w:r>
          </w:p>
          <w:p w14:paraId="04D0517C"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46D2BBF7" w14:textId="030ABDC4"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 xml:space="preserve">Aviz nr. </w:t>
            </w:r>
          </w:p>
          <w:p w14:paraId="0F54EBA6" w14:textId="282DD754"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Cs/>
              </w:rPr>
              <w:t>17-2081 din 18.06.2026</w:t>
            </w:r>
          </w:p>
        </w:tc>
        <w:tc>
          <w:tcPr>
            <w:tcW w:w="426" w:type="dxa"/>
            <w:shd w:val="clear" w:color="auto" w:fill="FFFFFF"/>
          </w:tcPr>
          <w:p w14:paraId="47E0E5E5" w14:textId="77777777" w:rsidR="00513EDC" w:rsidRPr="005D6998" w:rsidRDefault="00513EDC" w:rsidP="00A94E86">
            <w:pPr>
              <w:pStyle w:val="a7"/>
              <w:numPr>
                <w:ilvl w:val="0"/>
                <w:numId w:val="25"/>
              </w:numPr>
              <w:tabs>
                <w:tab w:val="left" w:pos="884"/>
                <w:tab w:val="left" w:pos="1196"/>
              </w:tabs>
              <w:spacing w:after="0" w:line="240" w:lineRule="auto"/>
              <w:rPr>
                <w:rFonts w:ascii="Times New Roman" w:hAnsi="Times New Roman"/>
                <w:bCs/>
              </w:rPr>
            </w:pPr>
          </w:p>
        </w:tc>
        <w:tc>
          <w:tcPr>
            <w:tcW w:w="4255" w:type="dxa"/>
            <w:gridSpan w:val="4"/>
            <w:shd w:val="clear" w:color="auto" w:fill="FFFFFF"/>
          </w:tcPr>
          <w:p w14:paraId="19E04A93" w14:textId="51DDB29E" w:rsidR="00513EDC" w:rsidRPr="005D6998" w:rsidRDefault="00513EDC" w:rsidP="00513EDC">
            <w:pPr>
              <w:spacing w:after="0" w:line="240" w:lineRule="auto"/>
              <w:jc w:val="both"/>
              <w:rPr>
                <w:rFonts w:ascii="Times New Roman" w:hAnsi="Times New Roman"/>
              </w:rPr>
            </w:pPr>
            <w:r w:rsidRPr="005D6998">
              <w:rPr>
                <w:rFonts w:ascii="Times New Roman" w:hAnsi="Times New Roman"/>
              </w:rPr>
              <w:t>Lipsă de obiecții</w:t>
            </w:r>
          </w:p>
        </w:tc>
        <w:tc>
          <w:tcPr>
            <w:tcW w:w="4958" w:type="dxa"/>
            <w:gridSpan w:val="2"/>
            <w:shd w:val="clear" w:color="auto" w:fill="FFFFFF"/>
          </w:tcPr>
          <w:p w14:paraId="4C99AEB6"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0EAB01B0" w14:textId="77777777" w:rsidTr="00651F58">
        <w:trPr>
          <w:gridAfter w:val="1"/>
          <w:wAfter w:w="10" w:type="dxa"/>
          <w:trHeight w:val="105"/>
        </w:trPr>
        <w:tc>
          <w:tcPr>
            <w:tcW w:w="899" w:type="dxa"/>
            <w:gridSpan w:val="3"/>
            <w:shd w:val="clear" w:color="auto" w:fill="FFFFFF"/>
          </w:tcPr>
          <w:p w14:paraId="7BCDD876" w14:textId="77777777" w:rsidR="00513EDC" w:rsidRPr="005D6998" w:rsidRDefault="00513EDC" w:rsidP="00513EDC">
            <w:pPr>
              <w:tabs>
                <w:tab w:val="left" w:pos="360"/>
                <w:tab w:val="left" w:pos="884"/>
                <w:tab w:val="left" w:pos="1196"/>
              </w:tabs>
              <w:spacing w:after="0" w:line="240" w:lineRule="auto"/>
              <w:ind w:left="360"/>
              <w:rPr>
                <w:rFonts w:ascii="Times New Roman" w:hAnsi="Times New Roman"/>
                <w:b/>
              </w:rPr>
            </w:pPr>
          </w:p>
        </w:tc>
        <w:tc>
          <w:tcPr>
            <w:tcW w:w="3637" w:type="dxa"/>
            <w:shd w:val="clear" w:color="auto" w:fill="FFFFFF"/>
          </w:tcPr>
          <w:p w14:paraId="22F622CD"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shd w:val="clear" w:color="auto" w:fill="FFFFFF"/>
          </w:tcPr>
          <w:p w14:paraId="3BDEA266"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 xml:space="preserve">Serviciul de Informații și Securitate al Republicii Moldova </w:t>
            </w:r>
          </w:p>
          <w:p w14:paraId="76EF7DAA"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62EA8C2"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Aviz nr. IE/6169 din 19.06.2026</w:t>
            </w:r>
          </w:p>
          <w:p w14:paraId="57A1D6BB" w14:textId="5FEA2F8A"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shd w:val="clear" w:color="auto" w:fill="FFFFFF"/>
          </w:tcPr>
          <w:p w14:paraId="76B7AFFA" w14:textId="77777777" w:rsidR="00513EDC" w:rsidRPr="005D6998" w:rsidRDefault="00513EDC" w:rsidP="00A94E86">
            <w:pPr>
              <w:pStyle w:val="a7"/>
              <w:numPr>
                <w:ilvl w:val="0"/>
                <w:numId w:val="25"/>
              </w:numPr>
              <w:tabs>
                <w:tab w:val="left" w:pos="884"/>
                <w:tab w:val="left" w:pos="1196"/>
              </w:tabs>
              <w:spacing w:after="0" w:line="240" w:lineRule="auto"/>
              <w:rPr>
                <w:rFonts w:ascii="Times New Roman" w:hAnsi="Times New Roman"/>
                <w:bCs/>
              </w:rPr>
            </w:pPr>
          </w:p>
        </w:tc>
        <w:tc>
          <w:tcPr>
            <w:tcW w:w="4255" w:type="dxa"/>
            <w:gridSpan w:val="4"/>
            <w:shd w:val="clear" w:color="auto" w:fill="FFFFFF"/>
          </w:tcPr>
          <w:p w14:paraId="7FE7072C" w14:textId="38D3999D" w:rsidR="00513EDC" w:rsidRPr="005D6998" w:rsidRDefault="00513EDC" w:rsidP="00513EDC">
            <w:pPr>
              <w:spacing w:after="0" w:line="240" w:lineRule="auto"/>
              <w:jc w:val="both"/>
              <w:rPr>
                <w:rFonts w:ascii="Times New Roman" w:hAnsi="Times New Roman"/>
              </w:rPr>
            </w:pPr>
            <w:r w:rsidRPr="005D6998">
              <w:rPr>
                <w:rFonts w:ascii="Times New Roman" w:hAnsi="Times New Roman"/>
              </w:rPr>
              <w:t>Lipsă de obiecții</w:t>
            </w:r>
          </w:p>
        </w:tc>
        <w:tc>
          <w:tcPr>
            <w:tcW w:w="4958" w:type="dxa"/>
            <w:gridSpan w:val="2"/>
            <w:shd w:val="clear" w:color="auto" w:fill="FFFFFF"/>
          </w:tcPr>
          <w:p w14:paraId="5D0B1ED7"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513EDC" w:rsidRPr="005D6998" w14:paraId="455E5F63" w14:textId="77777777" w:rsidTr="00651F58">
        <w:trPr>
          <w:gridAfter w:val="1"/>
          <w:wAfter w:w="10" w:type="dxa"/>
          <w:trHeight w:val="105"/>
        </w:trPr>
        <w:tc>
          <w:tcPr>
            <w:tcW w:w="899" w:type="dxa"/>
            <w:gridSpan w:val="3"/>
            <w:shd w:val="clear" w:color="auto" w:fill="FFFFFF"/>
          </w:tcPr>
          <w:p w14:paraId="575A2965" w14:textId="77777777" w:rsidR="00513EDC" w:rsidRPr="005D6998" w:rsidRDefault="00513EDC" w:rsidP="00513EDC">
            <w:pPr>
              <w:tabs>
                <w:tab w:val="left" w:pos="360"/>
                <w:tab w:val="left" w:pos="884"/>
                <w:tab w:val="left" w:pos="1196"/>
              </w:tabs>
              <w:spacing w:after="0" w:line="240" w:lineRule="auto"/>
              <w:ind w:left="360"/>
              <w:rPr>
                <w:rFonts w:ascii="Times New Roman" w:hAnsi="Times New Roman"/>
                <w:b/>
              </w:rPr>
            </w:pPr>
          </w:p>
        </w:tc>
        <w:tc>
          <w:tcPr>
            <w:tcW w:w="3637" w:type="dxa"/>
          </w:tcPr>
          <w:p w14:paraId="38F2F05E"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tcPr>
          <w:p w14:paraId="4481A167"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Național pentru Protecția Datelor cu Caracter Personal</w:t>
            </w:r>
          </w:p>
          <w:p w14:paraId="6C44D432"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3F425A5B"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Avizul nr. 04-01/2191 din 19.06.2026</w:t>
            </w:r>
          </w:p>
          <w:p w14:paraId="5AFC1678" w14:textId="64A23E71"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tcPr>
          <w:p w14:paraId="13F6EF02" w14:textId="77777777" w:rsidR="00513EDC" w:rsidRPr="005D6998" w:rsidRDefault="00513EDC" w:rsidP="00A94E86">
            <w:pPr>
              <w:pStyle w:val="a7"/>
              <w:numPr>
                <w:ilvl w:val="0"/>
                <w:numId w:val="25"/>
              </w:numPr>
              <w:tabs>
                <w:tab w:val="left" w:pos="884"/>
                <w:tab w:val="left" w:pos="1196"/>
              </w:tabs>
              <w:spacing w:after="0" w:line="240" w:lineRule="auto"/>
              <w:rPr>
                <w:rFonts w:ascii="Times New Roman" w:hAnsi="Times New Roman"/>
                <w:bCs/>
              </w:rPr>
            </w:pPr>
          </w:p>
        </w:tc>
        <w:tc>
          <w:tcPr>
            <w:tcW w:w="4255" w:type="dxa"/>
            <w:gridSpan w:val="4"/>
          </w:tcPr>
          <w:p w14:paraId="033BEB68" w14:textId="0DB2FEA6" w:rsidR="00513EDC" w:rsidRPr="005D6998" w:rsidRDefault="00513EDC" w:rsidP="00513EDC">
            <w:pPr>
              <w:spacing w:after="0" w:line="240" w:lineRule="auto"/>
              <w:jc w:val="both"/>
              <w:rPr>
                <w:rFonts w:ascii="Times New Roman" w:hAnsi="Times New Roman"/>
              </w:rPr>
            </w:pPr>
            <w:r w:rsidRPr="005D6998">
              <w:rPr>
                <w:rFonts w:ascii="Times New Roman" w:hAnsi="Times New Roman"/>
              </w:rPr>
              <w:t>Lipsă de obiecții</w:t>
            </w:r>
          </w:p>
        </w:tc>
        <w:tc>
          <w:tcPr>
            <w:tcW w:w="4958" w:type="dxa"/>
            <w:gridSpan w:val="2"/>
          </w:tcPr>
          <w:p w14:paraId="2CC2B9CB" w14:textId="77777777" w:rsidR="00513EDC" w:rsidRPr="005D6998" w:rsidRDefault="00513EDC" w:rsidP="00513EDC">
            <w:pPr>
              <w:tabs>
                <w:tab w:val="left" w:pos="884"/>
                <w:tab w:val="left" w:pos="1196"/>
              </w:tabs>
              <w:spacing w:after="0" w:line="240" w:lineRule="auto"/>
              <w:jc w:val="both"/>
              <w:rPr>
                <w:rFonts w:ascii="Times New Roman" w:hAnsi="Times New Roman"/>
                <w:b/>
                <w:bCs/>
              </w:rPr>
            </w:pPr>
          </w:p>
        </w:tc>
      </w:tr>
      <w:tr w:rsidR="00A94E86" w:rsidRPr="005D6998" w14:paraId="6B1DB9E8" w14:textId="77777777" w:rsidTr="00651F58">
        <w:trPr>
          <w:gridAfter w:val="1"/>
          <w:wAfter w:w="10" w:type="dxa"/>
          <w:trHeight w:val="105"/>
        </w:trPr>
        <w:tc>
          <w:tcPr>
            <w:tcW w:w="15734" w:type="dxa"/>
            <w:gridSpan w:val="14"/>
            <w:shd w:val="clear" w:color="auto" w:fill="FFFFFF"/>
          </w:tcPr>
          <w:p w14:paraId="50446684" w14:textId="7D730697" w:rsidR="00A94E86" w:rsidRPr="005D6998" w:rsidRDefault="00A94E86" w:rsidP="00A94E86">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lastRenderedPageBreak/>
              <w:t>Observații la Nota de fundamentare</w:t>
            </w:r>
          </w:p>
        </w:tc>
      </w:tr>
      <w:tr w:rsidR="00513EDC" w:rsidRPr="005D6998" w14:paraId="5807CB73" w14:textId="77777777" w:rsidTr="00651F58">
        <w:trPr>
          <w:gridAfter w:val="1"/>
          <w:wAfter w:w="10" w:type="dxa"/>
          <w:trHeight w:val="105"/>
        </w:trPr>
        <w:tc>
          <w:tcPr>
            <w:tcW w:w="899" w:type="dxa"/>
            <w:gridSpan w:val="3"/>
            <w:shd w:val="clear" w:color="auto" w:fill="FFFFFF"/>
          </w:tcPr>
          <w:p w14:paraId="6A64D2BD" w14:textId="77777777" w:rsidR="00513EDC" w:rsidRPr="005D6998" w:rsidRDefault="00513EDC" w:rsidP="00513EDC">
            <w:pPr>
              <w:tabs>
                <w:tab w:val="left" w:pos="360"/>
                <w:tab w:val="left" w:pos="884"/>
                <w:tab w:val="left" w:pos="1196"/>
              </w:tabs>
              <w:spacing w:after="0" w:line="240" w:lineRule="auto"/>
              <w:ind w:left="360"/>
              <w:rPr>
                <w:rFonts w:ascii="Times New Roman" w:hAnsi="Times New Roman"/>
                <w:b/>
              </w:rPr>
            </w:pPr>
          </w:p>
        </w:tc>
        <w:tc>
          <w:tcPr>
            <w:tcW w:w="3637" w:type="dxa"/>
          </w:tcPr>
          <w:p w14:paraId="38F591C6"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1559" w:type="dxa"/>
            <w:gridSpan w:val="3"/>
          </w:tcPr>
          <w:p w14:paraId="237F5AE3"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Național pentru Protecția Datelor cu Caracter Personal</w:t>
            </w:r>
          </w:p>
          <w:p w14:paraId="67CE8450" w14:textId="77777777" w:rsidR="00513EDC" w:rsidRPr="005D6998" w:rsidRDefault="00513EDC" w:rsidP="00513EDC">
            <w:pPr>
              <w:tabs>
                <w:tab w:val="left" w:pos="884"/>
                <w:tab w:val="left" w:pos="1196"/>
              </w:tabs>
              <w:spacing w:after="0" w:line="240" w:lineRule="auto"/>
              <w:jc w:val="center"/>
              <w:rPr>
                <w:rFonts w:ascii="Times New Roman" w:hAnsi="Times New Roman"/>
                <w:b/>
              </w:rPr>
            </w:pPr>
          </w:p>
          <w:p w14:paraId="78B6E6B2"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Avizul nr. 04-01/2191 din 19.06.2026</w:t>
            </w:r>
          </w:p>
          <w:p w14:paraId="3FE62F19" w14:textId="77777777" w:rsidR="00513EDC" w:rsidRPr="005D6998" w:rsidRDefault="00513EDC" w:rsidP="00513EDC">
            <w:pPr>
              <w:tabs>
                <w:tab w:val="left" w:pos="884"/>
                <w:tab w:val="left" w:pos="1196"/>
              </w:tabs>
              <w:spacing w:after="0" w:line="240" w:lineRule="auto"/>
              <w:jc w:val="center"/>
              <w:rPr>
                <w:rFonts w:ascii="Times New Roman" w:hAnsi="Times New Roman"/>
                <w:b/>
              </w:rPr>
            </w:pPr>
          </w:p>
        </w:tc>
        <w:tc>
          <w:tcPr>
            <w:tcW w:w="426" w:type="dxa"/>
          </w:tcPr>
          <w:p w14:paraId="7CA9A792" w14:textId="77777777" w:rsidR="00513EDC" w:rsidRPr="005D6998" w:rsidRDefault="00513EDC" w:rsidP="00513EDC">
            <w:pPr>
              <w:pStyle w:val="a7"/>
              <w:numPr>
                <w:ilvl w:val="0"/>
                <w:numId w:val="13"/>
              </w:numPr>
              <w:tabs>
                <w:tab w:val="left" w:pos="884"/>
                <w:tab w:val="left" w:pos="1196"/>
              </w:tabs>
              <w:spacing w:after="0" w:line="240" w:lineRule="auto"/>
              <w:rPr>
                <w:rFonts w:ascii="Times New Roman" w:hAnsi="Times New Roman"/>
                <w:bCs/>
              </w:rPr>
            </w:pPr>
          </w:p>
        </w:tc>
        <w:tc>
          <w:tcPr>
            <w:tcW w:w="4255" w:type="dxa"/>
            <w:gridSpan w:val="4"/>
          </w:tcPr>
          <w:p w14:paraId="138E95E9" w14:textId="4422E691" w:rsidR="00513EDC" w:rsidRPr="005D6998" w:rsidRDefault="00513EDC" w:rsidP="00513EDC">
            <w:pPr>
              <w:spacing w:after="0" w:line="240" w:lineRule="auto"/>
              <w:jc w:val="both"/>
              <w:rPr>
                <w:rFonts w:ascii="Times New Roman" w:hAnsi="Times New Roman"/>
              </w:rPr>
            </w:pPr>
            <w:r w:rsidRPr="005D6998">
              <w:rPr>
                <w:rFonts w:ascii="Times New Roman" w:hAnsi="Times New Roman"/>
              </w:rPr>
              <w:t>Totodată, remarcăm necesitatea ajustării Notei de fundamentare la proiect, prin includerea unei analize a impactului asupra protecției datelor cu caracter personal, elaborată în conformitate cu cerințele Legii nr. 100/2017 cu privire la actele normative. Astfel, simpla mențiune că prelucrarea datelor cu caracter personal se va realiza în conformitate cu legislația în domeniul protecției datelor cu caracter personal nu substituie evaluarea impactului reglementării asupra dreptului la protecția datelor. În contextul în care proiectul instituie/modifică mecanisme de colectare, utilizare, schimb, inclusiv transfrontalier de date ori acces la date cu caracter personal, Nota de fundamentare urmează să conțină o analiză argumentată a necesității și proporționalității acestor prelucrări, precum și a efectelor pe care reglementările propuse le pot avea asupra persoanelor vizate.</w:t>
            </w:r>
          </w:p>
        </w:tc>
        <w:tc>
          <w:tcPr>
            <w:tcW w:w="4958" w:type="dxa"/>
            <w:gridSpan w:val="2"/>
          </w:tcPr>
          <w:p w14:paraId="77AF37A4"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 xml:space="preserve">Se acceptă. </w:t>
            </w:r>
          </w:p>
          <w:p w14:paraId="6019C783" w14:textId="3C5D040C" w:rsidR="00513EDC" w:rsidRPr="005D6998" w:rsidRDefault="00513EDC" w:rsidP="00513EDC">
            <w:pPr>
              <w:tabs>
                <w:tab w:val="left" w:pos="884"/>
                <w:tab w:val="left" w:pos="1196"/>
              </w:tabs>
              <w:spacing w:after="0" w:line="240" w:lineRule="auto"/>
              <w:jc w:val="both"/>
              <w:rPr>
                <w:rFonts w:ascii="Times New Roman" w:hAnsi="Times New Roman"/>
                <w:bCs/>
              </w:rPr>
            </w:pPr>
            <w:r w:rsidRPr="005D6998">
              <w:rPr>
                <w:rFonts w:ascii="Times New Roman" w:hAnsi="Times New Roman"/>
                <w:bCs/>
              </w:rPr>
              <w:t>Nota de fundamentare a fost ajustată conform solicitării.</w:t>
            </w:r>
          </w:p>
        </w:tc>
      </w:tr>
      <w:tr w:rsidR="00513EDC" w:rsidRPr="005D6998" w14:paraId="26870FED" w14:textId="77777777" w:rsidTr="00651F58">
        <w:trPr>
          <w:gridAfter w:val="1"/>
          <w:wAfter w:w="10" w:type="dxa"/>
          <w:trHeight w:val="105"/>
        </w:trPr>
        <w:tc>
          <w:tcPr>
            <w:tcW w:w="15734" w:type="dxa"/>
            <w:gridSpan w:val="14"/>
            <w:shd w:val="clear" w:color="auto" w:fill="FFFFFF"/>
          </w:tcPr>
          <w:p w14:paraId="18CDB435" w14:textId="77777777" w:rsidR="00513EDC" w:rsidRPr="005D6998" w:rsidRDefault="00513EDC" w:rsidP="00513EDC">
            <w:pPr>
              <w:spacing w:after="0" w:line="240" w:lineRule="auto"/>
              <w:jc w:val="center"/>
              <w:rPr>
                <w:rFonts w:ascii="Times New Roman" w:hAnsi="Times New Roman"/>
                <w:b/>
                <w:bCs/>
              </w:rPr>
            </w:pPr>
            <w:r w:rsidRPr="005D6998">
              <w:rPr>
                <w:rFonts w:ascii="Times New Roman" w:hAnsi="Times New Roman"/>
                <w:b/>
                <w:bCs/>
              </w:rPr>
              <w:t>Observații la tabelul comparativ</w:t>
            </w:r>
          </w:p>
        </w:tc>
      </w:tr>
      <w:tr w:rsidR="00513EDC" w:rsidRPr="005D6998" w14:paraId="6698C120" w14:textId="77777777" w:rsidTr="00651F58">
        <w:trPr>
          <w:gridAfter w:val="1"/>
          <w:wAfter w:w="10" w:type="dxa"/>
          <w:trHeight w:val="105"/>
        </w:trPr>
        <w:tc>
          <w:tcPr>
            <w:tcW w:w="848" w:type="dxa"/>
            <w:gridSpan w:val="2"/>
            <w:shd w:val="clear" w:color="auto" w:fill="FFFFFF"/>
          </w:tcPr>
          <w:p w14:paraId="267AB331" w14:textId="77777777" w:rsidR="00513EDC" w:rsidRPr="005D6998" w:rsidRDefault="00513EDC" w:rsidP="00513EDC">
            <w:pPr>
              <w:tabs>
                <w:tab w:val="left" w:pos="884"/>
                <w:tab w:val="left" w:pos="1196"/>
              </w:tabs>
              <w:spacing w:after="0" w:line="240" w:lineRule="auto"/>
              <w:jc w:val="both"/>
              <w:rPr>
                <w:rFonts w:ascii="Times New Roman" w:hAnsi="Times New Roman"/>
                <w:b/>
              </w:rPr>
            </w:pPr>
          </w:p>
        </w:tc>
        <w:tc>
          <w:tcPr>
            <w:tcW w:w="3705" w:type="dxa"/>
            <w:gridSpan w:val="3"/>
            <w:shd w:val="clear" w:color="auto" w:fill="FFFFFF"/>
          </w:tcPr>
          <w:p w14:paraId="4C392C34" w14:textId="77777777" w:rsidR="00513EDC" w:rsidRPr="005D6998" w:rsidRDefault="00513EDC" w:rsidP="00513EDC">
            <w:pPr>
              <w:tabs>
                <w:tab w:val="left" w:pos="884"/>
                <w:tab w:val="left" w:pos="1196"/>
              </w:tabs>
              <w:spacing w:after="0" w:line="240" w:lineRule="auto"/>
              <w:rPr>
                <w:rFonts w:ascii="Times New Roman" w:hAnsi="Times New Roman"/>
                <w:b/>
              </w:rPr>
            </w:pPr>
            <w:r w:rsidRPr="005D6998">
              <w:rPr>
                <w:rFonts w:ascii="Times New Roman" w:hAnsi="Times New Roman"/>
                <w:b/>
              </w:rPr>
              <w:t>Art. II</w:t>
            </w:r>
          </w:p>
        </w:tc>
        <w:tc>
          <w:tcPr>
            <w:tcW w:w="1401" w:type="dxa"/>
            <w:shd w:val="clear" w:color="auto" w:fill="FFFFFF"/>
          </w:tcPr>
          <w:p w14:paraId="486192B8" w14:textId="77777777" w:rsidR="00513EDC" w:rsidRPr="005D6998" w:rsidRDefault="00513EDC" w:rsidP="00513EDC">
            <w:pPr>
              <w:tabs>
                <w:tab w:val="left" w:pos="884"/>
                <w:tab w:val="left" w:pos="1196"/>
              </w:tabs>
              <w:spacing w:after="0" w:line="240" w:lineRule="auto"/>
              <w:jc w:val="center"/>
              <w:rPr>
                <w:rFonts w:ascii="Times New Roman" w:hAnsi="Times New Roman"/>
                <w:b/>
              </w:rPr>
            </w:pPr>
            <w:r w:rsidRPr="005D6998">
              <w:rPr>
                <w:rFonts w:ascii="Times New Roman" w:hAnsi="Times New Roman"/>
                <w:b/>
              </w:rPr>
              <w:t>CNPF</w:t>
            </w:r>
          </w:p>
          <w:p w14:paraId="62466FCA" w14:textId="77777777" w:rsidR="00513EDC" w:rsidRPr="005D6998" w:rsidRDefault="00513EDC"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03-4/2736 din 01.07.2026 din 15.06.2026</w:t>
            </w:r>
          </w:p>
        </w:tc>
        <w:tc>
          <w:tcPr>
            <w:tcW w:w="567" w:type="dxa"/>
            <w:gridSpan w:val="2"/>
            <w:shd w:val="clear" w:color="auto" w:fill="FFFFFF"/>
          </w:tcPr>
          <w:p w14:paraId="433B7525" w14:textId="65E3AA31" w:rsidR="00513EDC" w:rsidRPr="005D6998" w:rsidRDefault="00651F58" w:rsidP="00513EDC">
            <w:pPr>
              <w:tabs>
                <w:tab w:val="left" w:pos="884"/>
                <w:tab w:val="left" w:pos="1196"/>
              </w:tabs>
              <w:spacing w:after="0" w:line="240" w:lineRule="auto"/>
              <w:jc w:val="center"/>
              <w:rPr>
                <w:rFonts w:ascii="Times New Roman" w:hAnsi="Times New Roman"/>
                <w:bCs/>
              </w:rPr>
            </w:pPr>
            <w:r w:rsidRPr="005D6998">
              <w:rPr>
                <w:rFonts w:ascii="Times New Roman" w:hAnsi="Times New Roman"/>
                <w:bCs/>
              </w:rPr>
              <w:t>1</w:t>
            </w:r>
          </w:p>
        </w:tc>
        <w:tc>
          <w:tcPr>
            <w:tcW w:w="4060" w:type="dxa"/>
            <w:shd w:val="clear" w:color="auto" w:fill="FFFFFF"/>
          </w:tcPr>
          <w:p w14:paraId="5B09E155" w14:textId="77777777" w:rsidR="00513EDC" w:rsidRPr="005D6998" w:rsidRDefault="00513EDC" w:rsidP="00513EDC">
            <w:pPr>
              <w:spacing w:after="0" w:line="240" w:lineRule="auto"/>
              <w:jc w:val="both"/>
              <w:rPr>
                <w:rFonts w:ascii="Times New Roman" w:hAnsi="Times New Roman"/>
              </w:rPr>
            </w:pPr>
            <w:r w:rsidRPr="005D6998">
              <w:rPr>
                <w:rFonts w:ascii="Times New Roman" w:hAnsi="Times New Roman"/>
              </w:rPr>
              <w:t>Se propune revizuirea informațiilor prezentate, prin expunerea corectă a conținutului art. 4 alin. (2</w:t>
            </w:r>
            <w:r w:rsidRPr="005D6998">
              <w:rPr>
                <w:rFonts w:ascii="Times New Roman" w:hAnsi="Times New Roman"/>
                <w:vertAlign w:val="superscript"/>
              </w:rPr>
              <w:t>1</w:t>
            </w:r>
            <w:r w:rsidRPr="005D6998">
              <w:rPr>
                <w:rFonts w:ascii="Times New Roman" w:hAnsi="Times New Roman"/>
              </w:rPr>
              <w:t>) din Legea nr. 192/1998 în coloana „Conținutul normei în vigoare” și indicarea corectă a numărului/anului actului normativ în coloana „Modificarea propusă”. Totodată, urmează a fi ajustat corespunzător conținutul coloanelor „Modificarea propusă” și „Conținutul normei după modificare”.</w:t>
            </w:r>
          </w:p>
        </w:tc>
        <w:tc>
          <w:tcPr>
            <w:tcW w:w="5153" w:type="dxa"/>
            <w:gridSpan w:val="5"/>
            <w:shd w:val="clear" w:color="auto" w:fill="FFFFFF"/>
          </w:tcPr>
          <w:p w14:paraId="2516725E" w14:textId="77777777" w:rsidR="00513EDC" w:rsidRPr="005D6998" w:rsidRDefault="00513EDC" w:rsidP="00513EDC">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692E369E"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Conținutul art. 4 din Legea nr. 202/2017 în vigoare a fost expus integral în coloana  „Conținutul normei în vigoare”. </w:t>
            </w:r>
          </w:p>
          <w:p w14:paraId="2CF24DA0" w14:textId="77777777" w:rsidR="00513EDC" w:rsidRPr="005D6998" w:rsidRDefault="00513EDC" w:rsidP="00513EDC">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Numărul Legii nr. 192/1998 cu privire la Comisia Națională a Pieței Financiare a fost redactat corespunzător (eliminarea textului „XIV” din denumire) inclusiv la coloana „Conținutul normei după modificare”. </w:t>
            </w:r>
          </w:p>
        </w:tc>
      </w:tr>
      <w:tr w:rsidR="008E7C06" w:rsidRPr="005D6998" w14:paraId="2C98F906" w14:textId="77777777" w:rsidTr="00651F58">
        <w:trPr>
          <w:gridAfter w:val="2"/>
          <w:wAfter w:w="153" w:type="dxa"/>
        </w:trPr>
        <w:tc>
          <w:tcPr>
            <w:tcW w:w="15591" w:type="dxa"/>
            <w:gridSpan w:val="13"/>
            <w:tcBorders>
              <w:top w:val="single" w:sz="4" w:space="0" w:color="auto"/>
            </w:tcBorders>
            <w:shd w:val="clear" w:color="auto" w:fill="FAE2D5" w:themeFill="accent2" w:themeFillTint="33"/>
          </w:tcPr>
          <w:p w14:paraId="2528E2FE" w14:textId="77777777" w:rsidR="008E7C06" w:rsidRPr="005D6998" w:rsidRDefault="008E7C06" w:rsidP="00A46332">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Avizare şi consultare publică repetată</w:t>
            </w:r>
          </w:p>
        </w:tc>
      </w:tr>
      <w:tr w:rsidR="008E7C06" w:rsidRPr="005D6998" w14:paraId="68D60CF8" w14:textId="77777777" w:rsidTr="00651F58">
        <w:trPr>
          <w:gridAfter w:val="2"/>
          <w:wAfter w:w="153" w:type="dxa"/>
          <w:trHeight w:val="105"/>
        </w:trPr>
        <w:tc>
          <w:tcPr>
            <w:tcW w:w="848" w:type="dxa"/>
            <w:gridSpan w:val="2"/>
            <w:shd w:val="clear" w:color="auto" w:fill="FFFFFF"/>
          </w:tcPr>
          <w:p w14:paraId="0396315A" w14:textId="77777777" w:rsidR="008E7C06" w:rsidRPr="005D6998" w:rsidRDefault="008E7C06" w:rsidP="008E7C06">
            <w:pPr>
              <w:pStyle w:val="a7"/>
              <w:numPr>
                <w:ilvl w:val="0"/>
                <w:numId w:val="48"/>
              </w:numPr>
              <w:tabs>
                <w:tab w:val="left" w:pos="884"/>
                <w:tab w:val="left" w:pos="1196"/>
              </w:tabs>
              <w:spacing w:after="0" w:line="240" w:lineRule="auto"/>
              <w:jc w:val="both"/>
              <w:rPr>
                <w:rFonts w:ascii="Times New Roman" w:hAnsi="Times New Roman"/>
                <w:b/>
              </w:rPr>
            </w:pPr>
            <w:r w:rsidRPr="005D6998">
              <w:rPr>
                <w:rFonts w:ascii="Times New Roman" w:hAnsi="Times New Roman"/>
                <w:b/>
              </w:rPr>
              <w:t>1.</w:t>
            </w:r>
          </w:p>
        </w:tc>
        <w:tc>
          <w:tcPr>
            <w:tcW w:w="3688" w:type="dxa"/>
            <w:gridSpan w:val="2"/>
            <w:shd w:val="clear" w:color="auto" w:fill="FFFFFF"/>
          </w:tcPr>
          <w:p w14:paraId="33EFF8D4" w14:textId="77777777" w:rsidR="008E7C06" w:rsidRPr="005D6998" w:rsidRDefault="008E7C06" w:rsidP="00A46332">
            <w:pPr>
              <w:tabs>
                <w:tab w:val="left" w:pos="884"/>
                <w:tab w:val="left" w:pos="1196"/>
              </w:tabs>
              <w:spacing w:after="0" w:line="240" w:lineRule="auto"/>
              <w:jc w:val="both"/>
              <w:rPr>
                <w:rFonts w:ascii="Times New Roman" w:hAnsi="Times New Roman"/>
                <w:b/>
                <w:bCs/>
              </w:rPr>
            </w:pPr>
          </w:p>
        </w:tc>
        <w:tc>
          <w:tcPr>
            <w:tcW w:w="1418" w:type="dxa"/>
            <w:gridSpan w:val="2"/>
            <w:shd w:val="clear" w:color="auto" w:fill="FFFFFF"/>
          </w:tcPr>
          <w:p w14:paraId="18299A29" w14:textId="77777777" w:rsidR="008E7C06" w:rsidRPr="005D6998" w:rsidRDefault="008E7C06" w:rsidP="00A46332">
            <w:pPr>
              <w:tabs>
                <w:tab w:val="left" w:pos="884"/>
                <w:tab w:val="left" w:pos="1196"/>
              </w:tabs>
              <w:spacing w:after="0" w:line="240" w:lineRule="auto"/>
              <w:jc w:val="center"/>
              <w:rPr>
                <w:rFonts w:ascii="Times New Roman" w:hAnsi="Times New Roman"/>
                <w:b/>
              </w:rPr>
            </w:pPr>
            <w:r w:rsidRPr="005D6998">
              <w:rPr>
                <w:rFonts w:ascii="Times New Roman" w:hAnsi="Times New Roman"/>
                <w:b/>
              </w:rPr>
              <w:t>Consiliul Concurenței</w:t>
            </w:r>
          </w:p>
          <w:p w14:paraId="0F0BD2C4" w14:textId="77777777" w:rsidR="008E7C06" w:rsidRPr="005D6998" w:rsidRDefault="008E7C06" w:rsidP="00A46332">
            <w:pPr>
              <w:tabs>
                <w:tab w:val="left" w:pos="884"/>
                <w:tab w:val="left" w:pos="1196"/>
              </w:tabs>
              <w:spacing w:after="0" w:line="240" w:lineRule="auto"/>
              <w:jc w:val="center"/>
              <w:rPr>
                <w:rFonts w:ascii="Times New Roman" w:hAnsi="Times New Roman"/>
                <w:b/>
                <w:lang w:val="ro-MD"/>
              </w:rPr>
            </w:pPr>
          </w:p>
          <w:p w14:paraId="53A161B3" w14:textId="77777777" w:rsidR="008E7C06" w:rsidRPr="005D6998" w:rsidRDefault="008E7C06" w:rsidP="00A46332">
            <w:pPr>
              <w:tabs>
                <w:tab w:val="left" w:pos="884"/>
                <w:tab w:val="left" w:pos="1196"/>
              </w:tabs>
              <w:spacing w:after="0" w:line="240" w:lineRule="auto"/>
              <w:jc w:val="center"/>
              <w:rPr>
                <w:rFonts w:ascii="Times New Roman" w:hAnsi="Times New Roman"/>
                <w:b/>
              </w:rPr>
            </w:pPr>
            <w:r w:rsidRPr="005D6998">
              <w:rPr>
                <w:rFonts w:ascii="Times New Roman" w:hAnsi="Times New Roman"/>
                <w:bCs/>
                <w:lang w:val="ro-MD"/>
              </w:rPr>
              <w:lastRenderedPageBreak/>
              <w:t>Aviz repetat</w:t>
            </w:r>
            <w:r w:rsidRPr="005D6998">
              <w:rPr>
                <w:rFonts w:ascii="Times New Roman" w:hAnsi="Times New Roman"/>
                <w:b/>
                <w:lang w:val="ro-MD"/>
              </w:rPr>
              <w:t xml:space="preserve"> </w:t>
            </w:r>
            <w:r w:rsidRPr="005D6998">
              <w:rPr>
                <w:rFonts w:ascii="Times New Roman" w:hAnsi="Times New Roman"/>
                <w:bCs/>
                <w:lang w:val="ro-MD"/>
              </w:rPr>
              <w:t>nr. DJ-06/893-1700 din 11.08.2026</w:t>
            </w:r>
          </w:p>
        </w:tc>
        <w:tc>
          <w:tcPr>
            <w:tcW w:w="567" w:type="dxa"/>
            <w:gridSpan w:val="2"/>
            <w:shd w:val="clear" w:color="auto" w:fill="FFFFFF"/>
          </w:tcPr>
          <w:p w14:paraId="712DE837" w14:textId="23FD4DC7" w:rsidR="00651F58" w:rsidRPr="005D6998" w:rsidRDefault="008E7C06" w:rsidP="008E7C06">
            <w:pPr>
              <w:pStyle w:val="a7"/>
              <w:numPr>
                <w:ilvl w:val="0"/>
                <w:numId w:val="49"/>
              </w:numPr>
              <w:tabs>
                <w:tab w:val="left" w:pos="884"/>
                <w:tab w:val="left" w:pos="1196"/>
              </w:tabs>
              <w:spacing w:after="0" w:line="240" w:lineRule="auto"/>
              <w:jc w:val="right"/>
              <w:rPr>
                <w:rFonts w:ascii="Times New Roman" w:hAnsi="Times New Roman"/>
                <w:bCs/>
              </w:rPr>
            </w:pPr>
            <w:r w:rsidRPr="005D6998">
              <w:rPr>
                <w:rFonts w:ascii="Times New Roman" w:hAnsi="Times New Roman"/>
                <w:bCs/>
              </w:rPr>
              <w:lastRenderedPageBreak/>
              <w:t>1.1</w:t>
            </w:r>
          </w:p>
          <w:p w14:paraId="479D8A28" w14:textId="3D22CF3D" w:rsidR="008E7C06" w:rsidRPr="005D6998" w:rsidRDefault="00651F58" w:rsidP="00651F58">
            <w:r w:rsidRPr="005D6998">
              <w:lastRenderedPageBreak/>
              <w:t>1</w:t>
            </w:r>
          </w:p>
        </w:tc>
        <w:tc>
          <w:tcPr>
            <w:tcW w:w="4110" w:type="dxa"/>
            <w:gridSpan w:val="2"/>
            <w:shd w:val="clear" w:color="auto" w:fill="FFFFFF"/>
          </w:tcPr>
          <w:p w14:paraId="09327E2B"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lastRenderedPageBreak/>
              <w:t xml:space="preserve">Se reiterează opinia expusă în avizul nr. DJ-06/805-1475 din 22 iulie 2026, având în vedere că propunerile nu au fost luate în </w:t>
            </w:r>
            <w:r w:rsidRPr="005D6998">
              <w:rPr>
                <w:rFonts w:ascii="Times New Roman" w:hAnsi="Times New Roman"/>
                <w:lang w:val="ro-MD"/>
              </w:rPr>
              <w:lastRenderedPageBreak/>
              <w:t>considerare, iar motivele și argumentele invocate în sinteză nu pot fi reținute ca întemeiate.</w:t>
            </w:r>
          </w:p>
        </w:tc>
        <w:tc>
          <w:tcPr>
            <w:tcW w:w="4960" w:type="dxa"/>
            <w:gridSpan w:val="3"/>
            <w:shd w:val="clear" w:color="auto" w:fill="FFFFFF"/>
          </w:tcPr>
          <w:p w14:paraId="711EF895" w14:textId="77777777" w:rsidR="008E7C06" w:rsidRPr="005D6998" w:rsidRDefault="008E7C06" w:rsidP="00A46332">
            <w:pPr>
              <w:tabs>
                <w:tab w:val="left" w:pos="884"/>
                <w:tab w:val="left" w:pos="1196"/>
              </w:tabs>
              <w:spacing w:after="0" w:line="240" w:lineRule="auto"/>
              <w:jc w:val="both"/>
              <w:rPr>
                <w:rFonts w:ascii="Times New Roman" w:hAnsi="Times New Roman"/>
                <w:b/>
                <w:bCs/>
                <w:lang w:val="ro-MD"/>
              </w:rPr>
            </w:pPr>
            <w:r w:rsidRPr="005D6998">
              <w:rPr>
                <w:rFonts w:ascii="Times New Roman" w:hAnsi="Times New Roman"/>
                <w:b/>
                <w:bCs/>
                <w:lang w:val="ro-MD"/>
              </w:rPr>
              <w:lastRenderedPageBreak/>
              <w:t>Nu se acceptă.</w:t>
            </w:r>
          </w:p>
          <w:p w14:paraId="4C33587A" w14:textId="77777777" w:rsidR="008E7C06" w:rsidRPr="005D6998" w:rsidRDefault="008E7C06" w:rsidP="00A46332">
            <w:pPr>
              <w:tabs>
                <w:tab w:val="left" w:pos="884"/>
                <w:tab w:val="left" w:pos="1196"/>
              </w:tabs>
              <w:spacing w:after="0" w:line="240" w:lineRule="auto"/>
              <w:jc w:val="both"/>
              <w:rPr>
                <w:rFonts w:ascii="Times New Roman" w:hAnsi="Times New Roman"/>
                <w:b/>
              </w:rPr>
            </w:pPr>
            <w:r w:rsidRPr="005D6998">
              <w:rPr>
                <w:rFonts w:ascii="Times New Roman" w:hAnsi="Times New Roman"/>
              </w:rPr>
              <w:t xml:space="preserve">Se menționează că argumentele prezentate anterior pentru neacceptarea propunerilor Consiliului </w:t>
            </w:r>
            <w:r w:rsidRPr="005D6998">
              <w:rPr>
                <w:rFonts w:ascii="Times New Roman" w:hAnsi="Times New Roman"/>
              </w:rPr>
              <w:lastRenderedPageBreak/>
              <w:t>Concurenței (pct. 42, pct. 50 din prezenta Sinteză) se mențin, având în vedere că nu au fost prezentate argumente de fond. Simpla mențiune că acestea sunt „neîntemeiate”, fără indicarea motivelor concrete sau prezentarea unor elemente noi, nu justifică reconsiderarea poziției autorului proiectului de lege.</w:t>
            </w:r>
          </w:p>
        </w:tc>
      </w:tr>
      <w:tr w:rsidR="008E7C06" w:rsidRPr="005D6998" w14:paraId="4056792B" w14:textId="77777777" w:rsidTr="00651F58">
        <w:trPr>
          <w:gridAfter w:val="2"/>
          <w:wAfter w:w="153" w:type="dxa"/>
          <w:trHeight w:val="105"/>
        </w:trPr>
        <w:tc>
          <w:tcPr>
            <w:tcW w:w="848" w:type="dxa"/>
            <w:gridSpan w:val="2"/>
            <w:shd w:val="clear" w:color="auto" w:fill="FFFFFF"/>
          </w:tcPr>
          <w:p w14:paraId="76BC7F53" w14:textId="77777777" w:rsidR="008E7C06" w:rsidRPr="005D6998" w:rsidRDefault="008E7C06" w:rsidP="00A46332">
            <w:pPr>
              <w:pStyle w:val="a7"/>
              <w:tabs>
                <w:tab w:val="left" w:pos="884"/>
                <w:tab w:val="left" w:pos="1196"/>
              </w:tabs>
              <w:spacing w:after="0" w:line="240" w:lineRule="auto"/>
              <w:ind w:left="142"/>
              <w:jc w:val="both"/>
              <w:rPr>
                <w:rFonts w:ascii="Times New Roman" w:hAnsi="Times New Roman"/>
                <w:b/>
              </w:rPr>
            </w:pPr>
          </w:p>
        </w:tc>
        <w:tc>
          <w:tcPr>
            <w:tcW w:w="3688" w:type="dxa"/>
            <w:gridSpan w:val="2"/>
            <w:shd w:val="clear" w:color="auto" w:fill="FFFFFF"/>
          </w:tcPr>
          <w:p w14:paraId="386D8F4F" w14:textId="77777777" w:rsidR="008E7C06" w:rsidRPr="005D6998" w:rsidRDefault="008E7C06" w:rsidP="00A46332">
            <w:pPr>
              <w:tabs>
                <w:tab w:val="left" w:pos="884"/>
                <w:tab w:val="left" w:pos="1196"/>
              </w:tabs>
              <w:spacing w:after="0" w:line="240" w:lineRule="auto"/>
              <w:jc w:val="both"/>
              <w:rPr>
                <w:rFonts w:ascii="Times New Roman" w:hAnsi="Times New Roman"/>
                <w:b/>
                <w:bCs/>
              </w:rPr>
            </w:pPr>
          </w:p>
        </w:tc>
        <w:tc>
          <w:tcPr>
            <w:tcW w:w="1418" w:type="dxa"/>
            <w:gridSpan w:val="2"/>
            <w:vMerge w:val="restart"/>
            <w:shd w:val="clear" w:color="auto" w:fill="FFFFFF"/>
          </w:tcPr>
          <w:p w14:paraId="5E1FA2CA" w14:textId="77777777" w:rsidR="008E7C06" w:rsidRPr="005D6998" w:rsidRDefault="008E7C06" w:rsidP="00A46332">
            <w:pPr>
              <w:tabs>
                <w:tab w:val="left" w:pos="884"/>
                <w:tab w:val="left" w:pos="1196"/>
              </w:tabs>
              <w:spacing w:after="0" w:line="240" w:lineRule="auto"/>
              <w:jc w:val="center"/>
              <w:rPr>
                <w:rFonts w:ascii="Times New Roman" w:hAnsi="Times New Roman"/>
                <w:b/>
              </w:rPr>
            </w:pPr>
            <w:r w:rsidRPr="005D6998">
              <w:rPr>
                <w:rFonts w:ascii="Times New Roman" w:hAnsi="Times New Roman"/>
                <w:b/>
              </w:rPr>
              <w:t>ABM</w:t>
            </w:r>
          </w:p>
          <w:p w14:paraId="7EB4F818" w14:textId="77777777" w:rsidR="008E7C06" w:rsidRPr="005D6998" w:rsidRDefault="008E7C06" w:rsidP="00A46332">
            <w:pPr>
              <w:tabs>
                <w:tab w:val="left" w:pos="884"/>
                <w:tab w:val="left" w:pos="1196"/>
              </w:tabs>
              <w:spacing w:after="0" w:line="240" w:lineRule="auto"/>
              <w:jc w:val="center"/>
              <w:rPr>
                <w:rFonts w:ascii="Times New Roman" w:hAnsi="Times New Roman"/>
                <w:b/>
              </w:rPr>
            </w:pPr>
          </w:p>
          <w:p w14:paraId="7F9EB351" w14:textId="77777777" w:rsidR="008E7C06" w:rsidRPr="005D6998" w:rsidRDefault="008E7C06" w:rsidP="00A46332">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02-06/253 din 18.08.2026</w:t>
            </w:r>
          </w:p>
        </w:tc>
        <w:tc>
          <w:tcPr>
            <w:tcW w:w="567" w:type="dxa"/>
            <w:gridSpan w:val="2"/>
            <w:shd w:val="clear" w:color="auto" w:fill="FFFFFF"/>
          </w:tcPr>
          <w:p w14:paraId="06521B59" w14:textId="5C6A1CF3" w:rsidR="008E7C06" w:rsidRPr="005D6998" w:rsidRDefault="00651F58" w:rsidP="00A46332">
            <w:pPr>
              <w:pStyle w:val="a7"/>
              <w:tabs>
                <w:tab w:val="left" w:pos="884"/>
                <w:tab w:val="left" w:pos="1196"/>
              </w:tabs>
              <w:spacing w:after="0" w:line="240" w:lineRule="auto"/>
              <w:ind w:left="142"/>
              <w:jc w:val="both"/>
              <w:rPr>
                <w:rFonts w:ascii="Times New Roman" w:hAnsi="Times New Roman"/>
                <w:bCs/>
              </w:rPr>
            </w:pPr>
            <w:r w:rsidRPr="005D6998">
              <w:rPr>
                <w:rFonts w:ascii="Times New Roman" w:hAnsi="Times New Roman"/>
                <w:bCs/>
              </w:rPr>
              <w:t>2</w:t>
            </w:r>
          </w:p>
        </w:tc>
        <w:tc>
          <w:tcPr>
            <w:tcW w:w="4110" w:type="dxa"/>
            <w:gridSpan w:val="2"/>
            <w:shd w:val="clear" w:color="auto" w:fill="FFFFFF"/>
          </w:tcPr>
          <w:p w14:paraId="16EFCE9F"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Se consider</w:t>
            </w:r>
            <w:r w:rsidRPr="005D6998">
              <w:rPr>
                <w:rFonts w:ascii="Times New Roman" w:hAnsi="Times New Roman"/>
              </w:rPr>
              <w:t xml:space="preserve">ă </w:t>
            </w:r>
            <w:r w:rsidRPr="005D6998">
              <w:rPr>
                <w:rFonts w:ascii="Times New Roman" w:hAnsi="Times New Roman"/>
                <w:lang w:val="ro-MD"/>
              </w:rPr>
              <w:t>utilă elaborarea unor ghiduri metodologice sau clarificări suplimentare din partea autorității de supraveghere în ceea ce privește cerințele aferente integrării riscurilor ESG în cadrul de administrare, procesele interne de gestionare a riscurilor, ICAAP, raportarea și publicarea informațiilor relevante, similare abordării utilizate la nivelul Uniunii Europene prin intermediul ghidurilor și recomandărilor EBA.</w:t>
            </w:r>
          </w:p>
          <w:p w14:paraId="08D66077"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Se arată că o astfel de abordare ar contribui la: </w:t>
            </w:r>
          </w:p>
          <w:p w14:paraId="233F5946" w14:textId="77777777" w:rsidR="008E7C06" w:rsidRPr="005D6998" w:rsidRDefault="008E7C06" w:rsidP="008E7C06">
            <w:pPr>
              <w:pStyle w:val="a7"/>
              <w:numPr>
                <w:ilvl w:val="0"/>
                <w:numId w:val="30"/>
              </w:numPr>
              <w:tabs>
                <w:tab w:val="left" w:pos="319"/>
              </w:tabs>
              <w:spacing w:after="0" w:line="240" w:lineRule="auto"/>
              <w:ind w:left="0" w:firstLine="24"/>
              <w:jc w:val="both"/>
              <w:rPr>
                <w:rFonts w:ascii="Times New Roman" w:hAnsi="Times New Roman"/>
                <w:lang w:val="ro-MD"/>
              </w:rPr>
            </w:pPr>
            <w:r w:rsidRPr="005D6998">
              <w:rPr>
                <w:rFonts w:ascii="Times New Roman" w:hAnsi="Times New Roman"/>
                <w:lang w:val="ro-MD"/>
              </w:rPr>
              <w:t xml:space="preserve">aplicarea uniformă a cerințelor la nivelul sectorului; </w:t>
            </w:r>
          </w:p>
          <w:p w14:paraId="50509411" w14:textId="77777777" w:rsidR="008E7C06" w:rsidRPr="005D6998" w:rsidRDefault="008E7C06" w:rsidP="008E7C06">
            <w:pPr>
              <w:pStyle w:val="a7"/>
              <w:numPr>
                <w:ilvl w:val="0"/>
                <w:numId w:val="30"/>
              </w:numPr>
              <w:tabs>
                <w:tab w:val="left" w:pos="319"/>
              </w:tabs>
              <w:spacing w:after="0" w:line="240" w:lineRule="auto"/>
              <w:ind w:left="0" w:firstLine="24"/>
              <w:jc w:val="both"/>
              <w:rPr>
                <w:rFonts w:ascii="Times New Roman" w:hAnsi="Times New Roman"/>
                <w:lang w:val="ro-MD"/>
              </w:rPr>
            </w:pPr>
            <w:r w:rsidRPr="005D6998">
              <w:rPr>
                <w:rFonts w:ascii="Times New Roman" w:hAnsi="Times New Roman"/>
                <w:lang w:val="ro-MD"/>
              </w:rPr>
              <w:t xml:space="preserve">reducerea riscului de interpretări diferite; </w:t>
            </w:r>
          </w:p>
          <w:p w14:paraId="3E4D2E83" w14:textId="77777777" w:rsidR="008E7C06" w:rsidRPr="005D6998" w:rsidRDefault="008E7C06" w:rsidP="008E7C06">
            <w:pPr>
              <w:pStyle w:val="a7"/>
              <w:numPr>
                <w:ilvl w:val="0"/>
                <w:numId w:val="30"/>
              </w:numPr>
              <w:tabs>
                <w:tab w:val="left" w:pos="319"/>
              </w:tabs>
              <w:spacing w:after="0" w:line="240" w:lineRule="auto"/>
              <w:ind w:left="0" w:firstLine="24"/>
              <w:jc w:val="both"/>
              <w:rPr>
                <w:rFonts w:ascii="Times New Roman" w:hAnsi="Times New Roman"/>
                <w:lang w:val="ro-MD"/>
              </w:rPr>
            </w:pPr>
            <w:r w:rsidRPr="005D6998">
              <w:rPr>
                <w:rFonts w:ascii="Times New Roman" w:hAnsi="Times New Roman"/>
                <w:lang w:val="ro-MD"/>
              </w:rPr>
              <w:t xml:space="preserve">facilitarea implementării eficiente și proporționale. </w:t>
            </w:r>
          </w:p>
        </w:tc>
        <w:tc>
          <w:tcPr>
            <w:tcW w:w="4960" w:type="dxa"/>
            <w:gridSpan w:val="3"/>
            <w:shd w:val="clear" w:color="auto" w:fill="FFFFFF"/>
          </w:tcPr>
          <w:p w14:paraId="31FE255E" w14:textId="77777777" w:rsidR="008E7C06" w:rsidRPr="005D6998" w:rsidRDefault="008E7C06" w:rsidP="00A46332">
            <w:pPr>
              <w:tabs>
                <w:tab w:val="left" w:pos="884"/>
                <w:tab w:val="left" w:pos="1196"/>
              </w:tabs>
              <w:spacing w:after="0" w:line="240" w:lineRule="auto"/>
              <w:jc w:val="both"/>
              <w:rPr>
                <w:rFonts w:ascii="Times New Roman" w:hAnsi="Times New Roman"/>
                <w:b/>
              </w:rPr>
            </w:pPr>
            <w:r w:rsidRPr="005D6998">
              <w:rPr>
                <w:rFonts w:ascii="Times New Roman" w:hAnsi="Times New Roman"/>
                <w:b/>
              </w:rPr>
              <w:t xml:space="preserve">Comentariu. </w:t>
            </w:r>
            <w:r w:rsidRPr="005D6998">
              <w:rPr>
                <w:rFonts w:ascii="Times New Roman" w:hAnsi="Times New Roman"/>
                <w:lang w:val="ro-MD"/>
              </w:rPr>
              <w:br/>
              <w:t>Propunerea este luată în considerare în cadrul procesului de dezvoltare a cadrului de reglementare privind riscurile ESG aferent activității băncilor. În prezent, Banca Națională a Moldovei este în proces de elaborare a proiectului HCE al BNM de aprobare a Regulamentului privind administrarea riscurilor ESG, care va reglementa integrarea riscurilor ESG în cadrul de administrare și în procesele interne de gestionare a riscurilor, inclusiv în cadrul ICAAP, cu aplicarea principiului proporționalității și a unei abordări etapizate.</w:t>
            </w:r>
          </w:p>
          <w:p w14:paraId="7DEC4F73" w14:textId="77777777" w:rsidR="008E7C06" w:rsidRPr="005D6998" w:rsidRDefault="008E7C06" w:rsidP="00A46332">
            <w:pPr>
              <w:spacing w:before="240" w:after="0" w:line="240" w:lineRule="auto"/>
              <w:jc w:val="both"/>
              <w:rPr>
                <w:rFonts w:ascii="Times New Roman" w:hAnsi="Times New Roman"/>
                <w:lang w:val="ro-MD"/>
              </w:rPr>
            </w:pPr>
            <w:r w:rsidRPr="005D6998">
              <w:rPr>
                <w:rFonts w:ascii="Times New Roman" w:hAnsi="Times New Roman"/>
              </w:rPr>
              <w:t>Totodată, Banca Națională a Moldovei urmărește evoluția cadrului european privind cerințele de raportare aferente riscurilor ESG. Procesul de consultare publică aferent completării Regulamentului de punere în aplicare (UE) 2024/3117 la nivelul Uniunii Europene a fost finalizat, iar cerințele respective urmează a fi definitivate și aprobate la nivel european. Ulterior aprobării acestora, cerințele de raportare ESG vor fi preluate în Instrucțiunea cu privire la prezentarea de către bănci a rapoartelor COREP în scopuri de supraveghere nr. 117/2018, în vederea alinierii cadrului național de raportare în scopuri de supraveghere la cerințele europene aplicabile.</w:t>
            </w:r>
          </w:p>
          <w:p w14:paraId="6DB0F9D7" w14:textId="77777777" w:rsidR="008E7C06" w:rsidRPr="005D6998" w:rsidRDefault="008E7C06" w:rsidP="00A46332">
            <w:pPr>
              <w:spacing w:before="240" w:line="240" w:lineRule="auto"/>
              <w:jc w:val="both"/>
              <w:rPr>
                <w:rFonts w:ascii="Times New Roman" w:hAnsi="Times New Roman"/>
              </w:rPr>
            </w:pPr>
            <w:r w:rsidRPr="005D6998">
              <w:rPr>
                <w:rFonts w:ascii="Times New Roman" w:hAnsi="Times New Roman"/>
              </w:rPr>
              <w:t xml:space="preserve">În ceea ce privește cerințele de publicare a informațiilor privind riscurile ESG, proiectul HCE al BNM „Pentru modificarea Regulamentului cu privire la cerințele de publicare a informațiilor de către bănci, </w:t>
            </w:r>
            <w:r w:rsidRPr="005D6998">
              <w:rPr>
                <w:rFonts w:ascii="Times New Roman" w:hAnsi="Times New Roman"/>
              </w:rPr>
              <w:lastRenderedPageBreak/>
              <w:t>aprobat prin HCE al BNM nr. 158/2020” a fost elaborat și plasat în consultare publică. Proiectul include cerințe privind publicarea informațiilor referitoare la riscurile ESG, în conformitate cu prevederile art. 449a din Regulamentul (UE) nr. 575/2013 (CRR), care stabilește cadrul european aplicabil în acest domeniu.</w:t>
            </w:r>
          </w:p>
          <w:p w14:paraId="396DB21B"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Prin urmare, cerințele privind administrarea, raportarea și publicarea informațiilor aferente riscurilor ESG sunt dezvoltate în mod coordonat, în vederea asigurării unei aplicări unitare, proporționale și consecvente la nivelul sectorului bancar.</w:t>
            </w:r>
          </w:p>
        </w:tc>
      </w:tr>
      <w:tr w:rsidR="008E7C06" w:rsidRPr="005D6998" w14:paraId="063506CA" w14:textId="77777777" w:rsidTr="00651F58">
        <w:trPr>
          <w:gridAfter w:val="2"/>
          <w:wAfter w:w="153" w:type="dxa"/>
          <w:trHeight w:val="105"/>
        </w:trPr>
        <w:tc>
          <w:tcPr>
            <w:tcW w:w="848" w:type="dxa"/>
            <w:gridSpan w:val="2"/>
            <w:shd w:val="clear" w:color="auto" w:fill="FFFFFF"/>
          </w:tcPr>
          <w:p w14:paraId="50734BC6" w14:textId="77777777" w:rsidR="008E7C06" w:rsidRPr="005D6998" w:rsidRDefault="008E7C06" w:rsidP="00A46332">
            <w:pPr>
              <w:pStyle w:val="a7"/>
              <w:tabs>
                <w:tab w:val="left" w:pos="884"/>
                <w:tab w:val="left" w:pos="1196"/>
              </w:tabs>
              <w:spacing w:after="0" w:line="240" w:lineRule="auto"/>
              <w:ind w:left="142"/>
              <w:jc w:val="both"/>
              <w:rPr>
                <w:rFonts w:ascii="Times New Roman" w:hAnsi="Times New Roman"/>
                <w:b/>
              </w:rPr>
            </w:pPr>
          </w:p>
        </w:tc>
        <w:tc>
          <w:tcPr>
            <w:tcW w:w="3688" w:type="dxa"/>
            <w:gridSpan w:val="2"/>
            <w:shd w:val="clear" w:color="auto" w:fill="FFFFFF"/>
          </w:tcPr>
          <w:p w14:paraId="722ECD02" w14:textId="77777777" w:rsidR="008E7C06" w:rsidRPr="005D6998" w:rsidRDefault="008E7C06" w:rsidP="00A46332">
            <w:pPr>
              <w:tabs>
                <w:tab w:val="left" w:pos="884"/>
                <w:tab w:val="left" w:pos="1196"/>
              </w:tabs>
              <w:spacing w:after="0" w:line="240" w:lineRule="auto"/>
              <w:jc w:val="both"/>
              <w:rPr>
                <w:rFonts w:ascii="Times New Roman" w:hAnsi="Times New Roman"/>
                <w:b/>
                <w:bCs/>
              </w:rPr>
            </w:pPr>
          </w:p>
        </w:tc>
        <w:tc>
          <w:tcPr>
            <w:tcW w:w="1418" w:type="dxa"/>
            <w:gridSpan w:val="2"/>
            <w:vMerge/>
            <w:shd w:val="clear" w:color="auto" w:fill="FFFFFF"/>
          </w:tcPr>
          <w:p w14:paraId="087BBD0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E0EFC87" w14:textId="73D0258A" w:rsidR="008E7C06" w:rsidRPr="005D6998" w:rsidRDefault="00651F58" w:rsidP="00A46332">
            <w:pPr>
              <w:pStyle w:val="a7"/>
              <w:tabs>
                <w:tab w:val="left" w:pos="884"/>
                <w:tab w:val="left" w:pos="1196"/>
              </w:tabs>
              <w:spacing w:after="0" w:line="240" w:lineRule="auto"/>
              <w:ind w:left="142"/>
              <w:jc w:val="both"/>
              <w:rPr>
                <w:rFonts w:ascii="Times New Roman" w:hAnsi="Times New Roman"/>
                <w:bCs/>
              </w:rPr>
            </w:pPr>
            <w:r w:rsidRPr="005D6998">
              <w:rPr>
                <w:rFonts w:ascii="Times New Roman" w:hAnsi="Times New Roman"/>
                <w:bCs/>
              </w:rPr>
              <w:t>3</w:t>
            </w:r>
          </w:p>
        </w:tc>
        <w:tc>
          <w:tcPr>
            <w:tcW w:w="4110" w:type="dxa"/>
            <w:gridSpan w:val="2"/>
            <w:shd w:val="clear" w:color="auto" w:fill="FFFFFF"/>
          </w:tcPr>
          <w:p w14:paraId="6FFA71C0"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În privința țintelor ESG cuantificabile, se consideră utilă furnizarea unor orientări privind: </w:t>
            </w:r>
          </w:p>
          <w:p w14:paraId="75EAC11E" w14:textId="77777777" w:rsidR="008E7C06" w:rsidRPr="005D6998" w:rsidRDefault="008E7C06" w:rsidP="008E7C06">
            <w:pPr>
              <w:numPr>
                <w:ilvl w:val="0"/>
                <w:numId w:val="31"/>
              </w:numPr>
              <w:tabs>
                <w:tab w:val="left" w:pos="319"/>
              </w:tabs>
              <w:spacing w:after="0" w:line="240" w:lineRule="auto"/>
              <w:ind w:left="36"/>
              <w:jc w:val="both"/>
              <w:rPr>
                <w:rFonts w:ascii="Times New Roman" w:hAnsi="Times New Roman"/>
                <w:lang w:val="ro-MD"/>
              </w:rPr>
            </w:pPr>
            <w:r w:rsidRPr="005D6998">
              <w:rPr>
                <w:rFonts w:ascii="Times New Roman" w:hAnsi="Times New Roman"/>
                <w:lang w:val="ro-MD"/>
              </w:rPr>
              <w:t xml:space="preserve">indicatorii recomandați; </w:t>
            </w:r>
          </w:p>
          <w:p w14:paraId="49FF8B2B" w14:textId="77777777" w:rsidR="008E7C06" w:rsidRPr="005D6998" w:rsidRDefault="008E7C06" w:rsidP="008E7C06">
            <w:pPr>
              <w:numPr>
                <w:ilvl w:val="0"/>
                <w:numId w:val="31"/>
              </w:numPr>
              <w:tabs>
                <w:tab w:val="left" w:pos="319"/>
              </w:tabs>
              <w:spacing w:after="0" w:line="240" w:lineRule="auto"/>
              <w:ind w:left="36"/>
              <w:jc w:val="both"/>
              <w:rPr>
                <w:rFonts w:ascii="Times New Roman" w:hAnsi="Times New Roman"/>
                <w:lang w:val="ro-MD"/>
              </w:rPr>
            </w:pPr>
            <w:r w:rsidRPr="005D6998">
              <w:rPr>
                <w:rFonts w:ascii="Times New Roman" w:hAnsi="Times New Roman"/>
                <w:lang w:val="ro-MD"/>
              </w:rPr>
              <w:t xml:space="preserve">metodologiile de calcul; </w:t>
            </w:r>
          </w:p>
          <w:p w14:paraId="6B8AC06B" w14:textId="77777777" w:rsidR="008E7C06" w:rsidRPr="005D6998" w:rsidRDefault="008E7C06" w:rsidP="008E7C06">
            <w:pPr>
              <w:numPr>
                <w:ilvl w:val="0"/>
                <w:numId w:val="31"/>
              </w:numPr>
              <w:tabs>
                <w:tab w:val="left" w:pos="319"/>
              </w:tabs>
              <w:spacing w:after="0" w:line="240" w:lineRule="auto"/>
              <w:ind w:left="36"/>
              <w:jc w:val="both"/>
              <w:rPr>
                <w:rFonts w:ascii="Times New Roman" w:hAnsi="Times New Roman"/>
                <w:lang w:val="ro-MD"/>
              </w:rPr>
            </w:pPr>
            <w:r w:rsidRPr="005D6998">
              <w:rPr>
                <w:rFonts w:ascii="Times New Roman" w:hAnsi="Times New Roman"/>
                <w:lang w:val="ro-MD"/>
              </w:rPr>
              <w:t xml:space="preserve">nivelul de granularitate a obiectivelor; </w:t>
            </w:r>
          </w:p>
          <w:p w14:paraId="4504B3DE" w14:textId="77777777" w:rsidR="008E7C06" w:rsidRPr="005D6998" w:rsidRDefault="008E7C06" w:rsidP="008E7C06">
            <w:pPr>
              <w:numPr>
                <w:ilvl w:val="0"/>
                <w:numId w:val="31"/>
              </w:numPr>
              <w:tabs>
                <w:tab w:val="left" w:pos="319"/>
              </w:tabs>
              <w:spacing w:after="0" w:line="240" w:lineRule="auto"/>
              <w:ind w:left="36"/>
              <w:jc w:val="both"/>
              <w:rPr>
                <w:rFonts w:ascii="Times New Roman" w:hAnsi="Times New Roman"/>
                <w:lang w:val="ro-MD"/>
              </w:rPr>
            </w:pPr>
            <w:r w:rsidRPr="005D6998">
              <w:rPr>
                <w:rFonts w:ascii="Times New Roman" w:hAnsi="Times New Roman"/>
                <w:lang w:val="ro-MD"/>
              </w:rPr>
              <w:t xml:space="preserve">exemple de bune practici aplicabile instituțiilor de credit. </w:t>
            </w:r>
          </w:p>
        </w:tc>
        <w:tc>
          <w:tcPr>
            <w:tcW w:w="4960" w:type="dxa"/>
            <w:gridSpan w:val="3"/>
            <w:shd w:val="clear" w:color="auto" w:fill="FFFFFF"/>
          </w:tcPr>
          <w:p w14:paraId="6075342C" w14:textId="77777777" w:rsidR="008E7C06" w:rsidRPr="005D6998" w:rsidRDefault="008E7C06" w:rsidP="00A46332">
            <w:pPr>
              <w:spacing w:line="240" w:lineRule="auto"/>
              <w:jc w:val="both"/>
              <w:rPr>
                <w:rFonts w:ascii="Times New Roman" w:hAnsi="Times New Roman"/>
                <w:b/>
                <w:lang w:val="ro-MD"/>
              </w:rPr>
            </w:pPr>
            <w:r w:rsidRPr="005D6998">
              <w:rPr>
                <w:rFonts w:ascii="Times New Roman" w:hAnsi="Times New Roman"/>
                <w:b/>
                <w:lang w:val="ro-MD"/>
              </w:rPr>
              <w:t>Comentariu.</w:t>
            </w:r>
          </w:p>
          <w:p w14:paraId="0B5F64BD" w14:textId="77777777" w:rsidR="008E7C06" w:rsidRPr="005D6998" w:rsidRDefault="008E7C06" w:rsidP="00A46332">
            <w:pPr>
              <w:spacing w:line="240" w:lineRule="auto"/>
              <w:jc w:val="both"/>
              <w:rPr>
                <w:rFonts w:ascii="Times New Roman" w:hAnsi="Times New Roman"/>
                <w:b/>
                <w:lang w:val="ro-MD"/>
              </w:rPr>
            </w:pPr>
            <w:r w:rsidRPr="005D6998">
              <w:rPr>
                <w:rFonts w:ascii="Times New Roman" w:hAnsi="Times New Roman"/>
                <w:lang w:val="ro-MD"/>
              </w:rPr>
              <w:t>Obligația de a stabili obiective cuantificabile este concepută ca o cerință orientată spre rezultate și nu presupune aplicarea unei metodologii unice sau utilizarea unui indicator de referință standardizat pentru toate băncile. Stabilirea acestor obiective trebuie să țină seama de profilul de risc al fiecărei bănci, de modelul său de afaceri, de structura portofoliului și de evaluarea propriei expuneri la riscurile ESG, cu respectarea principiilor proporționalității</w:t>
            </w:r>
            <w:r w:rsidRPr="005D6998">
              <w:rPr>
                <w:rFonts w:ascii="Times New Roman" w:hAnsi="Times New Roman"/>
                <w:b/>
                <w:lang w:val="ro-MD"/>
              </w:rPr>
              <w:t xml:space="preserve"> </w:t>
            </w:r>
            <w:r w:rsidRPr="005D6998">
              <w:rPr>
                <w:rFonts w:ascii="Times New Roman" w:hAnsi="Times New Roman"/>
                <w:lang w:val="ro-MD"/>
              </w:rPr>
              <w:t>și materialității</w:t>
            </w:r>
            <w:r w:rsidRPr="005D6998">
              <w:rPr>
                <w:rFonts w:ascii="Times New Roman" w:hAnsi="Times New Roman"/>
                <w:b/>
                <w:lang w:val="ro-MD"/>
              </w:rPr>
              <w:t>.</w:t>
            </w:r>
          </w:p>
          <w:p w14:paraId="65A85796" w14:textId="77777777" w:rsidR="008E7C06" w:rsidRPr="005D6998" w:rsidRDefault="008E7C06" w:rsidP="00A46332">
            <w:pPr>
              <w:tabs>
                <w:tab w:val="left" w:pos="884"/>
                <w:tab w:val="left" w:pos="1196"/>
              </w:tabs>
              <w:spacing w:after="0" w:line="240" w:lineRule="auto"/>
              <w:jc w:val="both"/>
              <w:rPr>
                <w:rFonts w:ascii="Times New Roman" w:hAnsi="Times New Roman"/>
                <w:b/>
                <w:bCs/>
              </w:rPr>
            </w:pPr>
            <w:r w:rsidRPr="005D6998">
              <w:rPr>
                <w:rFonts w:ascii="Times New Roman" w:hAnsi="Times New Roman"/>
                <w:lang w:val="ro-MD"/>
              </w:rPr>
              <w:t xml:space="preserve">Totodată, proiectul HCE al BNM pentru aprobarea Regulamentului privind administrarea riscurilor ESG (aflat în proces de coordonare internă în cadrul BNM) nu impune cuantificarea imediată și completă a tuturor riscurilor ESG, ci permite o implementare graduală, pe măsura dezvoltării disponibilității datelor, metodologiilor și capacităților interne ale băncilor. În etapa inițială, băncile vor putea recurge la evaluări și obiective de natură calitativă, urmând ca acestea să fie dezvoltate și completate progresiv cu indicatori și ținte cuantificabile, pe măsură ce instrumentele de măsurare devin suficient de robuste. </w:t>
            </w:r>
            <w:r w:rsidRPr="005D6998">
              <w:rPr>
                <w:rFonts w:ascii="Times New Roman" w:hAnsi="Times New Roman"/>
                <w:lang w:val="ro-MD"/>
              </w:rPr>
              <w:lastRenderedPageBreak/>
              <w:t>Această abordare este în concordanță cu principiile europene privind administrarea riscurilor ESG, care promovează o integrare etapizată și proporțională a acestor riscuri în cadrul de administrare a riscurilor, evitând impunerea unor cerințe uniforme care nu ar reflecta particularitățile fiecărei bănci. </w:t>
            </w:r>
          </w:p>
        </w:tc>
      </w:tr>
      <w:tr w:rsidR="008E7C06" w:rsidRPr="005D6998" w14:paraId="4866F79A" w14:textId="77777777" w:rsidTr="00651F58">
        <w:trPr>
          <w:gridAfter w:val="2"/>
          <w:wAfter w:w="153" w:type="dxa"/>
          <w:trHeight w:val="105"/>
        </w:trPr>
        <w:tc>
          <w:tcPr>
            <w:tcW w:w="848" w:type="dxa"/>
            <w:gridSpan w:val="2"/>
            <w:shd w:val="clear" w:color="auto" w:fill="FFFFFF"/>
          </w:tcPr>
          <w:p w14:paraId="3B521913" w14:textId="77777777" w:rsidR="008E7C06" w:rsidRPr="005D6998" w:rsidRDefault="008E7C06" w:rsidP="00A46332">
            <w:pPr>
              <w:pStyle w:val="a7"/>
              <w:tabs>
                <w:tab w:val="left" w:pos="884"/>
                <w:tab w:val="left" w:pos="1196"/>
              </w:tabs>
              <w:spacing w:after="0" w:line="240" w:lineRule="auto"/>
              <w:ind w:left="142"/>
              <w:jc w:val="both"/>
              <w:rPr>
                <w:rFonts w:ascii="Times New Roman" w:hAnsi="Times New Roman"/>
                <w:b/>
              </w:rPr>
            </w:pPr>
          </w:p>
        </w:tc>
        <w:tc>
          <w:tcPr>
            <w:tcW w:w="3688" w:type="dxa"/>
            <w:gridSpan w:val="2"/>
            <w:shd w:val="clear" w:color="auto" w:fill="FFFFFF"/>
          </w:tcPr>
          <w:p w14:paraId="5798AF63" w14:textId="77777777" w:rsidR="008E7C06" w:rsidRPr="005D6998" w:rsidRDefault="008E7C06" w:rsidP="00A46332">
            <w:pPr>
              <w:tabs>
                <w:tab w:val="left" w:pos="884"/>
                <w:tab w:val="left" w:pos="1196"/>
              </w:tabs>
              <w:spacing w:after="0" w:line="240" w:lineRule="auto"/>
              <w:jc w:val="both"/>
              <w:rPr>
                <w:rFonts w:ascii="Times New Roman" w:hAnsi="Times New Roman"/>
                <w:b/>
                <w:bCs/>
              </w:rPr>
            </w:pPr>
          </w:p>
        </w:tc>
        <w:tc>
          <w:tcPr>
            <w:tcW w:w="1418" w:type="dxa"/>
            <w:gridSpan w:val="2"/>
            <w:shd w:val="clear" w:color="auto" w:fill="FFFFFF"/>
          </w:tcPr>
          <w:p w14:paraId="178D5FB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59E3897" w14:textId="221E05A8" w:rsidR="008E7C06" w:rsidRPr="005D6998" w:rsidRDefault="00651F58" w:rsidP="00A46332">
            <w:pPr>
              <w:pStyle w:val="a7"/>
              <w:tabs>
                <w:tab w:val="left" w:pos="884"/>
                <w:tab w:val="left" w:pos="1196"/>
              </w:tabs>
              <w:spacing w:after="0" w:line="240" w:lineRule="auto"/>
              <w:ind w:left="142"/>
              <w:jc w:val="both"/>
              <w:rPr>
                <w:rFonts w:ascii="Times New Roman" w:hAnsi="Times New Roman"/>
                <w:bCs/>
              </w:rPr>
            </w:pPr>
            <w:r w:rsidRPr="005D6998">
              <w:rPr>
                <w:rFonts w:ascii="Times New Roman" w:hAnsi="Times New Roman"/>
                <w:bCs/>
              </w:rPr>
              <w:t>4</w:t>
            </w:r>
          </w:p>
        </w:tc>
        <w:tc>
          <w:tcPr>
            <w:tcW w:w="4110" w:type="dxa"/>
            <w:gridSpan w:val="2"/>
            <w:shd w:val="clear" w:color="auto" w:fill="FFFFFF"/>
          </w:tcPr>
          <w:p w14:paraId="41EDC06A"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Se recomandă ca cerințele de raportare și monitorizare a informațiilor aferente ESG să fie corelate cu nivelul efectiv de disponibilitate a datelor și să fie permisă utilizarea unor estimări, proxy-uri și informații alternative pe perioada de tranziție.</w:t>
            </w:r>
          </w:p>
        </w:tc>
        <w:tc>
          <w:tcPr>
            <w:tcW w:w="4960" w:type="dxa"/>
            <w:gridSpan w:val="3"/>
            <w:shd w:val="clear" w:color="auto" w:fill="FFFFFF"/>
          </w:tcPr>
          <w:p w14:paraId="58FB67E4" w14:textId="77777777" w:rsidR="008E7C06" w:rsidRPr="005D6998" w:rsidRDefault="008E7C06" w:rsidP="00A46332">
            <w:pPr>
              <w:tabs>
                <w:tab w:val="left" w:pos="884"/>
                <w:tab w:val="left" w:pos="1196"/>
              </w:tabs>
              <w:spacing w:line="240" w:lineRule="auto"/>
              <w:jc w:val="both"/>
              <w:rPr>
                <w:rFonts w:ascii="Times New Roman" w:hAnsi="Times New Roman"/>
                <w:lang w:val="ro-MD"/>
              </w:rPr>
            </w:pPr>
            <w:r w:rsidRPr="005D6998">
              <w:rPr>
                <w:rFonts w:ascii="Times New Roman" w:hAnsi="Times New Roman"/>
                <w:b/>
                <w:lang w:val="ro-MD"/>
              </w:rPr>
              <w:t>Comentariu.</w:t>
            </w:r>
            <w:r w:rsidRPr="005D6998">
              <w:rPr>
                <w:rFonts w:ascii="Times New Roman" w:hAnsi="Times New Roman"/>
                <w:lang w:val="ro-MD"/>
              </w:rPr>
              <w:br/>
              <w:t>Cerințele detaliate privind raportarea și monitorizarea informațiilor aferente ESG nu fac obiectul prezentului proiect de modificare a legii, acestea urmând a fi stabilite prin actele normative ale BNM aferente raportării în scopuri de supraveghere. Respectiv, după definitivarea și aprobarea la nivelul Uniunii Europene a cerințelor de raportare ESG, ca urmare a completării Regulamentului de punere în aplicare (UE) 2024/3117, cerințele respective vor fi preluate în Instrucțiunea cu privire la prezentarea de către bănci a rapoartelor COREP în scopuri de supraveghere nr. 117/2018.</w:t>
            </w:r>
          </w:p>
          <w:p w14:paraId="3FCD774F" w14:textId="77777777" w:rsidR="008E7C06" w:rsidRPr="005D6998" w:rsidRDefault="008E7C06" w:rsidP="00A46332">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În acest context, aspectele menționate în recomandare, inclusiv cele referitoare la disponibilitatea datelor și la utilizarea estimărilor, a datelor indirecte și a altor surse alternative de informații, vor fi analizate în procesul de preluare a cerințelor europene în cadrul național de raportare în scopuri de supraveghere. Totodată, modelele standardizate de raportare vor urmări asigurarea colectării datelor ESG într-un format unitar la nivelul sectorului bancar, contribuind la comparabilitatea, consecvența și calitatea informațiilor raportate.</w:t>
            </w:r>
          </w:p>
        </w:tc>
      </w:tr>
      <w:tr w:rsidR="008E7C06" w:rsidRPr="005D6998" w14:paraId="3F88B308" w14:textId="77777777" w:rsidTr="00651F58">
        <w:trPr>
          <w:gridAfter w:val="2"/>
          <w:wAfter w:w="153" w:type="dxa"/>
          <w:trHeight w:val="105"/>
        </w:trPr>
        <w:tc>
          <w:tcPr>
            <w:tcW w:w="848" w:type="dxa"/>
            <w:gridSpan w:val="2"/>
            <w:shd w:val="clear" w:color="auto" w:fill="FFFFFF"/>
          </w:tcPr>
          <w:p w14:paraId="3135A9FC" w14:textId="77777777" w:rsidR="008E7C06" w:rsidRPr="005D6998" w:rsidRDefault="008E7C06" w:rsidP="00A46332">
            <w:pPr>
              <w:pStyle w:val="a7"/>
              <w:tabs>
                <w:tab w:val="left" w:pos="884"/>
                <w:tab w:val="left" w:pos="1196"/>
              </w:tabs>
              <w:spacing w:after="0" w:line="240" w:lineRule="auto"/>
              <w:ind w:left="142"/>
              <w:jc w:val="both"/>
              <w:rPr>
                <w:rFonts w:ascii="Times New Roman" w:hAnsi="Times New Roman"/>
                <w:b/>
              </w:rPr>
            </w:pPr>
          </w:p>
        </w:tc>
        <w:tc>
          <w:tcPr>
            <w:tcW w:w="3688" w:type="dxa"/>
            <w:gridSpan w:val="2"/>
            <w:shd w:val="clear" w:color="auto" w:fill="FFFFFF"/>
          </w:tcPr>
          <w:p w14:paraId="72C6F69F" w14:textId="77777777" w:rsidR="008E7C06" w:rsidRPr="005D6998" w:rsidRDefault="008E7C06" w:rsidP="00A46332">
            <w:pPr>
              <w:tabs>
                <w:tab w:val="left" w:pos="884"/>
                <w:tab w:val="left" w:pos="1196"/>
              </w:tabs>
              <w:spacing w:after="0" w:line="240" w:lineRule="auto"/>
              <w:jc w:val="both"/>
              <w:rPr>
                <w:rFonts w:ascii="Times New Roman" w:hAnsi="Times New Roman"/>
                <w:b/>
                <w:bCs/>
              </w:rPr>
            </w:pPr>
          </w:p>
        </w:tc>
        <w:tc>
          <w:tcPr>
            <w:tcW w:w="1418" w:type="dxa"/>
            <w:gridSpan w:val="2"/>
            <w:shd w:val="clear" w:color="auto" w:fill="FFFFFF"/>
          </w:tcPr>
          <w:p w14:paraId="55F015F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68692D8" w14:textId="7F9DE5E1" w:rsidR="008E7C06" w:rsidRPr="005D6998" w:rsidRDefault="00651F58" w:rsidP="00A46332">
            <w:pPr>
              <w:pStyle w:val="a7"/>
              <w:tabs>
                <w:tab w:val="left" w:pos="884"/>
                <w:tab w:val="left" w:pos="1196"/>
              </w:tabs>
              <w:spacing w:after="0" w:line="240" w:lineRule="auto"/>
              <w:ind w:left="142"/>
              <w:jc w:val="both"/>
              <w:rPr>
                <w:rFonts w:ascii="Times New Roman" w:hAnsi="Times New Roman"/>
                <w:bCs/>
              </w:rPr>
            </w:pPr>
            <w:r w:rsidRPr="005D6998">
              <w:rPr>
                <w:rFonts w:ascii="Times New Roman" w:hAnsi="Times New Roman"/>
                <w:bCs/>
              </w:rPr>
              <w:t>5</w:t>
            </w:r>
          </w:p>
        </w:tc>
        <w:tc>
          <w:tcPr>
            <w:tcW w:w="4110" w:type="dxa"/>
            <w:gridSpan w:val="2"/>
            <w:shd w:val="clear" w:color="auto" w:fill="FFFFFF"/>
          </w:tcPr>
          <w:p w14:paraId="23BC4F92"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Se consideră utilă clarificarea modului în care competențele organului de conducere în materie de riscuri ESG vor fi evaluate în practică și dacă vor exista cerințe, recomandări sau așteptări specifice privind formarea profesională a membrilor </w:t>
            </w:r>
            <w:r w:rsidRPr="005D6998">
              <w:rPr>
                <w:rFonts w:ascii="Times New Roman" w:hAnsi="Times New Roman"/>
                <w:lang w:val="ro-MD"/>
              </w:rPr>
              <w:lastRenderedPageBreak/>
              <w:t>organului de conducere și a persoanelor cu funcții-cheie.</w:t>
            </w:r>
          </w:p>
        </w:tc>
        <w:tc>
          <w:tcPr>
            <w:tcW w:w="4960" w:type="dxa"/>
            <w:gridSpan w:val="3"/>
            <w:shd w:val="clear" w:color="auto" w:fill="FFFFFF"/>
          </w:tcPr>
          <w:p w14:paraId="0A456B7C" w14:textId="77777777" w:rsidR="008E7C06" w:rsidRPr="005D6998" w:rsidRDefault="008E7C06" w:rsidP="00A46332">
            <w:pPr>
              <w:tabs>
                <w:tab w:val="left" w:pos="884"/>
                <w:tab w:val="left" w:pos="1196"/>
              </w:tabs>
              <w:spacing w:after="0" w:line="240" w:lineRule="auto"/>
              <w:jc w:val="both"/>
              <w:rPr>
                <w:rFonts w:ascii="Times New Roman" w:hAnsi="Times New Roman"/>
                <w:b/>
                <w:bCs/>
                <w:lang w:val="ro-MD"/>
              </w:rPr>
            </w:pPr>
            <w:r w:rsidRPr="005D6998">
              <w:rPr>
                <w:rFonts w:ascii="Times New Roman" w:hAnsi="Times New Roman"/>
                <w:b/>
                <w:bCs/>
                <w:lang w:val="ro-MD"/>
              </w:rPr>
              <w:lastRenderedPageBreak/>
              <w:t>Comentariu.</w:t>
            </w:r>
          </w:p>
          <w:p w14:paraId="2439268D" w14:textId="77777777" w:rsidR="008E7C06" w:rsidRPr="005D6998" w:rsidRDefault="008E7C06" w:rsidP="00A46332">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 xml:space="preserve">Cerințele și așteptările de supraveghere privind evaluarea competențelor în materie de riscuri ESG, inclusiv în ceea ce privește formarea profesională a membrilor organului de conducere și a persoanelor care dețin funcții-cheie, vor fi dezvoltate și, după caz, detaliate în cadrul normativ subsecvent, pe măsura </w:t>
            </w:r>
            <w:r w:rsidRPr="005D6998">
              <w:rPr>
                <w:rFonts w:ascii="Times New Roman" w:hAnsi="Times New Roman"/>
                <w:lang w:val="ro-MD"/>
              </w:rPr>
              <w:lastRenderedPageBreak/>
              <w:t>definitivării și actualizării ghidurilor EBA relevante, precum și ținând cont de evoluția cadrului european și a standardelor și principiilor internaționale aplicabile în domeniu.</w:t>
            </w:r>
          </w:p>
        </w:tc>
      </w:tr>
      <w:tr w:rsidR="008E7C06" w:rsidRPr="005D6998" w14:paraId="70FD11D4" w14:textId="77777777" w:rsidTr="00651F58">
        <w:trPr>
          <w:gridAfter w:val="2"/>
          <w:wAfter w:w="153" w:type="dxa"/>
          <w:trHeight w:val="105"/>
        </w:trPr>
        <w:tc>
          <w:tcPr>
            <w:tcW w:w="848" w:type="dxa"/>
            <w:gridSpan w:val="2"/>
            <w:shd w:val="clear" w:color="auto" w:fill="FFFFFF"/>
          </w:tcPr>
          <w:p w14:paraId="7A492281" w14:textId="77777777" w:rsidR="008E7C06" w:rsidRPr="005D6998" w:rsidRDefault="008E7C06" w:rsidP="00A46332">
            <w:pPr>
              <w:pStyle w:val="a7"/>
              <w:tabs>
                <w:tab w:val="left" w:pos="884"/>
                <w:tab w:val="left" w:pos="1196"/>
              </w:tabs>
              <w:spacing w:after="0" w:line="240" w:lineRule="auto"/>
              <w:ind w:left="142"/>
              <w:jc w:val="both"/>
              <w:rPr>
                <w:rFonts w:ascii="Times New Roman" w:hAnsi="Times New Roman"/>
                <w:b/>
              </w:rPr>
            </w:pPr>
          </w:p>
        </w:tc>
        <w:tc>
          <w:tcPr>
            <w:tcW w:w="3688" w:type="dxa"/>
            <w:gridSpan w:val="2"/>
            <w:shd w:val="clear" w:color="auto" w:fill="FFFFFF"/>
          </w:tcPr>
          <w:p w14:paraId="62BD9E94" w14:textId="77777777" w:rsidR="008E7C06" w:rsidRPr="005D6998" w:rsidRDefault="008E7C06" w:rsidP="00A46332">
            <w:pPr>
              <w:tabs>
                <w:tab w:val="left" w:pos="884"/>
                <w:tab w:val="left" w:pos="1196"/>
              </w:tabs>
              <w:spacing w:after="0" w:line="240" w:lineRule="auto"/>
              <w:jc w:val="both"/>
              <w:rPr>
                <w:rFonts w:ascii="Times New Roman" w:hAnsi="Times New Roman"/>
                <w:b/>
                <w:bCs/>
              </w:rPr>
            </w:pPr>
          </w:p>
        </w:tc>
        <w:tc>
          <w:tcPr>
            <w:tcW w:w="1418" w:type="dxa"/>
            <w:gridSpan w:val="2"/>
            <w:shd w:val="clear" w:color="auto" w:fill="FFFFFF"/>
          </w:tcPr>
          <w:p w14:paraId="1F798D60"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5316E26" w14:textId="41784E6E" w:rsidR="008E7C06" w:rsidRPr="005D6998" w:rsidRDefault="00651F58" w:rsidP="00A46332">
            <w:pPr>
              <w:pStyle w:val="a7"/>
              <w:tabs>
                <w:tab w:val="left" w:pos="884"/>
                <w:tab w:val="left" w:pos="1196"/>
              </w:tabs>
              <w:spacing w:after="0" w:line="240" w:lineRule="auto"/>
              <w:ind w:left="142"/>
              <w:jc w:val="both"/>
              <w:rPr>
                <w:rFonts w:ascii="Times New Roman" w:hAnsi="Times New Roman"/>
                <w:bCs/>
              </w:rPr>
            </w:pPr>
            <w:r w:rsidRPr="005D6998">
              <w:rPr>
                <w:rFonts w:ascii="Times New Roman" w:hAnsi="Times New Roman"/>
                <w:bCs/>
              </w:rPr>
              <w:t>6</w:t>
            </w:r>
          </w:p>
        </w:tc>
        <w:tc>
          <w:tcPr>
            <w:tcW w:w="4110" w:type="dxa"/>
            <w:gridSpan w:val="2"/>
            <w:shd w:val="clear" w:color="auto" w:fill="FFFFFF"/>
          </w:tcPr>
          <w:p w14:paraId="245B6C37"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Având în vedere necesitatea adaptării cadrului de guvernanță, politicilor interne, metodologiilor de risc, sistemelor IT și proceselor de colectare a datelor în contextul cerințelor aferente riscurilor ESG, se consideră că o perioadă de tranziție mai extinsă sau o implementare etapizată ar facilita aplicarea eficientă și uniformă a noilor cerințe.</w:t>
            </w:r>
          </w:p>
        </w:tc>
        <w:tc>
          <w:tcPr>
            <w:tcW w:w="4960" w:type="dxa"/>
            <w:gridSpan w:val="3"/>
            <w:shd w:val="clear" w:color="auto" w:fill="FFFFFF"/>
          </w:tcPr>
          <w:p w14:paraId="62534D99" w14:textId="77777777" w:rsidR="008E7C06" w:rsidRPr="005D6998" w:rsidRDefault="008E7C06" w:rsidP="00A46332">
            <w:pPr>
              <w:tabs>
                <w:tab w:val="left" w:pos="884"/>
                <w:tab w:val="left" w:pos="1196"/>
              </w:tabs>
              <w:spacing w:after="0" w:line="240" w:lineRule="auto"/>
              <w:jc w:val="both"/>
              <w:rPr>
                <w:rFonts w:ascii="Times New Roman" w:hAnsi="Times New Roman"/>
                <w:b/>
                <w:bCs/>
                <w:lang w:val="ro-MD"/>
              </w:rPr>
            </w:pPr>
            <w:r w:rsidRPr="005D6998">
              <w:rPr>
                <w:rFonts w:ascii="Times New Roman" w:hAnsi="Times New Roman"/>
                <w:b/>
                <w:bCs/>
                <w:lang w:val="ro-MD"/>
              </w:rPr>
              <w:t xml:space="preserve">Comentariu. </w:t>
            </w:r>
          </w:p>
          <w:p w14:paraId="30D4DBB2" w14:textId="77777777" w:rsidR="008E7C06" w:rsidRPr="005D6998" w:rsidRDefault="008E7C06" w:rsidP="00A46332">
            <w:pPr>
              <w:tabs>
                <w:tab w:val="left" w:pos="884"/>
                <w:tab w:val="left" w:pos="1196"/>
              </w:tabs>
              <w:spacing w:after="0" w:line="240" w:lineRule="auto"/>
              <w:jc w:val="both"/>
              <w:rPr>
                <w:rFonts w:ascii="Times New Roman" w:hAnsi="Times New Roman"/>
                <w:b/>
                <w:bCs/>
                <w:lang w:val="ro-MD"/>
              </w:rPr>
            </w:pPr>
            <w:r w:rsidRPr="005D6998">
              <w:rPr>
                <w:rFonts w:ascii="Times New Roman" w:hAnsi="Times New Roman"/>
              </w:rPr>
              <w:t>În vederea facilitării unei implementări eficiente și uniforme a cerințelor aferente riscurilor ESG, BNM va avea în vedere, la elaborarea și ajustarea cadrului normativ secundar, aspectele ce țin de procesul de pregătire și adaptare necesar în acest context. Ca urmare, măsurile și abordările aplicabile vor fi conturate în funcție de evoluția cadrului de reglementare și de necesitățile identificate în procesul de implementare a noilor cerințe</w:t>
            </w:r>
            <w:r w:rsidRPr="005D6998">
              <w:rPr>
                <w:rFonts w:ascii="Times New Roman" w:hAnsi="Times New Roman"/>
                <w:b/>
                <w:bCs/>
              </w:rPr>
              <w:t xml:space="preserve">.  </w:t>
            </w:r>
          </w:p>
        </w:tc>
      </w:tr>
      <w:tr w:rsidR="004E67DD" w:rsidRPr="005D6998" w14:paraId="538122CC" w14:textId="77777777" w:rsidTr="00651F58">
        <w:trPr>
          <w:gridAfter w:val="2"/>
          <w:wAfter w:w="153" w:type="dxa"/>
          <w:trHeight w:val="105"/>
        </w:trPr>
        <w:tc>
          <w:tcPr>
            <w:tcW w:w="848" w:type="dxa"/>
            <w:gridSpan w:val="2"/>
            <w:shd w:val="clear" w:color="auto" w:fill="FFFFFF"/>
          </w:tcPr>
          <w:p w14:paraId="0B3A25AE" w14:textId="77777777" w:rsidR="004E67DD" w:rsidRPr="005D6998" w:rsidRDefault="004E67DD" w:rsidP="00A46332">
            <w:pPr>
              <w:pStyle w:val="a7"/>
              <w:tabs>
                <w:tab w:val="left" w:pos="884"/>
                <w:tab w:val="left" w:pos="1196"/>
              </w:tabs>
              <w:spacing w:after="0" w:line="240" w:lineRule="auto"/>
              <w:ind w:left="142"/>
              <w:jc w:val="both"/>
              <w:rPr>
                <w:rFonts w:ascii="Times New Roman" w:hAnsi="Times New Roman"/>
                <w:b/>
              </w:rPr>
            </w:pPr>
          </w:p>
        </w:tc>
        <w:tc>
          <w:tcPr>
            <w:tcW w:w="3688" w:type="dxa"/>
            <w:gridSpan w:val="2"/>
            <w:shd w:val="clear" w:color="auto" w:fill="FFFFFF"/>
          </w:tcPr>
          <w:p w14:paraId="50C43BCF" w14:textId="77777777" w:rsidR="004E67DD" w:rsidRPr="005D6998" w:rsidRDefault="004E67DD" w:rsidP="00A46332">
            <w:pPr>
              <w:tabs>
                <w:tab w:val="left" w:pos="884"/>
                <w:tab w:val="left" w:pos="1196"/>
              </w:tabs>
              <w:spacing w:after="0" w:line="240" w:lineRule="auto"/>
              <w:jc w:val="both"/>
              <w:rPr>
                <w:rFonts w:ascii="Times New Roman" w:hAnsi="Times New Roman"/>
                <w:b/>
                <w:bCs/>
              </w:rPr>
            </w:pPr>
          </w:p>
        </w:tc>
        <w:tc>
          <w:tcPr>
            <w:tcW w:w="1418" w:type="dxa"/>
            <w:gridSpan w:val="2"/>
            <w:shd w:val="clear" w:color="auto" w:fill="FFFFFF"/>
          </w:tcPr>
          <w:p w14:paraId="7C4C0F0A" w14:textId="77777777" w:rsidR="004E67DD" w:rsidRPr="005D6998" w:rsidRDefault="004E67DD" w:rsidP="000A2F48">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Național pentru Protecția Datelor cu Caracter Personal</w:t>
            </w:r>
          </w:p>
          <w:p w14:paraId="13374580" w14:textId="39391FC9" w:rsidR="004E67DD" w:rsidRPr="005D6998" w:rsidRDefault="004E67DD" w:rsidP="000A2F48">
            <w:pPr>
              <w:tabs>
                <w:tab w:val="left" w:pos="884"/>
                <w:tab w:val="left" w:pos="1196"/>
              </w:tabs>
              <w:spacing w:after="0" w:line="240" w:lineRule="auto"/>
              <w:jc w:val="center"/>
              <w:rPr>
                <w:rFonts w:ascii="Times New Roman" w:hAnsi="Times New Roman"/>
                <w:b/>
              </w:rPr>
            </w:pPr>
            <w:r w:rsidRPr="005D6998">
              <w:rPr>
                <w:rFonts w:ascii="Times New Roman" w:hAnsi="Times New Roman"/>
                <w:b/>
              </w:rPr>
              <w:t>(comentariu în Legiferare)</w:t>
            </w:r>
          </w:p>
        </w:tc>
        <w:tc>
          <w:tcPr>
            <w:tcW w:w="567" w:type="dxa"/>
            <w:gridSpan w:val="2"/>
            <w:shd w:val="clear" w:color="auto" w:fill="FFFFFF"/>
          </w:tcPr>
          <w:p w14:paraId="4A71F60C" w14:textId="6B47DF75" w:rsidR="004E67DD" w:rsidRPr="005D6998" w:rsidRDefault="004E67DD" w:rsidP="00A46332">
            <w:pPr>
              <w:pStyle w:val="a7"/>
              <w:tabs>
                <w:tab w:val="left" w:pos="884"/>
                <w:tab w:val="left" w:pos="1196"/>
              </w:tabs>
              <w:spacing w:after="0" w:line="240" w:lineRule="auto"/>
              <w:ind w:left="142"/>
              <w:jc w:val="both"/>
              <w:rPr>
                <w:rFonts w:ascii="Times New Roman" w:hAnsi="Times New Roman"/>
                <w:bCs/>
              </w:rPr>
            </w:pPr>
            <w:r w:rsidRPr="005D6998">
              <w:rPr>
                <w:rFonts w:ascii="Times New Roman" w:hAnsi="Times New Roman"/>
                <w:bCs/>
              </w:rPr>
              <w:t>7</w:t>
            </w:r>
          </w:p>
        </w:tc>
        <w:tc>
          <w:tcPr>
            <w:tcW w:w="4110" w:type="dxa"/>
            <w:gridSpan w:val="2"/>
            <w:shd w:val="clear" w:color="auto" w:fill="FFFFFF"/>
          </w:tcPr>
          <w:p w14:paraId="10F90D31" w14:textId="4B5AF1DF" w:rsidR="004E67DD" w:rsidRPr="005D6998" w:rsidRDefault="004E67DD" w:rsidP="00A46332">
            <w:pPr>
              <w:spacing w:after="0" w:line="240" w:lineRule="auto"/>
              <w:jc w:val="both"/>
              <w:rPr>
                <w:rFonts w:ascii="Times New Roman" w:hAnsi="Times New Roman"/>
                <w:lang w:val="ro-MD"/>
              </w:rPr>
            </w:pPr>
            <w:r w:rsidRPr="005D6998">
              <w:rPr>
                <w:rFonts w:ascii="Times New Roman" w:hAnsi="Times New Roman"/>
                <w:lang w:val="ro-MD"/>
              </w:rPr>
              <w:t>Lipsă de obiecții</w:t>
            </w:r>
          </w:p>
        </w:tc>
        <w:tc>
          <w:tcPr>
            <w:tcW w:w="4960" w:type="dxa"/>
            <w:gridSpan w:val="3"/>
            <w:shd w:val="clear" w:color="auto" w:fill="FFFFFF"/>
          </w:tcPr>
          <w:p w14:paraId="3D7BDAAE" w14:textId="77777777" w:rsidR="004E67DD" w:rsidRPr="005D6998" w:rsidRDefault="004E67DD" w:rsidP="00A46332">
            <w:pPr>
              <w:tabs>
                <w:tab w:val="left" w:pos="884"/>
                <w:tab w:val="left" w:pos="1196"/>
              </w:tabs>
              <w:spacing w:after="0" w:line="240" w:lineRule="auto"/>
              <w:jc w:val="both"/>
              <w:rPr>
                <w:rFonts w:ascii="Times New Roman" w:hAnsi="Times New Roman"/>
                <w:b/>
                <w:bCs/>
                <w:lang w:val="ro-MD"/>
              </w:rPr>
            </w:pPr>
          </w:p>
        </w:tc>
      </w:tr>
      <w:tr w:rsidR="00AE6E19" w:rsidRPr="005D6998" w14:paraId="2A2EDB14" w14:textId="77777777" w:rsidTr="00651F58">
        <w:trPr>
          <w:gridAfter w:val="2"/>
          <w:wAfter w:w="153" w:type="dxa"/>
          <w:trHeight w:val="105"/>
        </w:trPr>
        <w:tc>
          <w:tcPr>
            <w:tcW w:w="15591" w:type="dxa"/>
            <w:gridSpan w:val="13"/>
            <w:shd w:val="clear" w:color="auto" w:fill="FFFFFF"/>
          </w:tcPr>
          <w:p w14:paraId="536A2589" w14:textId="4BFC35C9" w:rsidR="00AE6E19" w:rsidRPr="005D6998" w:rsidRDefault="00AE6E19" w:rsidP="00B003B5">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Expertiza</w:t>
            </w:r>
            <w:r w:rsidR="00B003B5">
              <w:rPr>
                <w:rFonts w:ascii="Times New Roman" w:hAnsi="Times New Roman"/>
                <w:b/>
                <w:bCs/>
              </w:rPr>
              <w:t>re</w:t>
            </w:r>
            <w:r w:rsidRPr="005D6998">
              <w:rPr>
                <w:rFonts w:ascii="Times New Roman" w:hAnsi="Times New Roman"/>
                <w:b/>
                <w:bCs/>
              </w:rPr>
              <w:t xml:space="preserve"> </w:t>
            </w:r>
          </w:p>
        </w:tc>
      </w:tr>
      <w:tr w:rsidR="00AE6E19" w:rsidRPr="005D6998" w14:paraId="6E930ACF" w14:textId="77777777" w:rsidTr="00651F58">
        <w:trPr>
          <w:gridAfter w:val="2"/>
          <w:wAfter w:w="153" w:type="dxa"/>
          <w:trHeight w:val="105"/>
        </w:trPr>
        <w:tc>
          <w:tcPr>
            <w:tcW w:w="899" w:type="dxa"/>
            <w:gridSpan w:val="3"/>
            <w:shd w:val="clear" w:color="auto" w:fill="FFFFFF"/>
          </w:tcPr>
          <w:p w14:paraId="18E49F90"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15CA14C2"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
              </w:rPr>
              <w:t>Art. I.</w:t>
            </w:r>
            <w:r w:rsidRPr="005D6998">
              <w:rPr>
                <w:rFonts w:ascii="Times New Roman" w:hAnsi="Times New Roman"/>
                <w:bCs/>
              </w:rPr>
              <w:t xml:space="preserve"> </w:t>
            </w:r>
            <w:r w:rsidRPr="005D6998">
              <w:rPr>
                <w:rFonts w:ascii="Times New Roman" w:hAnsi="Times New Roman"/>
                <w:b/>
              </w:rPr>
              <w:t xml:space="preserve">Legea nr. 548/1995 cu privire la Banca Naţională a Moldovei (republicată în Monitorul Oficial al R. Moldova,2015, nr.297-300 art.544), cu modificările ulterioare </w:t>
            </w:r>
            <w:r w:rsidRPr="005D6998">
              <w:rPr>
                <w:rFonts w:ascii="Times New Roman" w:hAnsi="Times New Roman"/>
                <w:bCs/>
              </w:rPr>
              <w:t>se modifică după cum urmează:</w:t>
            </w:r>
          </w:p>
          <w:p w14:paraId="048B07DC"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w:t>
            </w:r>
          </w:p>
          <w:p w14:paraId="64B92AEF" w14:textId="77777777" w:rsidR="00AE6E19" w:rsidRPr="005D6998" w:rsidRDefault="00AE6E19" w:rsidP="00AE6E19">
            <w:pPr>
              <w:tabs>
                <w:tab w:val="left" w:pos="884"/>
                <w:tab w:val="left" w:pos="1196"/>
              </w:tabs>
              <w:spacing w:after="0" w:line="240" w:lineRule="auto"/>
              <w:jc w:val="both"/>
              <w:rPr>
                <w:rFonts w:ascii="Times New Roman" w:hAnsi="Times New Roman"/>
                <w:bCs/>
              </w:rPr>
            </w:pPr>
          </w:p>
          <w:p w14:paraId="2EB0EC84"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
              </w:rPr>
              <w:t>2.</w:t>
            </w:r>
            <w:r w:rsidRPr="005D6998">
              <w:rPr>
                <w:rFonts w:ascii="Times New Roman" w:hAnsi="Times New Roman"/>
                <w:bCs/>
              </w:rPr>
              <w:t xml:space="preserve"> Se completează cu articolul 75</w:t>
            </w:r>
            <w:r w:rsidRPr="005D6998">
              <w:rPr>
                <w:rFonts w:ascii="Times New Roman" w:hAnsi="Times New Roman"/>
                <w:bCs/>
                <w:vertAlign w:val="superscript"/>
              </w:rPr>
              <w:t>4</w:t>
            </w:r>
            <w:r w:rsidRPr="005D6998">
              <w:rPr>
                <w:rFonts w:ascii="Times New Roman" w:hAnsi="Times New Roman"/>
                <w:bCs/>
              </w:rPr>
              <w:t xml:space="preserve"> cu următorul cuprins:</w:t>
            </w:r>
          </w:p>
          <w:p w14:paraId="546E47B0"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„Articolul 75</w:t>
            </w:r>
            <w:r w:rsidRPr="005D6998">
              <w:rPr>
                <w:rFonts w:ascii="Times New Roman" w:hAnsi="Times New Roman"/>
                <w:bCs/>
                <w:vertAlign w:val="superscript"/>
              </w:rPr>
              <w:t>4</w:t>
            </w:r>
            <w:r w:rsidRPr="005D6998">
              <w:rPr>
                <w:rFonts w:ascii="Times New Roman" w:hAnsi="Times New Roman"/>
                <w:bCs/>
              </w:rPr>
              <w:t>. Schimbul de informații privind sancțiunile</w:t>
            </w:r>
          </w:p>
          <w:p w14:paraId="25C10C92"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lastRenderedPageBreak/>
              <w:t>(1) Banca Națională a Moldovei informează Autoritatea Bancară Europeană cu privire la sancțiunile aplicate în temeiul Legii nr. 202/2017 privind activitatea instituțiilor de credit, inclusiv informaţiile privind contestarea aplicării şi rezultatul acestora, cu condiția respectării prevederilor cu privire la secretul profesional din capitolul 3 al titlului V din Legea nr.202/2017 privind activitatea instituțiilor de credit.</w:t>
            </w:r>
            <w:r w:rsidRPr="005D6998">
              <w:rPr>
                <w:rFonts w:ascii="Times New Roman" w:hAnsi="Times New Roman"/>
                <w:bCs/>
                <w:i/>
                <w:iCs/>
              </w:rPr>
              <w:t xml:space="preserve"> </w:t>
            </w:r>
          </w:p>
          <w:p w14:paraId="7A0C0A83" w14:textId="77777777" w:rsidR="00AE6E19" w:rsidRPr="005D6998" w:rsidRDefault="00AE6E19" w:rsidP="00AE6E19">
            <w:pPr>
              <w:tabs>
                <w:tab w:val="left" w:pos="884"/>
                <w:tab w:val="left" w:pos="1196"/>
              </w:tabs>
              <w:spacing w:after="0" w:line="240" w:lineRule="auto"/>
              <w:jc w:val="both"/>
              <w:rPr>
                <w:rFonts w:ascii="Times New Roman" w:hAnsi="Times New Roman"/>
                <w:bCs/>
              </w:rPr>
            </w:pPr>
          </w:p>
          <w:p w14:paraId="3AFC3CC0"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bCs/>
              </w:rPr>
              <w:t>(2) În cazul în care au intervenit schimbări cu privire la statutul procedurii de contestare a sancţiunii ori acestea au fost soluţionate în mod definitiv în favoarea persoanei fizice sau juridice sancționate, Banca Naţională a Moldovei solicită Autorităţii Bancare Europene actualizarea sau eliminarea din baza de date a informaţiilor comunicate potrivit alin. (1).”.</w:t>
            </w:r>
          </w:p>
        </w:tc>
        <w:tc>
          <w:tcPr>
            <w:tcW w:w="1418" w:type="dxa"/>
            <w:gridSpan w:val="2"/>
            <w:vMerge w:val="restart"/>
          </w:tcPr>
          <w:p w14:paraId="79B360A5" w14:textId="77777777" w:rsidR="00AE6E19" w:rsidRPr="005D6998" w:rsidRDefault="00AE6E19" w:rsidP="00AE6E19">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Centrul de armonizare a legislației</w:t>
            </w:r>
          </w:p>
          <w:p w14:paraId="718FA468" w14:textId="77777777" w:rsidR="00AE6E19" w:rsidRPr="005D6998" w:rsidRDefault="00AE6E19" w:rsidP="00AE6E19">
            <w:pPr>
              <w:tabs>
                <w:tab w:val="left" w:pos="884"/>
                <w:tab w:val="left" w:pos="1196"/>
              </w:tabs>
              <w:spacing w:after="0" w:line="240" w:lineRule="auto"/>
              <w:jc w:val="center"/>
              <w:rPr>
                <w:rFonts w:ascii="Times New Roman" w:hAnsi="Times New Roman"/>
                <w:b/>
              </w:rPr>
            </w:pPr>
          </w:p>
          <w:p w14:paraId="2EA31D66" w14:textId="77777777" w:rsidR="00AE6E19" w:rsidRPr="005D6998" w:rsidRDefault="00AE6E19" w:rsidP="00AE6E19">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31/02-126-7608</w:t>
            </w:r>
          </w:p>
          <w:p w14:paraId="42AB9005"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4AC0F1F9"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670FB559" w14:textId="77777777" w:rsidR="00AE6E19" w:rsidRPr="005D6998" w:rsidRDefault="00AE6E19" w:rsidP="00AE6E19">
            <w:pPr>
              <w:spacing w:after="0" w:line="240" w:lineRule="auto"/>
              <w:jc w:val="both"/>
              <w:rPr>
                <w:rFonts w:ascii="Times New Roman" w:hAnsi="Times New Roman"/>
              </w:rPr>
            </w:pPr>
            <w:r w:rsidRPr="005D6998">
              <w:rPr>
                <w:rFonts w:ascii="Times New Roman" w:eastAsia="Calibri" w:hAnsi="Times New Roman"/>
                <w:bCs/>
                <w:lang w:eastAsia="en-US"/>
              </w:rPr>
              <w:t>Cu referire la alin. (1) din art. 75</w:t>
            </w:r>
            <w:r w:rsidRPr="005D6998">
              <w:rPr>
                <w:rFonts w:ascii="Times New Roman" w:eastAsia="Calibri" w:hAnsi="Times New Roman"/>
                <w:bCs/>
                <w:vertAlign w:val="superscript"/>
                <w:lang w:eastAsia="en-US"/>
              </w:rPr>
              <w:t>4</w:t>
            </w:r>
            <w:r w:rsidRPr="005D6998">
              <w:rPr>
                <w:rFonts w:ascii="Times New Roman" w:eastAsia="Calibri" w:hAnsi="Times New Roman"/>
                <w:bCs/>
                <w:lang w:eastAsia="en-US"/>
              </w:rPr>
              <w:t xml:space="preserve"> propus cu privire la schimbul de informații cu EBA, se menționează că transmiterea sancțiunilor către EBA trebuie fundamentată pe temei legal clar conform legislației în domeniul protecției datelor cu caracter personal (cerințele privind anonimizarea, termenul de păstrare etc.).</w:t>
            </w:r>
          </w:p>
        </w:tc>
        <w:tc>
          <w:tcPr>
            <w:tcW w:w="4815" w:type="dxa"/>
          </w:tcPr>
          <w:p w14:paraId="60ACF3A4"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660BD263"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Cs/>
              </w:rPr>
              <w:t>Textul “</w:t>
            </w:r>
            <w:r w:rsidRPr="005D6998">
              <w:rPr>
                <w:rFonts w:ascii="Times New Roman" w:hAnsi="Times New Roman"/>
                <w:bCs/>
                <w:i/>
                <w:iCs/>
              </w:rPr>
              <w:t>cu condiția respectării prevederilor cu privire la secretul profesional din capitolul 3 al titlului V din Legea nr.202/2017 privind activitatea instituțiilor de credit</w:t>
            </w:r>
            <w:r w:rsidRPr="005D6998">
              <w:rPr>
                <w:rFonts w:ascii="Times New Roman" w:hAnsi="Times New Roman"/>
                <w:bCs/>
              </w:rPr>
              <w:t xml:space="preserve">” din cadrul </w:t>
            </w:r>
            <w:r w:rsidRPr="005D6998">
              <w:rPr>
                <w:rFonts w:ascii="Times New Roman" w:eastAsia="Calibri" w:hAnsi="Times New Roman"/>
                <w:bCs/>
                <w:lang w:eastAsia="en-US"/>
              </w:rPr>
              <w:t>alin. (1) din art. 75</w:t>
            </w:r>
            <w:r w:rsidRPr="005D6998">
              <w:rPr>
                <w:rFonts w:ascii="Times New Roman" w:eastAsia="Calibri" w:hAnsi="Times New Roman"/>
                <w:bCs/>
                <w:vertAlign w:val="superscript"/>
                <w:lang w:eastAsia="en-US"/>
              </w:rPr>
              <w:t>4</w:t>
            </w:r>
            <w:r w:rsidRPr="005D6998">
              <w:rPr>
                <w:rFonts w:ascii="Times New Roman" w:eastAsia="Calibri" w:hAnsi="Times New Roman"/>
                <w:bCs/>
                <w:lang w:eastAsia="en-US"/>
              </w:rPr>
              <w:t xml:space="preserve"> instituie garanții privind confidențialitatea informațiilor transmise și limitează utilizarea acestora la scopurile pentru care au fost comunicate, astfel cum sunt prevăzute în Legea nr. 202/2017. Capitolul 3 din Titlul V, la art. 135 stabilește deja faptul că prelucrarea datelor cu caracter personal în sensul respectivei legi se efectuează în conformitate cu prevederile Legii nr. 195/2024 privind protecția </w:t>
            </w:r>
            <w:r w:rsidRPr="005D6998">
              <w:rPr>
                <w:rFonts w:ascii="Times New Roman" w:eastAsia="Calibri" w:hAnsi="Times New Roman"/>
                <w:bCs/>
                <w:lang w:eastAsia="en-US"/>
              </w:rPr>
              <w:lastRenderedPageBreak/>
              <w:t>datelor cu caracter personal. La rândul său, Legea nr. 195/2024 reglementează aspectele privind legalitatea prelucrării, cerințele privind datele și informațiile prelucrate, termenul de păstrare și exercitarea drepturilor persoanelor vizate.</w:t>
            </w:r>
          </w:p>
        </w:tc>
      </w:tr>
      <w:tr w:rsidR="00AE6E19" w:rsidRPr="005D6998" w14:paraId="4FDB14B0" w14:textId="77777777" w:rsidTr="00651F58">
        <w:trPr>
          <w:gridAfter w:val="2"/>
          <w:wAfter w:w="153" w:type="dxa"/>
          <w:trHeight w:val="105"/>
        </w:trPr>
        <w:tc>
          <w:tcPr>
            <w:tcW w:w="899" w:type="dxa"/>
            <w:gridSpan w:val="3"/>
            <w:shd w:val="clear" w:color="auto" w:fill="FFFFFF"/>
          </w:tcPr>
          <w:p w14:paraId="1A12A827"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58C9AADF"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b/>
              </w:rPr>
              <w:t xml:space="preserve">Art. I. Legea nr. 548/1995 cu privire la Banca Naţională a Moldovei (republicată în Monitorul Oficial al R. Moldova,2015, nr.297-300 art.544), cu modificările ulterioare </w:t>
            </w:r>
            <w:r w:rsidRPr="005D6998">
              <w:rPr>
                <w:rFonts w:ascii="Times New Roman" w:hAnsi="Times New Roman"/>
                <w:bCs/>
              </w:rPr>
              <w:t>se modifică după cum urmează:</w:t>
            </w:r>
          </w:p>
          <w:p w14:paraId="4BAD0A86"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b/>
              </w:rPr>
              <w:t>[…]</w:t>
            </w:r>
          </w:p>
          <w:p w14:paraId="48798488"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1418" w:type="dxa"/>
            <w:gridSpan w:val="2"/>
            <w:vMerge/>
          </w:tcPr>
          <w:p w14:paraId="78DE24AD"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7D3207CA"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0361D5D6" w14:textId="77777777" w:rsidR="00AE6E19" w:rsidRPr="005D6998" w:rsidRDefault="00AE6E19" w:rsidP="00AE6E19">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Se consideră necesar ca proiectul să fie ajustat pentru a reflecta viitoarea transpunere a Directivei (UE) 2024/1640 și a altor acte conexe ale UE, în corelare cu intervențiile legislative naționale aflate în proces de elaborare.</w:t>
            </w:r>
          </w:p>
          <w:p w14:paraId="5B55132F" w14:textId="77777777" w:rsidR="00AE6E19" w:rsidRPr="005D6998" w:rsidRDefault="00AE6E19" w:rsidP="00AE6E19">
            <w:pPr>
              <w:spacing w:after="0" w:line="240" w:lineRule="auto"/>
              <w:jc w:val="both"/>
              <w:rPr>
                <w:rFonts w:ascii="Times New Roman" w:hAnsi="Times New Roman"/>
              </w:rPr>
            </w:pPr>
            <w:r w:rsidRPr="005D6998">
              <w:rPr>
                <w:rFonts w:ascii="Times New Roman" w:eastAsia="Calibri" w:hAnsi="Times New Roman"/>
                <w:bCs/>
                <w:lang w:eastAsia="en-US"/>
              </w:rPr>
              <w:t xml:space="preserve">În acest sens, se impune necesitatea uniformizării terminologiei cu legislația specială aplicabilă Serviciului Prevenirea și Combaterea Spălării Banilor (UIF), precum și delimitarea clară a competențelor în cadrul mecanismelor de cooperare interinstituțională, pentru a asigura coerență și conformitate deplină. Această abordare va </w:t>
            </w:r>
            <w:r w:rsidRPr="005D6998">
              <w:rPr>
                <w:rFonts w:ascii="Times New Roman" w:eastAsia="Calibri" w:hAnsi="Times New Roman"/>
                <w:bCs/>
                <w:lang w:eastAsia="en-US"/>
              </w:rPr>
              <w:lastRenderedPageBreak/>
              <w:t>asigura coerența cadrului normativ și va preveni necesitatea unor modificări legislative succesive.</w:t>
            </w:r>
          </w:p>
        </w:tc>
        <w:tc>
          <w:tcPr>
            <w:tcW w:w="4815" w:type="dxa"/>
          </w:tcPr>
          <w:p w14:paraId="69CDE4DD"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1AD1D69E"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Proiectul este elaborat în vederea transpunerii și implementării cerințelor aferente cadrului CRD/CRR și nu conține intervenții normative asupra reglementărilor privind prevenirea și combaterea spălării banilor și finanțării terorismului.</w:t>
            </w:r>
          </w:p>
          <w:p w14:paraId="7F232730"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Normele din Legea nr. 202/2017 referitoare la acest domeniu au caracter limitat și de trimitere la legislația specială, fiind reglementate în principal prin Legea nr. 308/2017 cu privire la prevenirea și combaterea spălării banilor și finanțării terorismului. Aspectele ce țin de transpunerea Directivei (UE) 2024/1640, uniformizarea terminologiei aplicabile Serviciului Prevenirea și Combaterea Spălării </w:t>
            </w:r>
            <w:r w:rsidRPr="005D6998">
              <w:rPr>
                <w:rFonts w:ascii="Times New Roman" w:hAnsi="Times New Roman"/>
              </w:rPr>
              <w:lastRenderedPageBreak/>
              <w:t>Banilor și delimitarea competențelor instituționale urmează a fi examinate în cadrul inițiativelor legislative dedicate pachetului european AML/CFT.</w:t>
            </w:r>
          </w:p>
          <w:p w14:paraId="02A35AB2"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În consecință, propunerea excedează obiectului de reglementare al prezentului proiect.</w:t>
            </w:r>
          </w:p>
        </w:tc>
      </w:tr>
      <w:tr w:rsidR="00AE6E19" w:rsidRPr="005D6998" w14:paraId="3E87EEE0" w14:textId="77777777" w:rsidTr="00651F58">
        <w:trPr>
          <w:gridAfter w:val="2"/>
          <w:wAfter w:w="153" w:type="dxa"/>
          <w:trHeight w:val="105"/>
        </w:trPr>
        <w:tc>
          <w:tcPr>
            <w:tcW w:w="899" w:type="dxa"/>
            <w:gridSpan w:val="3"/>
            <w:shd w:val="clear" w:color="auto" w:fill="FFFFFF"/>
          </w:tcPr>
          <w:p w14:paraId="22B57C5B"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2770866D"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3. Articolul 1:</w:t>
            </w:r>
          </w:p>
          <w:p w14:paraId="22E1D57F"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 xml:space="preserve"> la litera c), după cuvintele „Banca Naţională a Moldovei” se completează cu textul „și, corespunzător, Comisia Națională  Pieței Financiare”;</w:t>
            </w:r>
          </w:p>
          <w:p w14:paraId="4CC83111"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se completează cu litera f) cu următorul cuprins:</w:t>
            </w:r>
          </w:p>
          <w:p w14:paraId="370F4167"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„f) relațiile Băncii Naționale a Moldovei cu autoritățile de supraveghere din statele membre sau din statele terțe, cu Autoritatea Bancară Europeană, cu Comisia Europeană și cu alte autorităţi, instituţii sau organisme.”</w:t>
            </w:r>
          </w:p>
          <w:p w14:paraId="5F4CD94B" w14:textId="77777777" w:rsidR="00AE6E19" w:rsidRPr="005D6998" w:rsidRDefault="00AE6E19" w:rsidP="00AE6E19">
            <w:pPr>
              <w:tabs>
                <w:tab w:val="left" w:pos="884"/>
                <w:tab w:val="left" w:pos="1196"/>
              </w:tabs>
              <w:spacing w:after="0" w:line="240" w:lineRule="auto"/>
              <w:jc w:val="both"/>
              <w:rPr>
                <w:rFonts w:ascii="Times New Roman" w:hAnsi="Times New Roman"/>
                <w:bCs/>
              </w:rPr>
            </w:pPr>
          </w:p>
          <w:p w14:paraId="2238FA06"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1418" w:type="dxa"/>
            <w:gridSpan w:val="2"/>
            <w:vMerge/>
          </w:tcPr>
          <w:p w14:paraId="7EDC819B"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6C6517CF"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7D4F4DD1" w14:textId="77777777" w:rsidR="00AE6E19" w:rsidRPr="005D6998" w:rsidRDefault="00AE6E19" w:rsidP="00AE6E19">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 xml:space="preserve">Se evidențiază că, prevederile art. 1 al Directivei 2013/36/UE se referă la „autorități competente”, fără a restrânge noțiunea la o singură instituție. În Republica Moldova, atât BNM, cât și CNPF sunt desemnate ca autorități competente. </w:t>
            </w:r>
          </w:p>
          <w:p w14:paraId="6669413C" w14:textId="77777777" w:rsidR="00AE6E19" w:rsidRPr="005D6998" w:rsidRDefault="00AE6E19" w:rsidP="00AE6E19">
            <w:pPr>
              <w:spacing w:after="0" w:line="240" w:lineRule="auto"/>
              <w:jc w:val="both"/>
              <w:rPr>
                <w:rFonts w:ascii="Times New Roman" w:hAnsi="Times New Roman"/>
              </w:rPr>
            </w:pPr>
            <w:r w:rsidRPr="005D6998">
              <w:rPr>
                <w:rFonts w:ascii="Times New Roman" w:eastAsia="Calibri" w:hAnsi="Times New Roman"/>
                <w:bCs/>
                <w:lang w:eastAsia="en-US"/>
              </w:rPr>
              <w:t>Prin urmare, cerințele directivei trebuie să fie aplicabile ambelor, pentru a asigura transpunerea fidelă. Or, în cazul în care cerințele (de publicare și transparență) se aplică doar BNM, există riscul ca instituțiile supravegheate de CNPF să nu fie supuse acelorași standarde, ceea ce poate crea un regim dual, contrar obiectivului actului UE de uniformizare.</w:t>
            </w:r>
          </w:p>
        </w:tc>
        <w:tc>
          <w:tcPr>
            <w:tcW w:w="4815" w:type="dxa"/>
          </w:tcPr>
          <w:p w14:paraId="6EF893CE"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514B2D16"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Potrivit Art. III, pct. 8 din prezentul proiect, prin care Legea nr. 202/2017 se completează cu art. 51 alin. (8), orice referire la Banca Naţională a Moldovei din Legea nr. 202/2017 în raport cu instituțiile de credit prevăzute la art. 3 noțiunea „instituție de credit” lit. b) se consideră a fi făcută la Comisia Națională a Pieței Financiare.</w:t>
            </w:r>
          </w:p>
          <w:p w14:paraId="4C0D8A85"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Respectiv, se aplică aceleași reguli stabilite pentru instituțiile de credit prevăzute la noțiunea respectivă la lit. b) – supravegheate de CNPF – ca și în cazul celor prevăzute la lit. a) – supravegheate de BNM.</w:t>
            </w:r>
          </w:p>
        </w:tc>
      </w:tr>
      <w:tr w:rsidR="00AE6E19" w:rsidRPr="005D6998" w14:paraId="5BD5BA71" w14:textId="77777777" w:rsidTr="00651F58">
        <w:trPr>
          <w:gridAfter w:val="2"/>
          <w:wAfter w:w="153" w:type="dxa"/>
          <w:trHeight w:val="105"/>
        </w:trPr>
        <w:tc>
          <w:tcPr>
            <w:tcW w:w="899" w:type="dxa"/>
            <w:gridSpan w:val="3"/>
            <w:shd w:val="clear" w:color="auto" w:fill="FFFFFF"/>
          </w:tcPr>
          <w:p w14:paraId="7FE3EA0D"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6596FD64"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5. Articolul 3 se modifică și se completează după cum urmează:</w:t>
            </w:r>
          </w:p>
          <w:p w14:paraId="6C83CB27"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după noțiunea “client” se completează cu noțiunile [...] „contraparte centrală” cu următorul cuprins:</w:t>
            </w:r>
          </w:p>
          <w:p w14:paraId="1715919B"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bCs/>
                <w:i/>
                <w:iCs/>
              </w:rPr>
              <w:t>contraparte centrală</w:t>
            </w:r>
            <w:r w:rsidRPr="005D6998">
              <w:rPr>
                <w:rFonts w:ascii="Times New Roman" w:hAnsi="Times New Roman"/>
                <w:bCs/>
              </w:rPr>
              <w:t xml:space="preserve"> –astfel cum este definită de legislația privind instrumentele financiare derivate extrabursiere, contrapărțile centrale și registrele centrale de tranzacții;”;</w:t>
            </w:r>
          </w:p>
        </w:tc>
        <w:tc>
          <w:tcPr>
            <w:tcW w:w="1418" w:type="dxa"/>
            <w:gridSpan w:val="2"/>
            <w:vMerge/>
          </w:tcPr>
          <w:p w14:paraId="317F934B"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06426FA1"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3DC11CA0" w14:textId="77777777" w:rsidR="00AE6E19" w:rsidRPr="005D6998" w:rsidRDefault="00AE6E19" w:rsidP="00AE6E19">
            <w:pPr>
              <w:spacing w:after="0" w:line="240" w:lineRule="auto"/>
              <w:jc w:val="both"/>
              <w:rPr>
                <w:rFonts w:ascii="Times New Roman" w:hAnsi="Times New Roman"/>
              </w:rPr>
            </w:pPr>
            <w:r w:rsidRPr="005D6998">
              <w:rPr>
                <w:rFonts w:ascii="Times New Roman" w:eastAsia="Calibri" w:hAnsi="Times New Roman"/>
                <w:bCs/>
                <w:lang w:eastAsia="en-US"/>
              </w:rPr>
              <w:t>Definiția „contraparte centrală” nu este preluată în totalitate din art. 4 (1) pct. 34 din Regulamentul (UE) nr. 575/2013, ori proiectul introduce o referință generică la legislația privind instrumentele financiare derivate extrabursiere, contrapărțile centrale și registrele centrale de tranzacții.</w:t>
            </w:r>
          </w:p>
        </w:tc>
        <w:tc>
          <w:tcPr>
            <w:tcW w:w="4815" w:type="dxa"/>
          </w:tcPr>
          <w:p w14:paraId="3473F540"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b/>
                <w:bCs/>
              </w:rPr>
              <w:t>Nu se acceptă</w:t>
            </w:r>
            <w:r w:rsidRPr="005D6998">
              <w:rPr>
                <w:rFonts w:ascii="Times New Roman" w:hAnsi="Times New Roman"/>
              </w:rPr>
              <w:t>.</w:t>
            </w:r>
          </w:p>
          <w:p w14:paraId="5F946AE5"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O abordare similară este utilizată și în Regulamentul (UE) nr. 575/2013, pct. 34 din art. 4 alin. (1), care face trimitere la Regulamentul (UE) nr. 648/2012. Având în vedere că actul UE care reglementează această definiție este transpus în cadrul altor acte normative decât cele aferente competenței BNM, se aplică aceeași tehnică legislativă, prin trimiterea la cadrul normativ relevant, fără a dubla prevederile acestuia.</w:t>
            </w:r>
          </w:p>
        </w:tc>
      </w:tr>
      <w:tr w:rsidR="00AE6E19" w:rsidRPr="005D6998" w14:paraId="74388AAD" w14:textId="77777777" w:rsidTr="00651F58">
        <w:trPr>
          <w:gridAfter w:val="2"/>
          <w:wAfter w:w="153" w:type="dxa"/>
          <w:trHeight w:val="105"/>
        </w:trPr>
        <w:tc>
          <w:tcPr>
            <w:tcW w:w="899" w:type="dxa"/>
            <w:gridSpan w:val="3"/>
            <w:shd w:val="clear" w:color="auto" w:fill="FFFFFF"/>
          </w:tcPr>
          <w:p w14:paraId="315E666E"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0D8C5A96"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după noțiunea „</w:t>
            </w:r>
            <w:r w:rsidRPr="005D6998">
              <w:rPr>
                <w:rFonts w:ascii="Times New Roman" w:hAnsi="Times New Roman"/>
                <w:i/>
                <w:iCs/>
              </w:rPr>
              <w:t>credit</w:t>
            </w:r>
            <w:r w:rsidRPr="005D6998">
              <w:rPr>
                <w:rFonts w:ascii="Times New Roman" w:hAnsi="Times New Roman"/>
              </w:rPr>
              <w:t>” se completează cu noțiunea „</w:t>
            </w:r>
            <w:r w:rsidRPr="005D6998">
              <w:rPr>
                <w:rFonts w:ascii="Times New Roman" w:hAnsi="Times New Roman"/>
                <w:i/>
                <w:iCs/>
              </w:rPr>
              <w:t xml:space="preserve">criptoactiv” </w:t>
            </w:r>
            <w:r w:rsidRPr="005D6998">
              <w:rPr>
                <w:rFonts w:ascii="Times New Roman" w:hAnsi="Times New Roman"/>
              </w:rPr>
              <w:t>cu următorul cuprins:</w:t>
            </w:r>
          </w:p>
          <w:p w14:paraId="5C7BF10D"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w:t>
            </w:r>
            <w:r w:rsidRPr="005D6998">
              <w:rPr>
                <w:rFonts w:ascii="Times New Roman" w:hAnsi="Times New Roman"/>
                <w:i/>
                <w:iCs/>
              </w:rPr>
              <w:t xml:space="preserve">criptoactiv </w:t>
            </w:r>
            <w:r w:rsidRPr="005D6998">
              <w:rPr>
                <w:rFonts w:ascii="Times New Roman" w:hAnsi="Times New Roman"/>
              </w:rPr>
              <w:t>– un criptoactiv astfel cum este definit de legislația privind piața criptoactivelor și care nu este o monedă digitală emisă de o bancă centrală.”;</w:t>
            </w:r>
          </w:p>
        </w:tc>
        <w:tc>
          <w:tcPr>
            <w:tcW w:w="1418" w:type="dxa"/>
            <w:gridSpan w:val="2"/>
            <w:vMerge/>
          </w:tcPr>
          <w:p w14:paraId="19DB6148"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102FCDAB"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14F1C9AD"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Se consideră că noțiunea de „criptoactiv” reproduce conceptul de bază din MiCA, dar excluderea expresă a monedelor digitale ale băncilor centrale limitează definiția generală a UE. În context, recomandăm păstrarea doar a referinței normative la legislația specială, care va defini complet această noțiune.</w:t>
            </w:r>
          </w:p>
        </w:tc>
        <w:tc>
          <w:tcPr>
            <w:tcW w:w="4815" w:type="dxa"/>
          </w:tcPr>
          <w:p w14:paraId="1AD2C04D"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22280445"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Definiția este preluată fidel din Directiva (UE) 2013/36 de la pct. 70 a alin. (1) din art. 3.</w:t>
            </w:r>
          </w:p>
        </w:tc>
      </w:tr>
      <w:tr w:rsidR="00AE6E19" w:rsidRPr="005D6998" w14:paraId="04D74917" w14:textId="77777777" w:rsidTr="00651F58">
        <w:trPr>
          <w:gridAfter w:val="2"/>
          <w:wAfter w:w="153" w:type="dxa"/>
          <w:trHeight w:val="105"/>
        </w:trPr>
        <w:tc>
          <w:tcPr>
            <w:tcW w:w="899" w:type="dxa"/>
            <w:gridSpan w:val="3"/>
            <w:shd w:val="clear" w:color="auto" w:fill="FFFFFF"/>
          </w:tcPr>
          <w:p w14:paraId="382D1738"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34E0894D"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după noțiunea “</w:t>
            </w:r>
            <w:r w:rsidRPr="005D6998">
              <w:rPr>
                <w:rFonts w:ascii="Times New Roman" w:hAnsi="Times New Roman"/>
                <w:i/>
                <w:iCs/>
              </w:rPr>
              <w:t>beneficiar efectiv</w:t>
            </w:r>
            <w:r w:rsidRPr="005D6998">
              <w:rPr>
                <w:rFonts w:ascii="Times New Roman" w:hAnsi="Times New Roman"/>
              </w:rPr>
              <w:t>” se completează cu următoarele noțiuni cu următorul cuprins:</w:t>
            </w:r>
          </w:p>
          <w:p w14:paraId="25000D2A"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w:t>
            </w:r>
          </w:p>
          <w:p w14:paraId="0E05D4F5"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i/>
                <w:iCs/>
              </w:rPr>
              <w:t xml:space="preserve">capital eligibil </w:t>
            </w:r>
            <w:r w:rsidRPr="005D6998">
              <w:rPr>
                <w:rFonts w:ascii="Times New Roman" w:hAnsi="Times New Roman"/>
              </w:rPr>
              <w:t>– suma fondurilor proprii de nivel 1 și fondurilor proprii de nivel 2, care sunt egale cu sau mai mici de o treime din fondurile proprii de nivel 1;”;</w:t>
            </w:r>
          </w:p>
          <w:p w14:paraId="10C78689" w14:textId="77777777" w:rsidR="00AE6E19" w:rsidRPr="005D6998" w:rsidRDefault="00AE6E19" w:rsidP="00AE6E19">
            <w:pPr>
              <w:spacing w:line="240" w:lineRule="auto"/>
              <w:rPr>
                <w:rFonts w:ascii="Times New Roman" w:hAnsi="Times New Roman"/>
              </w:rPr>
            </w:pPr>
          </w:p>
          <w:p w14:paraId="5180ECD7" w14:textId="77777777" w:rsidR="00AE6E19" w:rsidRPr="005D6998" w:rsidRDefault="00AE6E19" w:rsidP="00AE6E19">
            <w:pPr>
              <w:spacing w:line="240" w:lineRule="auto"/>
              <w:rPr>
                <w:rFonts w:ascii="Times New Roman" w:hAnsi="Times New Roman"/>
              </w:rPr>
            </w:pPr>
            <w:r w:rsidRPr="005D6998">
              <w:rPr>
                <w:rFonts w:ascii="Times New Roman" w:hAnsi="Times New Roman"/>
              </w:rPr>
              <w:t>după noțiunea „</w:t>
            </w:r>
            <w:r w:rsidRPr="005D6998">
              <w:rPr>
                <w:rFonts w:ascii="Times New Roman" w:hAnsi="Times New Roman"/>
                <w:i/>
                <w:iCs/>
              </w:rPr>
              <w:t>filială</w:t>
            </w:r>
            <w:r w:rsidRPr="005D6998">
              <w:rPr>
                <w:rFonts w:ascii="Times New Roman" w:hAnsi="Times New Roman"/>
              </w:rPr>
              <w:t>” se completează cu următoarele noțiuni cu următorul cuprins:</w:t>
            </w:r>
          </w:p>
          <w:p w14:paraId="5A0AE15A"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 xml:space="preserve">„[...] </w:t>
            </w:r>
          </w:p>
          <w:p w14:paraId="6E740D17"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i/>
                <w:iCs/>
              </w:rPr>
              <w:t>fonduri proprii</w:t>
            </w:r>
            <w:r w:rsidRPr="005D6998">
              <w:rPr>
                <w:rFonts w:ascii="Times New Roman" w:hAnsi="Times New Roman"/>
              </w:rPr>
              <w:t>– suma fondurilor proprii de nivel 1 și a fondurilor proprii de nivel 2, determinate conform actelor normative ale Băncii Naționale a Moldovei; [...]</w:t>
            </w:r>
          </w:p>
          <w:p w14:paraId="75270B8F"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i/>
                <w:iCs/>
              </w:rPr>
              <w:t xml:space="preserve">instituție mare </w:t>
            </w:r>
            <w:r w:rsidRPr="005D6998">
              <w:rPr>
                <w:rFonts w:ascii="Times New Roman" w:hAnsi="Times New Roman"/>
              </w:rPr>
              <w:t>– instituție de credit care îndeplinește oricare din următoarele condiții:</w:t>
            </w:r>
          </w:p>
          <w:p w14:paraId="75F375D7"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a) este o G-SIB</w:t>
            </w:r>
          </w:p>
          <w:p w14:paraId="17FCB3EA"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 xml:space="preserve">b) a fost identificată ca fiind o altă instituţie de importanţă sistemică O-SII; </w:t>
            </w:r>
          </w:p>
          <w:p w14:paraId="548EE6C2"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 xml:space="preserve">c) este una dintre cele mai mari trei instituţii de credit din Republica Moldova în ceea ce privește valoarea totală a activelor; </w:t>
            </w:r>
          </w:p>
          <w:p w14:paraId="093776A6"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 xml:space="preserve">d) valoarea totală a activelor sale pe bază individuală sau, după caz, pe baza situaţiei sale consolidate în conformitate cu prezenta lege și cu actele normative emise în aplicarea acesteia este mai mare sau egală cu </w:t>
            </w:r>
            <w:r w:rsidRPr="005D6998">
              <w:rPr>
                <w:rFonts w:ascii="Times New Roman" w:hAnsi="Times New Roman"/>
              </w:rPr>
              <w:lastRenderedPageBreak/>
              <w:t xml:space="preserve">echivalentul în MDL a 30 de miliarde EUR; </w:t>
            </w:r>
            <w:r w:rsidRPr="005D6998">
              <w:rPr>
                <w:rFonts w:ascii="Times New Roman" w:hAnsi="Times New Roman"/>
                <w:i/>
                <w:iCs/>
              </w:rPr>
              <w:t>”</w:t>
            </w:r>
          </w:p>
          <w:p w14:paraId="2FCF6D70"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după noțiunea „organ de conducere” se completează cu următoarele noțiuni cu următorul cuprins:</w:t>
            </w:r>
          </w:p>
          <w:p w14:paraId="43A61ED4"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w:t>
            </w:r>
          </w:p>
          <w:p w14:paraId="56F98D3F"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i/>
                <w:iCs/>
              </w:rPr>
              <w:t xml:space="preserve">penalitate cu titlu cominatoriu </w:t>
            </w:r>
            <w:r w:rsidRPr="005D6998">
              <w:rPr>
                <w:rFonts w:ascii="Times New Roman" w:hAnsi="Times New Roman"/>
              </w:rPr>
              <w:t>– măsură de executare pecuniară periodică care are scopul de a pune capăt încălcărilor în curs ale prevederilor prezentei legi și a actelor normative emise în aplicarea acesteia sau ale deciziilor Băncii Naționale a Moldovei prin care au fost dispuse măsurile sau sancțiunile prevăzute de prezenta lege și de a obliga persoanele fizice sau juridice să revină la respectarea prevederilor încălcate;”;</w:t>
            </w:r>
          </w:p>
          <w:p w14:paraId="3EAC88BF"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după noțiunea „</w:t>
            </w:r>
            <w:r w:rsidRPr="005D6998">
              <w:rPr>
                <w:rFonts w:ascii="Times New Roman" w:hAnsi="Times New Roman"/>
                <w:i/>
                <w:iCs/>
              </w:rPr>
              <w:t>risc sistemic</w:t>
            </w:r>
            <w:r w:rsidRPr="005D6998">
              <w:rPr>
                <w:rFonts w:ascii="Times New Roman" w:hAnsi="Times New Roman"/>
              </w:rPr>
              <w:t>” se completează cu noțiunea de „</w:t>
            </w:r>
            <w:r w:rsidRPr="005D6998">
              <w:rPr>
                <w:rFonts w:ascii="Times New Roman" w:hAnsi="Times New Roman"/>
                <w:i/>
                <w:iCs/>
              </w:rPr>
              <w:t>securitizare</w:t>
            </w:r>
            <w:r w:rsidRPr="005D6998">
              <w:rPr>
                <w:rFonts w:ascii="Times New Roman" w:hAnsi="Times New Roman"/>
              </w:rPr>
              <w:t>” cu următorul cuprins:</w:t>
            </w:r>
          </w:p>
          <w:p w14:paraId="7C06DF93"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rPr>
              <w:t>„</w:t>
            </w:r>
            <w:r w:rsidRPr="005D6998">
              <w:rPr>
                <w:rFonts w:ascii="Times New Roman" w:hAnsi="Times New Roman"/>
                <w:i/>
                <w:iCs/>
              </w:rPr>
              <w:t xml:space="preserve">securitizare </w:t>
            </w:r>
            <w:r w:rsidRPr="005D6998">
              <w:rPr>
                <w:rFonts w:ascii="Times New Roman" w:hAnsi="Times New Roman"/>
              </w:rPr>
              <w:t>– securitizare care îndeplinește condițiile prevăzute de actele normative ale Băncii Naționale a Moldovei;”</w:t>
            </w:r>
          </w:p>
        </w:tc>
        <w:tc>
          <w:tcPr>
            <w:tcW w:w="1418" w:type="dxa"/>
            <w:gridSpan w:val="2"/>
            <w:vMerge/>
          </w:tcPr>
          <w:p w14:paraId="2EBC0297"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7DBC1BD1"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34840D46" w14:textId="77777777" w:rsidR="00AE6E19" w:rsidRPr="005D6998" w:rsidRDefault="00AE6E19" w:rsidP="00AE6E19">
            <w:pPr>
              <w:spacing w:after="0" w:line="240" w:lineRule="auto"/>
              <w:jc w:val="both"/>
              <w:rPr>
                <w:rFonts w:ascii="Times New Roman" w:eastAsia="Calibri" w:hAnsi="Times New Roman"/>
                <w:bCs/>
                <w:lang w:eastAsia="en-US"/>
              </w:rPr>
            </w:pPr>
            <w:r w:rsidRPr="005D6998">
              <w:rPr>
                <w:rFonts w:ascii="Times New Roman" w:hAnsi="Times New Roman"/>
              </w:rPr>
              <w:t>Se propune ca definiții, precum: „fonduri proprii”, „capital eligibil”, „securizare”, „instituție mare”, „penalitate cu titlu cominatoriu” etc. să fie preluate și definite în actele normative ale BNM.</w:t>
            </w:r>
          </w:p>
        </w:tc>
        <w:tc>
          <w:tcPr>
            <w:tcW w:w="4815" w:type="dxa"/>
          </w:tcPr>
          <w:p w14:paraId="48FE0315"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53C90F80"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Se consideră oportună menținerea în cuprinsul legii a definițiilor unor noțiuni precum „fonduri proprii”, „capital eligibil”, „securizare”, „instituție mare”, „penalitate cu titlu cominatoriu” etc., având în vedere că acestea sunt utilizate în mod repetat pe parcursul actului normativ și reprezintă noțiuni preluate din Directiva 2013/36/UE.</w:t>
            </w:r>
          </w:p>
          <w:p w14:paraId="6364774B" w14:textId="77777777" w:rsidR="00AE6E19" w:rsidRPr="005D6998" w:rsidRDefault="00AE6E19" w:rsidP="00AE6E19">
            <w:pPr>
              <w:tabs>
                <w:tab w:val="left" w:pos="884"/>
                <w:tab w:val="left" w:pos="1196"/>
              </w:tabs>
              <w:spacing w:after="0" w:line="240" w:lineRule="auto"/>
              <w:jc w:val="both"/>
              <w:rPr>
                <w:rFonts w:ascii="Times New Roman" w:hAnsi="Times New Roman"/>
              </w:rPr>
            </w:pPr>
          </w:p>
          <w:p w14:paraId="20415143"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Totodată, reglementarea acestor noțiuni exclusiv în acte normative secundare ale BNM nu este considerată suficientă, în condițiile în care unele dintre actele respective urmează a fi abrogate în contextul aderării la Uniunea Europeană, luând în considerare că regulamentele UE devin direct aplicabile. Menținerea definițiilor la nivel de lege contribuie la asigurarea clarității, accesibilității și previzibilității normei juridice, precum și la o transpunere completă și coerentă a dispozițiilor Directivei 2013/36/UE.</w:t>
            </w:r>
          </w:p>
        </w:tc>
      </w:tr>
      <w:tr w:rsidR="00AE6E19" w:rsidRPr="005D6998" w14:paraId="66D26503" w14:textId="77777777" w:rsidTr="00651F58">
        <w:trPr>
          <w:gridAfter w:val="2"/>
          <w:wAfter w:w="153" w:type="dxa"/>
          <w:trHeight w:val="105"/>
        </w:trPr>
        <w:tc>
          <w:tcPr>
            <w:tcW w:w="899" w:type="dxa"/>
            <w:gridSpan w:val="3"/>
            <w:shd w:val="clear" w:color="auto" w:fill="FFFFFF"/>
          </w:tcPr>
          <w:p w14:paraId="521BB159"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0B6F93CE"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bCs/>
              </w:rPr>
              <w:t>la noțiunea „deținere calificată”, textul „1%” se substituie cu textul “„10%” iar după cuvintele „influențe” se completează cu cuvântul „semnificative” iar textul “la luarea deciziilor în adunarea generală sau în organul de conducere, reprezentînd mai puţin de 1% din capitalul social ori din drepturile de vot” se substituie cu textul “respective, astfel cum este definită în actele normative ale Băncii Naționale a Moldovei”;</w:t>
            </w:r>
          </w:p>
        </w:tc>
        <w:tc>
          <w:tcPr>
            <w:tcW w:w="1418" w:type="dxa"/>
            <w:gridSpan w:val="2"/>
            <w:vMerge/>
          </w:tcPr>
          <w:p w14:paraId="5285EB99"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76AC3B66"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486FAAB2" w14:textId="77777777" w:rsidR="00AE6E19" w:rsidRPr="005D6998" w:rsidRDefault="00AE6E19" w:rsidP="00AE6E19">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Se propune alinierea terminologică a noțiunii de “deținere calificată” la sensul mai larg din art. 4 (1) pct. 36 al Regulamentului (UE) nr. 575/2013.</w:t>
            </w:r>
          </w:p>
          <w:p w14:paraId="7EF44534" w14:textId="77777777" w:rsidR="00AE6E19" w:rsidRPr="005D6998" w:rsidRDefault="00AE6E19" w:rsidP="00AE6E19">
            <w:pPr>
              <w:spacing w:after="0" w:line="240" w:lineRule="auto"/>
              <w:jc w:val="both"/>
              <w:rPr>
                <w:rFonts w:ascii="Times New Roman" w:hAnsi="Times New Roman"/>
              </w:rPr>
            </w:pPr>
            <w:r w:rsidRPr="005D6998">
              <w:rPr>
                <w:rFonts w:ascii="Times New Roman" w:eastAsia="Calibri" w:hAnsi="Times New Roman"/>
                <w:bCs/>
                <w:lang w:eastAsia="en-US"/>
              </w:rPr>
              <w:t>Se evidențiază că, diferența dintre noțiunile „capital” (actul UE) și „capital social” (proiectul național) poate restrânge aplicarea noțiunii de „deținere calificată”. Pentru conformitate deplină, ar fi necesară alinierea terminologică la sensul mai larg din art. 4 (1) pct. 36 al Regulamentului (UE) nr. 575/2013.</w:t>
            </w:r>
          </w:p>
        </w:tc>
        <w:tc>
          <w:tcPr>
            <w:tcW w:w="4815" w:type="dxa"/>
          </w:tcPr>
          <w:p w14:paraId="7C0FD439"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064D8420"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Urmare examinării sensului utilizat de Directiva 2013/36/UE care face trimitere la Regulamentul (UE) nr. 575/2013 a termenului de “capital” în contextul deținerilor calificate, se păstrează sintagma “capital social”, având în vedere că sensul avut în vedere în cadrul directivei (art. 23-25) nu este de capital la modul general dar de “capital deținut”. În contextul legislației naționale, acesta este reprezentat de “capital social”.</w:t>
            </w:r>
          </w:p>
        </w:tc>
      </w:tr>
      <w:tr w:rsidR="00AE6E19" w:rsidRPr="005D6998" w14:paraId="07CE63DB" w14:textId="77777777" w:rsidTr="00651F58">
        <w:trPr>
          <w:gridAfter w:val="2"/>
          <w:wAfter w:w="153" w:type="dxa"/>
          <w:trHeight w:val="105"/>
        </w:trPr>
        <w:tc>
          <w:tcPr>
            <w:tcW w:w="899" w:type="dxa"/>
            <w:gridSpan w:val="3"/>
            <w:shd w:val="clear" w:color="auto" w:fill="FFFFFF"/>
          </w:tcPr>
          <w:p w14:paraId="307A166F"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vMerge w:val="restart"/>
          </w:tcPr>
          <w:p w14:paraId="56BB5AD8"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instituție de credit – persoană juridică a cărei activitate constă în oricare dintre  următoarele activități:</w:t>
            </w:r>
          </w:p>
          <w:p w14:paraId="6C98E4FC" w14:textId="77777777" w:rsidR="00AE6E19" w:rsidRPr="005D6998" w:rsidRDefault="00AE6E19" w:rsidP="00AE6E19">
            <w:pPr>
              <w:pStyle w:val="a7"/>
              <w:numPr>
                <w:ilvl w:val="0"/>
                <w:numId w:val="4"/>
              </w:numPr>
              <w:tabs>
                <w:tab w:val="left" w:pos="426"/>
              </w:tabs>
              <w:spacing w:after="0" w:line="240" w:lineRule="auto"/>
              <w:ind w:left="0" w:hanging="11"/>
              <w:jc w:val="both"/>
              <w:rPr>
                <w:rFonts w:ascii="Times New Roman" w:hAnsi="Times New Roman"/>
                <w:bCs/>
              </w:rPr>
            </w:pPr>
            <w:r w:rsidRPr="005D6998">
              <w:rPr>
                <w:rFonts w:ascii="Times New Roman" w:hAnsi="Times New Roman"/>
                <w:bCs/>
              </w:rPr>
              <w:t>atragerea de depozite sau de alte fonduri rambursabile de la public şi în acordarea de credite în cont propriu</w:t>
            </w:r>
          </w:p>
          <w:p w14:paraId="4095938E" w14:textId="77777777" w:rsidR="00AE6E19" w:rsidRPr="005D6998" w:rsidRDefault="00AE6E19" w:rsidP="00AE6E19">
            <w:pPr>
              <w:pStyle w:val="a7"/>
              <w:numPr>
                <w:ilvl w:val="0"/>
                <w:numId w:val="4"/>
              </w:numPr>
              <w:tabs>
                <w:tab w:val="left" w:pos="426"/>
              </w:tabs>
              <w:spacing w:after="0" w:line="240" w:lineRule="auto"/>
              <w:ind w:left="0" w:firstLine="0"/>
              <w:jc w:val="both"/>
              <w:rPr>
                <w:rFonts w:ascii="Times New Roman" w:hAnsi="Times New Roman"/>
                <w:bCs/>
              </w:rPr>
            </w:pPr>
            <w:r w:rsidRPr="005D6998">
              <w:rPr>
                <w:rFonts w:ascii="Times New Roman" w:hAnsi="Times New Roman"/>
                <w:bCs/>
              </w:rPr>
              <w:t xml:space="preserve">desfășurarea oricăreia dintre activităţile menţionate la art. 33 alin. (1) lit. (c) și lit. (f) din Legea nr. 171/2012 privind piața de capital în cazul în care este îndeplinită una dintre condiţiile următoare, dar întreprinderea nu este un comerciant de mărfuri și de certificate de emisii, un organism de plasament colectiv sau o societate de asigurare: </w:t>
            </w:r>
          </w:p>
          <w:p w14:paraId="454A79BD"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 xml:space="preserve">(i) valoarea totală a activelor consolidate ale întreprinderii este mai mare sau egală cu echivalentul în MDL a 30 de miliarde EUR; </w:t>
            </w:r>
          </w:p>
          <w:p w14:paraId="552D289E"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 xml:space="preserve">(ii) valoarea totală a activelor întreprinderii este mai mică de echivalentul în MDL a 30 de miliarde EUR, întreprinderea face parte dintr-un grup, iar valoarea totală a activelor consolidate ale tuturor întreprinderilor din grupul respectiv, care la nivel individual au active totale mai mici de echivalentul în MDL a 30 de miliarde EUR și care desfășoară oricare dintre activităţile menţionate la art. 33 alin. (1) lit. (c) și lit. (f) din Legea nr. 171/2012, este mai mare sau egală cu echivalentul în MDL a 30 de miliarde EUR; sau </w:t>
            </w:r>
          </w:p>
          <w:p w14:paraId="407C10E3" w14:textId="77777777" w:rsidR="00AE6E19" w:rsidRPr="005D6998" w:rsidRDefault="00AE6E19" w:rsidP="00AE6E19">
            <w:pPr>
              <w:tabs>
                <w:tab w:val="left" w:pos="884"/>
                <w:tab w:val="left" w:pos="1196"/>
              </w:tabs>
              <w:spacing w:after="0" w:line="240" w:lineRule="auto"/>
              <w:jc w:val="both"/>
              <w:rPr>
                <w:rFonts w:ascii="Times New Roman" w:hAnsi="Times New Roman"/>
                <w:bCs/>
              </w:rPr>
            </w:pPr>
            <w:r w:rsidRPr="005D6998">
              <w:rPr>
                <w:rFonts w:ascii="Times New Roman" w:hAnsi="Times New Roman"/>
                <w:bCs/>
              </w:rPr>
              <w:t>(iii) valoarea totală a activelor întreprinderii este mai mică de echivalentul în MDL a</w:t>
            </w:r>
            <w:r w:rsidRPr="005D6998" w:rsidDel="009E13C0">
              <w:rPr>
                <w:rFonts w:ascii="Times New Roman" w:hAnsi="Times New Roman"/>
                <w:bCs/>
              </w:rPr>
              <w:t xml:space="preserve"> </w:t>
            </w:r>
            <w:r w:rsidRPr="005D6998">
              <w:rPr>
                <w:rFonts w:ascii="Times New Roman" w:hAnsi="Times New Roman"/>
                <w:bCs/>
              </w:rPr>
              <w:t xml:space="preserve">30 de miliarde </w:t>
            </w:r>
            <w:r w:rsidRPr="005D6998">
              <w:rPr>
                <w:rFonts w:ascii="Times New Roman" w:hAnsi="Times New Roman"/>
                <w:bCs/>
              </w:rPr>
              <w:lastRenderedPageBreak/>
              <w:t xml:space="preserve">EUR, întreprinderea face parte dintr-un grup, iar valoarea totală a activelor consolidate ale tuturor întreprinderilor din grup care desfășoară oricare dintre activităţile menţionate la art. 33 alin. (1) lit. (c) și lit. (f) din Legea nr. 171/2012 este mai mare sau egală cu echivalentul în MDL a 30 de miliarde EUR, în cazul în care supraveghetorul consolidant, în consultare cu colegiul de supraveghetori, decide astfel pentru a contracara eventualele riscuri de eludare sau eventualele riscuri la adresa stabilităţii financiare a UE; </w:t>
            </w:r>
          </w:p>
          <w:p w14:paraId="72A0A5FC"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bCs/>
              </w:rPr>
              <w:t>în sensul literei (b) punctele (ii) și (iii), în cazul în care întreprinderea face parte dintr-un grup dintr-un stat terţ, activele totale ale fiecărei sucursale a grupului dintr-un stat terţ autorizate în UE sunt incluse în valoarea totală combinată a activelor tuturor întreprinderilor din grup, iar în sensul literei (b) subpunctul (iii), supraveghetorul consolidant poate solicita întreprinderii toate informațiile relevante pentru a lua o decizie.</w:t>
            </w:r>
          </w:p>
        </w:tc>
        <w:tc>
          <w:tcPr>
            <w:tcW w:w="1418" w:type="dxa"/>
            <w:gridSpan w:val="2"/>
            <w:vMerge/>
          </w:tcPr>
          <w:p w14:paraId="180CA65E"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38571454"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7FB3AC7C" w14:textId="77777777" w:rsidR="00AE6E19" w:rsidRPr="005D6998" w:rsidRDefault="00AE6E19" w:rsidP="00AE6E19">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 xml:space="preserve">Se menționează, cu privire la definiția </w:t>
            </w:r>
            <w:r w:rsidRPr="005D6998">
              <w:rPr>
                <w:rFonts w:ascii="Times New Roman" w:eastAsia="Calibri" w:hAnsi="Times New Roman"/>
                <w:bCs/>
                <w:lang w:eastAsia="en-US"/>
              </w:rPr>
              <w:t xml:space="preserve">națională a „instituției de credit”, că aceasta reproduce în mare parte structura și logica dispozițiilor europene prevăzute la articolul 4 (1) pct. 1 din Regulamentul (UE) nr. 575/2013, însă există o lacună terminologică și contextuală. </w:t>
            </w:r>
          </w:p>
          <w:p w14:paraId="2AED0650" w14:textId="77777777" w:rsidR="00AE6E19" w:rsidRPr="005D6998" w:rsidRDefault="00AE6E19" w:rsidP="00AE6E19">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 xml:space="preserve">Astfel, sunt excluse firmele de investiții cu derogare conform art. 8a din Directiva 2013/36/UE. Totodată, la lit. b) din textul național nu este inclusă mențiunea „sau o firmă de investiții pentru care se acordă o derogare de la autorizarea ca instituție de credit”, ceea ce creează o lacună de conformitate față de textul UE. </w:t>
            </w:r>
          </w:p>
          <w:p w14:paraId="6217E8E0" w14:textId="77777777" w:rsidR="00AE6E19" w:rsidRPr="005D6998" w:rsidRDefault="00AE6E19" w:rsidP="00AE6E19">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p>
          <w:p w14:paraId="4A4DD3F5" w14:textId="77777777" w:rsidR="00AE6E19" w:rsidRPr="005D6998" w:rsidRDefault="00AE6E19" w:rsidP="00AE6E19">
            <w:pPr>
              <w:spacing w:after="0" w:line="240" w:lineRule="auto"/>
              <w:jc w:val="both"/>
              <w:rPr>
                <w:rFonts w:ascii="Times New Roman" w:hAnsi="Times New Roman"/>
              </w:rPr>
            </w:pPr>
          </w:p>
        </w:tc>
        <w:tc>
          <w:tcPr>
            <w:tcW w:w="4815" w:type="dxa"/>
          </w:tcPr>
          <w:p w14:paraId="26C93E24"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 xml:space="preserve">Nu se acceptă. </w:t>
            </w:r>
          </w:p>
          <w:p w14:paraId="1161A048"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lastRenderedPageBreak/>
              <w:t xml:space="preserve">Articolul 8a din Directiva 2013/36/UE reprezintă o dispoziție tranzitorie introdusă prin Regulamentul (UE) 2019/2033 și Directiva (UE) 2019/2034. Alineatul (3) al acestui articol a stabilit exclusiv obligația întreprinderilor vizate de art. 4 alin. (1) pct. 1 lit. (b) din Regulamentul (UE) nr. 575/2013, care la 24 decembrie 2019 erau autorizate ca firme de investiții, de a solicita autorizație ca instituții de credit </w:t>
            </w:r>
            <w:r w:rsidRPr="005D6998">
              <w:rPr>
                <w:rFonts w:ascii="Times New Roman" w:hAnsi="Times New Roman"/>
                <w:b/>
                <w:bCs/>
              </w:rPr>
              <w:t>până la 27 decembrie 2020</w:t>
            </w:r>
            <w:r w:rsidRPr="005D6998">
              <w:rPr>
                <w:rFonts w:ascii="Times New Roman" w:hAnsi="Times New Roman"/>
              </w:rPr>
              <w:t>. Prin urmare, prevederea și-a epuizat efectele juridice odată cu depășirea termenului stabilit. Respectiv, lipsa preluării exprese a acestei derogări nu reprezintă o lacună de conformitate cu textul UE.</w:t>
            </w:r>
          </w:p>
          <w:p w14:paraId="694E9C48" w14:textId="77777777" w:rsidR="00AE6E19" w:rsidRPr="005D6998" w:rsidRDefault="00AE6E19" w:rsidP="00AE6E19">
            <w:pPr>
              <w:tabs>
                <w:tab w:val="left" w:pos="884"/>
                <w:tab w:val="left" w:pos="1196"/>
              </w:tabs>
              <w:spacing w:after="0" w:line="240" w:lineRule="auto"/>
              <w:jc w:val="both"/>
              <w:rPr>
                <w:rFonts w:ascii="Times New Roman" w:hAnsi="Times New Roman"/>
                <w:b/>
                <w:bCs/>
              </w:rPr>
            </w:pPr>
          </w:p>
        </w:tc>
      </w:tr>
      <w:tr w:rsidR="00AE6E19" w:rsidRPr="005D6998" w14:paraId="5216762C" w14:textId="77777777" w:rsidTr="00651F58">
        <w:trPr>
          <w:gridAfter w:val="2"/>
          <w:wAfter w:w="153" w:type="dxa"/>
          <w:trHeight w:val="105"/>
        </w:trPr>
        <w:tc>
          <w:tcPr>
            <w:tcW w:w="899" w:type="dxa"/>
            <w:gridSpan w:val="3"/>
            <w:shd w:val="clear" w:color="auto" w:fill="FFFFFF"/>
          </w:tcPr>
          <w:p w14:paraId="13D9790A"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vMerge/>
          </w:tcPr>
          <w:p w14:paraId="19053C1E"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1418" w:type="dxa"/>
            <w:gridSpan w:val="2"/>
            <w:vMerge/>
          </w:tcPr>
          <w:p w14:paraId="78E00950"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45D227AA"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2A488A4A" w14:textId="77777777" w:rsidR="00AE6E19" w:rsidRPr="005D6998" w:rsidRDefault="00AE6E19" w:rsidP="00AE6E19">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eastAsia="Calibri" w:hAnsi="Times New Roman"/>
                <w:bCs/>
                <w:lang w:eastAsia="en-US"/>
              </w:rPr>
              <w:t xml:space="preserve">Definiția națională de “instituție de credit” este parțial compatibilă cu prevederile pct. 6 din Anexa I la Directiva 2014/65/UE. </w:t>
            </w:r>
          </w:p>
          <w:p w14:paraId="3BEDF114" w14:textId="77777777" w:rsidR="00AE6E19" w:rsidRPr="005D6998" w:rsidRDefault="00AE6E19" w:rsidP="00AE6E19">
            <w:pPr>
              <w:spacing w:after="0" w:line="240" w:lineRule="auto"/>
              <w:jc w:val="both"/>
              <w:rPr>
                <w:rFonts w:ascii="Times New Roman" w:hAnsi="Times New Roman"/>
              </w:rPr>
            </w:pPr>
            <w:r w:rsidRPr="005D6998">
              <w:rPr>
                <w:rFonts w:ascii="Times New Roman" w:eastAsia="Calibri" w:hAnsi="Times New Roman"/>
                <w:bCs/>
                <w:lang w:eastAsia="en-US"/>
              </w:rPr>
              <w:t>Activitatea de subscriere este transpusă limitativ prin termenul „intermedierea subscrierii”, ceea ce poate genera interpretări divergente și reduce conformitatea cu art. 3 (1) lit. (b) al Directivei.</w:t>
            </w:r>
          </w:p>
        </w:tc>
        <w:tc>
          <w:tcPr>
            <w:tcW w:w="4815" w:type="dxa"/>
          </w:tcPr>
          <w:p w14:paraId="32466EF3"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Se acceptă.</w:t>
            </w:r>
          </w:p>
          <w:p w14:paraId="531B1C38"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Textul “menţionate la art. 33 alin. (1) lit. (c) și lit. (f) din Legea nr. 171/2012 privind piața de capital” se substituie cu textul ”de tranzacţionare în cont propriu sau  subscriere de instrumente financiare și/sau plasare de instrumente financiare cu angajament ferm.”.</w:t>
            </w:r>
          </w:p>
        </w:tc>
      </w:tr>
      <w:tr w:rsidR="00AE6E19" w:rsidRPr="005D6998" w14:paraId="25C0E1B1" w14:textId="77777777" w:rsidTr="00651F58">
        <w:trPr>
          <w:gridAfter w:val="2"/>
          <w:wAfter w:w="153" w:type="dxa"/>
          <w:trHeight w:val="105"/>
        </w:trPr>
        <w:tc>
          <w:tcPr>
            <w:tcW w:w="899" w:type="dxa"/>
            <w:gridSpan w:val="3"/>
            <w:shd w:val="clear" w:color="auto" w:fill="FFFFFF"/>
          </w:tcPr>
          <w:p w14:paraId="42C04A0E"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65E5CD48"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i/>
                <w:iCs/>
              </w:rPr>
              <w:t>instituție de importanţă sistemică globală din afara UE</w:t>
            </w:r>
            <w:r w:rsidRPr="005D6998">
              <w:rPr>
                <w:rFonts w:ascii="Times New Roman" w:hAnsi="Times New Roman"/>
              </w:rPr>
              <w:t xml:space="preserve"> </w:t>
            </w:r>
            <w:r w:rsidRPr="005D6998">
              <w:rPr>
                <w:rFonts w:ascii="Times New Roman" w:hAnsi="Times New Roman"/>
                <w:i/>
                <w:iCs/>
              </w:rPr>
              <w:t>(GSII din afara UE)</w:t>
            </w:r>
            <w:r w:rsidRPr="005D6998">
              <w:rPr>
                <w:rFonts w:ascii="Times New Roman" w:hAnsi="Times New Roman"/>
              </w:rPr>
              <w:t xml:space="preserve"> – un grup bancar sau o instituție de credit  de importanţă sistemică globală (G-SIB) care nu este o G-SII și care este inclusă în lista G-SIB publicată de Consiliul pentru Stabilitate Financiară, astfel cum este actualizată periodic; </w:t>
            </w:r>
          </w:p>
        </w:tc>
        <w:tc>
          <w:tcPr>
            <w:tcW w:w="1418" w:type="dxa"/>
            <w:gridSpan w:val="2"/>
            <w:vMerge/>
          </w:tcPr>
          <w:p w14:paraId="3C0126F6"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1340831C"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2CF2978C"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Definiția „instituție de importanță sistemică globală din afara UE” acoperă G</w:t>
            </w:r>
            <w:r w:rsidRPr="005D6998">
              <w:rPr>
                <w:rFonts w:ascii="Times New Roman" w:hAnsi="Times New Roman"/>
              </w:rPr>
              <w:noBreakHyphen/>
              <w:t>SII și GSII din afara UE, dar nu transpune integral dispozițiile privind O</w:t>
            </w:r>
            <w:r w:rsidRPr="005D6998">
              <w:rPr>
                <w:rFonts w:ascii="Times New Roman" w:hAnsi="Times New Roman"/>
              </w:rPr>
              <w:noBreakHyphen/>
              <w:t>SII și metodologia de identificare prevăzută la art. 131(1) și (2) din CRD IV.</w:t>
            </w:r>
          </w:p>
        </w:tc>
        <w:tc>
          <w:tcPr>
            <w:tcW w:w="4815" w:type="dxa"/>
          </w:tcPr>
          <w:p w14:paraId="71ACAF8C"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08D777F6"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Noțiunea de “</w:t>
            </w:r>
            <w:r w:rsidRPr="005D6998">
              <w:rPr>
                <w:rFonts w:ascii="Times New Roman" w:hAnsi="Times New Roman"/>
                <w:i/>
                <w:iCs/>
              </w:rPr>
              <w:t>instituţie de importanţă sistemică O-SII</w:t>
            </w:r>
            <w:r w:rsidRPr="005D6998">
              <w:rPr>
                <w:rFonts w:ascii="Times New Roman" w:hAnsi="Times New Roman"/>
              </w:rPr>
              <w:t>” este transpusă conform prevederilor art. 131  din Directiva 2013/36/UE și se regăsește în pct. 5 din proiectul de lege care completează și modifică art. 3 din Legea nr. 202/2017.</w:t>
            </w:r>
          </w:p>
          <w:p w14:paraId="4D21D3A3" w14:textId="77777777" w:rsidR="00AE6E19" w:rsidRPr="005D6998" w:rsidRDefault="00AE6E19" w:rsidP="00AE6E19">
            <w:pPr>
              <w:tabs>
                <w:tab w:val="left" w:pos="884"/>
                <w:tab w:val="left" w:pos="1196"/>
              </w:tabs>
              <w:spacing w:after="0" w:line="240" w:lineRule="auto"/>
              <w:jc w:val="both"/>
              <w:rPr>
                <w:rFonts w:ascii="Times New Roman" w:hAnsi="Times New Roman"/>
                <w:b/>
                <w:bCs/>
              </w:rPr>
            </w:pPr>
          </w:p>
        </w:tc>
      </w:tr>
      <w:tr w:rsidR="00AE6E19" w:rsidRPr="005D6998" w14:paraId="7614BC06" w14:textId="77777777" w:rsidTr="00651F58">
        <w:trPr>
          <w:gridAfter w:val="2"/>
          <w:wAfter w:w="153" w:type="dxa"/>
          <w:trHeight w:val="105"/>
        </w:trPr>
        <w:tc>
          <w:tcPr>
            <w:tcW w:w="899" w:type="dxa"/>
            <w:gridSpan w:val="3"/>
            <w:shd w:val="clear" w:color="auto" w:fill="FFFFFF"/>
          </w:tcPr>
          <w:p w14:paraId="739F1618"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391F8BE8" w14:textId="77777777" w:rsidR="00AE6E19" w:rsidRPr="005D6998" w:rsidRDefault="00AE6E19" w:rsidP="00AE6E19">
            <w:pPr>
              <w:spacing w:after="0" w:line="240" w:lineRule="auto"/>
              <w:jc w:val="both"/>
              <w:rPr>
                <w:rFonts w:ascii="Times New Roman" w:hAnsi="Times New Roman"/>
                <w:i/>
              </w:rPr>
            </w:pPr>
            <w:r w:rsidRPr="005D6998">
              <w:rPr>
                <w:rFonts w:ascii="Times New Roman" w:hAnsi="Times New Roman"/>
                <w:i/>
                <w:iCs/>
              </w:rPr>
              <w:t xml:space="preserve">instituție de sine stătătoare din Uniunea Europeană </w:t>
            </w:r>
            <w:r w:rsidRPr="005D6998">
              <w:rPr>
                <w:rFonts w:ascii="Times New Roman" w:hAnsi="Times New Roman"/>
              </w:rPr>
              <w:t xml:space="preserve">–  instituția de credit care nu face obiectul consolidării prudențiale în Uniunea Europeană și </w:t>
            </w:r>
            <w:r w:rsidRPr="005D6998">
              <w:rPr>
                <w:rFonts w:ascii="Times New Roman" w:hAnsi="Times New Roman"/>
              </w:rPr>
              <w:lastRenderedPageBreak/>
              <w:t xml:space="preserve">care nu are nicio întreprindere-mamă în Uniunea Europeană care face obiectul unei astfel de consolidări prudențiale; </w:t>
            </w:r>
          </w:p>
          <w:p w14:paraId="0A47206C"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1418" w:type="dxa"/>
            <w:gridSpan w:val="2"/>
            <w:vMerge/>
          </w:tcPr>
          <w:p w14:paraId="65B37A3E"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31658067"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1DFBCE21"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 xml:space="preserve">Se evidențiază  nepreluarea referinței la Partea întâi, Titlul II, Capitolul 2 din Regulamentul (UE) nr. 575/2013, în noțiunea de „instituție de sine stătătoare din Uniunea Europeană”, </w:t>
            </w:r>
            <w:r w:rsidRPr="005D6998">
              <w:rPr>
                <w:rFonts w:ascii="Times New Roman" w:hAnsi="Times New Roman"/>
              </w:rPr>
              <w:lastRenderedPageBreak/>
              <w:t>precum și omiterea prezentării mențiunilor corespunzătoare în tabelul de concordanță.</w:t>
            </w:r>
          </w:p>
        </w:tc>
        <w:tc>
          <w:tcPr>
            <w:tcW w:w="4815" w:type="dxa"/>
          </w:tcPr>
          <w:p w14:paraId="601F923E"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Comentariu</w:t>
            </w:r>
          </w:p>
          <w:p w14:paraId="363A2E97"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Partea întâi, Titlul II, Capitolul 2 din Regulamentul (UE) nr. 575/2013  urmează a fi transpus în proiectul de modificare a Regulamentului cu privire la </w:t>
            </w:r>
            <w:r w:rsidRPr="005D6998">
              <w:rPr>
                <w:rFonts w:ascii="Times New Roman" w:hAnsi="Times New Roman"/>
              </w:rPr>
              <w:lastRenderedPageBreak/>
              <w:t>supraveghere pe bază consolidată a băncilor, aprobat prin HCE al BNM nr.101 din 16.04.2020 (acțiunea normativă nr. 11 din PNA 2025-2029).</w:t>
            </w:r>
          </w:p>
          <w:p w14:paraId="711A1711"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În consecință, având în vedere că respectivele prevederi vor fi transpuse printr-un act normativ secundar, nu a fost inclusă o trimitere expresă la acestea în noțiunea în discuție.</w:t>
            </w:r>
          </w:p>
          <w:p w14:paraId="10F3DA92"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Tabelul de concordanță se completează cu explicația.</w:t>
            </w:r>
          </w:p>
        </w:tc>
      </w:tr>
      <w:tr w:rsidR="00AE6E19" w:rsidRPr="005D6998" w14:paraId="39C60A53" w14:textId="77777777" w:rsidTr="00651F58">
        <w:trPr>
          <w:gridAfter w:val="2"/>
          <w:wAfter w:w="153" w:type="dxa"/>
          <w:trHeight w:val="105"/>
        </w:trPr>
        <w:tc>
          <w:tcPr>
            <w:tcW w:w="899" w:type="dxa"/>
            <w:gridSpan w:val="3"/>
            <w:shd w:val="clear" w:color="auto" w:fill="FFFFFF"/>
          </w:tcPr>
          <w:p w14:paraId="147E19BC"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44ADF5F9" w14:textId="77777777" w:rsidR="00AE6E19" w:rsidRPr="005D6998" w:rsidRDefault="00AE6E19" w:rsidP="00AE6E19">
            <w:pPr>
              <w:spacing w:after="0" w:line="240" w:lineRule="auto"/>
              <w:rPr>
                <w:rFonts w:ascii="Times New Roman" w:hAnsi="Times New Roman"/>
              </w:rPr>
            </w:pPr>
            <w:r w:rsidRPr="005D6998">
              <w:rPr>
                <w:rFonts w:ascii="Times New Roman" w:hAnsi="Times New Roman"/>
              </w:rPr>
              <w:t>după noțiunea „</w:t>
            </w:r>
            <w:r w:rsidRPr="005D6998">
              <w:rPr>
                <w:rFonts w:ascii="Times New Roman" w:hAnsi="Times New Roman"/>
                <w:i/>
                <w:iCs/>
              </w:rPr>
              <w:t>filială</w:t>
            </w:r>
            <w:r w:rsidRPr="005D6998">
              <w:rPr>
                <w:rFonts w:ascii="Times New Roman" w:hAnsi="Times New Roman"/>
              </w:rPr>
              <w:t>” se completează cu următoarele noțiuni cu următorul cuprins:</w:t>
            </w:r>
          </w:p>
          <w:p w14:paraId="60C21F88" w14:textId="77777777" w:rsidR="00AE6E19" w:rsidRPr="005D6998" w:rsidRDefault="00AE6E19" w:rsidP="00AE6E19">
            <w:pPr>
              <w:spacing w:after="0" w:line="240" w:lineRule="auto"/>
              <w:rPr>
                <w:rFonts w:ascii="Times New Roman" w:hAnsi="Times New Roman"/>
              </w:rPr>
            </w:pPr>
            <w:r w:rsidRPr="005D6998">
              <w:rPr>
                <w:rFonts w:ascii="Times New Roman" w:hAnsi="Times New Roman"/>
              </w:rPr>
              <w:t>[...]</w:t>
            </w:r>
          </w:p>
          <w:p w14:paraId="12408897"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i/>
                <w:iCs/>
              </w:rPr>
              <w:t>instrument financiar</w:t>
            </w:r>
            <w:r w:rsidRPr="005D6998">
              <w:rPr>
                <w:rFonts w:ascii="Times New Roman" w:hAnsi="Times New Roman"/>
              </w:rPr>
              <w:t xml:space="preserve"> – oricare din următoarele:</w:t>
            </w:r>
          </w:p>
          <w:p w14:paraId="50C4B6B6"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a) un contract care generează simultan un activ financiar, pentru una dintre părţi, și un pasiv financiar sau un titlu de capital pentru cealaltă dintre părţi;</w:t>
            </w:r>
          </w:p>
          <w:p w14:paraId="25A24441"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b) un instrument menţionat la art. 4 din Legea nr. 171/2012;</w:t>
            </w:r>
          </w:p>
          <w:p w14:paraId="5D2126D0"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c) un instrument financiar derivat, astfel cum este definit de actele normative ale Băncii Naționale a Moldovei;</w:t>
            </w:r>
          </w:p>
          <w:p w14:paraId="5BDAD20D"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d) un instrument financiar primar, astfel cum este definit de actele normative ale Băncii Naționale a Moldovei;</w:t>
            </w:r>
          </w:p>
          <w:p w14:paraId="74B92A6A"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e) un instrument de numerar, astfel cum este definit de actele normative ale Băncii Naționale a Moldovei.</w:t>
            </w:r>
          </w:p>
          <w:p w14:paraId="7E9D21B6"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Instrumentele menţionate la lit. a), b) și c) sunt instrumente financiare numai dacă valoarea lor derivă din preţul unui instrument financiar-suport sau al altui element-suport, dintr-un indicator sau un indice;”;</w:t>
            </w:r>
          </w:p>
        </w:tc>
        <w:tc>
          <w:tcPr>
            <w:tcW w:w="1418" w:type="dxa"/>
            <w:gridSpan w:val="2"/>
            <w:vMerge/>
          </w:tcPr>
          <w:p w14:paraId="6D233109"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7A1D1217"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484BE4E1"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Se consideră că noțiunea de „instrumente financiare” este transpusă parțial în legislația națională. Art. 4 din Legea nr. 171/2012 transpune parțial Secțiunea C din MiFID II. Lipsesc explicit OTF, certificatele de emisii, contractul derivat referitor la variabile climatice/navlu/rate ale inflației/statistici economice oficiale etc., iar tabelul de concordanță nu conține careva mențiuni la acest subiect.</w:t>
            </w:r>
          </w:p>
        </w:tc>
        <w:tc>
          <w:tcPr>
            <w:tcW w:w="4815" w:type="dxa"/>
          </w:tcPr>
          <w:p w14:paraId="22987491"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Comentariu</w:t>
            </w:r>
          </w:p>
          <w:p w14:paraId="4DBC9692"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Având în vedere că prezentul proiect transpune prevederile Directivei 2013/36/EU și Regulamentului (UE) nr. 575/2013, nu se consideră oportun să fie enumerate în cadrul proiectului instrumentele fiananciare potrivit secțiunii C din MiFIID II.</w:t>
            </w:r>
          </w:p>
          <w:p w14:paraId="56E94C35"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Totodată, conform PNA 2025-2029, transpunerea integrală a MiFID II se realizează prin Proiectul de Lege privind piețele instrumentelor financiare (acțiunea nr. 92, Capitolul 9 “Servicii financiare”). </w:t>
            </w:r>
          </w:p>
          <w:p w14:paraId="4F1D800B"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Respectiv, au fost modificate trimiterile la Legea nr. 171/2012 pe tot parcursul proiectului cu trimiterile din proiectul privind piețele instrumentelor financiare și activitățile de investiții ale căror consultări publice au fost finalizate și este la etapa promovării spre Guvern (https://particip.gov.md/ro/document/stages/proiect-de-lege-privind-pietele-instrumentelor-financiare-si-activitatile-de-investitii-numar-unic/16371).</w:t>
            </w:r>
          </w:p>
        </w:tc>
      </w:tr>
      <w:tr w:rsidR="00AE6E19" w:rsidRPr="005D6998" w14:paraId="30615F78" w14:textId="77777777" w:rsidTr="00651F58">
        <w:trPr>
          <w:gridAfter w:val="2"/>
          <w:wAfter w:w="153" w:type="dxa"/>
          <w:trHeight w:val="105"/>
        </w:trPr>
        <w:tc>
          <w:tcPr>
            <w:tcW w:w="899" w:type="dxa"/>
            <w:gridSpan w:val="3"/>
            <w:shd w:val="clear" w:color="auto" w:fill="FFFFFF"/>
          </w:tcPr>
          <w:p w14:paraId="7D86F44E"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3D575297"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i/>
                <w:iCs/>
              </w:rPr>
              <w:t>instituție financiară</w:t>
            </w:r>
            <w:r w:rsidRPr="005D6998">
              <w:rPr>
                <w:rFonts w:ascii="Times New Roman" w:hAnsi="Times New Roman"/>
              </w:rPr>
              <w:t xml:space="preserve"> – o întreprindere care îndeplinește următoarele două condiții:</w:t>
            </w:r>
          </w:p>
          <w:p w14:paraId="5A08473E"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a) nu este o instituție de credit, un holding pur industrial, o entitate special constituită în scopul securitizării, un holding de asigurare sau un holding mixt de asigurare, definite conform Legii nr. 92/2022 cu privire la activitatea de asigurare și reasigurare, cu excepția cazului în care un holding mixt de asigurare are o instituție de credit-filială;</w:t>
            </w:r>
          </w:p>
          <w:p w14:paraId="0AA1EDF1"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b) îndeplinește una sau mai multe din următoarele condiții:</w:t>
            </w:r>
          </w:p>
          <w:p w14:paraId="0131F6EB" w14:textId="77777777" w:rsidR="00AE6E19" w:rsidRPr="005D6998" w:rsidRDefault="00AE6E19" w:rsidP="00AE6E19">
            <w:pPr>
              <w:spacing w:after="0" w:line="240" w:lineRule="auto"/>
              <w:ind w:firstLine="708"/>
              <w:jc w:val="both"/>
              <w:rPr>
                <w:rFonts w:ascii="Times New Roman" w:hAnsi="Times New Roman"/>
              </w:rPr>
            </w:pPr>
            <w:r w:rsidRPr="005D6998">
              <w:rPr>
                <w:rFonts w:ascii="Times New Roman" w:hAnsi="Times New Roman"/>
              </w:rPr>
              <w:t>i) activitatea principală a întreprinderii constă în achiziționarea sau posesia unor dețineri ori desfășurarea uneia sau mai multora dintre activitățile enumerate la art. 14 alin. (1) lit. b)-l) și lit. o) ori prestarea unuia (uneia) sau mai multora dintre serviciile sau activitățile enumerate în art. 33 alin. (1) și (2) din Legea nr. 171/2012 în legătură cu instrumentele financiare enumerate în art. 4 alin. (1) din Legea nr. 171/2012;</w:t>
            </w:r>
          </w:p>
          <w:p w14:paraId="74DA49F8"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rPr>
              <w:t xml:space="preserve">(ii) întreprinderea este o societate de investiții, o societate financiară holding mixtă, o societate de investiții holding, un prestator de servicii de plată enumerat la art. 5 alin. (1) lit. a)-d) din Legea nr. 114/2012 cu privire la serviciile de plată și monedă electronică, o societate de administrare a activelor sau o întreprindere prestatoare de servicii auxiliare; </w:t>
            </w:r>
          </w:p>
        </w:tc>
        <w:tc>
          <w:tcPr>
            <w:tcW w:w="1418" w:type="dxa"/>
            <w:gridSpan w:val="2"/>
            <w:vMerge/>
          </w:tcPr>
          <w:p w14:paraId="75549C90"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4A07343A"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116B6EEA"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 xml:space="preserve">Se menționează că, noțiunea de „instituție financiară” nu este conformă cu cea prevăzută la articolul 4 (1) pct. 26 din Regulamentul (UE) nr. 575/2013. Noțiunile de „holding de asigurare” și „holding mixt de asigurare”, definite conform Legii nr. 92/2022 privind activitatea de asigurare și reasigurare, nu sunt compatibile cu definițiile prevăzute la art. 212 (1) lit. (f) și (g) din Directiva 2009/138/CE (Solvency II). </w:t>
            </w:r>
          </w:p>
          <w:p w14:paraId="618AB251" w14:textId="77777777" w:rsidR="00AE6E19" w:rsidRPr="005D6998" w:rsidRDefault="00AE6E19" w:rsidP="00AE6E19">
            <w:pPr>
              <w:spacing w:after="0" w:line="240" w:lineRule="auto"/>
              <w:jc w:val="both"/>
              <w:rPr>
                <w:rFonts w:ascii="Times New Roman" w:hAnsi="Times New Roman"/>
              </w:rPr>
            </w:pPr>
          </w:p>
          <w:p w14:paraId="20E7A6D1"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Se precizează că lipsesc excluderile detaliate (instituții de credit, întreprinderi de investiții, entități din țări terțe) și criteriile cantitative obligatorii (&gt;50% indicatori). Indicatorii cantitativi (capitaluri proprii, active, venituri, personal) prevăzuți în acquis-ul UE sunt esențiali pentru delimitarea obiectivă a statutului de holding de asigurare și nu se regăsesc în textul național. Trimiterile la legislația internă - Legea nr. 171/2012, Legea nr. 114/2012, Legea nr. 92/2022 nu asigură transpunerea în totalitate a referințelor corespondente din actele UE menționate. În context, orice referință în textul normativ la noțiunea de „instituție financiară” nu poate fi considerată compatibilă cu cea prevăzută de legislația Uniunii Europene.</w:t>
            </w:r>
          </w:p>
        </w:tc>
        <w:tc>
          <w:tcPr>
            <w:tcW w:w="4815" w:type="dxa"/>
          </w:tcPr>
          <w:p w14:paraId="71F76E26"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3C4999EC"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Conform PNA 2025-2029, transpunerea integrală a Solvency II se realizează prin Proiectul de Lege privind activitatea de asigurare și de reasigurare (acțiunea nr. 63, Capitolul 9 “Servicii financiare”) supus consultării publice în perioada 10.04.2026-08.05.2026.</w:t>
            </w:r>
          </w:p>
          <w:p w14:paraId="6EA2BEC9"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Proiectul de lege transpune inclusiv definițiile prevăzute la art. 212 (1) lit. f) și g).</w:t>
            </w:r>
          </w:p>
          <w:p w14:paraId="747E0CDE"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În ceea ce privește Legea nr. 171/2012, aceasta</w:t>
            </w:r>
            <w:r w:rsidRPr="005D6998">
              <w:t xml:space="preserve"> </w:t>
            </w:r>
            <w:r w:rsidRPr="005D6998">
              <w:rPr>
                <w:rFonts w:ascii="Times New Roman" w:hAnsi="Times New Roman"/>
              </w:rPr>
              <w:t>se planifică a fi înlocuită cu proiectul de lege privind piețele instrumentelor financiare și activitățile de investiții, fiind supusă consultărilor publice și este la etapa promovării spre Guvern (</w:t>
            </w:r>
            <w:hyperlink r:id="rId15" w:history="1">
              <w:r w:rsidRPr="005D6998">
                <w:rPr>
                  <w:rStyle w:val="afb"/>
                  <w:rFonts w:ascii="Times New Roman" w:hAnsi="Times New Roman"/>
                </w:rPr>
                <w:t>https://particip.gov.md/ro/document/stages/proiect-de-lege-privind-pietele-instrumentelor-financiare-si-activitatile-de-investitii-numar-unic/16371</w:t>
              </w:r>
            </w:hyperlink>
            <w:r w:rsidRPr="005D6998">
              <w:rPr>
                <w:rFonts w:ascii="Times New Roman" w:hAnsi="Times New Roman"/>
              </w:rPr>
              <w:t>).</w:t>
            </w:r>
          </w:p>
          <w:p w14:paraId="22C09790" w14:textId="77777777" w:rsidR="00AE6E19" w:rsidRPr="005D6998" w:rsidRDefault="00AE6E19" w:rsidP="00AE6E19">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 </w:t>
            </w:r>
          </w:p>
          <w:p w14:paraId="51832CFA"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Toate trimiterile urmează a fi ajustate/verificate odată cu înaintarea în procesul de transpunere a actelor normative la care face trimitere prezentul proiect de lege.</w:t>
            </w:r>
          </w:p>
        </w:tc>
      </w:tr>
      <w:tr w:rsidR="00AE6E19" w:rsidRPr="005D6998" w14:paraId="569B202B" w14:textId="77777777" w:rsidTr="00651F58">
        <w:trPr>
          <w:gridAfter w:val="2"/>
          <w:wAfter w:w="153" w:type="dxa"/>
          <w:trHeight w:val="105"/>
        </w:trPr>
        <w:tc>
          <w:tcPr>
            <w:tcW w:w="899" w:type="dxa"/>
            <w:gridSpan w:val="3"/>
            <w:shd w:val="clear" w:color="auto" w:fill="FFFFFF"/>
          </w:tcPr>
          <w:p w14:paraId="2298409C" w14:textId="77777777" w:rsidR="00AE6E19" w:rsidRPr="005D6998" w:rsidRDefault="00AE6E19" w:rsidP="00AE6E19">
            <w:pPr>
              <w:pStyle w:val="a7"/>
              <w:numPr>
                <w:ilvl w:val="0"/>
                <w:numId w:val="23"/>
              </w:numPr>
              <w:tabs>
                <w:tab w:val="left" w:pos="360"/>
                <w:tab w:val="left" w:pos="884"/>
                <w:tab w:val="left" w:pos="1196"/>
              </w:tabs>
              <w:spacing w:after="0" w:line="240" w:lineRule="auto"/>
              <w:rPr>
                <w:rFonts w:ascii="Times New Roman" w:hAnsi="Times New Roman"/>
                <w:b/>
              </w:rPr>
            </w:pPr>
          </w:p>
        </w:tc>
        <w:tc>
          <w:tcPr>
            <w:tcW w:w="3637" w:type="dxa"/>
          </w:tcPr>
          <w:p w14:paraId="45F3551F"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noțiunea „</w:t>
            </w:r>
            <w:r w:rsidRPr="005D6998">
              <w:rPr>
                <w:rFonts w:ascii="Times New Roman" w:hAnsi="Times New Roman"/>
                <w:i/>
                <w:iCs/>
              </w:rPr>
              <w:t xml:space="preserve">întreprindere prestatoare de servicii auxiliare” </w:t>
            </w:r>
            <w:r w:rsidRPr="005D6998">
              <w:rPr>
                <w:rFonts w:ascii="Times New Roman" w:hAnsi="Times New Roman"/>
              </w:rPr>
              <w:t xml:space="preserve">va avea următorul cuprins: </w:t>
            </w:r>
          </w:p>
          <w:p w14:paraId="231565CC"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w:t>
            </w:r>
            <w:r w:rsidRPr="005D6998">
              <w:rPr>
                <w:rFonts w:ascii="Times New Roman" w:hAnsi="Times New Roman"/>
                <w:i/>
                <w:iCs/>
              </w:rPr>
              <w:t xml:space="preserve">întreprindere prestatoare de servicii auxiliare </w:t>
            </w:r>
            <w:r w:rsidRPr="005D6998">
              <w:rPr>
                <w:rFonts w:ascii="Times New Roman" w:hAnsi="Times New Roman"/>
              </w:rPr>
              <w:t>– întreprindere a cărei activitate principală, indiferent dacă este furnizată unor întreprinderi din cadrul grupului sau unor clienți din afara grupului, constă în oricare dintre următoarele:</w:t>
            </w:r>
          </w:p>
          <w:p w14:paraId="06EF0D4B"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a) o prelungire directă a serviciilor bancare;</w:t>
            </w:r>
          </w:p>
          <w:p w14:paraId="1BDDA2FB"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b) activități de leasing operațional, deţinere sau administrare de bunuri, prestare de servicii de prelucrare a datelor sau o activitate similară care este auxiliară serviciilor bancare;</w:t>
            </w:r>
          </w:p>
          <w:p w14:paraId="20C23B85"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c) orice altă activitate considerată de Banca Națională a Moldovei similară cu cele menționate la lit. a) și b);</w:t>
            </w:r>
          </w:p>
          <w:p w14:paraId="567229F8" w14:textId="77777777" w:rsidR="00AE6E19" w:rsidRPr="005D6998" w:rsidRDefault="00AE6E19" w:rsidP="00AE6E19">
            <w:pPr>
              <w:tabs>
                <w:tab w:val="left" w:pos="884"/>
                <w:tab w:val="left" w:pos="1196"/>
              </w:tabs>
              <w:spacing w:after="0" w:line="240" w:lineRule="auto"/>
              <w:jc w:val="both"/>
              <w:rPr>
                <w:rFonts w:ascii="Times New Roman" w:hAnsi="Times New Roman"/>
                <w:b/>
              </w:rPr>
            </w:pPr>
            <w:r w:rsidRPr="005D6998">
              <w:rPr>
                <w:rFonts w:ascii="Times New Roman" w:hAnsi="Times New Roman"/>
              </w:rPr>
              <w:t>d) orice altă activitate considerată de Autoritatea Bancară Europeană</w:t>
            </w:r>
            <w:r w:rsidRPr="005D6998">
              <w:rPr>
                <w:rFonts w:ascii="Times New Roman" w:hAnsi="Times New Roman"/>
                <w:color w:val="FF0000"/>
              </w:rPr>
              <w:t xml:space="preserve"> </w:t>
            </w:r>
            <w:r w:rsidRPr="005D6998">
              <w:rPr>
                <w:rFonts w:ascii="Times New Roman" w:hAnsi="Times New Roman"/>
              </w:rPr>
              <w:t>similară cu cele menționate la lit. a) și b);”;</w:t>
            </w:r>
          </w:p>
        </w:tc>
        <w:tc>
          <w:tcPr>
            <w:tcW w:w="1418" w:type="dxa"/>
            <w:gridSpan w:val="2"/>
            <w:vMerge/>
          </w:tcPr>
          <w:p w14:paraId="74C0E1F6" w14:textId="77777777" w:rsidR="00AE6E19" w:rsidRPr="005D6998" w:rsidRDefault="00AE6E19" w:rsidP="00AE6E19">
            <w:pPr>
              <w:tabs>
                <w:tab w:val="left" w:pos="884"/>
                <w:tab w:val="left" w:pos="1196"/>
              </w:tabs>
              <w:spacing w:after="0" w:line="240" w:lineRule="auto"/>
              <w:jc w:val="center"/>
              <w:rPr>
                <w:rFonts w:ascii="Times New Roman" w:hAnsi="Times New Roman"/>
                <w:b/>
              </w:rPr>
            </w:pPr>
          </w:p>
        </w:tc>
        <w:tc>
          <w:tcPr>
            <w:tcW w:w="567" w:type="dxa"/>
            <w:gridSpan w:val="2"/>
          </w:tcPr>
          <w:p w14:paraId="26A99686" w14:textId="77777777" w:rsidR="00AE6E19" w:rsidRPr="005D6998" w:rsidRDefault="00AE6E19" w:rsidP="00AE6E19">
            <w:pPr>
              <w:pStyle w:val="a7"/>
              <w:numPr>
                <w:ilvl w:val="0"/>
                <w:numId w:val="24"/>
              </w:numPr>
              <w:tabs>
                <w:tab w:val="left" w:pos="884"/>
                <w:tab w:val="left" w:pos="1196"/>
              </w:tabs>
              <w:spacing w:after="0" w:line="240" w:lineRule="auto"/>
              <w:rPr>
                <w:rFonts w:ascii="Times New Roman" w:hAnsi="Times New Roman"/>
                <w:bCs/>
              </w:rPr>
            </w:pPr>
          </w:p>
        </w:tc>
        <w:tc>
          <w:tcPr>
            <w:tcW w:w="4255" w:type="dxa"/>
            <w:gridSpan w:val="4"/>
          </w:tcPr>
          <w:p w14:paraId="53006BC5"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La noțiunea de „întreprindere prestatoare de servicii auxiliare”, astfel cum este definită la articolul 4 (1) pct. 18 din Regulamentul (UE) nr. 575/2013 se evidențiază că, actul UE menționează doar ABE ca autoritate competentă să stabilească activități similare. Totuși, RM păstrează această calitate pentru BNM și după aderare. În context, trebuie clarificat faptul că, deciziile BNM nu pot substitui sau contrazice deciziile ABE.</w:t>
            </w:r>
          </w:p>
        </w:tc>
        <w:tc>
          <w:tcPr>
            <w:tcW w:w="4815" w:type="dxa"/>
          </w:tcPr>
          <w:p w14:paraId="52333D48"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12C2CF65" w14:textId="77777777" w:rsidR="00AE6E19" w:rsidRPr="005D6998" w:rsidRDefault="00AE6E19" w:rsidP="00AE6E19">
            <w:pPr>
              <w:tabs>
                <w:tab w:val="left" w:pos="884"/>
                <w:tab w:val="left" w:pos="1196"/>
              </w:tabs>
              <w:spacing w:after="0" w:line="240" w:lineRule="auto"/>
              <w:jc w:val="both"/>
              <w:rPr>
                <w:rFonts w:ascii="Times New Roman" w:hAnsi="Times New Roman"/>
                <w:b/>
                <w:bCs/>
              </w:rPr>
            </w:pPr>
            <w:r w:rsidRPr="005D6998">
              <w:rPr>
                <w:rFonts w:ascii="Times New Roman" w:hAnsi="Times New Roman"/>
              </w:rPr>
              <w:t>Până la aderare, odată cu adoptarea proiectului de lege și, ulterior, intrarea în vigoare a legii se va aplica lit. c) din noțiunea de  „întreprindere prestatoare de servicii auxiliare”. Până la data aderării, printr-un proiect separat de modificare a Legii nr. 202/2017, lit. c) urmează a fi exclusă, pentru o aplicare adecvată a normei.</w:t>
            </w:r>
          </w:p>
        </w:tc>
      </w:tr>
      <w:tr w:rsidR="00AE6E19" w:rsidRPr="005D6998" w14:paraId="45042275" w14:textId="77777777" w:rsidTr="00651F58">
        <w:trPr>
          <w:gridAfter w:val="2"/>
          <w:wAfter w:w="153" w:type="dxa"/>
          <w:trHeight w:val="105"/>
        </w:trPr>
        <w:tc>
          <w:tcPr>
            <w:tcW w:w="899" w:type="dxa"/>
            <w:gridSpan w:val="3"/>
            <w:tcBorders>
              <w:top w:val="single" w:sz="4" w:space="0" w:color="auto"/>
              <w:left w:val="single" w:sz="4" w:space="0" w:color="auto"/>
              <w:bottom w:val="single" w:sz="4" w:space="0" w:color="auto"/>
              <w:right w:val="single" w:sz="4" w:space="0" w:color="auto"/>
            </w:tcBorders>
            <w:shd w:val="clear" w:color="auto" w:fill="FFFFFF"/>
          </w:tcPr>
          <w:p w14:paraId="182E0098" w14:textId="77777777" w:rsidR="00AE6E19" w:rsidRPr="005D6998" w:rsidRDefault="00AE6E19" w:rsidP="00AE6E19">
            <w:pPr>
              <w:pStyle w:val="a7"/>
              <w:numPr>
                <w:ilvl w:val="0"/>
                <w:numId w:val="23"/>
              </w:numPr>
              <w:tabs>
                <w:tab w:val="left" w:pos="884"/>
                <w:tab w:val="left" w:pos="1196"/>
              </w:tabs>
              <w:spacing w:after="0" w:line="240" w:lineRule="auto"/>
              <w:jc w:val="both"/>
              <w:rPr>
                <w:rFonts w:ascii="Times New Roman" w:hAnsi="Times New Roman"/>
                <w:b/>
              </w:rPr>
            </w:pPr>
          </w:p>
        </w:tc>
        <w:tc>
          <w:tcPr>
            <w:tcW w:w="3637" w:type="dxa"/>
            <w:tcBorders>
              <w:top w:val="single" w:sz="4" w:space="0" w:color="auto"/>
              <w:left w:val="single" w:sz="4" w:space="0" w:color="auto"/>
              <w:bottom w:val="single" w:sz="4" w:space="0" w:color="auto"/>
              <w:right w:val="single" w:sz="4" w:space="0" w:color="auto"/>
            </w:tcBorders>
          </w:tcPr>
          <w:p w14:paraId="37D97B12" w14:textId="77777777" w:rsidR="00AE6E19" w:rsidRPr="005D6998" w:rsidRDefault="00AE6E19" w:rsidP="00AE6E19">
            <w:pPr>
              <w:spacing w:line="240" w:lineRule="auto"/>
              <w:jc w:val="both"/>
              <w:rPr>
                <w:rFonts w:ascii="Times New Roman" w:hAnsi="Times New Roman"/>
              </w:rPr>
            </w:pPr>
            <w:r w:rsidRPr="005D6998">
              <w:rPr>
                <w:rFonts w:ascii="Times New Roman" w:hAnsi="Times New Roman"/>
              </w:rPr>
              <w:t>110. Se completează cu articolul 1281 cu următorul cuprins:</w:t>
            </w:r>
          </w:p>
          <w:p w14:paraId="2D532FB1"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„Articolul 128</w:t>
            </w:r>
            <w:r w:rsidRPr="005D6998">
              <w:rPr>
                <w:rFonts w:ascii="Times New Roman" w:hAnsi="Times New Roman"/>
                <w:vertAlign w:val="superscript"/>
              </w:rPr>
              <w:t>1</w:t>
            </w:r>
            <w:r w:rsidRPr="005D6998">
              <w:rPr>
                <w:rFonts w:ascii="Times New Roman" w:hAnsi="Times New Roman"/>
              </w:rPr>
              <w:t>. Cooperarea în cadrul Sistemului european al supraveghetorilor financiari</w:t>
            </w:r>
          </w:p>
          <w:p w14:paraId="6B595E15"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(1) Banca Națională a Moldovei are în vedere convergența instrumentelor și practicilor de supraveghere în aplicarea dispozițiilor prezentei legi și a actelor normative emise în aplicarea acesteia, în exercitarea atribuțiilor ce îi revin potrivit prezentei legi.</w:t>
            </w:r>
          </w:p>
          <w:p w14:paraId="5E7B4217"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lastRenderedPageBreak/>
              <w:t>(2) În scopul aplicării alin. (1), Banca Națională a Moldovei:</w:t>
            </w:r>
          </w:p>
          <w:p w14:paraId="39A34CF0"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a) ca parte a Sistemului european al supraveghetorilor financiari, cooperează în spiritul încrederii și al respectului deplin și reciproc, în special pentru a asigura fluxul de informații corespunzătoare și credibile cu celelalte părţi ale Sistemului european al supraveghetorilor financiari, în conformitate cu principiul cooperării loiale prevăzut la art. 4 alin. (3) din Tratatul privind Uniunea Europeană;</w:t>
            </w:r>
          </w:p>
          <w:p w14:paraId="48CB7232"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b) poate participa la activitățile Autorității Bancare Europene și, după caz, la colegiile de supraveghetori;</w:t>
            </w:r>
          </w:p>
          <w:p w14:paraId="3FE8CE4B"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 xml:space="preserve">c) depune toate eforturile pentru a se conforma ghidurilor şi recomandărilor emise de Autoritatea Bancară Europeană şi pentru a da curs avertismentelor şi recomandărilor emise de Comitetul European pentru Risc Sistemic; </w:t>
            </w:r>
          </w:p>
          <w:p w14:paraId="613EDCD3" w14:textId="77777777" w:rsidR="00AE6E19" w:rsidRPr="005D6998" w:rsidRDefault="00AE6E19" w:rsidP="00AE6E19">
            <w:pPr>
              <w:spacing w:after="0" w:line="240" w:lineRule="auto"/>
              <w:jc w:val="both"/>
              <w:rPr>
                <w:rFonts w:ascii="Times New Roman" w:hAnsi="Times New Roman"/>
              </w:rPr>
            </w:pPr>
            <w:r w:rsidRPr="005D6998">
              <w:rPr>
                <w:rFonts w:ascii="Times New Roman" w:hAnsi="Times New Roman"/>
              </w:rPr>
              <w:t>d) cooperează cu Comitetul European pentru Risc Sistemic;</w:t>
            </w:r>
          </w:p>
          <w:p w14:paraId="43AA72BA" w14:textId="77777777" w:rsidR="00AE6E19" w:rsidRPr="005D6998" w:rsidRDefault="00AE6E19" w:rsidP="00AE6E19">
            <w:pPr>
              <w:spacing w:line="240" w:lineRule="auto"/>
              <w:jc w:val="both"/>
              <w:rPr>
                <w:rFonts w:ascii="Times New Roman" w:hAnsi="Times New Roman"/>
              </w:rPr>
            </w:pPr>
            <w:r w:rsidRPr="005D6998">
              <w:rPr>
                <w:rFonts w:ascii="Times New Roman" w:hAnsi="Times New Roman"/>
              </w:rPr>
              <w:t xml:space="preserve">e) îndeplinește atribuţiile prevăzute de prezenta lege în calitate de autoritate competentă fără a împiedica respectarea obligaţiilor care îi revin în calitate de membru al Autorităţii Bancare Europene şi al Comitetului European pentru Risc Sistemic sau a altor obligaţii la nivelul Uniunii Europene în domeniul supravegherii prudenţiale a instituţiilor de credit, în special a celor decurgând din prezenta </w:t>
            </w:r>
            <w:r w:rsidRPr="005D6998">
              <w:rPr>
                <w:rFonts w:ascii="Times New Roman" w:hAnsi="Times New Roman"/>
              </w:rPr>
              <w:lastRenderedPageBreak/>
              <w:t>lege și actele normative emise în aplicarea acesteia. ”.</w:t>
            </w:r>
          </w:p>
        </w:tc>
        <w:tc>
          <w:tcPr>
            <w:tcW w:w="1418" w:type="dxa"/>
            <w:gridSpan w:val="2"/>
          </w:tcPr>
          <w:p w14:paraId="7D002EDF" w14:textId="77777777" w:rsidR="00AE6E19" w:rsidRPr="005D6998" w:rsidRDefault="00AE6E19" w:rsidP="00AE6E19">
            <w:pPr>
              <w:tabs>
                <w:tab w:val="left" w:pos="884"/>
                <w:tab w:val="left" w:pos="1196"/>
              </w:tabs>
              <w:spacing w:after="0" w:line="240" w:lineRule="auto"/>
              <w:jc w:val="center"/>
              <w:rPr>
                <w:rFonts w:ascii="Times New Roman" w:hAnsi="Times New Roman"/>
                <w:b/>
              </w:rPr>
            </w:pPr>
            <w:r w:rsidRPr="005D6998">
              <w:rPr>
                <w:rFonts w:ascii="Times New Roman" w:hAnsi="Times New Roman"/>
                <w:b/>
              </w:rPr>
              <w:lastRenderedPageBreak/>
              <w:t>Centrul de armonizare a legislației</w:t>
            </w:r>
          </w:p>
          <w:p w14:paraId="0B131108" w14:textId="77777777" w:rsidR="00AE6E19" w:rsidRPr="005D6998" w:rsidRDefault="00AE6E19" w:rsidP="00AE6E19">
            <w:pPr>
              <w:tabs>
                <w:tab w:val="left" w:pos="884"/>
                <w:tab w:val="left" w:pos="1196"/>
              </w:tabs>
              <w:spacing w:after="0" w:line="240" w:lineRule="auto"/>
              <w:jc w:val="center"/>
              <w:rPr>
                <w:rFonts w:ascii="Times New Roman" w:hAnsi="Times New Roman"/>
                <w:b/>
                <w:bCs/>
              </w:rPr>
            </w:pPr>
            <w:r w:rsidRPr="005D6998">
              <w:rPr>
                <w:rFonts w:ascii="Times New Roman" w:hAnsi="Times New Roman"/>
                <w:bCs/>
              </w:rPr>
              <w:t>Aviz nr. 31/02-126-7608</w:t>
            </w:r>
          </w:p>
        </w:tc>
        <w:tc>
          <w:tcPr>
            <w:tcW w:w="567" w:type="dxa"/>
            <w:gridSpan w:val="2"/>
            <w:tcBorders>
              <w:top w:val="single" w:sz="4" w:space="0" w:color="auto"/>
              <w:left w:val="single" w:sz="4" w:space="0" w:color="auto"/>
              <w:bottom w:val="single" w:sz="4" w:space="0" w:color="auto"/>
              <w:right w:val="single" w:sz="4" w:space="0" w:color="auto"/>
            </w:tcBorders>
          </w:tcPr>
          <w:p w14:paraId="758128A9" w14:textId="77777777" w:rsidR="00AE6E19" w:rsidRPr="005D6998" w:rsidRDefault="00AE6E19" w:rsidP="00AE6E19">
            <w:pPr>
              <w:pStyle w:val="a7"/>
              <w:numPr>
                <w:ilvl w:val="0"/>
                <w:numId w:val="24"/>
              </w:numPr>
              <w:tabs>
                <w:tab w:val="left" w:pos="884"/>
                <w:tab w:val="left" w:pos="1196"/>
              </w:tabs>
              <w:spacing w:after="0" w:line="240" w:lineRule="auto"/>
              <w:jc w:val="center"/>
              <w:rPr>
                <w:rFonts w:ascii="Times New Roman" w:hAnsi="Times New Roman"/>
                <w:b/>
              </w:rPr>
            </w:pPr>
          </w:p>
        </w:tc>
        <w:tc>
          <w:tcPr>
            <w:tcW w:w="4255" w:type="dxa"/>
            <w:gridSpan w:val="4"/>
            <w:tcBorders>
              <w:top w:val="single" w:sz="4" w:space="0" w:color="auto"/>
              <w:left w:val="single" w:sz="4" w:space="0" w:color="auto"/>
              <w:bottom w:val="single" w:sz="4" w:space="0" w:color="auto"/>
              <w:right w:val="single" w:sz="4" w:space="0" w:color="auto"/>
            </w:tcBorders>
          </w:tcPr>
          <w:p w14:paraId="7701C38B" w14:textId="77777777" w:rsidR="00AE6E19" w:rsidRPr="005D6998" w:rsidRDefault="00AE6E19" w:rsidP="00AE6E19">
            <w:pPr>
              <w:tabs>
                <w:tab w:val="left" w:pos="884"/>
                <w:tab w:val="left" w:pos="1196"/>
              </w:tabs>
              <w:spacing w:line="240" w:lineRule="auto"/>
              <w:jc w:val="both"/>
              <w:rPr>
                <w:rFonts w:ascii="Times New Roman" w:hAnsi="Times New Roman"/>
                <w:bCs/>
              </w:rPr>
            </w:pPr>
            <w:r w:rsidRPr="005D6998">
              <w:rPr>
                <w:rFonts w:ascii="Times New Roman" w:hAnsi="Times New Roman"/>
                <w:bCs/>
              </w:rPr>
              <w:t>Cu referire la propunerile privind consultarea bazelor de date ale Uniunii Europene din art. 128</w:t>
            </w:r>
            <w:r w:rsidRPr="005D6998">
              <w:rPr>
                <w:rFonts w:ascii="Times New Roman" w:hAnsi="Times New Roman"/>
                <w:bCs/>
                <w:vertAlign w:val="superscript"/>
              </w:rPr>
              <w:t>1</w:t>
            </w:r>
            <w:r w:rsidRPr="005D6998">
              <w:rPr>
                <w:rFonts w:ascii="Times New Roman" w:hAnsi="Times New Roman"/>
                <w:bCs/>
              </w:rPr>
              <w:t>, se menționează că, accesul la asemenea mecanisme nu este automat, ci se negociază și se stabilește cu Uniunea Europeană, reieșind din statutul Republicii Moldova ca stat candidat la aderare și de condițiile concrete de acces prevăzute la nivel european.</w:t>
            </w:r>
          </w:p>
        </w:tc>
        <w:tc>
          <w:tcPr>
            <w:tcW w:w="4815" w:type="dxa"/>
            <w:tcBorders>
              <w:top w:val="single" w:sz="4" w:space="0" w:color="auto"/>
              <w:left w:val="single" w:sz="4" w:space="0" w:color="auto"/>
              <w:bottom w:val="single" w:sz="4" w:space="0" w:color="auto"/>
              <w:right w:val="single" w:sz="4" w:space="0" w:color="auto"/>
            </w:tcBorders>
          </w:tcPr>
          <w:p w14:paraId="19B797EC" w14:textId="77777777" w:rsidR="00AE6E19" w:rsidRPr="005D6998" w:rsidRDefault="00AE6E19" w:rsidP="00AE6E19">
            <w:pPr>
              <w:spacing w:after="0" w:line="240" w:lineRule="auto"/>
              <w:jc w:val="both"/>
              <w:rPr>
                <w:rFonts w:ascii="Times New Roman" w:eastAsia="Calibri" w:hAnsi="Times New Roman"/>
                <w:bCs/>
                <w:lang w:eastAsia="en-US"/>
              </w:rPr>
            </w:pPr>
            <w:r w:rsidRPr="005D6998">
              <w:rPr>
                <w:rFonts w:ascii="Times New Roman" w:eastAsia="Calibri" w:hAnsi="Times New Roman"/>
                <w:bCs/>
                <w:lang w:eastAsia="en-US"/>
              </w:rPr>
              <w:t>Comentariu</w:t>
            </w:r>
          </w:p>
          <w:p w14:paraId="334BE5EB" w14:textId="77777777" w:rsidR="00AE6E19" w:rsidRPr="005D6998" w:rsidRDefault="00AE6E19" w:rsidP="00AE6E19">
            <w:pPr>
              <w:spacing w:after="0" w:line="240" w:lineRule="auto"/>
              <w:jc w:val="both"/>
              <w:rPr>
                <w:rFonts w:ascii="Times New Roman" w:eastAsia="Calibri" w:hAnsi="Times New Roman"/>
                <w:bCs/>
                <w:lang w:eastAsia="en-US"/>
              </w:rPr>
            </w:pPr>
            <w:r w:rsidRPr="005D6998">
              <w:rPr>
                <w:rFonts w:ascii="Times New Roman" w:eastAsia="Calibri" w:hAnsi="Times New Roman"/>
                <w:bCs/>
                <w:lang w:eastAsia="en-US"/>
              </w:rPr>
              <w:t>Conform Art. V Dispoziții finale alin. (3) lit. a), pct. 112 prin care legea se completează cu art. 128</w:t>
            </w:r>
            <w:r w:rsidRPr="005D6998">
              <w:rPr>
                <w:rFonts w:ascii="Times New Roman" w:eastAsia="Calibri" w:hAnsi="Times New Roman"/>
                <w:bCs/>
                <w:vertAlign w:val="superscript"/>
                <w:lang w:eastAsia="en-US"/>
              </w:rPr>
              <w:t>1</w:t>
            </w:r>
            <w:r w:rsidRPr="005D6998">
              <w:rPr>
                <w:rFonts w:ascii="Times New Roman" w:eastAsia="Calibri" w:hAnsi="Times New Roman"/>
                <w:bCs/>
                <w:lang w:eastAsia="en-US"/>
              </w:rPr>
              <w:t xml:space="preserve"> intră în vigoare la data aderării. </w:t>
            </w:r>
          </w:p>
          <w:p w14:paraId="01C03028" w14:textId="77777777" w:rsidR="00AE6E19" w:rsidRPr="005D6998" w:rsidRDefault="00AE6E19" w:rsidP="00AE6E19">
            <w:pPr>
              <w:spacing w:after="0" w:line="240" w:lineRule="auto"/>
              <w:jc w:val="both"/>
              <w:rPr>
                <w:rFonts w:ascii="Times New Roman" w:eastAsia="Calibri" w:hAnsi="Times New Roman"/>
                <w:bCs/>
                <w:lang w:eastAsia="en-US"/>
              </w:rPr>
            </w:pPr>
          </w:p>
        </w:tc>
      </w:tr>
      <w:tr w:rsidR="00AE6E19" w:rsidRPr="005D6998" w14:paraId="7B841C2E" w14:textId="77777777" w:rsidTr="00651F58">
        <w:trPr>
          <w:gridAfter w:val="2"/>
          <w:wAfter w:w="153" w:type="dxa"/>
          <w:trHeight w:val="105"/>
        </w:trPr>
        <w:tc>
          <w:tcPr>
            <w:tcW w:w="899" w:type="dxa"/>
            <w:gridSpan w:val="3"/>
            <w:tcBorders>
              <w:top w:val="single" w:sz="4" w:space="0" w:color="auto"/>
              <w:left w:val="single" w:sz="4" w:space="0" w:color="auto"/>
              <w:bottom w:val="single" w:sz="4" w:space="0" w:color="auto"/>
              <w:right w:val="single" w:sz="4" w:space="0" w:color="auto"/>
            </w:tcBorders>
            <w:shd w:val="clear" w:color="auto" w:fill="FFFFFF"/>
          </w:tcPr>
          <w:p w14:paraId="4AAAB7A0" w14:textId="77777777" w:rsidR="00AE6E19" w:rsidRPr="005D6998" w:rsidRDefault="00AE6E19" w:rsidP="00AE6E19">
            <w:pPr>
              <w:pStyle w:val="a7"/>
              <w:numPr>
                <w:ilvl w:val="0"/>
                <w:numId w:val="23"/>
              </w:numPr>
              <w:tabs>
                <w:tab w:val="left" w:pos="884"/>
                <w:tab w:val="left" w:pos="1196"/>
              </w:tabs>
              <w:spacing w:after="0" w:line="240" w:lineRule="auto"/>
              <w:jc w:val="both"/>
              <w:rPr>
                <w:rFonts w:ascii="Times New Roman" w:hAnsi="Times New Roman"/>
                <w:b/>
              </w:rPr>
            </w:pPr>
          </w:p>
        </w:tc>
        <w:tc>
          <w:tcPr>
            <w:tcW w:w="3637" w:type="dxa"/>
            <w:tcBorders>
              <w:top w:val="single" w:sz="4" w:space="0" w:color="auto"/>
              <w:left w:val="single" w:sz="4" w:space="0" w:color="auto"/>
              <w:bottom w:val="single" w:sz="4" w:space="0" w:color="auto"/>
              <w:right w:val="single" w:sz="4" w:space="0" w:color="auto"/>
            </w:tcBorders>
          </w:tcPr>
          <w:p w14:paraId="12534CCB" w14:textId="77777777" w:rsidR="00AE6E19" w:rsidRPr="005D6998" w:rsidRDefault="00AE6E19" w:rsidP="00AE6E19">
            <w:pPr>
              <w:spacing w:line="240" w:lineRule="auto"/>
              <w:jc w:val="both"/>
              <w:rPr>
                <w:rFonts w:ascii="Times New Roman" w:hAnsi="Times New Roman"/>
              </w:rPr>
            </w:pPr>
            <w:r w:rsidRPr="005D6998">
              <w:rPr>
                <w:rFonts w:ascii="Times New Roman" w:hAnsi="Times New Roman"/>
              </w:rPr>
              <w:t xml:space="preserve">Art. V. Dispoziții finale </w:t>
            </w:r>
          </w:p>
          <w:p w14:paraId="20B5CF28" w14:textId="77777777" w:rsidR="00AE6E19" w:rsidRPr="005D6998" w:rsidRDefault="00AE6E19" w:rsidP="00AE6E19">
            <w:pPr>
              <w:spacing w:line="240" w:lineRule="auto"/>
              <w:jc w:val="both"/>
              <w:rPr>
                <w:rFonts w:ascii="Times New Roman" w:hAnsi="Times New Roman"/>
              </w:rPr>
            </w:pPr>
            <w:r w:rsidRPr="005D6998">
              <w:rPr>
                <w:rFonts w:ascii="Times New Roman" w:hAnsi="Times New Roman"/>
              </w:rPr>
              <w:t>(1) Prezenta lege intră în vigoare în termen de șase luni de la data publicării în Monitorul Oficial al Republicii Moldova, cu excepțiiile prevăzute la alin. (2.)</w:t>
            </w:r>
          </w:p>
          <w:p w14:paraId="79D8E8FA" w14:textId="77777777" w:rsidR="00AE6E19" w:rsidRPr="005D6998" w:rsidRDefault="00AE6E19" w:rsidP="00AE6E19">
            <w:pPr>
              <w:spacing w:line="240" w:lineRule="auto"/>
              <w:jc w:val="both"/>
              <w:rPr>
                <w:rFonts w:ascii="Times New Roman" w:hAnsi="Times New Roman"/>
              </w:rPr>
            </w:pPr>
            <w:r w:rsidRPr="005D6998">
              <w:rPr>
                <w:rFonts w:ascii="Times New Roman" w:hAnsi="Times New Roman"/>
              </w:rPr>
              <w:t xml:space="preserve">(2) Prin derogare de la prevederile alin.(1), următoarele prevederi ale Art. III vor intra în vigoare: </w:t>
            </w:r>
          </w:p>
          <w:p w14:paraId="116EA88C" w14:textId="77777777" w:rsidR="00AE6E19" w:rsidRPr="005D6998" w:rsidRDefault="00AE6E19" w:rsidP="00AE6E19">
            <w:pPr>
              <w:spacing w:line="240" w:lineRule="auto"/>
              <w:jc w:val="both"/>
              <w:rPr>
                <w:rFonts w:ascii="Times New Roman" w:hAnsi="Times New Roman"/>
              </w:rPr>
            </w:pPr>
            <w:r w:rsidRPr="005D6998">
              <w:rPr>
                <w:rFonts w:ascii="Times New Roman" w:hAnsi="Times New Roman"/>
              </w:rPr>
              <w:t>a) la data intrării în vigoare a Tratatului de aderare a Republicii Moldova la Uniunea Europeană – [...]</w:t>
            </w:r>
          </w:p>
          <w:p w14:paraId="5D44C1B9" w14:textId="77777777" w:rsidR="00AE6E19" w:rsidRPr="005D6998" w:rsidRDefault="00AE6E19" w:rsidP="00AE6E19">
            <w:pPr>
              <w:spacing w:line="240" w:lineRule="auto"/>
              <w:jc w:val="both"/>
              <w:rPr>
                <w:rFonts w:ascii="Times New Roman" w:hAnsi="Times New Roman"/>
              </w:rPr>
            </w:pPr>
            <w:r w:rsidRPr="005D6998">
              <w:rPr>
                <w:rFonts w:ascii="Times New Roman" w:hAnsi="Times New Roman"/>
              </w:rPr>
              <w:t>b) în termen de 5 ani de la data intrării în vigoare a Tratatului de aderare a Republicii Moldova la Uniunea Europeană – [...]</w:t>
            </w:r>
          </w:p>
          <w:p w14:paraId="31C8BF42" w14:textId="77777777" w:rsidR="00AE6E19" w:rsidRPr="005D6998" w:rsidRDefault="00AE6E19" w:rsidP="00AE6E19">
            <w:pPr>
              <w:spacing w:line="240" w:lineRule="auto"/>
              <w:rPr>
                <w:rFonts w:ascii="Times New Roman" w:hAnsi="Times New Roman"/>
              </w:rPr>
            </w:pPr>
            <w:r w:rsidRPr="005D6998">
              <w:rPr>
                <w:rFonts w:ascii="Times New Roman" w:hAnsi="Times New Roman"/>
              </w:rPr>
              <w:t>c) în termen de o lună de la data publicării în Monitorul Oficial al Republicii Moldova – [...]</w:t>
            </w:r>
          </w:p>
          <w:p w14:paraId="7D5E13C6" w14:textId="77777777" w:rsidR="00AE6E19" w:rsidRPr="005D6998" w:rsidRDefault="00AE6E19" w:rsidP="00AE6E19">
            <w:pPr>
              <w:spacing w:line="240" w:lineRule="auto"/>
              <w:rPr>
                <w:rFonts w:ascii="Times New Roman" w:hAnsi="Times New Roman"/>
              </w:rPr>
            </w:pPr>
            <w:r w:rsidRPr="005D6998">
              <w:rPr>
                <w:rFonts w:ascii="Times New Roman" w:hAnsi="Times New Roman"/>
              </w:rPr>
              <w:t>d) în termen de 4 luni de la data publicării în Monitorul Oficial – [...]</w:t>
            </w:r>
          </w:p>
          <w:p w14:paraId="1D299A1A" w14:textId="77777777" w:rsidR="00AE6E19" w:rsidRPr="005D6998" w:rsidRDefault="00AE6E19" w:rsidP="00AE6E19">
            <w:pPr>
              <w:spacing w:line="240" w:lineRule="auto"/>
              <w:rPr>
                <w:rFonts w:ascii="Times New Roman" w:hAnsi="Times New Roman"/>
              </w:rPr>
            </w:pPr>
          </w:p>
        </w:tc>
        <w:tc>
          <w:tcPr>
            <w:tcW w:w="1418" w:type="dxa"/>
            <w:gridSpan w:val="2"/>
          </w:tcPr>
          <w:p w14:paraId="6009A4FF" w14:textId="77777777" w:rsidR="00AE6E19" w:rsidRPr="005D6998" w:rsidRDefault="00AE6E19" w:rsidP="00AE6E19">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de armonizare a legislației</w:t>
            </w:r>
          </w:p>
          <w:p w14:paraId="6D0BA466" w14:textId="77777777" w:rsidR="00AE6E19" w:rsidRPr="005D6998" w:rsidRDefault="00AE6E19" w:rsidP="00AE6E19">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31/02-126-7608</w:t>
            </w:r>
          </w:p>
        </w:tc>
        <w:tc>
          <w:tcPr>
            <w:tcW w:w="567" w:type="dxa"/>
            <w:gridSpan w:val="2"/>
            <w:tcBorders>
              <w:top w:val="single" w:sz="4" w:space="0" w:color="auto"/>
              <w:left w:val="single" w:sz="4" w:space="0" w:color="auto"/>
              <w:bottom w:val="single" w:sz="4" w:space="0" w:color="auto"/>
              <w:right w:val="single" w:sz="4" w:space="0" w:color="auto"/>
            </w:tcBorders>
          </w:tcPr>
          <w:p w14:paraId="72AECE1E" w14:textId="77777777" w:rsidR="00AE6E19" w:rsidRPr="005D6998" w:rsidRDefault="00AE6E19" w:rsidP="00AE6E19">
            <w:pPr>
              <w:pStyle w:val="a7"/>
              <w:numPr>
                <w:ilvl w:val="0"/>
                <w:numId w:val="24"/>
              </w:numPr>
              <w:tabs>
                <w:tab w:val="left" w:pos="884"/>
                <w:tab w:val="left" w:pos="1196"/>
              </w:tabs>
              <w:spacing w:after="0" w:line="240" w:lineRule="auto"/>
              <w:jc w:val="center"/>
              <w:rPr>
                <w:rFonts w:ascii="Times New Roman" w:hAnsi="Times New Roman"/>
                <w:b/>
              </w:rPr>
            </w:pPr>
          </w:p>
        </w:tc>
        <w:tc>
          <w:tcPr>
            <w:tcW w:w="4255" w:type="dxa"/>
            <w:gridSpan w:val="4"/>
            <w:tcBorders>
              <w:top w:val="single" w:sz="4" w:space="0" w:color="auto"/>
              <w:left w:val="single" w:sz="4" w:space="0" w:color="auto"/>
              <w:bottom w:val="single" w:sz="4" w:space="0" w:color="auto"/>
              <w:right w:val="single" w:sz="4" w:space="0" w:color="auto"/>
            </w:tcBorders>
          </w:tcPr>
          <w:p w14:paraId="372658D9" w14:textId="77777777" w:rsidR="00AE6E19" w:rsidRPr="005D6998" w:rsidRDefault="00AE6E19" w:rsidP="00AE6E19">
            <w:pPr>
              <w:pStyle w:val="a7"/>
              <w:tabs>
                <w:tab w:val="left" w:pos="884"/>
                <w:tab w:val="left" w:pos="1196"/>
              </w:tabs>
              <w:spacing w:line="240" w:lineRule="auto"/>
              <w:ind w:left="0"/>
              <w:jc w:val="both"/>
              <w:rPr>
                <w:rFonts w:ascii="Times New Roman" w:hAnsi="Times New Roman"/>
                <w:bCs/>
              </w:rPr>
            </w:pPr>
            <w:r w:rsidRPr="005D6998">
              <w:rPr>
                <w:rFonts w:ascii="Times New Roman" w:hAnsi="Times New Roman"/>
                <w:bCs/>
              </w:rPr>
              <w:t>Se arată că dispozițiile finale trebuie ajustate în mod corespunzător, reieșind din statutul Republicii Moldova de stat candidat la aderare. În contextul propunerilor Comisiei (DG FISMA</w:t>
            </w:r>
            <w:r w:rsidRPr="005D6998">
              <w:rPr>
                <w:rStyle w:val="afa"/>
                <w:rFonts w:ascii="Times New Roman" w:hAnsi="Times New Roman"/>
                <w:bCs/>
                <w:vertAlign w:val="baseline"/>
              </w:rPr>
              <w:footnoteReference w:id="2"/>
            </w:r>
            <w:r w:rsidRPr="005D6998">
              <w:rPr>
                <w:rFonts w:ascii="Times New Roman" w:hAnsi="Times New Roman"/>
                <w:bCs/>
              </w:rPr>
              <w:t xml:space="preserve">), se recomandă armonizarea graduală a legislației naționale cu cea a Uniunii Europene. </w:t>
            </w:r>
          </w:p>
          <w:p w14:paraId="552B51BA" w14:textId="77777777" w:rsidR="00AE6E19" w:rsidRPr="005D6998" w:rsidRDefault="00AE6E19" w:rsidP="00AE6E19">
            <w:pPr>
              <w:pStyle w:val="a7"/>
              <w:tabs>
                <w:tab w:val="left" w:pos="884"/>
                <w:tab w:val="left" w:pos="1196"/>
              </w:tabs>
              <w:spacing w:line="240" w:lineRule="auto"/>
              <w:ind w:left="0"/>
              <w:jc w:val="both"/>
              <w:rPr>
                <w:rFonts w:ascii="Times New Roman" w:hAnsi="Times New Roman"/>
                <w:bCs/>
              </w:rPr>
            </w:pPr>
          </w:p>
          <w:p w14:paraId="79EB1EB0" w14:textId="77777777" w:rsidR="00AE6E19" w:rsidRPr="005D6998" w:rsidRDefault="00AE6E19" w:rsidP="00AE6E19">
            <w:pPr>
              <w:pStyle w:val="a7"/>
              <w:tabs>
                <w:tab w:val="left" w:pos="884"/>
                <w:tab w:val="left" w:pos="1196"/>
              </w:tabs>
              <w:spacing w:line="240" w:lineRule="auto"/>
              <w:ind w:left="0"/>
              <w:jc w:val="both"/>
              <w:rPr>
                <w:rFonts w:ascii="Times New Roman" w:hAnsi="Times New Roman"/>
                <w:bCs/>
              </w:rPr>
            </w:pPr>
            <w:r w:rsidRPr="005D6998">
              <w:rPr>
                <w:rFonts w:ascii="Times New Roman" w:hAnsi="Times New Roman"/>
                <w:bCs/>
              </w:rPr>
              <w:t xml:space="preserve">Această abordare este necesară inclusiv reieșind din constatările expertizei de compatibilitate, or, proiectul național nu asigură transpunerea și aplicarea integrală a actelor Uniunii Europene și nici nu creează cadrul normativ complet necesar pentru aplicarea acestora la data aderării, fiind necesare intervenții suplimentare pentru realizarea alinierii și conformității finale. </w:t>
            </w:r>
          </w:p>
          <w:p w14:paraId="4C054923" w14:textId="77777777" w:rsidR="00AE6E19" w:rsidRPr="005D6998" w:rsidRDefault="00AE6E19" w:rsidP="00AE6E19">
            <w:pPr>
              <w:pStyle w:val="a7"/>
              <w:tabs>
                <w:tab w:val="left" w:pos="884"/>
                <w:tab w:val="left" w:pos="1196"/>
              </w:tabs>
              <w:spacing w:line="240" w:lineRule="auto"/>
              <w:ind w:left="0"/>
              <w:jc w:val="both"/>
              <w:rPr>
                <w:rFonts w:ascii="Times New Roman" w:hAnsi="Times New Roman"/>
                <w:bCs/>
              </w:rPr>
            </w:pPr>
          </w:p>
          <w:p w14:paraId="01D39FA8" w14:textId="77777777" w:rsidR="00AE6E19" w:rsidRPr="005D6998" w:rsidRDefault="00AE6E19" w:rsidP="00AE6E19">
            <w:pPr>
              <w:pStyle w:val="a7"/>
              <w:tabs>
                <w:tab w:val="left" w:pos="884"/>
                <w:tab w:val="left" w:pos="1196"/>
              </w:tabs>
              <w:spacing w:line="240" w:lineRule="auto"/>
              <w:ind w:left="0"/>
              <w:jc w:val="both"/>
              <w:rPr>
                <w:rFonts w:ascii="Times New Roman" w:hAnsi="Times New Roman"/>
                <w:bCs/>
              </w:rPr>
            </w:pPr>
            <w:r w:rsidRPr="005D6998">
              <w:rPr>
                <w:rFonts w:ascii="Times New Roman" w:hAnsi="Times New Roman"/>
                <w:bCs/>
              </w:rPr>
              <w:t>Conform cadrului de negocieri, Moldova va trebui să aplice acquis-ul așa cum există la momentul aderării. În plus față de alinierea legislativă, aderarea presupune, în special, implementarea la timp și eficientă a acquis-ului UE. Totodată, acceptarea de către Moldova a drepturilor și obligațiilor care decurg necesită adaptări specifice ale acquis-ului și poate, în mod excepțional, să dea naștere unor măsuri tranzitorii, care însă sunt definite în cadrul negocierilor de aderare.</w:t>
            </w:r>
          </w:p>
          <w:p w14:paraId="2EA09EA3" w14:textId="77777777" w:rsidR="00AE6E19" w:rsidRPr="005D6998" w:rsidRDefault="00AE6E19" w:rsidP="00AE6E19">
            <w:pPr>
              <w:pStyle w:val="a7"/>
              <w:tabs>
                <w:tab w:val="left" w:pos="884"/>
                <w:tab w:val="left" w:pos="1196"/>
              </w:tabs>
              <w:spacing w:line="240" w:lineRule="auto"/>
              <w:ind w:left="0"/>
              <w:jc w:val="both"/>
              <w:rPr>
                <w:rFonts w:ascii="Times New Roman" w:hAnsi="Times New Roman"/>
                <w:bCs/>
              </w:rPr>
            </w:pPr>
          </w:p>
          <w:p w14:paraId="62F2AC4E" w14:textId="77777777" w:rsidR="00AE6E19" w:rsidRPr="005D6998" w:rsidRDefault="00AE6E19" w:rsidP="00AE6E19">
            <w:pPr>
              <w:pStyle w:val="a7"/>
              <w:tabs>
                <w:tab w:val="left" w:pos="884"/>
                <w:tab w:val="left" w:pos="1196"/>
              </w:tabs>
              <w:spacing w:line="240" w:lineRule="auto"/>
              <w:ind w:left="0"/>
              <w:jc w:val="both"/>
              <w:rPr>
                <w:rFonts w:ascii="Times New Roman" w:hAnsi="Times New Roman"/>
                <w:bCs/>
              </w:rPr>
            </w:pPr>
            <w:r w:rsidRPr="005D6998">
              <w:rPr>
                <w:rFonts w:ascii="Times New Roman" w:hAnsi="Times New Roman"/>
                <w:bCs/>
              </w:rPr>
              <w:t xml:space="preserve">În context, se evidențiază că, nu pot fi acceptate prevederile privind punerea în </w:t>
            </w:r>
            <w:r w:rsidRPr="005D6998">
              <w:rPr>
                <w:rFonts w:ascii="Times New Roman" w:hAnsi="Times New Roman"/>
                <w:bCs/>
              </w:rPr>
              <w:lastRenderedPageBreak/>
              <w:t>aplicare a actelor Uniunii Europene post</w:t>
            </w:r>
            <w:r w:rsidRPr="005D6998">
              <w:rPr>
                <w:rFonts w:ascii="Times New Roman" w:hAnsi="Times New Roman"/>
                <w:bCs/>
              </w:rPr>
              <w:noBreakHyphen/>
              <w:t>aderare, întrucât măsurile tranzitorii urmează a fi negociate și ulterior aprobate prin Tratatul de aderare.</w:t>
            </w:r>
          </w:p>
        </w:tc>
        <w:tc>
          <w:tcPr>
            <w:tcW w:w="4815" w:type="dxa"/>
            <w:tcBorders>
              <w:top w:val="single" w:sz="4" w:space="0" w:color="auto"/>
              <w:left w:val="single" w:sz="4" w:space="0" w:color="auto"/>
              <w:bottom w:val="single" w:sz="4" w:space="0" w:color="auto"/>
              <w:right w:val="single" w:sz="4" w:space="0" w:color="auto"/>
            </w:tcBorders>
          </w:tcPr>
          <w:p w14:paraId="12C91C0F" w14:textId="77777777" w:rsidR="00AE6E19" w:rsidRPr="005D6998" w:rsidRDefault="00AE6E19" w:rsidP="00AE6E19">
            <w:pPr>
              <w:spacing w:after="0" w:line="240" w:lineRule="auto"/>
              <w:jc w:val="both"/>
              <w:rPr>
                <w:rFonts w:ascii="Times New Roman" w:eastAsia="Calibri" w:hAnsi="Times New Roman"/>
                <w:bCs/>
                <w:lang w:eastAsia="en-US"/>
              </w:rPr>
            </w:pPr>
            <w:r w:rsidRPr="005D6998">
              <w:rPr>
                <w:rFonts w:ascii="Times New Roman" w:eastAsia="Calibri" w:hAnsi="Times New Roman"/>
                <w:bCs/>
                <w:lang w:eastAsia="en-US"/>
              </w:rPr>
              <w:lastRenderedPageBreak/>
              <w:t>Comentariu</w:t>
            </w:r>
          </w:p>
          <w:p w14:paraId="48461842" w14:textId="77777777" w:rsidR="00AE6E19" w:rsidRPr="005D6998" w:rsidRDefault="00AE6E19" w:rsidP="00AE6E19">
            <w:pPr>
              <w:spacing w:after="0" w:line="240" w:lineRule="auto"/>
              <w:jc w:val="both"/>
              <w:rPr>
                <w:rFonts w:ascii="Times New Roman" w:eastAsia="Calibri" w:hAnsi="Times New Roman"/>
                <w:bCs/>
                <w:lang w:eastAsia="en-US"/>
              </w:rPr>
            </w:pPr>
            <w:r w:rsidRPr="005D6998">
              <w:rPr>
                <w:rFonts w:ascii="Times New Roman" w:eastAsia="Calibri" w:hAnsi="Times New Roman"/>
                <w:bCs/>
                <w:lang w:eastAsia="en-US"/>
              </w:rPr>
              <w:t xml:space="preserve">Proiectul de lege reprezintă un instrument de pregătire a cadrului normativ și instituțional necesar pentru aplicarea acquis-ului Uniunii Europene la momentul aderării Republicii Moldova. </w:t>
            </w:r>
          </w:p>
          <w:p w14:paraId="441D6748" w14:textId="77777777" w:rsidR="00AE6E19" w:rsidRPr="005D6998" w:rsidRDefault="00AE6E19" w:rsidP="00AE6E19">
            <w:pPr>
              <w:spacing w:after="0" w:line="240" w:lineRule="auto"/>
              <w:jc w:val="both"/>
              <w:rPr>
                <w:rFonts w:ascii="Times New Roman" w:eastAsia="Calibri" w:hAnsi="Times New Roman"/>
                <w:bCs/>
                <w:lang w:eastAsia="en-US"/>
              </w:rPr>
            </w:pPr>
            <w:r w:rsidRPr="005D6998">
              <w:rPr>
                <w:rFonts w:ascii="Times New Roman" w:eastAsia="Calibri" w:hAnsi="Times New Roman"/>
                <w:bCs/>
                <w:lang w:eastAsia="en-US"/>
              </w:rPr>
              <w:t>Stabilirea unor dispoziții exprese privind aplicarea anumitor prevederi la data aderării asigură predictibilitatea și claritatea cadrului juridic, permițând BNM și sectorului să întreprindă din timp măsurile organizatorice, operaționale și procedurale necesare.</w:t>
            </w:r>
          </w:p>
          <w:p w14:paraId="370FFDB0" w14:textId="77777777" w:rsidR="00AE6E19" w:rsidRPr="005D6998" w:rsidRDefault="00AE6E19" w:rsidP="00AE6E19">
            <w:pPr>
              <w:spacing w:after="0" w:line="240" w:lineRule="auto"/>
              <w:jc w:val="both"/>
              <w:rPr>
                <w:rFonts w:ascii="Times New Roman" w:eastAsia="Calibri" w:hAnsi="Times New Roman"/>
                <w:bCs/>
                <w:lang w:eastAsia="en-US"/>
              </w:rPr>
            </w:pPr>
            <w:r w:rsidRPr="005D6998">
              <w:rPr>
                <w:rFonts w:ascii="Times New Roman" w:eastAsia="Calibri" w:hAnsi="Times New Roman"/>
                <w:bCs/>
                <w:lang w:eastAsia="en-US"/>
              </w:rPr>
              <w:t>...</w:t>
            </w:r>
          </w:p>
        </w:tc>
      </w:tr>
      <w:tr w:rsidR="00AE6E19" w:rsidRPr="005D6998" w14:paraId="15CA88F6" w14:textId="77777777" w:rsidTr="00651F58">
        <w:trPr>
          <w:gridAfter w:val="2"/>
          <w:wAfter w:w="153" w:type="dxa"/>
          <w:trHeight w:val="105"/>
        </w:trPr>
        <w:tc>
          <w:tcPr>
            <w:tcW w:w="899" w:type="dxa"/>
            <w:gridSpan w:val="3"/>
            <w:tcBorders>
              <w:top w:val="single" w:sz="4" w:space="0" w:color="auto"/>
              <w:left w:val="single" w:sz="4" w:space="0" w:color="auto"/>
              <w:bottom w:val="single" w:sz="4" w:space="0" w:color="auto"/>
              <w:right w:val="single" w:sz="4" w:space="0" w:color="auto"/>
            </w:tcBorders>
            <w:shd w:val="clear" w:color="auto" w:fill="FFFFFF"/>
          </w:tcPr>
          <w:p w14:paraId="1971936C" w14:textId="70A584B8" w:rsidR="00AE6E19" w:rsidRPr="005D6998" w:rsidRDefault="00AE6E19" w:rsidP="00AE6E19">
            <w:pPr>
              <w:pStyle w:val="a7"/>
              <w:tabs>
                <w:tab w:val="left" w:pos="884"/>
                <w:tab w:val="left" w:pos="1196"/>
              </w:tabs>
              <w:spacing w:after="0" w:line="240" w:lineRule="auto"/>
              <w:ind w:left="142"/>
              <w:jc w:val="both"/>
              <w:rPr>
                <w:rFonts w:ascii="Times New Roman" w:hAnsi="Times New Roman"/>
                <w:b/>
              </w:rPr>
            </w:pPr>
            <w:r w:rsidRPr="005D6998">
              <w:rPr>
                <w:rFonts w:ascii="Times New Roman" w:hAnsi="Times New Roman"/>
                <w:b/>
              </w:rPr>
              <w:t>1</w:t>
            </w:r>
            <w:r w:rsidR="00651F58" w:rsidRPr="005D6998">
              <w:rPr>
                <w:rFonts w:ascii="Times New Roman" w:hAnsi="Times New Roman"/>
                <w:b/>
              </w:rPr>
              <w:t>7</w:t>
            </w:r>
          </w:p>
        </w:tc>
        <w:tc>
          <w:tcPr>
            <w:tcW w:w="3637" w:type="dxa"/>
            <w:tcBorders>
              <w:top w:val="single" w:sz="4" w:space="0" w:color="auto"/>
              <w:left w:val="single" w:sz="4" w:space="0" w:color="auto"/>
              <w:bottom w:val="single" w:sz="4" w:space="0" w:color="auto"/>
              <w:right w:val="single" w:sz="4" w:space="0" w:color="auto"/>
            </w:tcBorders>
          </w:tcPr>
          <w:p w14:paraId="35314E35" w14:textId="2A215C0B" w:rsidR="00AE6E19" w:rsidRPr="005D6998" w:rsidRDefault="00AE6E19" w:rsidP="00AE6E19">
            <w:pPr>
              <w:spacing w:line="240" w:lineRule="auto"/>
              <w:jc w:val="both"/>
              <w:rPr>
                <w:rFonts w:ascii="Times New Roman" w:hAnsi="Times New Roman"/>
              </w:rPr>
            </w:pPr>
            <w:r w:rsidRPr="005D6998">
              <w:rPr>
                <w:rFonts w:ascii="Times New Roman" w:hAnsi="Times New Roman"/>
                <w:b/>
                <w:bCs/>
              </w:rPr>
              <w:t xml:space="preserve">1. </w:t>
            </w:r>
            <w:r w:rsidRPr="005D6998">
              <w:rPr>
                <w:rFonts w:ascii="Times New Roman" w:hAnsi="Times New Roman"/>
              </w:rPr>
              <w:t>Titlul actului UE, inclusiv cea mai recentă modificare, nr.CELEX</w:t>
            </w:r>
            <w:r w:rsidRPr="005D6998">
              <w:rPr>
                <w:rFonts w:ascii="Times New Roman" w:hAnsi="Times New Roman"/>
                <w:bCs/>
              </w:rPr>
              <w:br/>
            </w:r>
          </w:p>
        </w:tc>
        <w:tc>
          <w:tcPr>
            <w:tcW w:w="1418" w:type="dxa"/>
            <w:gridSpan w:val="2"/>
          </w:tcPr>
          <w:p w14:paraId="12DB045D" w14:textId="77777777" w:rsidR="00AE6E19" w:rsidRPr="005D6998" w:rsidRDefault="00AE6E19" w:rsidP="00AE6E19">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de armonizare a legislației</w:t>
            </w:r>
          </w:p>
          <w:p w14:paraId="3F921508" w14:textId="77432B7D" w:rsidR="00AE6E19" w:rsidRPr="005D6998" w:rsidRDefault="00AE6E19" w:rsidP="00AE6E19">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31/02-126-7608</w:t>
            </w:r>
          </w:p>
        </w:tc>
        <w:tc>
          <w:tcPr>
            <w:tcW w:w="567" w:type="dxa"/>
            <w:gridSpan w:val="2"/>
            <w:tcBorders>
              <w:top w:val="single" w:sz="4" w:space="0" w:color="auto"/>
              <w:left w:val="single" w:sz="4" w:space="0" w:color="auto"/>
              <w:bottom w:val="single" w:sz="4" w:space="0" w:color="auto"/>
              <w:right w:val="single" w:sz="4" w:space="0" w:color="auto"/>
            </w:tcBorders>
          </w:tcPr>
          <w:p w14:paraId="623D9C36" w14:textId="77777777" w:rsidR="00AE6E19" w:rsidRPr="005D6998" w:rsidRDefault="00AE6E19" w:rsidP="00AE6E19">
            <w:pPr>
              <w:pStyle w:val="a7"/>
              <w:numPr>
                <w:ilvl w:val="0"/>
                <w:numId w:val="24"/>
              </w:numPr>
              <w:tabs>
                <w:tab w:val="left" w:pos="884"/>
                <w:tab w:val="left" w:pos="1196"/>
              </w:tabs>
              <w:spacing w:after="0" w:line="240" w:lineRule="auto"/>
              <w:jc w:val="center"/>
              <w:rPr>
                <w:rFonts w:ascii="Times New Roman" w:hAnsi="Times New Roman"/>
                <w:b/>
              </w:rPr>
            </w:pPr>
          </w:p>
        </w:tc>
        <w:tc>
          <w:tcPr>
            <w:tcW w:w="4255" w:type="dxa"/>
            <w:gridSpan w:val="4"/>
            <w:tcBorders>
              <w:top w:val="single" w:sz="4" w:space="0" w:color="auto"/>
              <w:left w:val="single" w:sz="4" w:space="0" w:color="auto"/>
              <w:bottom w:val="single" w:sz="4" w:space="0" w:color="auto"/>
              <w:right w:val="single" w:sz="4" w:space="0" w:color="auto"/>
            </w:tcBorders>
          </w:tcPr>
          <w:p w14:paraId="709EA851" w14:textId="7F4D8DCE" w:rsidR="00AE6E19" w:rsidRPr="005D6998" w:rsidRDefault="00AE6E19" w:rsidP="00AE6E19">
            <w:pPr>
              <w:pStyle w:val="a7"/>
              <w:tabs>
                <w:tab w:val="left" w:pos="884"/>
                <w:tab w:val="left" w:pos="1196"/>
              </w:tabs>
              <w:spacing w:line="240" w:lineRule="auto"/>
              <w:ind w:left="0"/>
              <w:jc w:val="both"/>
              <w:rPr>
                <w:rFonts w:ascii="Times New Roman" w:hAnsi="Times New Roman"/>
                <w:bCs/>
              </w:rPr>
            </w:pPr>
            <w:r w:rsidRPr="005D6998">
              <w:rPr>
                <w:rFonts w:ascii="Times New Roman" w:hAnsi="Times New Roman"/>
              </w:rPr>
              <w:t>La compartimentul 1 se va indica tipul, numărul, instituția/instituțiile care l-a/l-au adoptat, data, titlul actului juridic european, nr. CELEX, inclusiv cea mai recentă modificare a actului care constituie obiect al transpunerii, prin precizarea tipului, a numărului și a datei de adoptare a actului juridic european de modificare</w:t>
            </w:r>
          </w:p>
        </w:tc>
        <w:tc>
          <w:tcPr>
            <w:tcW w:w="4815" w:type="dxa"/>
            <w:tcBorders>
              <w:top w:val="single" w:sz="4" w:space="0" w:color="auto"/>
              <w:left w:val="single" w:sz="4" w:space="0" w:color="auto"/>
              <w:bottom w:val="single" w:sz="4" w:space="0" w:color="auto"/>
              <w:right w:val="single" w:sz="4" w:space="0" w:color="auto"/>
            </w:tcBorders>
          </w:tcPr>
          <w:p w14:paraId="11AC306D" w14:textId="24FE54E7" w:rsidR="00AE6E19" w:rsidRPr="005D6998" w:rsidRDefault="00AE6E19" w:rsidP="00AE6E19">
            <w:pPr>
              <w:spacing w:after="0" w:line="240" w:lineRule="auto"/>
              <w:jc w:val="both"/>
              <w:rPr>
                <w:rFonts w:ascii="Times New Roman" w:eastAsia="Calibri" w:hAnsi="Times New Roman"/>
                <w:bCs/>
                <w:lang w:eastAsia="en-US"/>
              </w:rPr>
            </w:pPr>
            <w:r w:rsidRPr="005D6998">
              <w:rPr>
                <w:rFonts w:ascii="Times New Roman" w:hAnsi="Times New Roman"/>
                <w:b/>
                <w:bCs/>
              </w:rPr>
              <w:t>Se acceptă.</w:t>
            </w:r>
          </w:p>
        </w:tc>
      </w:tr>
      <w:tr w:rsidR="00AE6E19" w:rsidRPr="005D6998" w14:paraId="3F5E1210" w14:textId="77777777" w:rsidTr="00651F58">
        <w:trPr>
          <w:gridAfter w:val="2"/>
          <w:wAfter w:w="153" w:type="dxa"/>
          <w:trHeight w:val="105"/>
        </w:trPr>
        <w:tc>
          <w:tcPr>
            <w:tcW w:w="899" w:type="dxa"/>
            <w:gridSpan w:val="3"/>
            <w:tcBorders>
              <w:top w:val="single" w:sz="4" w:space="0" w:color="auto"/>
              <w:left w:val="single" w:sz="4" w:space="0" w:color="auto"/>
              <w:bottom w:val="single" w:sz="4" w:space="0" w:color="auto"/>
              <w:right w:val="single" w:sz="4" w:space="0" w:color="auto"/>
            </w:tcBorders>
            <w:shd w:val="clear" w:color="auto" w:fill="FFFFFF"/>
          </w:tcPr>
          <w:p w14:paraId="2DF3CA3D" w14:textId="2496CD78" w:rsidR="00AE6E19" w:rsidRPr="005D6998" w:rsidRDefault="00651F58" w:rsidP="00AE6E19">
            <w:pPr>
              <w:pStyle w:val="a7"/>
              <w:tabs>
                <w:tab w:val="left" w:pos="884"/>
                <w:tab w:val="left" w:pos="1196"/>
              </w:tabs>
              <w:spacing w:after="0" w:line="240" w:lineRule="auto"/>
              <w:ind w:left="142"/>
              <w:jc w:val="both"/>
              <w:rPr>
                <w:rFonts w:ascii="Times New Roman" w:hAnsi="Times New Roman"/>
                <w:b/>
              </w:rPr>
            </w:pPr>
            <w:r w:rsidRPr="005D6998">
              <w:rPr>
                <w:rFonts w:ascii="Times New Roman" w:hAnsi="Times New Roman"/>
                <w:b/>
              </w:rPr>
              <w:t>18</w:t>
            </w:r>
          </w:p>
        </w:tc>
        <w:tc>
          <w:tcPr>
            <w:tcW w:w="3637" w:type="dxa"/>
            <w:tcBorders>
              <w:top w:val="single" w:sz="4" w:space="0" w:color="auto"/>
              <w:left w:val="single" w:sz="4" w:space="0" w:color="auto"/>
              <w:bottom w:val="single" w:sz="4" w:space="0" w:color="auto"/>
              <w:right w:val="single" w:sz="4" w:space="0" w:color="auto"/>
            </w:tcBorders>
          </w:tcPr>
          <w:p w14:paraId="7CA25E6C" w14:textId="748847A5" w:rsidR="00AE6E19" w:rsidRPr="005D6998" w:rsidRDefault="00651F58" w:rsidP="00AE6E19">
            <w:pPr>
              <w:spacing w:line="240" w:lineRule="auto"/>
              <w:jc w:val="both"/>
              <w:rPr>
                <w:rFonts w:ascii="Times New Roman" w:hAnsi="Times New Roman"/>
                <w:b/>
                <w:bCs/>
              </w:rPr>
            </w:pPr>
            <w:r w:rsidRPr="005D6998">
              <w:rPr>
                <w:rFonts w:ascii="Times New Roman" w:hAnsi="Times New Roman"/>
                <w:b/>
                <w:bCs/>
              </w:rPr>
              <w:t xml:space="preserve">5. </w:t>
            </w:r>
            <w:r w:rsidRPr="005D6998">
              <w:rPr>
                <w:rFonts w:ascii="Times New Roman" w:hAnsi="Times New Roman"/>
              </w:rPr>
              <w:t>Data întocmirii/actualizării</w:t>
            </w:r>
          </w:p>
        </w:tc>
        <w:tc>
          <w:tcPr>
            <w:tcW w:w="1418" w:type="dxa"/>
            <w:gridSpan w:val="2"/>
          </w:tcPr>
          <w:p w14:paraId="1CA0036F" w14:textId="77777777" w:rsidR="00651F58" w:rsidRPr="005D6998" w:rsidRDefault="00651F58" w:rsidP="00651F58">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de armonizare a legislației</w:t>
            </w:r>
          </w:p>
          <w:p w14:paraId="7C0D5462" w14:textId="41B08108" w:rsidR="00AE6E19" w:rsidRPr="005D6998" w:rsidRDefault="00651F58" w:rsidP="00651F58">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31/02-126-7608</w:t>
            </w:r>
          </w:p>
        </w:tc>
        <w:tc>
          <w:tcPr>
            <w:tcW w:w="567" w:type="dxa"/>
            <w:gridSpan w:val="2"/>
            <w:tcBorders>
              <w:top w:val="single" w:sz="4" w:space="0" w:color="auto"/>
              <w:left w:val="single" w:sz="4" w:space="0" w:color="auto"/>
              <w:bottom w:val="single" w:sz="4" w:space="0" w:color="auto"/>
              <w:right w:val="single" w:sz="4" w:space="0" w:color="auto"/>
            </w:tcBorders>
          </w:tcPr>
          <w:p w14:paraId="266B3D3F" w14:textId="77777777" w:rsidR="00AE6E19" w:rsidRPr="005D6998" w:rsidRDefault="00AE6E19" w:rsidP="00AE6E19">
            <w:pPr>
              <w:pStyle w:val="a7"/>
              <w:numPr>
                <w:ilvl w:val="0"/>
                <w:numId w:val="24"/>
              </w:numPr>
              <w:tabs>
                <w:tab w:val="left" w:pos="884"/>
                <w:tab w:val="left" w:pos="1196"/>
              </w:tabs>
              <w:spacing w:after="0" w:line="240" w:lineRule="auto"/>
              <w:jc w:val="center"/>
              <w:rPr>
                <w:rFonts w:ascii="Times New Roman" w:hAnsi="Times New Roman"/>
                <w:b/>
              </w:rPr>
            </w:pPr>
          </w:p>
        </w:tc>
        <w:tc>
          <w:tcPr>
            <w:tcW w:w="4255" w:type="dxa"/>
            <w:gridSpan w:val="4"/>
            <w:tcBorders>
              <w:top w:val="single" w:sz="4" w:space="0" w:color="auto"/>
              <w:left w:val="single" w:sz="4" w:space="0" w:color="auto"/>
              <w:bottom w:val="single" w:sz="4" w:space="0" w:color="auto"/>
              <w:right w:val="single" w:sz="4" w:space="0" w:color="auto"/>
            </w:tcBorders>
          </w:tcPr>
          <w:p w14:paraId="7B196749" w14:textId="4B5E2BE9" w:rsidR="00AE6E19" w:rsidRPr="005D6998" w:rsidRDefault="00651F58" w:rsidP="00AE6E19">
            <w:pPr>
              <w:pStyle w:val="a7"/>
              <w:tabs>
                <w:tab w:val="left" w:pos="884"/>
                <w:tab w:val="left" w:pos="1196"/>
              </w:tabs>
              <w:spacing w:line="240" w:lineRule="auto"/>
              <w:ind w:left="0"/>
              <w:jc w:val="both"/>
              <w:rPr>
                <w:rFonts w:ascii="Times New Roman" w:hAnsi="Times New Roman"/>
              </w:rPr>
            </w:pPr>
            <w:r w:rsidRPr="005D6998">
              <w:rPr>
                <w:rFonts w:ascii="Times New Roman" w:hAnsi="Times New Roman"/>
              </w:rPr>
              <w:t>La compartimentul 5 se va menționa data întocmirii versiunii inițiale a tabelului de concordanță. Ori de câte ori proiectul de act normativ este modificat în procesul de promovare, se indică ultima dată calendaristică a actualizării tabelului de concordanță.</w:t>
            </w:r>
          </w:p>
        </w:tc>
        <w:tc>
          <w:tcPr>
            <w:tcW w:w="4815" w:type="dxa"/>
            <w:tcBorders>
              <w:top w:val="single" w:sz="4" w:space="0" w:color="auto"/>
              <w:left w:val="single" w:sz="4" w:space="0" w:color="auto"/>
              <w:bottom w:val="single" w:sz="4" w:space="0" w:color="auto"/>
              <w:right w:val="single" w:sz="4" w:space="0" w:color="auto"/>
            </w:tcBorders>
          </w:tcPr>
          <w:p w14:paraId="189C4DB7" w14:textId="22418B1F" w:rsidR="00AE6E19" w:rsidRPr="005D6998" w:rsidRDefault="00651F58" w:rsidP="00AE6E19">
            <w:pPr>
              <w:spacing w:after="0" w:line="240" w:lineRule="auto"/>
              <w:jc w:val="both"/>
              <w:rPr>
                <w:rFonts w:ascii="Times New Roman" w:hAnsi="Times New Roman"/>
                <w:b/>
                <w:bCs/>
              </w:rPr>
            </w:pPr>
            <w:r w:rsidRPr="005D6998">
              <w:rPr>
                <w:rFonts w:ascii="Times New Roman" w:hAnsi="Times New Roman"/>
                <w:b/>
                <w:bCs/>
              </w:rPr>
              <w:t>Se acceptă.</w:t>
            </w:r>
          </w:p>
        </w:tc>
      </w:tr>
      <w:tr w:rsidR="00651F58" w:rsidRPr="005D6998" w14:paraId="6E5AACEE" w14:textId="77777777" w:rsidTr="00651F58">
        <w:trPr>
          <w:gridAfter w:val="2"/>
          <w:wAfter w:w="153" w:type="dxa"/>
          <w:trHeight w:val="105"/>
        </w:trPr>
        <w:tc>
          <w:tcPr>
            <w:tcW w:w="899" w:type="dxa"/>
            <w:gridSpan w:val="3"/>
            <w:tcBorders>
              <w:top w:val="single" w:sz="4" w:space="0" w:color="auto"/>
              <w:left w:val="single" w:sz="4" w:space="0" w:color="auto"/>
              <w:bottom w:val="single" w:sz="4" w:space="0" w:color="auto"/>
              <w:right w:val="single" w:sz="4" w:space="0" w:color="auto"/>
            </w:tcBorders>
            <w:shd w:val="clear" w:color="auto" w:fill="FFFFFF"/>
          </w:tcPr>
          <w:p w14:paraId="0913070F" w14:textId="1FC23B2D" w:rsidR="00651F58" w:rsidRPr="005D6998" w:rsidRDefault="00651F58" w:rsidP="00AE6E19">
            <w:pPr>
              <w:pStyle w:val="a7"/>
              <w:tabs>
                <w:tab w:val="left" w:pos="884"/>
                <w:tab w:val="left" w:pos="1196"/>
              </w:tabs>
              <w:spacing w:after="0" w:line="240" w:lineRule="auto"/>
              <w:ind w:left="142"/>
              <w:jc w:val="both"/>
              <w:rPr>
                <w:rFonts w:ascii="Times New Roman" w:hAnsi="Times New Roman"/>
                <w:b/>
              </w:rPr>
            </w:pPr>
            <w:r w:rsidRPr="005D6998">
              <w:rPr>
                <w:rFonts w:ascii="Times New Roman" w:hAnsi="Times New Roman"/>
                <w:b/>
              </w:rPr>
              <w:t>19</w:t>
            </w:r>
          </w:p>
        </w:tc>
        <w:tc>
          <w:tcPr>
            <w:tcW w:w="3637" w:type="dxa"/>
            <w:tcBorders>
              <w:top w:val="single" w:sz="4" w:space="0" w:color="auto"/>
              <w:left w:val="single" w:sz="4" w:space="0" w:color="auto"/>
              <w:bottom w:val="single" w:sz="4" w:space="0" w:color="auto"/>
              <w:right w:val="single" w:sz="4" w:space="0" w:color="auto"/>
            </w:tcBorders>
          </w:tcPr>
          <w:p w14:paraId="3A026FB0" w14:textId="77B0BDA4" w:rsidR="00651F58" w:rsidRPr="005D6998" w:rsidRDefault="00651F58" w:rsidP="00AE6E19">
            <w:pPr>
              <w:spacing w:line="240" w:lineRule="auto"/>
              <w:jc w:val="both"/>
              <w:rPr>
                <w:rFonts w:ascii="Times New Roman" w:hAnsi="Times New Roman"/>
                <w:b/>
                <w:bCs/>
              </w:rPr>
            </w:pPr>
            <w:r w:rsidRPr="005D6998">
              <w:rPr>
                <w:rFonts w:ascii="Times New Roman" w:hAnsi="Times New Roman"/>
                <w:b/>
                <w:bCs/>
              </w:rPr>
              <w:t xml:space="preserve">9. </w:t>
            </w:r>
            <w:r w:rsidRPr="005D6998">
              <w:rPr>
                <w:rFonts w:ascii="Times New Roman" w:hAnsi="Times New Roman"/>
              </w:rPr>
              <w:t>Observaţii</w:t>
            </w:r>
          </w:p>
        </w:tc>
        <w:tc>
          <w:tcPr>
            <w:tcW w:w="1418" w:type="dxa"/>
            <w:gridSpan w:val="2"/>
          </w:tcPr>
          <w:p w14:paraId="58C631E2" w14:textId="77777777" w:rsidR="00651F58" w:rsidRPr="005D6998" w:rsidRDefault="00651F58" w:rsidP="00651F58">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de armonizare a legislației</w:t>
            </w:r>
          </w:p>
          <w:p w14:paraId="0A839758" w14:textId="467491D4" w:rsidR="00651F58" w:rsidRPr="005D6998" w:rsidRDefault="00651F58" w:rsidP="00651F58">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31/02-126-7608</w:t>
            </w:r>
          </w:p>
        </w:tc>
        <w:tc>
          <w:tcPr>
            <w:tcW w:w="567" w:type="dxa"/>
            <w:gridSpan w:val="2"/>
            <w:tcBorders>
              <w:top w:val="single" w:sz="4" w:space="0" w:color="auto"/>
              <w:left w:val="single" w:sz="4" w:space="0" w:color="auto"/>
              <w:bottom w:val="single" w:sz="4" w:space="0" w:color="auto"/>
              <w:right w:val="single" w:sz="4" w:space="0" w:color="auto"/>
            </w:tcBorders>
          </w:tcPr>
          <w:p w14:paraId="7551CDBA" w14:textId="77777777" w:rsidR="00651F58" w:rsidRPr="005D6998" w:rsidRDefault="00651F58" w:rsidP="00AE6E19">
            <w:pPr>
              <w:pStyle w:val="a7"/>
              <w:numPr>
                <w:ilvl w:val="0"/>
                <w:numId w:val="24"/>
              </w:numPr>
              <w:tabs>
                <w:tab w:val="left" w:pos="884"/>
                <w:tab w:val="left" w:pos="1196"/>
              </w:tabs>
              <w:spacing w:after="0" w:line="240" w:lineRule="auto"/>
              <w:jc w:val="center"/>
              <w:rPr>
                <w:rFonts w:ascii="Times New Roman" w:hAnsi="Times New Roman"/>
                <w:b/>
              </w:rPr>
            </w:pPr>
          </w:p>
        </w:tc>
        <w:tc>
          <w:tcPr>
            <w:tcW w:w="4255" w:type="dxa"/>
            <w:gridSpan w:val="4"/>
            <w:tcBorders>
              <w:top w:val="single" w:sz="4" w:space="0" w:color="auto"/>
              <w:left w:val="single" w:sz="4" w:space="0" w:color="auto"/>
              <w:bottom w:val="single" w:sz="4" w:space="0" w:color="auto"/>
              <w:right w:val="single" w:sz="4" w:space="0" w:color="auto"/>
            </w:tcBorders>
          </w:tcPr>
          <w:p w14:paraId="7A3FBD06" w14:textId="77777777" w:rsidR="00651F58" w:rsidRPr="005D6998" w:rsidRDefault="00651F58" w:rsidP="00651F58">
            <w:pPr>
              <w:spacing w:after="0" w:line="240" w:lineRule="auto"/>
              <w:jc w:val="both"/>
              <w:rPr>
                <w:rFonts w:ascii="Times New Roman" w:hAnsi="Times New Roman"/>
              </w:rPr>
            </w:pPr>
            <w:r w:rsidRPr="005D6998">
              <w:rPr>
                <w:rFonts w:ascii="Times New Roman" w:hAnsi="Times New Roman"/>
              </w:rPr>
              <w:t>La compartimentul 9 se vor menționa diverse observații, în special diferențele dintre prevederile actului juridic european și prevederile proiectului de act normativ național, în cazul în care se realizează o transpunere parțială sau doar a anumitor elemente structurale ale dispozițiilor actului juridic european. Se explică motivele care stau la baza transpunerii parțiale și se inserează trimiteri, mențiuni relevante. Se indică termenele preconizate pentru realizarea transpunerii integrale a dispozițiilor actului juridic european și proiectele de acte normative care vor înlătura diferențele de compatibilitate constatate la compartimentul 8 al tabelului de concordanță.</w:t>
            </w:r>
          </w:p>
          <w:p w14:paraId="5E4E52B4" w14:textId="7A437587" w:rsidR="00651F58" w:rsidRPr="005D6998" w:rsidRDefault="00651F58" w:rsidP="00651F58">
            <w:pPr>
              <w:pStyle w:val="a7"/>
              <w:tabs>
                <w:tab w:val="left" w:pos="884"/>
                <w:tab w:val="left" w:pos="1196"/>
              </w:tabs>
              <w:spacing w:line="240" w:lineRule="auto"/>
              <w:ind w:left="0"/>
              <w:jc w:val="both"/>
              <w:rPr>
                <w:rFonts w:ascii="Times New Roman" w:hAnsi="Times New Roman"/>
              </w:rPr>
            </w:pPr>
            <w:r w:rsidRPr="005D6998">
              <w:rPr>
                <w:rFonts w:ascii="Times New Roman" w:hAnsi="Times New Roman"/>
              </w:rPr>
              <w:lastRenderedPageBreak/>
              <w:t>De asemenea, în cazul prevederilor cu specific național, se indică angajamentul autorului, cu explicațiile de rigoare, că acestea nu excedă obiectul de reglementare al actului UE sau nu supra reglementează domeniul.</w:t>
            </w:r>
          </w:p>
        </w:tc>
        <w:tc>
          <w:tcPr>
            <w:tcW w:w="4815" w:type="dxa"/>
            <w:tcBorders>
              <w:top w:val="single" w:sz="4" w:space="0" w:color="auto"/>
              <w:left w:val="single" w:sz="4" w:space="0" w:color="auto"/>
              <w:bottom w:val="single" w:sz="4" w:space="0" w:color="auto"/>
              <w:right w:val="single" w:sz="4" w:space="0" w:color="auto"/>
            </w:tcBorders>
          </w:tcPr>
          <w:p w14:paraId="7DC7A039" w14:textId="53398AB8" w:rsidR="00651F58" w:rsidRPr="005D6998" w:rsidRDefault="00651F58" w:rsidP="00AE6E19">
            <w:pPr>
              <w:spacing w:after="0" w:line="240" w:lineRule="auto"/>
              <w:jc w:val="both"/>
              <w:rPr>
                <w:rFonts w:ascii="Times New Roman" w:hAnsi="Times New Roman"/>
                <w:b/>
                <w:bCs/>
              </w:rPr>
            </w:pPr>
            <w:r w:rsidRPr="005D6998">
              <w:rPr>
                <w:rFonts w:ascii="Times New Roman" w:hAnsi="Times New Roman"/>
                <w:b/>
                <w:bCs/>
              </w:rPr>
              <w:lastRenderedPageBreak/>
              <w:t>Se acceptă</w:t>
            </w:r>
          </w:p>
        </w:tc>
      </w:tr>
      <w:tr w:rsidR="008E7C06" w:rsidRPr="005D6998" w14:paraId="5A2F6797" w14:textId="77777777" w:rsidTr="00651F58">
        <w:trPr>
          <w:gridAfter w:val="2"/>
          <w:wAfter w:w="153" w:type="dxa"/>
          <w:trHeight w:val="105"/>
        </w:trPr>
        <w:tc>
          <w:tcPr>
            <w:tcW w:w="15591" w:type="dxa"/>
            <w:gridSpan w:val="13"/>
            <w:shd w:val="clear" w:color="auto" w:fill="FFFFFF"/>
          </w:tcPr>
          <w:p w14:paraId="37A1EDDF" w14:textId="77777777" w:rsidR="008E7C06" w:rsidRPr="005D6998" w:rsidRDefault="008E7C06" w:rsidP="00A46332">
            <w:pPr>
              <w:tabs>
                <w:tab w:val="left" w:pos="884"/>
                <w:tab w:val="left" w:pos="1196"/>
              </w:tabs>
              <w:spacing w:after="0" w:line="240" w:lineRule="auto"/>
              <w:jc w:val="center"/>
              <w:rPr>
                <w:rFonts w:ascii="Times New Roman" w:hAnsi="Times New Roman"/>
                <w:b/>
                <w:bCs/>
              </w:rPr>
            </w:pPr>
            <w:r w:rsidRPr="005D6998">
              <w:rPr>
                <w:rFonts w:ascii="Times New Roman" w:hAnsi="Times New Roman"/>
                <w:b/>
                <w:bCs/>
              </w:rPr>
              <w:t>Expertiza anticorupție</w:t>
            </w:r>
          </w:p>
        </w:tc>
      </w:tr>
      <w:tr w:rsidR="008E7C06" w:rsidRPr="005D6998" w14:paraId="52137ACA" w14:textId="77777777" w:rsidTr="00651F58">
        <w:trPr>
          <w:gridAfter w:val="2"/>
          <w:wAfter w:w="153" w:type="dxa"/>
          <w:trHeight w:val="105"/>
        </w:trPr>
        <w:tc>
          <w:tcPr>
            <w:tcW w:w="848" w:type="dxa"/>
            <w:gridSpan w:val="2"/>
            <w:shd w:val="clear" w:color="auto" w:fill="FFFFFF"/>
          </w:tcPr>
          <w:p w14:paraId="67A5F50D" w14:textId="51505E4F" w:rsidR="008E7C06" w:rsidRPr="005D6998" w:rsidRDefault="00244DE3" w:rsidP="00AE6E19">
            <w:pPr>
              <w:pStyle w:val="a7"/>
              <w:tabs>
                <w:tab w:val="left" w:pos="884"/>
                <w:tab w:val="left" w:pos="1196"/>
              </w:tabs>
              <w:spacing w:after="0" w:line="240" w:lineRule="auto"/>
              <w:ind w:left="502"/>
              <w:jc w:val="both"/>
              <w:rPr>
                <w:rFonts w:ascii="Times New Roman" w:hAnsi="Times New Roman"/>
                <w:b/>
              </w:rPr>
            </w:pPr>
            <w:r w:rsidRPr="005D6998">
              <w:rPr>
                <w:rFonts w:ascii="Times New Roman" w:hAnsi="Times New Roman"/>
                <w:b/>
              </w:rPr>
              <w:t>1</w:t>
            </w:r>
          </w:p>
        </w:tc>
        <w:tc>
          <w:tcPr>
            <w:tcW w:w="3688" w:type="dxa"/>
            <w:gridSpan w:val="2"/>
            <w:shd w:val="clear" w:color="auto" w:fill="FFFFFF"/>
          </w:tcPr>
          <w:p w14:paraId="64B6F4D2" w14:textId="77777777" w:rsidR="008E7C06" w:rsidRPr="005D6998" w:rsidRDefault="008E7C06" w:rsidP="00A46332">
            <w:pPr>
              <w:tabs>
                <w:tab w:val="left" w:pos="426"/>
              </w:tabs>
              <w:spacing w:after="160" w:line="240" w:lineRule="auto"/>
              <w:jc w:val="both"/>
              <w:rPr>
                <w:rFonts w:ascii="Times New Roman" w:hAnsi="Times New Roman"/>
              </w:rPr>
            </w:pPr>
            <w:r w:rsidRPr="005D6998">
              <w:rPr>
                <w:rFonts w:ascii="Times New Roman" w:hAnsi="Times New Roman"/>
                <w:b/>
                <w:bCs/>
              </w:rPr>
              <w:t xml:space="preserve">Art. III. Legea nr. 202/2017 privind activitatea băncilor </w:t>
            </w:r>
            <w:r w:rsidRPr="005D6998">
              <w:rPr>
                <w:rFonts w:ascii="Times New Roman" w:hAnsi="Times New Roman"/>
              </w:rPr>
              <w:t xml:space="preserve">(Monitorul Oficial al Republicii Moldova, 2017, nr.434–439, art.727), cu modificările ulterioare, se modifică după cum urmează: </w:t>
            </w:r>
          </w:p>
          <w:p w14:paraId="59DB1B37" w14:textId="77777777" w:rsidR="008E7C06" w:rsidRPr="005D6998" w:rsidRDefault="008E7C06" w:rsidP="00A46332">
            <w:pPr>
              <w:tabs>
                <w:tab w:val="left" w:pos="426"/>
              </w:tabs>
              <w:spacing w:after="160" w:line="240" w:lineRule="auto"/>
              <w:jc w:val="both"/>
              <w:rPr>
                <w:rFonts w:ascii="Times New Roman" w:hAnsi="Times New Roman"/>
              </w:rPr>
            </w:pPr>
            <w:r w:rsidRPr="005D6998">
              <w:rPr>
                <w:rFonts w:ascii="Times New Roman" w:hAnsi="Times New Roman"/>
              </w:rPr>
              <w:t>[...]</w:t>
            </w:r>
          </w:p>
          <w:p w14:paraId="45B001A5" w14:textId="77777777" w:rsidR="008E7C06" w:rsidRPr="005D6998" w:rsidRDefault="008E7C06" w:rsidP="00A46332">
            <w:pPr>
              <w:tabs>
                <w:tab w:val="left" w:pos="884"/>
                <w:tab w:val="left" w:pos="1196"/>
              </w:tabs>
              <w:spacing w:after="0" w:line="240" w:lineRule="auto"/>
              <w:jc w:val="both"/>
              <w:rPr>
                <w:rFonts w:ascii="Times New Roman" w:hAnsi="Times New Roman"/>
                <w:lang w:val="ro-MD"/>
              </w:rPr>
            </w:pPr>
            <w:r w:rsidRPr="005D6998">
              <w:rPr>
                <w:rFonts w:ascii="Times New Roman" w:hAnsi="Times New Roman"/>
              </w:rPr>
              <w:t xml:space="preserve">56. Articolul 59 </w:t>
            </w:r>
            <w:r w:rsidRPr="005D6998">
              <w:rPr>
                <w:rFonts w:ascii="Times New Roman" w:hAnsi="Times New Roman"/>
                <w:lang w:val="ro-MD"/>
              </w:rPr>
              <w:t xml:space="preserve">se completează cu alineatele (5) – (11) cu următorul cuprins: </w:t>
            </w:r>
          </w:p>
          <w:p w14:paraId="0C3BE9AA" w14:textId="77777777" w:rsidR="008E7C06" w:rsidRPr="005D6998" w:rsidRDefault="008E7C06" w:rsidP="00A46332">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w:t>
            </w:r>
          </w:p>
          <w:p w14:paraId="717FE69D" w14:textId="77777777" w:rsidR="008E7C06" w:rsidRPr="005D6998" w:rsidRDefault="008E7C06" w:rsidP="00A46332">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(8) Banca Națională a Moldovei poate excepta o instituţie de credit de la îndeplinirea cerinţelor prevăzute la art. 78, în cazul în care acordă o derogare în conformitate cu actele normative emise</w:t>
            </w:r>
          </w:p>
          <w:p w14:paraId="52BEF64B"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lang w:val="ro-MD"/>
              </w:rPr>
              <w:t>în aplicarea prezentei legi.”.</w:t>
            </w:r>
          </w:p>
        </w:tc>
        <w:tc>
          <w:tcPr>
            <w:tcW w:w="1418" w:type="dxa"/>
            <w:gridSpan w:val="2"/>
            <w:shd w:val="clear" w:color="auto" w:fill="FFFFFF"/>
          </w:tcPr>
          <w:p w14:paraId="02FB6C66" w14:textId="77777777" w:rsidR="008E7C06" w:rsidRPr="005D6998" w:rsidRDefault="008E7C06" w:rsidP="00A46332">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Național Anticorupție</w:t>
            </w:r>
          </w:p>
          <w:p w14:paraId="027A2DAB" w14:textId="77777777" w:rsidR="008E7C06" w:rsidRPr="005D6998" w:rsidRDefault="008E7C06" w:rsidP="00333CEE">
            <w:pPr>
              <w:tabs>
                <w:tab w:val="left" w:pos="884"/>
                <w:tab w:val="left" w:pos="1196"/>
              </w:tabs>
              <w:spacing w:after="0" w:line="240" w:lineRule="auto"/>
              <w:jc w:val="center"/>
              <w:rPr>
                <w:rFonts w:ascii="Times New Roman" w:hAnsi="Times New Roman"/>
                <w:bCs/>
              </w:rPr>
            </w:pPr>
            <w:r w:rsidRPr="005D6998">
              <w:rPr>
                <w:rFonts w:ascii="Times New Roman" w:hAnsi="Times New Roman"/>
                <w:bCs/>
              </w:rPr>
              <w:t>Aviz nr. ELO26/11805 din 21.08.</w:t>
            </w:r>
            <w:bookmarkStart w:id="19" w:name="_GoBack"/>
            <w:bookmarkEnd w:id="19"/>
            <w:r w:rsidRPr="005D6998">
              <w:rPr>
                <w:rFonts w:ascii="Times New Roman" w:hAnsi="Times New Roman"/>
                <w:bCs/>
              </w:rPr>
              <w:t>2026</w:t>
            </w:r>
          </w:p>
        </w:tc>
        <w:tc>
          <w:tcPr>
            <w:tcW w:w="567" w:type="dxa"/>
            <w:gridSpan w:val="2"/>
            <w:shd w:val="clear" w:color="auto" w:fill="FFFFFF"/>
          </w:tcPr>
          <w:p w14:paraId="2436BDD6" w14:textId="222C00CF" w:rsidR="008E7C06" w:rsidRPr="005D6998" w:rsidRDefault="00244DE3" w:rsidP="00A46332">
            <w:pPr>
              <w:pStyle w:val="a7"/>
              <w:tabs>
                <w:tab w:val="left" w:pos="884"/>
                <w:tab w:val="left" w:pos="1196"/>
              </w:tabs>
              <w:spacing w:after="0" w:line="240" w:lineRule="auto"/>
              <w:ind w:left="142"/>
              <w:jc w:val="both"/>
              <w:rPr>
                <w:rFonts w:ascii="Times New Roman" w:hAnsi="Times New Roman"/>
                <w:b/>
                <w:bCs/>
              </w:rPr>
            </w:pPr>
            <w:r w:rsidRPr="005D6998">
              <w:rPr>
                <w:rFonts w:ascii="Times New Roman" w:hAnsi="Times New Roman"/>
                <w:b/>
                <w:bCs/>
              </w:rPr>
              <w:t>1</w:t>
            </w:r>
          </w:p>
        </w:tc>
        <w:tc>
          <w:tcPr>
            <w:tcW w:w="4110" w:type="dxa"/>
            <w:gridSpan w:val="2"/>
            <w:shd w:val="clear" w:color="auto" w:fill="FFFFFF"/>
          </w:tcPr>
          <w:p w14:paraId="631D7481"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Cu referire la utilizarea unei norme de blanchetă la alin. (8), se remarcă faptul că normele de blanchetă contribuie la apariţia altor elemente cu risc puternic de coruptibilitate: lărgirea atribuţiilor discreţionare, cerinţe stabilite convenției unor anumite persoane/grup de persoane, cerinţe exagerate pentru realizarea unor drepturi etc. </w:t>
            </w:r>
          </w:p>
          <w:p w14:paraId="7C0B7325"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Exercitarea unor atribuții extensive de reglementare de către entitate poate genera riscuri sporite de corupție și de exercitare arbitrară a competenței, în special atunci când norma legală lasă un spațiu larg de apreciere fără a stabili suficient de clar condițiile, limitele și criteriile de exercitare a acesteia. </w:t>
            </w:r>
          </w:p>
          <w:p w14:paraId="5E4D3D10"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Prin prisma art. 3 din Legea nr. 100/2017, actele normative trebuie să respecte principiile legalității, transparenței, previzibilității și proporționalității, astfel încât destinatarii normei să poată anticipa în mod rezonabil modul în care autoritatea își va exercita competența. </w:t>
            </w:r>
          </w:p>
          <w:p w14:paraId="542C7AEF" w14:textId="77777777" w:rsidR="008E7C06" w:rsidRPr="005D6998" w:rsidRDefault="008E7C06" w:rsidP="00A46332">
            <w:pPr>
              <w:spacing w:after="0" w:line="240" w:lineRule="auto"/>
              <w:jc w:val="both"/>
              <w:rPr>
                <w:rFonts w:ascii="Times New Roman" w:hAnsi="Times New Roman"/>
                <w:lang w:val="ro-MD"/>
              </w:rPr>
            </w:pPr>
          </w:p>
          <w:p w14:paraId="497500C9"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Se arată că, formulările generale de tipul „poate acorda derogări în conformitate cu actele normative emise” prezintă un risc de corupție deoarece pot permite diferențierea nejustificată între destinatari, aplicarea unor </w:t>
            </w:r>
            <w:r w:rsidRPr="005D6998">
              <w:rPr>
                <w:rFonts w:ascii="Times New Roman" w:hAnsi="Times New Roman"/>
                <w:lang w:val="ro-MD"/>
              </w:rPr>
              <w:lastRenderedPageBreak/>
              <w:t>criterii neuniforme sau intervenția unor factori externi în procesul decizional.</w:t>
            </w:r>
          </w:p>
          <w:p w14:paraId="28ABF052" w14:textId="77777777" w:rsidR="008E7C06" w:rsidRPr="005D6998" w:rsidRDefault="008E7C06" w:rsidP="00A46332">
            <w:pPr>
              <w:spacing w:after="0" w:line="240" w:lineRule="auto"/>
              <w:jc w:val="both"/>
              <w:rPr>
                <w:rFonts w:ascii="Times New Roman" w:hAnsi="Times New Roman"/>
                <w:lang w:val="ro-MD"/>
              </w:rPr>
            </w:pPr>
          </w:p>
          <w:p w14:paraId="672F3056"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Art. 7 din Regulamentul (UE) nr. 575/2013 al Parlamentului European și al Consiliului din 26 iunie 2013 privind cerințele prudențiale pentru instituțiile de credit și firmele de investiții, reglementează derogarea de la aplicarea cerințelor prudențiale p e bază individuală. </w:t>
            </w:r>
          </w:p>
          <w:p w14:paraId="185E3613"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Dispoziția conferă autorității competente posibilitatea de a excepta o filială de la aplicarea cerințelor relevante pe bază individuală, însă numai cu respectarea condițiilor expres stabilite nemijlocit de regulament. Astfel, competența autorității este una de </w:t>
            </w:r>
            <w:r w:rsidRPr="005D6998">
              <w:rPr>
                <w:rFonts w:ascii="Times New Roman" w:hAnsi="Times New Roman"/>
                <w:i/>
                <w:iCs/>
                <w:lang w:val="ro-MD"/>
              </w:rPr>
              <w:t>aplicare a derogării în cadrul și în limitele definite de CRR</w:t>
            </w:r>
            <w:r w:rsidRPr="005D6998">
              <w:rPr>
                <w:rFonts w:ascii="Times New Roman" w:hAnsi="Times New Roman"/>
                <w:lang w:val="ro-MD"/>
              </w:rPr>
              <w:t>, iar nu o competență generală de a stabili, prin acte normative naționale, condițiile materiale în care derogarea poate fi acordată.</w:t>
            </w:r>
          </w:p>
          <w:p w14:paraId="714D40C7" w14:textId="77777777" w:rsidR="008E7C06" w:rsidRPr="005D6998" w:rsidRDefault="008E7C06" w:rsidP="00A46332">
            <w:pPr>
              <w:spacing w:after="0" w:line="240" w:lineRule="auto"/>
              <w:jc w:val="both"/>
              <w:rPr>
                <w:rFonts w:ascii="Times New Roman" w:hAnsi="Times New Roman"/>
                <w:lang w:val="ro-MD"/>
              </w:rPr>
            </w:pPr>
          </w:p>
          <w:p w14:paraId="3BBB163E"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Se recomandă reglementarea în conținutul proiectului condițiilor materiale ale derogării aplicate. </w:t>
            </w:r>
          </w:p>
          <w:p w14:paraId="13511D6C"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Respectiv, se consideră că art. 59 alin. (8) </w:t>
            </w:r>
            <w:r w:rsidRPr="005D6998">
              <w:rPr>
                <w:rFonts w:ascii="Times New Roman" w:hAnsi="Times New Roman"/>
                <w:b/>
                <w:bCs/>
                <w:lang w:val="ro-MD"/>
              </w:rPr>
              <w:t>necesită o clarificare substanțială a</w:t>
            </w:r>
            <w:r w:rsidRPr="005D6998">
              <w:rPr>
                <w:rFonts w:ascii="Times New Roman" w:hAnsi="Times New Roman"/>
                <w:lang w:val="ro-MD"/>
              </w:rPr>
              <w:t xml:space="preserve"> temeiului și limitelor competenței BNM. </w:t>
            </w:r>
          </w:p>
          <w:p w14:paraId="29E263F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ro-MD"/>
              </w:rPr>
              <w:t xml:space="preserve">Formularea potrivit căreia BNM poate „acorda o derogare în conformitate cu actele normative emise” este prea generală întrucât nu indică în mod expres că exercitarea acestei competențe este condiționată de îndeplinirea cerințelor prevăzute de art. 7 CRR. Trimiterea generică la actele normative emise de BNM poate conduce la interpretarea că aceste acte sunt cele care determină în mod autonom cazurile, </w:t>
            </w:r>
            <w:r w:rsidRPr="005D6998">
              <w:rPr>
                <w:rFonts w:ascii="Times New Roman" w:hAnsi="Times New Roman"/>
                <w:lang w:val="ro-MD"/>
              </w:rPr>
              <w:lastRenderedPageBreak/>
              <w:t>condițiile și limitele în care derogarea poate fi acordată.</w:t>
            </w:r>
          </w:p>
        </w:tc>
        <w:tc>
          <w:tcPr>
            <w:tcW w:w="4960" w:type="dxa"/>
            <w:gridSpan w:val="3"/>
            <w:shd w:val="clear" w:color="auto" w:fill="FFFFFF"/>
          </w:tcPr>
          <w:p w14:paraId="6D22E41B" w14:textId="77777777" w:rsidR="008E7C06" w:rsidRPr="005D6998" w:rsidRDefault="008E7C06" w:rsidP="00A46332">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lastRenderedPageBreak/>
              <w:t>Nu se acceptă.</w:t>
            </w:r>
          </w:p>
          <w:p w14:paraId="6E95E208"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Se menționează că alin. (8) reprezintă o transpunere fidelă a normei din art. 108 alin. (1) paragraful al doilea din Directiva 2013/36/UE, iar competența BNM de a acorda derogări de la prevederile art. 78 nu este una discreționară nelimitată, fiind condiționată de cadrul normativ aplicabil. </w:t>
            </w:r>
          </w:p>
          <w:p w14:paraId="070D416C"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Totodată, acordarea derogării nu poate conduce la diferențiere nejustificată între destinatarii normei sau la aplicarea unor criterii neuniforme, deoarece aceasta se realizează doar  în baza condițiilor și criteriilor obiective stabilite prin cadrul normativ aplicabil.</w:t>
            </w:r>
          </w:p>
          <w:p w14:paraId="22939118"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Astfel, actele normative ale BNM care urmează a fi adoptate în limitele competențelor stabilite de lege nu pot crea derogări care nu au temei legal în lege și vor detalia condițiile aferente modului de aplicare a derogărilor, astfel cum sunt stabilite de art. 10 din Regulamentul (UE) nr. 575/2013 la care se face referință în articolul din Directiva 2013/36/UE menționat care urmează a fi transpus în proiectul regulamentului privind nivelul de aplicare al cerințelor prudențiale. </w:t>
            </w:r>
          </w:p>
          <w:p w14:paraId="12321CCA"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Pentru fortificarea prevederii alin. (8), textul “</w:t>
            </w:r>
            <w:r w:rsidRPr="005D6998">
              <w:rPr>
                <w:rFonts w:ascii="Times New Roman" w:hAnsi="Times New Roman"/>
                <w:b/>
                <w:bCs/>
              </w:rPr>
              <w:t>în conformitate</w:t>
            </w:r>
            <w:r w:rsidRPr="005D6998">
              <w:rPr>
                <w:rFonts w:ascii="Times New Roman" w:hAnsi="Times New Roman"/>
              </w:rPr>
              <w:t xml:space="preserve"> cu actele normative emise în aplicarea prezentei legi” de la alin. (8) a fost înlocuită cu textul “</w:t>
            </w:r>
            <w:r w:rsidRPr="005D6998">
              <w:rPr>
                <w:rFonts w:ascii="Times New Roman" w:hAnsi="Times New Roman"/>
                <w:b/>
                <w:bCs/>
              </w:rPr>
              <w:t>în condițiile</w:t>
            </w:r>
            <w:r w:rsidRPr="005D6998">
              <w:rPr>
                <w:rFonts w:ascii="Times New Roman" w:hAnsi="Times New Roman"/>
              </w:rPr>
              <w:t xml:space="preserve"> prevăzute în actele normative emise în aplicarea prezentei legi.”</w:t>
            </w:r>
          </w:p>
          <w:p w14:paraId="27872768" w14:textId="77777777" w:rsidR="008E7C06" w:rsidRPr="005D6998" w:rsidRDefault="008E7C06" w:rsidP="00A46332">
            <w:pPr>
              <w:tabs>
                <w:tab w:val="left" w:pos="884"/>
                <w:tab w:val="left" w:pos="1196"/>
              </w:tabs>
              <w:spacing w:after="0" w:line="240" w:lineRule="auto"/>
              <w:jc w:val="both"/>
              <w:rPr>
                <w:rFonts w:ascii="Times New Roman" w:hAnsi="Times New Roman"/>
              </w:rPr>
            </w:pPr>
          </w:p>
          <w:p w14:paraId="06FF9933"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 xml:space="preserve">Totodată. din perspectiva asigurării respectării principiilor legalității, transparenței, previzibilității și proporționalității normei, se precizează că actele </w:t>
            </w:r>
            <w:r w:rsidRPr="005D6998">
              <w:rPr>
                <w:rFonts w:ascii="Times New Roman" w:hAnsi="Times New Roman"/>
              </w:rPr>
              <w:lastRenderedPageBreak/>
              <w:t>normative ale BNM sunt publice, sunt supuse procedurilor de aprobare prevăzute de lege, putând fi contestate în procedurile de consultare publică, ceea ce asigură garanții efective împotriva exercitării arbitrare a competenței BNM.</w:t>
            </w:r>
          </w:p>
          <w:p w14:paraId="16A4F9E5" w14:textId="77777777" w:rsidR="008E7C06" w:rsidRPr="005D6998" w:rsidRDefault="008E7C06" w:rsidP="00A46332">
            <w:pPr>
              <w:tabs>
                <w:tab w:val="left" w:pos="884"/>
                <w:tab w:val="left" w:pos="1196"/>
              </w:tabs>
              <w:spacing w:after="0" w:line="240" w:lineRule="auto"/>
              <w:jc w:val="both"/>
              <w:rPr>
                <w:rFonts w:ascii="Times New Roman" w:hAnsi="Times New Roman"/>
              </w:rPr>
            </w:pPr>
          </w:p>
        </w:tc>
      </w:tr>
      <w:tr w:rsidR="008E7C06" w:rsidRPr="005D6998" w14:paraId="18A22FDB" w14:textId="77777777" w:rsidTr="00651F58">
        <w:trPr>
          <w:gridAfter w:val="2"/>
          <w:wAfter w:w="153" w:type="dxa"/>
          <w:trHeight w:val="105"/>
        </w:trPr>
        <w:tc>
          <w:tcPr>
            <w:tcW w:w="848" w:type="dxa"/>
            <w:gridSpan w:val="2"/>
            <w:shd w:val="clear" w:color="auto" w:fill="FFFFFF"/>
          </w:tcPr>
          <w:p w14:paraId="505A84DA" w14:textId="4B769DA4" w:rsidR="008E7C06" w:rsidRPr="005D6998" w:rsidRDefault="00244DE3" w:rsidP="00A46332">
            <w:pPr>
              <w:pStyle w:val="a7"/>
              <w:tabs>
                <w:tab w:val="left" w:pos="884"/>
                <w:tab w:val="left" w:pos="1196"/>
              </w:tabs>
              <w:spacing w:after="0" w:line="240" w:lineRule="auto"/>
              <w:ind w:left="142"/>
              <w:jc w:val="both"/>
              <w:rPr>
                <w:rFonts w:ascii="Times New Roman" w:hAnsi="Times New Roman"/>
                <w:b/>
              </w:rPr>
            </w:pPr>
            <w:r w:rsidRPr="005D6998">
              <w:rPr>
                <w:rFonts w:ascii="Times New Roman" w:hAnsi="Times New Roman"/>
                <w:b/>
              </w:rPr>
              <w:lastRenderedPageBreak/>
              <w:t>2</w:t>
            </w:r>
          </w:p>
        </w:tc>
        <w:tc>
          <w:tcPr>
            <w:tcW w:w="3688" w:type="dxa"/>
            <w:gridSpan w:val="2"/>
            <w:shd w:val="clear" w:color="auto" w:fill="FFFFFF"/>
          </w:tcPr>
          <w:p w14:paraId="3BA7877F" w14:textId="77777777" w:rsidR="008E7C06" w:rsidRPr="005D6998" w:rsidRDefault="008E7C06" w:rsidP="00A46332">
            <w:pPr>
              <w:tabs>
                <w:tab w:val="left" w:pos="426"/>
              </w:tabs>
              <w:spacing w:after="160" w:line="240" w:lineRule="auto"/>
              <w:jc w:val="both"/>
              <w:rPr>
                <w:rFonts w:ascii="Times New Roman" w:hAnsi="Times New Roman"/>
                <w:lang w:val="ro-MD"/>
              </w:rPr>
            </w:pPr>
            <w:r w:rsidRPr="005D6998">
              <w:rPr>
                <w:rFonts w:ascii="Times New Roman" w:hAnsi="Times New Roman"/>
                <w:lang w:val="ro-MD"/>
              </w:rPr>
              <w:t>74. Titlul III se completează cu capitolul 6</w:t>
            </w:r>
            <w:r w:rsidRPr="005D6998">
              <w:rPr>
                <w:rFonts w:ascii="Times New Roman" w:hAnsi="Times New Roman"/>
                <w:vertAlign w:val="superscript"/>
                <w:lang w:val="ro-MD"/>
              </w:rPr>
              <w:t>1</w:t>
            </w:r>
            <w:r w:rsidRPr="005D6998">
              <w:rPr>
                <w:rFonts w:ascii="Times New Roman" w:hAnsi="Times New Roman"/>
                <w:lang w:val="ro-MD"/>
              </w:rPr>
              <w:t xml:space="preserve"> cu următorul cuprins:</w:t>
            </w:r>
          </w:p>
          <w:p w14:paraId="2505E6FC" w14:textId="77777777" w:rsidR="008E7C06" w:rsidRPr="005D6998" w:rsidRDefault="008E7C06" w:rsidP="00A46332">
            <w:pPr>
              <w:tabs>
                <w:tab w:val="left" w:pos="426"/>
              </w:tabs>
              <w:spacing w:after="160" w:line="240" w:lineRule="auto"/>
              <w:jc w:val="both"/>
              <w:rPr>
                <w:rFonts w:ascii="Times New Roman" w:hAnsi="Times New Roman"/>
                <w:lang w:val="ro-MD"/>
              </w:rPr>
            </w:pPr>
            <w:r w:rsidRPr="005D6998">
              <w:rPr>
                <w:rFonts w:ascii="Times New Roman" w:hAnsi="Times New Roman"/>
                <w:lang w:val="ro-MD"/>
              </w:rPr>
              <w:t>[...] Articolul 94</w:t>
            </w:r>
            <w:r w:rsidRPr="005D6998">
              <w:rPr>
                <w:rFonts w:ascii="Times New Roman" w:hAnsi="Times New Roman"/>
                <w:vertAlign w:val="superscript"/>
                <w:lang w:val="ro-MD"/>
              </w:rPr>
              <w:t>3</w:t>
            </w:r>
            <w:r w:rsidRPr="005D6998">
              <w:rPr>
                <w:rFonts w:ascii="Times New Roman" w:hAnsi="Times New Roman"/>
                <w:lang w:val="ro-MD"/>
              </w:rPr>
              <w:t xml:space="preserve">. Cerințe privind guvernanța internă și administrarea riscurilor [...] </w:t>
            </w:r>
          </w:p>
          <w:p w14:paraId="6E7B0ED6" w14:textId="77777777" w:rsidR="008E7C06" w:rsidRPr="005D6998" w:rsidRDefault="008E7C06" w:rsidP="00A46332">
            <w:pPr>
              <w:tabs>
                <w:tab w:val="left" w:pos="426"/>
              </w:tabs>
              <w:spacing w:after="160" w:line="240" w:lineRule="auto"/>
              <w:jc w:val="both"/>
              <w:rPr>
                <w:rFonts w:ascii="Times New Roman" w:hAnsi="Times New Roman"/>
              </w:rPr>
            </w:pPr>
            <w:r w:rsidRPr="005D6998">
              <w:rPr>
                <w:rFonts w:ascii="Times New Roman" w:hAnsi="Times New Roman"/>
                <w:lang w:val="ro-MD"/>
              </w:rPr>
              <w:t>(8) Sucursala dintr-un stat terț trebuie să se asigure că o entitate de audit agreată de Banca Națională a Moldovei evaluează periodic punerea în aplicare și respectarea continuă de către sucursala dintr-un stat terț a cerințelor prevăzute la prezentul articol și să transmită Băncii Naționale a Moldovei un raport care să includă constatările și concluziile acestei entități în condițiile și termenele stabilite în actele normative emise în aplicarea prezentei legi.</w:t>
            </w:r>
          </w:p>
        </w:tc>
        <w:tc>
          <w:tcPr>
            <w:tcW w:w="1418" w:type="dxa"/>
            <w:gridSpan w:val="2"/>
            <w:shd w:val="clear" w:color="auto" w:fill="FFFFFF"/>
          </w:tcPr>
          <w:p w14:paraId="01F517EA" w14:textId="77777777" w:rsidR="008E7C06" w:rsidRPr="005D6998" w:rsidRDefault="008E7C06" w:rsidP="00A46332">
            <w:pPr>
              <w:tabs>
                <w:tab w:val="left" w:pos="884"/>
                <w:tab w:val="left" w:pos="1196"/>
              </w:tabs>
              <w:spacing w:after="0" w:line="240" w:lineRule="auto"/>
              <w:jc w:val="center"/>
              <w:rPr>
                <w:rFonts w:ascii="Times New Roman" w:hAnsi="Times New Roman"/>
                <w:b/>
              </w:rPr>
            </w:pPr>
            <w:r w:rsidRPr="005D6998">
              <w:rPr>
                <w:rFonts w:ascii="Times New Roman" w:hAnsi="Times New Roman"/>
                <w:b/>
              </w:rPr>
              <w:t>Centrul Național Anticorupție</w:t>
            </w:r>
          </w:p>
          <w:p w14:paraId="32A31C56" w14:textId="77777777" w:rsidR="008E7C06" w:rsidRPr="005D6998" w:rsidRDefault="008E7C06" w:rsidP="00A46332">
            <w:pPr>
              <w:tabs>
                <w:tab w:val="left" w:pos="884"/>
                <w:tab w:val="left" w:pos="1196"/>
              </w:tabs>
              <w:spacing w:after="0" w:line="240" w:lineRule="auto"/>
              <w:jc w:val="center"/>
              <w:rPr>
                <w:rFonts w:ascii="Times New Roman" w:hAnsi="Times New Roman"/>
                <w:b/>
              </w:rPr>
            </w:pPr>
            <w:r w:rsidRPr="005D6998">
              <w:rPr>
                <w:rFonts w:ascii="Times New Roman" w:hAnsi="Times New Roman"/>
                <w:bCs/>
              </w:rPr>
              <w:t>Aviz nr. ELO26/11805 din 21.08.2026</w:t>
            </w:r>
          </w:p>
        </w:tc>
        <w:tc>
          <w:tcPr>
            <w:tcW w:w="567" w:type="dxa"/>
            <w:gridSpan w:val="2"/>
            <w:shd w:val="clear" w:color="auto" w:fill="FFFFFF"/>
          </w:tcPr>
          <w:p w14:paraId="3682EF27" w14:textId="79EE4FFB" w:rsidR="008E7C06" w:rsidRPr="005D6998" w:rsidRDefault="00244DE3" w:rsidP="00A46332">
            <w:pPr>
              <w:pStyle w:val="a7"/>
              <w:tabs>
                <w:tab w:val="left" w:pos="884"/>
                <w:tab w:val="left" w:pos="1196"/>
              </w:tabs>
              <w:spacing w:after="0" w:line="240" w:lineRule="auto"/>
              <w:ind w:left="142"/>
              <w:jc w:val="both"/>
              <w:rPr>
                <w:rFonts w:ascii="Times New Roman" w:hAnsi="Times New Roman"/>
                <w:b/>
                <w:bCs/>
              </w:rPr>
            </w:pPr>
            <w:r w:rsidRPr="005D6998">
              <w:rPr>
                <w:rFonts w:ascii="Times New Roman" w:hAnsi="Times New Roman"/>
                <w:b/>
                <w:bCs/>
              </w:rPr>
              <w:t>2</w:t>
            </w:r>
          </w:p>
        </w:tc>
        <w:tc>
          <w:tcPr>
            <w:tcW w:w="4110" w:type="dxa"/>
            <w:gridSpan w:val="2"/>
            <w:shd w:val="clear" w:color="auto" w:fill="FFFFFF"/>
          </w:tcPr>
          <w:p w14:paraId="581D88D4"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Se recomandă reglementarea aspectelor ce țin de mecanismul de selecție (competitiv) și criteriile aplicabile (experiența relevantă în auditul instituțiilor financiare sau bancare; calificarea și experiența echipei desemnate; cunoașterea standarde lor internaționale de audit aplicabile; capacitatea tehnică și organizatorică; independența față de sucursală și față de grupul din care aceasta face parte; lipsa conflictelor de interese; reputația profesională; respectarea cerințelor legale și profesionale aplicabile).</w:t>
            </w:r>
          </w:p>
          <w:p w14:paraId="001708CF" w14:textId="77777777" w:rsidR="008E7C06" w:rsidRPr="005D6998" w:rsidRDefault="008E7C06" w:rsidP="00A46332">
            <w:pPr>
              <w:spacing w:after="0" w:line="240" w:lineRule="auto"/>
              <w:jc w:val="both"/>
              <w:rPr>
                <w:rFonts w:ascii="Times New Roman" w:hAnsi="Times New Roman"/>
                <w:lang w:val="ro-MD"/>
              </w:rPr>
            </w:pPr>
          </w:p>
          <w:p w14:paraId="0EB98DDF"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Prin prisma prevederilor art.29 alin.(2) al Legii nr.100/2017, coroborat art.32 cod administrativ, se remarcă faptul că art. 94</w:t>
            </w:r>
            <w:r w:rsidRPr="005D6998">
              <w:rPr>
                <w:rFonts w:ascii="Times New Roman" w:hAnsi="Times New Roman"/>
                <w:vertAlign w:val="superscript"/>
                <w:lang w:val="ro-MD"/>
              </w:rPr>
              <w:t>3</w:t>
            </w:r>
            <w:r w:rsidRPr="005D6998">
              <w:rPr>
                <w:rFonts w:ascii="Times New Roman" w:hAnsi="Times New Roman"/>
                <w:lang w:val="ro-MD"/>
              </w:rPr>
              <w:t xml:space="preserve"> instituie o condiție de acces la o activitate profesională remunerată, dar nu stabilește în cuprinsul legii criteriile, aspecte procedurale și garanțiile aferente „agreării”. </w:t>
            </w:r>
          </w:p>
          <w:p w14:paraId="7F845EFA" w14:textId="77777777" w:rsidR="008E7C06" w:rsidRPr="005D6998" w:rsidRDefault="008E7C06" w:rsidP="00A46332">
            <w:pPr>
              <w:spacing w:after="0" w:line="240" w:lineRule="auto"/>
              <w:jc w:val="both"/>
              <w:rPr>
                <w:rFonts w:ascii="Times New Roman" w:hAnsi="Times New Roman"/>
                <w:lang w:val="ro-MD"/>
              </w:rPr>
            </w:pPr>
          </w:p>
          <w:p w14:paraId="143CA8CF"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Se consideră că carența respectivă, periclitează certitudinea reglementării mecanismului juridic prin care această condiție este operaționalizată și multiple riscuri aferente implementării acesteia. În lipsa unor criterii legale sau a unei delegări normative suficient de precise, autoritatea ar putea dispune de o libertate excesivă în aprecierea conformității unei entități de audit (apariția unor bariere administrative nejustificate, favorizarea unui operator economic, aplicarea selectivă a criteriilor, tratament diferențiat sau exercitarea influenței asupra persoanei care adoptă decizia, etc.).</w:t>
            </w:r>
          </w:p>
        </w:tc>
        <w:tc>
          <w:tcPr>
            <w:tcW w:w="4960" w:type="dxa"/>
            <w:gridSpan w:val="3"/>
            <w:shd w:val="clear" w:color="auto" w:fill="FFFFFF"/>
          </w:tcPr>
          <w:p w14:paraId="7624C491" w14:textId="77777777" w:rsidR="008E7C06" w:rsidRPr="005D6998" w:rsidRDefault="008E7C06" w:rsidP="00A46332">
            <w:pPr>
              <w:tabs>
                <w:tab w:val="left" w:pos="884"/>
                <w:tab w:val="left" w:pos="1196"/>
              </w:tabs>
              <w:spacing w:after="0" w:line="240" w:lineRule="auto"/>
              <w:jc w:val="both"/>
              <w:rPr>
                <w:rFonts w:ascii="Times New Roman" w:hAnsi="Times New Roman"/>
                <w:b/>
                <w:bCs/>
              </w:rPr>
            </w:pPr>
            <w:r w:rsidRPr="005D6998">
              <w:rPr>
                <w:rFonts w:ascii="Times New Roman" w:hAnsi="Times New Roman"/>
                <w:b/>
                <w:bCs/>
              </w:rPr>
              <w:t>Nu se acceptă.</w:t>
            </w:r>
          </w:p>
          <w:p w14:paraId="7B95F7CB"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Prevederea în discuție este o transpunere a art. 48g alin. (8) din Directiva 2013/36/UE modificată prin Directiva 2024/1619 (CRD VI), care prevede evaluarea periodică de către un terț independent a implementării și respectării de către sucursala dintr-un stat terț a cerințelor privind guvernanța internă și administrarea riscurilor și transmiterea unui raport autorității competente.</w:t>
            </w:r>
          </w:p>
          <w:p w14:paraId="4350102C" w14:textId="77777777" w:rsidR="008E7C06" w:rsidRPr="005D6998" w:rsidRDefault="008E7C06" w:rsidP="00A46332">
            <w:pPr>
              <w:tabs>
                <w:tab w:val="left" w:pos="884"/>
                <w:tab w:val="left" w:pos="1196"/>
              </w:tabs>
              <w:spacing w:after="0" w:line="240" w:lineRule="auto"/>
              <w:jc w:val="both"/>
              <w:rPr>
                <w:rFonts w:ascii="Times New Roman" w:hAnsi="Times New Roman"/>
              </w:rPr>
            </w:pPr>
          </w:p>
          <w:p w14:paraId="71893156"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Totodată, se menționează că, actualmente, cadrul normativ național stabilește reguli speciale pentru auditul instituțiilor de credit, inclusiv cu privire la eligibilitatea entității de audit, modul de efectuare a auditului, inclusiv auditul în alte scopuri ș.a. (Regulamentul cu privire la auditul situațiilor financiare și auditul în alte scopuri, aprobat prin HCE al BNM nr. 118/2018). Aceste reguli sunt aplicabile și sucursalelor băncilor din alte state (a se vedea pct. 2 din regulamentul precitat).</w:t>
            </w:r>
          </w:p>
          <w:p w14:paraId="3736A9C7" w14:textId="77777777" w:rsidR="008E7C06" w:rsidRPr="005D6998" w:rsidRDefault="008E7C06" w:rsidP="00A46332">
            <w:pPr>
              <w:tabs>
                <w:tab w:val="left" w:pos="884"/>
                <w:tab w:val="left" w:pos="1196"/>
              </w:tabs>
              <w:spacing w:after="0" w:line="240" w:lineRule="auto"/>
              <w:jc w:val="both"/>
              <w:rPr>
                <w:rFonts w:ascii="Times New Roman" w:hAnsi="Times New Roman"/>
                <w:lang w:val="ro-MD"/>
              </w:rPr>
            </w:pPr>
            <w:r w:rsidRPr="005D6998">
              <w:rPr>
                <w:rFonts w:ascii="Times New Roman" w:hAnsi="Times New Roman"/>
                <w:lang w:val="ro-MD"/>
              </w:rPr>
              <w:t>Prin urmare, faptul că art. 94</w:t>
            </w:r>
            <w:r w:rsidRPr="005D6998">
              <w:rPr>
                <w:rFonts w:ascii="Times New Roman" w:hAnsi="Times New Roman"/>
                <w:vertAlign w:val="superscript"/>
                <w:lang w:val="ro-MD"/>
              </w:rPr>
              <w:t>3</w:t>
            </w:r>
            <w:r w:rsidRPr="005D6998">
              <w:rPr>
                <w:rFonts w:ascii="Times New Roman" w:hAnsi="Times New Roman"/>
                <w:lang w:val="ro-MD"/>
              </w:rPr>
              <w:t xml:space="preserve"> alin. (8) nu enumeră exhaustiv criteriile privind experiența, calificarea, independența sau capacitatea entității de audit nu înseamnă că mecanismul de aprobare este lipsit de criterii și garanții. Dimpotrivă, practica normativă existentă confirmă că aceste aspecte tehnice sunt reglementate prin acte normative ale BNM.</w:t>
            </w:r>
          </w:p>
          <w:p w14:paraId="471C02BF"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lang w:val="ro-MD"/>
              </w:rPr>
              <w:t xml:space="preserve">Respectiv, </w:t>
            </w:r>
            <w:r w:rsidRPr="005D6998">
              <w:rPr>
                <w:rFonts w:ascii="Times New Roman" w:hAnsi="Times New Roman"/>
              </w:rPr>
              <w:t>criteriile și condițiile specifice evaluării prevăzute la alin. (8) urmează a fi stabilite prin actele normative ale BNM, în funcție de natura și scopul evaluării prudențiale.</w:t>
            </w:r>
          </w:p>
        </w:tc>
      </w:tr>
      <w:tr w:rsidR="008E7C06" w:rsidRPr="005D6998" w14:paraId="64E5FA55" w14:textId="77777777" w:rsidTr="00651F58">
        <w:trPr>
          <w:gridAfter w:val="2"/>
          <w:wAfter w:w="153" w:type="dxa"/>
        </w:trPr>
        <w:tc>
          <w:tcPr>
            <w:tcW w:w="15591" w:type="dxa"/>
            <w:gridSpan w:val="13"/>
            <w:tcBorders>
              <w:top w:val="single" w:sz="4" w:space="0" w:color="auto"/>
            </w:tcBorders>
            <w:shd w:val="clear" w:color="auto" w:fill="FAE2D5" w:themeFill="accent2" w:themeFillTint="33"/>
          </w:tcPr>
          <w:p w14:paraId="2112AF90" w14:textId="105ADEF9" w:rsidR="008E7C06" w:rsidRPr="005D6998" w:rsidRDefault="00B003B5" w:rsidP="00A46332">
            <w:pPr>
              <w:tabs>
                <w:tab w:val="left" w:pos="884"/>
                <w:tab w:val="left" w:pos="1196"/>
              </w:tabs>
              <w:spacing w:after="0" w:line="240" w:lineRule="auto"/>
              <w:jc w:val="center"/>
              <w:rPr>
                <w:rFonts w:ascii="Times New Roman" w:hAnsi="Times New Roman"/>
                <w:b/>
                <w:bCs/>
              </w:rPr>
            </w:pPr>
            <w:r>
              <w:rPr>
                <w:rFonts w:ascii="Times New Roman" w:hAnsi="Times New Roman"/>
                <w:b/>
              </w:rPr>
              <w:lastRenderedPageBreak/>
              <w:t>Expertiza</w:t>
            </w:r>
            <w:r w:rsidR="008E7C06" w:rsidRPr="005D6998">
              <w:rPr>
                <w:rFonts w:ascii="Times New Roman" w:hAnsi="Times New Roman"/>
                <w:b/>
              </w:rPr>
              <w:t xml:space="preserve"> Ministerul</w:t>
            </w:r>
            <w:r>
              <w:rPr>
                <w:rFonts w:ascii="Times New Roman" w:hAnsi="Times New Roman"/>
                <w:b/>
              </w:rPr>
              <w:t>ui</w:t>
            </w:r>
            <w:r w:rsidR="008E7C06" w:rsidRPr="005D6998">
              <w:rPr>
                <w:rFonts w:ascii="Times New Roman" w:hAnsi="Times New Roman"/>
                <w:b/>
              </w:rPr>
              <w:t xml:space="preserve"> Justiției</w:t>
            </w:r>
          </w:p>
        </w:tc>
      </w:tr>
      <w:tr w:rsidR="008E7C06" w:rsidRPr="005D6998" w14:paraId="6BC5A8A9" w14:textId="77777777" w:rsidTr="00651F58">
        <w:trPr>
          <w:gridAfter w:val="2"/>
          <w:wAfter w:w="153" w:type="dxa"/>
          <w:trHeight w:val="105"/>
        </w:trPr>
        <w:tc>
          <w:tcPr>
            <w:tcW w:w="899" w:type="dxa"/>
            <w:gridSpan w:val="3"/>
            <w:shd w:val="clear" w:color="auto" w:fill="FFFFFF"/>
          </w:tcPr>
          <w:p w14:paraId="65C1729B"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9569B7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 xml:space="preserve">Art. I. Legea nr. 548/1995 cu privire la Banca Naţională a Moldovei </w:t>
            </w:r>
            <w:r w:rsidRPr="005D6998">
              <w:rPr>
                <w:rFonts w:ascii="Times New Roman" w:hAnsi="Times New Roman"/>
              </w:rPr>
              <w:t>(republicată în Monitorul Oficial al R. Moldova, 2015, nr.297-300 art.544), cu modificările ulterioare</w:t>
            </w:r>
            <w:r w:rsidRPr="005D6998">
              <w:rPr>
                <w:rFonts w:ascii="Times New Roman" w:hAnsi="Times New Roman"/>
                <w:b/>
                <w:bCs/>
              </w:rPr>
              <w:br/>
            </w:r>
            <w:r w:rsidRPr="005D6998">
              <w:rPr>
                <w:rFonts w:ascii="Times New Roman" w:hAnsi="Times New Roman"/>
              </w:rPr>
              <w:t>se modifică după cum urmează:</w:t>
            </w:r>
          </w:p>
          <w:p w14:paraId="1A9636EA" w14:textId="77777777" w:rsidR="008E7C06" w:rsidRPr="005D6998" w:rsidRDefault="008E7C06" w:rsidP="008E7C06">
            <w:pPr>
              <w:pStyle w:val="a7"/>
              <w:numPr>
                <w:ilvl w:val="0"/>
                <w:numId w:val="32"/>
              </w:numPr>
              <w:spacing w:after="0" w:line="240" w:lineRule="auto"/>
              <w:ind w:left="0" w:firstLine="709"/>
              <w:jc w:val="both"/>
              <w:rPr>
                <w:rFonts w:ascii="Times New Roman" w:hAnsi="Times New Roman"/>
              </w:rPr>
            </w:pPr>
            <w:r w:rsidRPr="005D6998">
              <w:rPr>
                <w:rFonts w:ascii="Times New Roman" w:hAnsi="Times New Roman"/>
              </w:rPr>
              <w:t>Cuvântul „bancă”, la orice formă gramaticală, se substituie cu cuvintele „instituție de credit” la forma gramaticală corespunzătoare, cu excepția termenilor „bancă centrală”, „Banca Națională a Moldovei” la orice formă gramaticală.</w:t>
            </w:r>
          </w:p>
        </w:tc>
        <w:tc>
          <w:tcPr>
            <w:tcW w:w="1418" w:type="dxa"/>
            <w:gridSpan w:val="2"/>
            <w:shd w:val="clear" w:color="auto" w:fill="FFFFFF"/>
          </w:tcPr>
          <w:p w14:paraId="0FC561F6" w14:textId="10FFB66F" w:rsidR="008E7C06" w:rsidRPr="005D6998" w:rsidRDefault="008E7C06" w:rsidP="00A46332">
            <w:pPr>
              <w:tabs>
                <w:tab w:val="left" w:pos="884"/>
                <w:tab w:val="left" w:pos="1196"/>
              </w:tabs>
              <w:spacing w:after="0" w:line="240" w:lineRule="auto"/>
              <w:jc w:val="center"/>
              <w:rPr>
                <w:rFonts w:ascii="Times New Roman" w:hAnsi="Times New Roman"/>
                <w:b/>
              </w:rPr>
            </w:pPr>
            <w:r w:rsidRPr="005D6998">
              <w:rPr>
                <w:rFonts w:ascii="Times New Roman" w:hAnsi="Times New Roman"/>
                <w:b/>
              </w:rPr>
              <w:t>Ministerul Justiției</w:t>
            </w:r>
          </w:p>
          <w:p w14:paraId="224BE1A0" w14:textId="77777777" w:rsidR="008E7C06" w:rsidRPr="005D6998" w:rsidRDefault="008E7C06" w:rsidP="00A46332">
            <w:pPr>
              <w:tabs>
                <w:tab w:val="left" w:pos="884"/>
                <w:tab w:val="left" w:pos="1196"/>
              </w:tabs>
              <w:spacing w:after="0" w:line="240" w:lineRule="auto"/>
              <w:jc w:val="both"/>
              <w:rPr>
                <w:rFonts w:ascii="Times New Roman" w:hAnsi="Times New Roman"/>
                <w:b/>
              </w:rPr>
            </w:pPr>
          </w:p>
          <w:p w14:paraId="541B86F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F16D69A"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A33B659" w14:textId="77777777" w:rsidR="008E7C06" w:rsidRPr="005D6998" w:rsidRDefault="008E7C06" w:rsidP="00A46332">
            <w:pPr>
              <w:pStyle w:val="Default"/>
              <w:jc w:val="both"/>
              <w:rPr>
                <w:i/>
                <w:iCs/>
                <w:sz w:val="22"/>
                <w:szCs w:val="22"/>
              </w:rPr>
            </w:pPr>
            <w:r w:rsidRPr="005D6998">
              <w:rPr>
                <w:sz w:val="22"/>
                <w:szCs w:val="22"/>
              </w:rPr>
              <w:t>La art. I – modificarea Legii nr. 548/1995 cu privire la Banca Națională a Moldovei (în continuare – Legea nr. 548/1995):</w:t>
            </w:r>
          </w:p>
          <w:p w14:paraId="5CE75D74" w14:textId="77777777" w:rsidR="008E7C06" w:rsidRPr="005D6998" w:rsidRDefault="008E7C06" w:rsidP="00A46332">
            <w:pPr>
              <w:pStyle w:val="Default"/>
              <w:jc w:val="both"/>
              <w:rPr>
                <w:sz w:val="22"/>
                <w:szCs w:val="22"/>
              </w:rPr>
            </w:pPr>
            <w:r w:rsidRPr="005D6998">
              <w:rPr>
                <w:sz w:val="22"/>
                <w:szCs w:val="22"/>
              </w:rPr>
              <w:t xml:space="preserve">Pct. 1 propunem a fi reformulat, în vederea expunerii că „în tot textul legii, cuvântul „bancă”, cu excepția utilizării acestuia în cuprinsul termenilor „bancă centrală”, „Banca Națională a Moldovei” și „Banca Națională”, la orice formă gramaticală, se substituie cu cuvintele „instituție de credit”, la forma gramaticală corespunzătoare”. </w:t>
            </w:r>
          </w:p>
          <w:p w14:paraId="32F92546" w14:textId="77777777" w:rsidR="008E7C06" w:rsidRPr="005D6998" w:rsidRDefault="008E7C06" w:rsidP="00A46332">
            <w:pPr>
              <w:widowControl w:val="0"/>
              <w:tabs>
                <w:tab w:val="left" w:pos="604"/>
                <w:tab w:val="left" w:pos="856"/>
              </w:tabs>
              <w:autoSpaceDE w:val="0"/>
              <w:autoSpaceDN w:val="0"/>
              <w:spacing w:after="0" w:line="240" w:lineRule="auto"/>
              <w:ind w:right="27"/>
              <w:jc w:val="both"/>
              <w:rPr>
                <w:rFonts w:ascii="Times New Roman" w:eastAsia="Calibri" w:hAnsi="Times New Roman"/>
                <w:bCs/>
                <w:lang w:eastAsia="en-US"/>
              </w:rPr>
            </w:pPr>
            <w:r w:rsidRPr="005D6998">
              <w:rPr>
                <w:rFonts w:ascii="Times New Roman" w:hAnsi="Times New Roman"/>
              </w:rPr>
              <w:t>Suplimentar, având în vedere că termenul „bancă” se substituie cu termenul „instituție de credit”, considerăm necesar a exclude noțiunea „bancă” din art. 2 al Legii nr. 548/1995 și, respectiv, includerea în același articol a noțiunii „instituție de credit”, fiind integrată în ordinea alfabetică a noțiunilor (similar recomandăm a proceda și cu noțiunea „bancă” prevăzută în art. 3 al Legii nr. 202/2017, care potrivit art. III din proiect, va fi substituită cu noțiunea „instituție de credit).</w:t>
            </w:r>
          </w:p>
        </w:tc>
        <w:tc>
          <w:tcPr>
            <w:tcW w:w="4960" w:type="dxa"/>
            <w:gridSpan w:val="3"/>
            <w:shd w:val="clear" w:color="auto" w:fill="FFFFFF"/>
          </w:tcPr>
          <w:p w14:paraId="1B17CB1E"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7AD80BD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art. I,</w:t>
            </w:r>
          </w:p>
          <w:p w14:paraId="4D4A73E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-pct. 1 va avea următorul cuprins:</w:t>
            </w:r>
          </w:p>
          <w:p w14:paraId="3C4CF4BA" w14:textId="77777777" w:rsidR="008E7C06" w:rsidRPr="005D6998" w:rsidRDefault="008E7C06" w:rsidP="008E7C06">
            <w:pPr>
              <w:pStyle w:val="a7"/>
              <w:numPr>
                <w:ilvl w:val="0"/>
                <w:numId w:val="42"/>
              </w:numPr>
              <w:tabs>
                <w:tab w:val="left" w:pos="323"/>
              </w:tabs>
              <w:spacing w:after="0" w:line="240" w:lineRule="auto"/>
              <w:ind w:left="39" w:firstLine="0"/>
              <w:jc w:val="both"/>
              <w:rPr>
                <w:rFonts w:ascii="Times New Roman" w:hAnsi="Times New Roman"/>
                <w:lang w:val="ro-MD"/>
              </w:rPr>
            </w:pPr>
            <w:r w:rsidRPr="005D6998">
              <w:rPr>
                <w:rFonts w:ascii="Times New Roman" w:hAnsi="Times New Roman"/>
                <w:lang w:val="ro-MD"/>
              </w:rPr>
              <w:t>În tot textul legii, cuvântul „bancă”, cu excepția utilizării acestuia în cuprinsul termenilor „bancă centrală”, „Banca Națională a Moldovei” și „Banca Națională”, la orice formă gramaticală, se substituie cu cuvintele „instituție de credit” la forma gramaticală corespunzătoare.</w:t>
            </w:r>
          </w:p>
          <w:p w14:paraId="6F5569EB"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se completează cu pct. 2 cu următorul cuprins:</w:t>
            </w:r>
          </w:p>
          <w:p w14:paraId="3ACD6138" w14:textId="77777777" w:rsidR="008E7C06" w:rsidRPr="005D6998" w:rsidRDefault="008E7C06" w:rsidP="008E7C06">
            <w:pPr>
              <w:pStyle w:val="a7"/>
              <w:numPr>
                <w:ilvl w:val="0"/>
                <w:numId w:val="42"/>
              </w:numPr>
              <w:tabs>
                <w:tab w:val="left" w:pos="323"/>
              </w:tabs>
              <w:spacing w:after="0" w:line="240" w:lineRule="auto"/>
              <w:ind w:left="0" w:firstLine="39"/>
              <w:jc w:val="both"/>
              <w:rPr>
                <w:rFonts w:ascii="Times New Roman" w:hAnsi="Times New Roman"/>
                <w:lang w:val="ro-MD"/>
              </w:rPr>
            </w:pPr>
            <w:r w:rsidRPr="005D6998">
              <w:rPr>
                <w:rFonts w:ascii="Times New Roman" w:hAnsi="Times New Roman"/>
                <w:lang w:val="ro-MD"/>
              </w:rPr>
              <w:t>La articolul 2, noțiunea de „</w:t>
            </w:r>
            <w:r w:rsidRPr="005D6998">
              <w:rPr>
                <w:rFonts w:ascii="Times New Roman" w:hAnsi="Times New Roman"/>
                <w:i/>
                <w:iCs/>
                <w:lang w:val="ro-MD"/>
              </w:rPr>
              <w:t>Bancă</w:t>
            </w:r>
            <w:r w:rsidRPr="005D6998">
              <w:rPr>
                <w:rFonts w:ascii="Times New Roman" w:hAnsi="Times New Roman"/>
                <w:lang w:val="ro-MD"/>
              </w:rPr>
              <w:t>” se exclude, iar după noțiunea de „</w:t>
            </w:r>
            <w:r w:rsidRPr="005D6998">
              <w:rPr>
                <w:rFonts w:ascii="Times New Roman" w:hAnsi="Times New Roman"/>
                <w:i/>
                <w:iCs/>
                <w:lang w:val="ro-MD"/>
              </w:rPr>
              <w:t>Infrastructură a pieței financiare</w:t>
            </w:r>
            <w:r w:rsidRPr="005D6998">
              <w:rPr>
                <w:rFonts w:ascii="Times New Roman" w:hAnsi="Times New Roman"/>
                <w:lang w:val="ro-MD"/>
              </w:rPr>
              <w:t>” se completează cu noțiunea de „</w:t>
            </w:r>
            <w:r w:rsidRPr="005D6998">
              <w:rPr>
                <w:rFonts w:ascii="Times New Roman" w:hAnsi="Times New Roman"/>
                <w:i/>
                <w:iCs/>
                <w:lang w:val="ro-MD"/>
              </w:rPr>
              <w:t>Instituție de credit</w:t>
            </w:r>
            <w:r w:rsidRPr="005D6998">
              <w:rPr>
                <w:rFonts w:ascii="Times New Roman" w:hAnsi="Times New Roman"/>
                <w:lang w:val="ro-MD"/>
              </w:rPr>
              <w:t>” cu următorul cuprins:</w:t>
            </w:r>
          </w:p>
          <w:p w14:paraId="74177D21"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w:t>
            </w:r>
            <w:r w:rsidRPr="005D6998">
              <w:rPr>
                <w:rFonts w:ascii="Times New Roman" w:hAnsi="Times New Roman"/>
                <w:i/>
                <w:iCs/>
                <w:lang w:val="ro-MD"/>
              </w:rPr>
              <w:t>Instituție de credit</w:t>
            </w:r>
            <w:r w:rsidRPr="005D6998">
              <w:rPr>
                <w:rFonts w:ascii="Times New Roman" w:hAnsi="Times New Roman"/>
                <w:lang w:val="ro-MD"/>
              </w:rPr>
              <w:t xml:space="preserve"> – instituție de credit astfel cum este definită la art. 3 din Legea nr.202/2017.”.”</w:t>
            </w:r>
          </w:p>
          <w:p w14:paraId="44284862" w14:textId="77777777" w:rsidR="008E7C06" w:rsidRPr="005D6998" w:rsidRDefault="008E7C06" w:rsidP="00A46332">
            <w:pPr>
              <w:spacing w:after="0" w:line="240" w:lineRule="auto"/>
              <w:jc w:val="both"/>
              <w:rPr>
                <w:rFonts w:ascii="Times New Roman" w:hAnsi="Times New Roman"/>
                <w:lang w:val="ro-MD"/>
              </w:rPr>
            </w:pPr>
          </w:p>
          <w:p w14:paraId="586DB8EF"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La art. III, noțiunea de “banc</w:t>
            </w:r>
            <w:r w:rsidRPr="005D6998">
              <w:rPr>
                <w:rFonts w:ascii="Times New Roman" w:hAnsi="Times New Roman"/>
              </w:rPr>
              <w:t>ă</w:t>
            </w:r>
            <w:r w:rsidRPr="005D6998">
              <w:rPr>
                <w:rFonts w:ascii="Times New Roman" w:hAnsi="Times New Roman"/>
                <w:lang w:val="ro-MD"/>
              </w:rPr>
              <w:t>” se exclude din art. 3 din Legea nr. 202/2017.</w:t>
            </w:r>
          </w:p>
          <w:p w14:paraId="045C80CB" w14:textId="77777777" w:rsidR="008E7C06" w:rsidRPr="005D6998" w:rsidRDefault="008E7C06" w:rsidP="00A46332">
            <w:pPr>
              <w:spacing w:after="0" w:line="240" w:lineRule="auto"/>
              <w:jc w:val="both"/>
              <w:rPr>
                <w:rFonts w:ascii="Times New Roman" w:hAnsi="Times New Roman"/>
              </w:rPr>
            </w:pPr>
          </w:p>
        </w:tc>
      </w:tr>
      <w:tr w:rsidR="008E7C06" w:rsidRPr="005D6998" w14:paraId="4B63345E" w14:textId="77777777" w:rsidTr="00651F58">
        <w:trPr>
          <w:gridAfter w:val="2"/>
          <w:wAfter w:w="153" w:type="dxa"/>
          <w:trHeight w:val="105"/>
        </w:trPr>
        <w:tc>
          <w:tcPr>
            <w:tcW w:w="899" w:type="dxa"/>
            <w:gridSpan w:val="3"/>
            <w:shd w:val="clear" w:color="auto" w:fill="FFFFFF"/>
          </w:tcPr>
          <w:p w14:paraId="18E44F16"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9BAC3D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2.</w:t>
            </w:r>
            <w:r w:rsidRPr="005D6998">
              <w:rPr>
                <w:rFonts w:ascii="Times New Roman" w:hAnsi="Times New Roman"/>
              </w:rPr>
              <w:t xml:space="preserve"> Se completează cu articolul 75</w:t>
            </w:r>
            <w:r w:rsidRPr="005D6998">
              <w:rPr>
                <w:rFonts w:ascii="Times New Roman" w:hAnsi="Times New Roman"/>
                <w:vertAlign w:val="superscript"/>
              </w:rPr>
              <w:t>4</w:t>
            </w:r>
            <w:r w:rsidRPr="005D6998">
              <w:rPr>
                <w:rFonts w:ascii="Times New Roman" w:hAnsi="Times New Roman"/>
              </w:rPr>
              <w:t xml:space="preserve"> cu următorul cuprins:</w:t>
            </w:r>
          </w:p>
          <w:p w14:paraId="5CF8594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Pr>
                <w:rFonts w:ascii="Times New Roman" w:hAnsi="Times New Roman"/>
                <w:b/>
                <w:bCs/>
              </w:rPr>
              <w:t>Articolul 75</w:t>
            </w:r>
            <w:r w:rsidRPr="005D6998">
              <w:rPr>
                <w:rFonts w:ascii="Times New Roman" w:hAnsi="Times New Roman"/>
                <w:b/>
                <w:bCs/>
                <w:vertAlign w:val="superscript"/>
              </w:rPr>
              <w:t>4</w:t>
            </w:r>
            <w:r w:rsidRPr="005D6998">
              <w:rPr>
                <w:rFonts w:ascii="Times New Roman" w:hAnsi="Times New Roman"/>
                <w:b/>
                <w:bCs/>
              </w:rPr>
              <w:t>.</w:t>
            </w:r>
            <w:r w:rsidRPr="005D6998">
              <w:rPr>
                <w:rFonts w:ascii="Times New Roman" w:hAnsi="Times New Roman"/>
              </w:rPr>
              <w:t xml:space="preserve"> Schimbul de informații privind sancțiunile</w:t>
            </w:r>
          </w:p>
          <w:p w14:paraId="3E853BBA"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(1) Banca Națională a Moldovei informează Autoritatea Bancară Europeană cu privire la sancțiunile aplicate în temeiul Legii nr. 202/2017 privind activitatea instituțiilor de credit, inclusiv informaţiile privind contestarea aplicării şi rezultatul acestora, cu condiția respectării prevederilor cu privire la secretul profesional din </w:t>
            </w:r>
            <w:r w:rsidRPr="005D6998">
              <w:rPr>
                <w:rFonts w:ascii="Times New Roman" w:hAnsi="Times New Roman"/>
              </w:rPr>
              <w:lastRenderedPageBreak/>
              <w:t>capitolul 3 al titlului V din Legea nr.202/2017 privind activitatea instituțiilor de credit.</w:t>
            </w:r>
            <w:r w:rsidRPr="005D6998">
              <w:rPr>
                <w:rFonts w:ascii="Times New Roman" w:hAnsi="Times New Roman"/>
                <w:i/>
                <w:iCs/>
              </w:rPr>
              <w:t xml:space="preserve"> </w:t>
            </w:r>
          </w:p>
          <w:p w14:paraId="185126FD"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(2) În cazul în care au intervenit schimbări cu privire la statutul procedurii de contestare a sancţiunii ori acestea au fost soluţionate în mod definitiv în favoarea persoanei fizice sau juridice sancționate, Banca Naţională a Moldovei solicită Autorităţii Bancare Europene actualizarea</w:t>
            </w:r>
            <w:r w:rsidRPr="005D6998">
              <w:rPr>
                <w:rFonts w:ascii="Times New Roman" w:eastAsia="Calibri" w:hAnsi="Times New Roman"/>
                <w:bCs/>
              </w:rPr>
              <w:t xml:space="preserve"> în termen de cel mult 30 de zile de la data rămânerii definitive a hotărârii</w:t>
            </w:r>
            <w:r w:rsidRPr="005D6998">
              <w:rPr>
                <w:rFonts w:ascii="Times New Roman" w:hAnsi="Times New Roman"/>
              </w:rPr>
              <w:t xml:space="preserve"> sau eliminarea din baza de date a informaţiilor comunicate potrivit alin. (1).”.Alin (2) a fost ajustat conform propunerii AmCham.</w:t>
            </w:r>
          </w:p>
        </w:tc>
        <w:tc>
          <w:tcPr>
            <w:tcW w:w="1418" w:type="dxa"/>
            <w:gridSpan w:val="2"/>
            <w:shd w:val="clear" w:color="auto" w:fill="FFFFFF"/>
          </w:tcPr>
          <w:p w14:paraId="7C51784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C7FF064"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33619F3" w14:textId="77777777" w:rsidR="008E7C06" w:rsidRPr="005D6998" w:rsidRDefault="008E7C06" w:rsidP="00A46332">
            <w:pPr>
              <w:pStyle w:val="Default"/>
              <w:jc w:val="both"/>
              <w:rPr>
                <w:sz w:val="22"/>
                <w:szCs w:val="22"/>
                <w:lang w:val="ro-RO"/>
              </w:rPr>
            </w:pPr>
            <w:r w:rsidRPr="005D6998">
              <w:rPr>
                <w:sz w:val="22"/>
                <w:szCs w:val="22"/>
                <w:lang w:val="ro-RO"/>
              </w:rPr>
              <w:t xml:space="preserve">În pct. 2: </w:t>
            </w:r>
          </w:p>
          <w:p w14:paraId="3D8E4F27" w14:textId="77777777" w:rsidR="008E7C06" w:rsidRPr="005D6998" w:rsidRDefault="008E7C06" w:rsidP="00A46332">
            <w:pPr>
              <w:pStyle w:val="Default"/>
              <w:jc w:val="both"/>
              <w:rPr>
                <w:sz w:val="22"/>
                <w:szCs w:val="22"/>
              </w:rPr>
            </w:pPr>
            <w:r w:rsidRPr="005D6998">
              <w:rPr>
                <w:sz w:val="22"/>
                <w:szCs w:val="22"/>
              </w:rPr>
              <w:t>Din redacția propusă pentru art. 75</w:t>
            </w:r>
            <w:r w:rsidRPr="005D6998">
              <w:rPr>
                <w:sz w:val="22"/>
                <w:szCs w:val="22"/>
                <w:vertAlign w:val="superscript"/>
              </w:rPr>
              <w:t>4</w:t>
            </w:r>
            <w:r w:rsidRPr="005D6998">
              <w:rPr>
                <w:sz w:val="22"/>
                <w:szCs w:val="22"/>
              </w:rPr>
              <w:t xml:space="preserve"> alin. (1) al Legii nr. 548/1995, se vor revizui cuvintele „contestarea aplicării”, întru indicarea concretă a obiectului care se contestă. </w:t>
            </w:r>
          </w:p>
          <w:p w14:paraId="177F56C6" w14:textId="77777777" w:rsidR="008E7C06" w:rsidRPr="005D6998" w:rsidRDefault="008E7C06" w:rsidP="00A46332">
            <w:pPr>
              <w:pStyle w:val="Default"/>
              <w:jc w:val="both"/>
              <w:rPr>
                <w:sz w:val="22"/>
                <w:szCs w:val="22"/>
              </w:rPr>
            </w:pPr>
            <w:r w:rsidRPr="005D6998">
              <w:rPr>
                <w:sz w:val="22"/>
                <w:szCs w:val="22"/>
              </w:rPr>
              <w:t>Mai mult, pentru a asigura o succesiune logică a reglementărilor alin. (1) și (2), considerăm relevant ca la art. 75</w:t>
            </w:r>
            <w:r w:rsidRPr="005D6998">
              <w:rPr>
                <w:sz w:val="22"/>
                <w:szCs w:val="22"/>
                <w:vertAlign w:val="superscript"/>
              </w:rPr>
              <w:t>4</w:t>
            </w:r>
            <w:r w:rsidRPr="005D6998">
              <w:rPr>
                <w:sz w:val="22"/>
                <w:szCs w:val="22"/>
              </w:rPr>
              <w:t xml:space="preserve"> alin. (1) să se facă referire la baza de date centralizată a sancțiunilor administrative deținută de Autoritatea Bancară Europeană (ABE). </w:t>
            </w:r>
          </w:p>
          <w:p w14:paraId="0B30A7F9" w14:textId="77777777" w:rsidR="008E7C06" w:rsidRPr="005D6998" w:rsidRDefault="008E7C06" w:rsidP="00A46332">
            <w:pPr>
              <w:pStyle w:val="Default"/>
              <w:jc w:val="both"/>
              <w:rPr>
                <w:sz w:val="22"/>
                <w:szCs w:val="22"/>
              </w:rPr>
            </w:pPr>
          </w:p>
          <w:p w14:paraId="64A8BE37" w14:textId="77777777" w:rsidR="008E7C06" w:rsidRPr="005D6998" w:rsidRDefault="008E7C06" w:rsidP="00A46332">
            <w:pPr>
              <w:pStyle w:val="Default"/>
              <w:jc w:val="both"/>
              <w:rPr>
                <w:sz w:val="22"/>
                <w:szCs w:val="22"/>
              </w:rPr>
            </w:pPr>
            <w:r w:rsidRPr="005D6998">
              <w:rPr>
                <w:sz w:val="22"/>
                <w:szCs w:val="22"/>
              </w:rPr>
              <w:lastRenderedPageBreak/>
              <w:t xml:space="preserve">Din redacția alin. (2) al aceluiași articol se vor revedea cuvintele „contestare a sancțiunii”, întrucât din punct de vedere juridic, nu se contestă sancțiunea, ci actul prin care s-a dispus aplicarea sancțiunii. </w:t>
            </w:r>
          </w:p>
          <w:p w14:paraId="38963E1D" w14:textId="77777777" w:rsidR="008E7C06" w:rsidRPr="005D6998" w:rsidRDefault="008E7C06" w:rsidP="00A46332">
            <w:pPr>
              <w:pStyle w:val="Default"/>
              <w:jc w:val="both"/>
              <w:rPr>
                <w:sz w:val="22"/>
                <w:szCs w:val="22"/>
              </w:rPr>
            </w:pPr>
          </w:p>
          <w:p w14:paraId="76D9BB38" w14:textId="77777777" w:rsidR="008E7C06" w:rsidRPr="005D6998" w:rsidRDefault="008E7C06" w:rsidP="00A46332">
            <w:pPr>
              <w:pStyle w:val="Default"/>
              <w:jc w:val="both"/>
              <w:rPr>
                <w:sz w:val="22"/>
                <w:szCs w:val="22"/>
              </w:rPr>
            </w:pPr>
            <w:r w:rsidRPr="005D6998">
              <w:rPr>
                <w:sz w:val="22"/>
                <w:szCs w:val="22"/>
              </w:rPr>
              <w:t xml:space="preserve">La fel, este ambiguă formularea „schimbări cu privire la statutul procedurii de contestare a acțiunii”, or, termenul „statutul procedurii” nu este un concept juridic suficient determinat. În context, se recomandă reformularea normei, prin stabilirea evenimentelor juridice concrete la care se face referire. </w:t>
            </w:r>
          </w:p>
          <w:p w14:paraId="19F047A3" w14:textId="77777777" w:rsidR="008E7C06" w:rsidRPr="005D6998" w:rsidRDefault="008E7C06" w:rsidP="00A46332">
            <w:pPr>
              <w:pStyle w:val="Default"/>
              <w:jc w:val="both"/>
              <w:rPr>
                <w:sz w:val="22"/>
                <w:szCs w:val="22"/>
              </w:rPr>
            </w:pPr>
          </w:p>
          <w:p w14:paraId="31F8E818" w14:textId="77777777" w:rsidR="008E7C06" w:rsidRPr="005D6998" w:rsidRDefault="008E7C06" w:rsidP="00A46332">
            <w:pPr>
              <w:pStyle w:val="Default"/>
              <w:jc w:val="both"/>
              <w:rPr>
                <w:sz w:val="22"/>
                <w:szCs w:val="22"/>
              </w:rPr>
            </w:pPr>
            <w:r w:rsidRPr="005D6998">
              <w:rPr>
                <w:sz w:val="22"/>
                <w:szCs w:val="22"/>
              </w:rPr>
              <w:t xml:space="preserve">Complementar, textul „Banca Națională a Moldovei solicită Autorității Bancare Europene actualizarea în termen de cel mult 30 de zile de la data rămânerii definitive a hotărârii sau eliminarea din baza de date a informațiilor comunicate potrivit alin. (1).” conține o formulare defectuoasă și lipsită de claritate, motiv pentru care se consideră necesar a fi reformulat. În subsidiar, pentru claritate se va indica autoritatea emitentă a hotărârii. </w:t>
            </w:r>
          </w:p>
          <w:p w14:paraId="34ECBD2E" w14:textId="77777777" w:rsidR="008E7C06" w:rsidRPr="005D6998" w:rsidRDefault="008E7C06" w:rsidP="00A46332">
            <w:pPr>
              <w:pStyle w:val="Default"/>
              <w:jc w:val="both"/>
              <w:rPr>
                <w:sz w:val="22"/>
                <w:szCs w:val="22"/>
              </w:rPr>
            </w:pPr>
          </w:p>
          <w:p w14:paraId="79226D17" w14:textId="77777777" w:rsidR="008E7C06" w:rsidRPr="005D6998" w:rsidRDefault="008E7C06" w:rsidP="00A46332">
            <w:pPr>
              <w:pStyle w:val="Default"/>
              <w:jc w:val="both"/>
              <w:rPr>
                <w:sz w:val="22"/>
                <w:szCs w:val="22"/>
              </w:rPr>
            </w:pPr>
            <w:r w:rsidRPr="005D6998">
              <w:rPr>
                <w:sz w:val="22"/>
                <w:szCs w:val="22"/>
              </w:rPr>
              <w:t xml:space="preserve">Adițional, se va exclude enunțul „Alin (2) a fost ajustat conform propunerii AmCham.” ca fiind eronat. </w:t>
            </w:r>
          </w:p>
          <w:p w14:paraId="38C01453" w14:textId="77777777" w:rsidR="008E7C06" w:rsidRPr="005D6998" w:rsidRDefault="008E7C06" w:rsidP="00A46332">
            <w:pPr>
              <w:pStyle w:val="Default"/>
              <w:jc w:val="both"/>
              <w:rPr>
                <w:sz w:val="22"/>
                <w:szCs w:val="22"/>
              </w:rPr>
            </w:pPr>
          </w:p>
          <w:p w14:paraId="3BD88F7E" w14:textId="77777777" w:rsidR="008E7C06" w:rsidRPr="005D6998" w:rsidRDefault="008E7C06" w:rsidP="00A46332">
            <w:pPr>
              <w:pStyle w:val="Default"/>
              <w:jc w:val="both"/>
              <w:rPr>
                <w:i/>
                <w:iCs/>
                <w:sz w:val="22"/>
                <w:szCs w:val="22"/>
              </w:rPr>
            </w:pPr>
            <w:r w:rsidRPr="005D6998">
              <w:rPr>
                <w:sz w:val="22"/>
                <w:szCs w:val="22"/>
              </w:rPr>
              <w:t>Complementar, se va analiza oportunitatea includerii dispozițiilor propuse la art. 75</w:t>
            </w:r>
            <w:r w:rsidRPr="005D6998">
              <w:rPr>
                <w:sz w:val="22"/>
                <w:szCs w:val="22"/>
                <w:vertAlign w:val="superscript"/>
              </w:rPr>
              <w:t>4</w:t>
            </w:r>
            <w:r w:rsidRPr="005D6998">
              <w:rPr>
                <w:sz w:val="22"/>
                <w:szCs w:val="22"/>
              </w:rPr>
              <w:t xml:space="preserve"> al Legii nr. 548/1995 în capitolul 3 al titlului V din Legea nr. 202/2017, având în vedere obiectul de reglementare al capitolului citat mult mai apropiat cu obiectul de reglementare a dispozițiilor propuse art. 75</w:t>
            </w:r>
            <w:r w:rsidRPr="005D6998">
              <w:rPr>
                <w:sz w:val="22"/>
                <w:szCs w:val="22"/>
                <w:vertAlign w:val="superscript"/>
              </w:rPr>
              <w:t>4</w:t>
            </w:r>
            <w:r w:rsidRPr="005D6998">
              <w:rPr>
                <w:sz w:val="22"/>
                <w:szCs w:val="22"/>
              </w:rPr>
              <w:t>.</w:t>
            </w:r>
          </w:p>
        </w:tc>
        <w:tc>
          <w:tcPr>
            <w:tcW w:w="4960" w:type="dxa"/>
            <w:gridSpan w:val="3"/>
            <w:shd w:val="clear" w:color="auto" w:fill="FFFFFF"/>
          </w:tcPr>
          <w:p w14:paraId="7E05985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37B2D51E"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 xml:space="preserve">Se substituie </w:t>
            </w:r>
            <w:r w:rsidRPr="005D6998">
              <w:rPr>
                <w:rFonts w:ascii="Times New Roman" w:hAnsi="Times New Roman"/>
                <w:lang w:val="ro-MD"/>
              </w:rPr>
              <w:t>“</w:t>
            </w:r>
            <w:r w:rsidRPr="005D6998">
              <w:rPr>
                <w:rFonts w:ascii="Times New Roman" w:hAnsi="Times New Roman"/>
              </w:rPr>
              <w:t>contestarea aplicării și rezultatul acestora</w:t>
            </w:r>
            <w:r w:rsidRPr="005D6998">
              <w:rPr>
                <w:rFonts w:ascii="Times New Roman" w:hAnsi="Times New Roman"/>
                <w:lang w:val="ro-MD"/>
              </w:rPr>
              <w:t xml:space="preserve">” cu “contestarea </w:t>
            </w:r>
            <w:r w:rsidRPr="005D6998">
              <w:rPr>
                <w:rFonts w:ascii="Times New Roman" w:hAnsi="Times New Roman"/>
              </w:rPr>
              <w:t>actelor Băncii Naționale prin care au fost aplicate sancțiunile</w:t>
            </w:r>
            <w:r w:rsidRPr="005D6998">
              <w:rPr>
                <w:rFonts w:ascii="Times New Roman" w:hAnsi="Times New Roman"/>
                <w:lang w:val="ro-MD"/>
              </w:rPr>
              <w:t>”.</w:t>
            </w:r>
          </w:p>
          <w:p w14:paraId="62A6B5B1" w14:textId="77777777" w:rsidR="008E7C06" w:rsidRPr="005D6998" w:rsidRDefault="008E7C06" w:rsidP="00A46332">
            <w:pPr>
              <w:spacing w:after="0" w:line="240" w:lineRule="auto"/>
              <w:jc w:val="both"/>
              <w:rPr>
                <w:rFonts w:ascii="Times New Roman" w:hAnsi="Times New Roman"/>
                <w:lang w:val="ro-MD"/>
              </w:rPr>
            </w:pPr>
          </w:p>
          <w:p w14:paraId="3095205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it-CH"/>
              </w:rPr>
              <w:t>Structura art. 75</w:t>
            </w:r>
            <w:r w:rsidRPr="005D6998">
              <w:rPr>
                <w:rFonts w:ascii="Times New Roman" w:hAnsi="Times New Roman"/>
                <w:vertAlign w:val="superscript"/>
                <w:lang w:val="it-CH"/>
              </w:rPr>
              <w:t>4</w:t>
            </w:r>
            <w:r w:rsidRPr="005D6998">
              <w:rPr>
                <w:rFonts w:ascii="Times New Roman" w:hAnsi="Times New Roman"/>
                <w:lang w:val="it-CH"/>
              </w:rPr>
              <w:t xml:space="preserve"> </w:t>
            </w:r>
            <w:r w:rsidRPr="005D6998">
              <w:rPr>
                <w:rFonts w:ascii="Times New Roman" w:hAnsi="Times New Roman"/>
              </w:rPr>
              <w:t xml:space="preserve">în forma propusă asigură o succesiune logică a reglementării: </w:t>
            </w:r>
          </w:p>
          <w:p w14:paraId="6405952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1. alin. (1) stabilește obligația BNM de a informa ABE și de a transmite informațiile relevant;</w:t>
            </w:r>
          </w:p>
          <w:p w14:paraId="4538995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2. alin. (2) reglementează ulterior actualizarea sau eliminarea informațiilor deja comunicate din baza de date a ABE. </w:t>
            </w:r>
          </w:p>
          <w:p w14:paraId="275F8F1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Prin urmare, referirea la baza de date este mai adecvată în alin. (2), întrucât vizează etapa ulterioară transmiterii informațiilor.</w:t>
            </w:r>
          </w:p>
          <w:p w14:paraId="18009808" w14:textId="77777777" w:rsidR="008E7C06" w:rsidRPr="005D6998" w:rsidRDefault="008E7C06" w:rsidP="00A46332">
            <w:pPr>
              <w:spacing w:after="0" w:line="240" w:lineRule="auto"/>
              <w:jc w:val="both"/>
              <w:rPr>
                <w:rFonts w:ascii="Times New Roman" w:hAnsi="Times New Roman"/>
              </w:rPr>
            </w:pPr>
          </w:p>
          <w:p w14:paraId="69D5335C" w14:textId="77777777" w:rsidR="008E7C06" w:rsidRPr="005D6998" w:rsidRDefault="008E7C06" w:rsidP="00A46332">
            <w:pPr>
              <w:spacing w:after="0" w:line="240" w:lineRule="auto"/>
              <w:jc w:val="both"/>
              <w:rPr>
                <w:rFonts w:ascii="Times New Roman" w:hAnsi="Times New Roman"/>
              </w:rPr>
            </w:pPr>
          </w:p>
          <w:p w14:paraId="3320431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(2) va avea următorul cuprins:</w:t>
            </w:r>
          </w:p>
          <w:p w14:paraId="77B9933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“(2) </w:t>
            </w:r>
            <w:r w:rsidRPr="005D6998">
              <w:rPr>
                <w:rFonts w:ascii="Times New Roman" w:hAnsi="Times New Roman"/>
                <w:lang w:val="ro-MD"/>
              </w:rPr>
              <w:t>În cazul în care</w:t>
            </w:r>
            <w:r w:rsidRPr="005D6998">
              <w:rPr>
                <w:rFonts w:ascii="Times New Roman" w:hAnsi="Times New Roman"/>
              </w:rPr>
              <w:t>, în cadrul procedurii de contestare a actului Băncii Naționale prin care a fost aplicată sancțiunea,</w:t>
            </w:r>
            <w:r w:rsidRPr="005D6998">
              <w:rPr>
                <w:rFonts w:ascii="Times New Roman" w:hAnsi="Times New Roman"/>
                <w:lang w:val="ro-MD"/>
              </w:rPr>
              <w:t xml:space="preserve"> au intervenit </w:t>
            </w:r>
            <w:r w:rsidRPr="005D6998">
              <w:rPr>
                <w:rFonts w:ascii="Times New Roman" w:hAnsi="Times New Roman"/>
              </w:rPr>
              <w:t xml:space="preserve">modificări sau contestația a </w:t>
            </w:r>
            <w:r w:rsidRPr="005D6998">
              <w:rPr>
                <w:rFonts w:ascii="Times New Roman" w:hAnsi="Times New Roman"/>
                <w:lang w:val="ro-MD"/>
              </w:rPr>
              <w:t>fost soluţionat</w:t>
            </w:r>
            <w:r w:rsidRPr="005D6998">
              <w:rPr>
                <w:rFonts w:ascii="Times New Roman" w:hAnsi="Times New Roman"/>
              </w:rPr>
              <w:t>ă</w:t>
            </w:r>
            <w:r w:rsidRPr="005D6998">
              <w:rPr>
                <w:rFonts w:ascii="Times New Roman" w:hAnsi="Times New Roman"/>
                <w:lang w:val="ro-MD"/>
              </w:rPr>
              <w:t xml:space="preserve"> în mod definitiv în favoarea persoanei fizice sau juridice sancționate, Banca Naţională a Moldovei solicită Autorităţii Bancare Europene actualizarea</w:t>
            </w:r>
            <w:r w:rsidRPr="005D6998">
              <w:rPr>
                <w:rFonts w:ascii="Times New Roman" w:eastAsia="Calibri" w:hAnsi="Times New Roman"/>
                <w:bCs/>
                <w:lang w:val="ro-MD"/>
              </w:rPr>
              <w:t xml:space="preserve"> </w:t>
            </w:r>
            <w:r w:rsidRPr="005D6998">
              <w:rPr>
                <w:rFonts w:ascii="Times New Roman" w:eastAsia="Calibri" w:hAnsi="Times New Roman"/>
                <w:bCs/>
              </w:rPr>
              <w:t xml:space="preserve">informațiilor comunicate potrivit alin. (1) </w:t>
            </w:r>
            <w:r w:rsidRPr="005D6998">
              <w:rPr>
                <w:rFonts w:ascii="Times New Roman" w:eastAsia="Calibri" w:hAnsi="Times New Roman"/>
                <w:bCs/>
                <w:lang w:val="ro-MD"/>
              </w:rPr>
              <w:t>în termen de cel mult 30 de zile de la data rămânerii definitive a hotărârii</w:t>
            </w:r>
            <w:r w:rsidRPr="005D6998">
              <w:rPr>
                <w:rFonts w:ascii="Times New Roman" w:hAnsi="Times New Roman"/>
                <w:lang w:val="ro-MD"/>
              </w:rPr>
              <w:t xml:space="preserve"> </w:t>
            </w:r>
            <w:r w:rsidRPr="005D6998">
              <w:rPr>
                <w:rFonts w:ascii="Times New Roman" w:hAnsi="Times New Roman"/>
              </w:rPr>
              <w:t xml:space="preserve">prin care a fost soluționată contestația </w:t>
            </w:r>
            <w:r w:rsidRPr="005D6998">
              <w:rPr>
                <w:rFonts w:ascii="Times New Roman" w:hAnsi="Times New Roman"/>
                <w:lang w:val="ro-MD"/>
              </w:rPr>
              <w:t>sau</w:t>
            </w:r>
            <w:r w:rsidRPr="005D6998">
              <w:rPr>
                <w:rFonts w:ascii="Times New Roman" w:hAnsi="Times New Roman"/>
              </w:rPr>
              <w:t>, după caz,</w:t>
            </w:r>
            <w:r w:rsidRPr="005D6998">
              <w:rPr>
                <w:rFonts w:ascii="Times New Roman" w:hAnsi="Times New Roman"/>
                <w:lang w:val="ro-MD"/>
              </w:rPr>
              <w:t xml:space="preserve"> eliminarea din baza de date a informaţiilor comunicate</w:t>
            </w:r>
          </w:p>
          <w:p w14:paraId="25511C4A" w14:textId="77777777" w:rsidR="008E7C06" w:rsidRPr="005D6998" w:rsidRDefault="008E7C06" w:rsidP="00A46332">
            <w:pPr>
              <w:spacing w:after="0" w:line="240" w:lineRule="auto"/>
              <w:jc w:val="both"/>
              <w:rPr>
                <w:rFonts w:ascii="Times New Roman" w:hAnsi="Times New Roman"/>
              </w:rPr>
            </w:pPr>
          </w:p>
          <w:p w14:paraId="33B71A07" w14:textId="77777777" w:rsidR="008E7C06" w:rsidRPr="005D6998" w:rsidRDefault="008E7C06" w:rsidP="00A46332">
            <w:pPr>
              <w:spacing w:after="0" w:line="240" w:lineRule="auto"/>
              <w:jc w:val="both"/>
              <w:rPr>
                <w:rFonts w:ascii="Times New Roman" w:hAnsi="Times New Roman"/>
              </w:rPr>
            </w:pPr>
          </w:p>
          <w:p w14:paraId="126E3B8A" w14:textId="77777777" w:rsidR="008E7C06" w:rsidRPr="005D6998" w:rsidRDefault="008E7C06" w:rsidP="00A46332">
            <w:pPr>
              <w:spacing w:after="0" w:line="240" w:lineRule="auto"/>
              <w:jc w:val="both"/>
              <w:rPr>
                <w:rFonts w:ascii="Times New Roman" w:hAnsi="Times New Roman"/>
              </w:rPr>
            </w:pPr>
          </w:p>
          <w:p w14:paraId="29EECB11" w14:textId="77777777" w:rsidR="008E7C06" w:rsidRPr="005D6998" w:rsidRDefault="008E7C06" w:rsidP="00A46332">
            <w:pPr>
              <w:spacing w:after="0" w:line="240" w:lineRule="auto"/>
              <w:jc w:val="both"/>
              <w:rPr>
                <w:rFonts w:ascii="Times New Roman" w:hAnsi="Times New Roman"/>
              </w:rPr>
            </w:pPr>
          </w:p>
          <w:p w14:paraId="48F10BEA" w14:textId="77777777" w:rsidR="008E7C06" w:rsidRPr="005D6998" w:rsidRDefault="008E7C06" w:rsidP="00A46332">
            <w:pPr>
              <w:spacing w:after="0" w:line="240" w:lineRule="auto"/>
              <w:jc w:val="both"/>
              <w:rPr>
                <w:rFonts w:ascii="Times New Roman" w:hAnsi="Times New Roman"/>
              </w:rPr>
            </w:pPr>
          </w:p>
          <w:p w14:paraId="6262E773" w14:textId="77777777" w:rsidR="008E7C06" w:rsidRPr="005D6998" w:rsidRDefault="008E7C06" w:rsidP="00A46332">
            <w:pPr>
              <w:spacing w:after="0" w:line="240" w:lineRule="auto"/>
              <w:jc w:val="both"/>
              <w:rPr>
                <w:rFonts w:ascii="Times New Roman" w:hAnsi="Times New Roman"/>
              </w:rPr>
            </w:pPr>
          </w:p>
          <w:p w14:paraId="0755FFA5" w14:textId="77777777" w:rsidR="008E7C06" w:rsidRPr="005D6998" w:rsidRDefault="008E7C06" w:rsidP="00A46332">
            <w:pPr>
              <w:spacing w:after="0" w:line="240" w:lineRule="auto"/>
              <w:jc w:val="both"/>
              <w:rPr>
                <w:rFonts w:ascii="Times New Roman" w:hAnsi="Times New Roman"/>
              </w:rPr>
            </w:pPr>
          </w:p>
          <w:p w14:paraId="093D20C1" w14:textId="77777777" w:rsidR="008E7C06" w:rsidRPr="005D6998" w:rsidRDefault="008E7C06" w:rsidP="00A46332">
            <w:pPr>
              <w:spacing w:after="0" w:line="240" w:lineRule="auto"/>
              <w:jc w:val="both"/>
              <w:rPr>
                <w:rFonts w:ascii="Times New Roman" w:hAnsi="Times New Roman"/>
              </w:rPr>
            </w:pPr>
          </w:p>
          <w:p w14:paraId="091E4E5B" w14:textId="77777777" w:rsidR="008E7C06" w:rsidRPr="005D6998" w:rsidRDefault="008E7C06" w:rsidP="00A46332">
            <w:pPr>
              <w:spacing w:after="0" w:line="240" w:lineRule="auto"/>
              <w:jc w:val="both"/>
              <w:rPr>
                <w:rFonts w:ascii="Times New Roman" w:hAnsi="Times New Roman"/>
              </w:rPr>
            </w:pPr>
          </w:p>
          <w:p w14:paraId="6AB09C0C" w14:textId="77777777" w:rsidR="008E7C06" w:rsidRPr="005D6998" w:rsidRDefault="008E7C06" w:rsidP="00A46332">
            <w:pPr>
              <w:spacing w:after="0" w:line="240" w:lineRule="auto"/>
              <w:jc w:val="both"/>
              <w:rPr>
                <w:rFonts w:ascii="Times New Roman" w:hAnsi="Times New Roman"/>
              </w:rPr>
            </w:pPr>
          </w:p>
          <w:p w14:paraId="145F71E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Se exclude trextul „Alin (2) a fost ajustat conform propunerii AmCham.”.</w:t>
            </w:r>
          </w:p>
          <w:p w14:paraId="2CA1297F" w14:textId="77777777" w:rsidR="008E7C06" w:rsidRPr="005D6998" w:rsidRDefault="008E7C06" w:rsidP="00A46332">
            <w:pPr>
              <w:spacing w:after="0" w:line="240" w:lineRule="auto"/>
              <w:jc w:val="both"/>
              <w:rPr>
                <w:rFonts w:ascii="Times New Roman" w:hAnsi="Times New Roman"/>
              </w:rPr>
            </w:pPr>
          </w:p>
          <w:p w14:paraId="3DC1B5AB" w14:textId="77777777" w:rsidR="008E7C06" w:rsidRPr="005D6998" w:rsidRDefault="008E7C06" w:rsidP="00A46332">
            <w:pPr>
              <w:spacing w:line="240" w:lineRule="auto"/>
              <w:jc w:val="both"/>
              <w:rPr>
                <w:rFonts w:ascii="Times New Roman" w:hAnsi="Times New Roman"/>
              </w:rPr>
            </w:pPr>
            <w:r w:rsidRPr="005D6998">
              <w:rPr>
                <w:rFonts w:ascii="Times New Roman" w:hAnsi="Times New Roman"/>
              </w:rPr>
              <w:t>Menținerea dispozițiilor propuse la art. 75</w:t>
            </w:r>
            <w:r w:rsidRPr="005D6998">
              <w:rPr>
                <w:rFonts w:ascii="Times New Roman" w:hAnsi="Times New Roman"/>
                <w:vertAlign w:val="superscript"/>
              </w:rPr>
              <w:t>4</w:t>
            </w:r>
            <w:r w:rsidRPr="005D6998">
              <w:rPr>
                <w:rFonts w:ascii="Times New Roman" w:hAnsi="Times New Roman"/>
              </w:rPr>
              <w:t xml:space="preserve"> al Legii nr. 548/1995 este justificată din perspectiva faptului că, în legea în vigoare există art. 75</w:t>
            </w:r>
            <w:r w:rsidRPr="005D6998">
              <w:rPr>
                <w:rFonts w:ascii="Times New Roman" w:hAnsi="Times New Roman"/>
                <w:vertAlign w:val="superscript"/>
              </w:rPr>
              <w:t>3</w:t>
            </w:r>
            <w:r w:rsidRPr="005D6998">
              <w:rPr>
                <w:rFonts w:ascii="Times New Roman" w:hAnsi="Times New Roman"/>
              </w:rPr>
              <w:t xml:space="preserve"> care reglementează deja publicarea de către BNM a sancțiunilor aplicate și a informațiilor privind contestarea acestora. Având în vedere obiectul art. 75</w:t>
            </w:r>
            <w:r w:rsidRPr="005D6998">
              <w:rPr>
                <w:rFonts w:ascii="Times New Roman" w:hAnsi="Times New Roman"/>
                <w:vertAlign w:val="superscript"/>
              </w:rPr>
              <w:t>4</w:t>
            </w:r>
            <w:r w:rsidRPr="005D6998">
              <w:rPr>
                <w:rFonts w:ascii="Times New Roman" w:hAnsi="Times New Roman"/>
              </w:rPr>
              <w:t xml:space="preserve"> propus, și anume, comunicarea acestor informații către ABE și actualizarea sau eliminarea acestora din baza de date a ABE, cele două </w:t>
            </w:r>
            <w:r w:rsidRPr="005D6998">
              <w:rPr>
                <w:rFonts w:ascii="Times New Roman" w:hAnsi="Times New Roman"/>
              </w:rPr>
              <w:lastRenderedPageBreak/>
              <w:t>dispoziții reglementează aspecte conexe ale gestionării și comunicării informațiilor privind sancțiunile. Respectiv, este oportună menținerea lor în cadrul aceleiași legi.</w:t>
            </w:r>
          </w:p>
        </w:tc>
      </w:tr>
      <w:tr w:rsidR="008E7C06" w:rsidRPr="005D6998" w14:paraId="0081E35C" w14:textId="77777777" w:rsidTr="00651F58">
        <w:trPr>
          <w:gridAfter w:val="2"/>
          <w:wAfter w:w="153" w:type="dxa"/>
          <w:trHeight w:val="105"/>
        </w:trPr>
        <w:tc>
          <w:tcPr>
            <w:tcW w:w="899" w:type="dxa"/>
            <w:gridSpan w:val="3"/>
            <w:shd w:val="clear" w:color="auto" w:fill="FFFFFF"/>
          </w:tcPr>
          <w:p w14:paraId="37DCCC6C"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C9B0FA5" w14:textId="77777777" w:rsidR="008E7C06" w:rsidRPr="005D6998" w:rsidRDefault="008E7C06" w:rsidP="00A46332">
            <w:pPr>
              <w:spacing w:after="0" w:line="240" w:lineRule="auto"/>
              <w:jc w:val="both"/>
              <w:rPr>
                <w:rFonts w:ascii="Times New Roman" w:hAnsi="Times New Roman"/>
                <w:bCs/>
              </w:rPr>
            </w:pPr>
            <w:r w:rsidRPr="005D6998">
              <w:rPr>
                <w:rFonts w:ascii="Times New Roman" w:hAnsi="Times New Roman"/>
                <w:b/>
                <w:bCs/>
              </w:rPr>
              <w:t xml:space="preserve">Art. </w:t>
            </w:r>
            <w:r w:rsidRPr="005D6998">
              <w:rPr>
                <w:rFonts w:ascii="Times New Roman" w:hAnsi="Times New Roman"/>
                <w:b/>
              </w:rPr>
              <w:t>II. Legea nr. 192/1998 privind Comisia Naţională a Pieţei Financiare</w:t>
            </w:r>
            <w:r w:rsidRPr="005D6998">
              <w:rPr>
                <w:rFonts w:ascii="Times New Roman" w:hAnsi="Times New Roman"/>
                <w:bCs/>
              </w:rPr>
              <w:t xml:space="preserve"> (republicată în Monitorul Oficial al R. Moldova, 2007,  nr.117-126BIS), cu modificările ulterioare, se modifică după cum urmează:</w:t>
            </w:r>
          </w:p>
          <w:p w14:paraId="53B4008F" w14:textId="77777777" w:rsidR="008E7C06" w:rsidRPr="005D6998" w:rsidRDefault="008E7C06" w:rsidP="00A46332">
            <w:pPr>
              <w:pStyle w:val="a7"/>
              <w:spacing w:after="0" w:line="240" w:lineRule="auto"/>
              <w:ind w:left="0"/>
              <w:jc w:val="both"/>
              <w:rPr>
                <w:rFonts w:ascii="Times New Roman" w:hAnsi="Times New Roman"/>
              </w:rPr>
            </w:pPr>
            <w:r w:rsidRPr="005D6998">
              <w:rPr>
                <w:rFonts w:ascii="Times New Roman" w:hAnsi="Times New Roman"/>
                <w:b/>
                <w:bCs/>
              </w:rPr>
              <w:t>2.</w:t>
            </w:r>
            <w:r w:rsidRPr="005D6998">
              <w:rPr>
                <w:rFonts w:ascii="Times New Roman" w:hAnsi="Times New Roman"/>
              </w:rPr>
              <w:t xml:space="preserve"> Articolul 6 la alineatul (1), litera h) liniuța a opta, cuvântul „băncilor” se substituie cu cuvintele „instituțiilor de credit prevăzute la art. 3 lit. a) din Legea nr. 202/2017 privind activitatea instituțiilor de credit”.</w:t>
            </w:r>
          </w:p>
          <w:p w14:paraId="3B866310" w14:textId="77777777" w:rsidR="008E7C06" w:rsidRPr="005D6998" w:rsidRDefault="008E7C06" w:rsidP="00A46332">
            <w:pPr>
              <w:spacing w:after="0" w:line="240" w:lineRule="auto"/>
              <w:ind w:firstLine="708"/>
              <w:jc w:val="both"/>
              <w:rPr>
                <w:rFonts w:ascii="Times New Roman" w:hAnsi="Times New Roman"/>
                <w:b/>
                <w:bCs/>
              </w:rPr>
            </w:pPr>
          </w:p>
        </w:tc>
        <w:tc>
          <w:tcPr>
            <w:tcW w:w="1418" w:type="dxa"/>
            <w:gridSpan w:val="2"/>
            <w:shd w:val="clear" w:color="auto" w:fill="FFFFFF"/>
          </w:tcPr>
          <w:p w14:paraId="2D9332F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3179CA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BE27C5A" w14:textId="77777777" w:rsidR="008E7C06" w:rsidRPr="005D6998" w:rsidRDefault="008E7C06" w:rsidP="00A46332">
            <w:pPr>
              <w:pStyle w:val="Default"/>
              <w:jc w:val="both"/>
              <w:rPr>
                <w:sz w:val="22"/>
                <w:szCs w:val="22"/>
              </w:rPr>
            </w:pPr>
            <w:r w:rsidRPr="005D6998">
              <w:rPr>
                <w:sz w:val="22"/>
                <w:szCs w:val="22"/>
              </w:rPr>
              <w:t xml:space="preserve">La pct. 2: </w:t>
            </w:r>
          </w:p>
          <w:p w14:paraId="7AC96AED" w14:textId="77777777" w:rsidR="008E7C06" w:rsidRPr="005D6998" w:rsidRDefault="008E7C06" w:rsidP="00A46332">
            <w:pPr>
              <w:pStyle w:val="Default"/>
              <w:jc w:val="both"/>
              <w:rPr>
                <w:sz w:val="22"/>
                <w:szCs w:val="22"/>
              </w:rPr>
            </w:pPr>
            <w:r w:rsidRPr="005D6998">
              <w:rPr>
                <w:sz w:val="22"/>
                <w:szCs w:val="22"/>
              </w:rPr>
              <w:t xml:space="preserve">- cuvântul „cuvintele” se va substitui cu cuvântul „textul”, în corespundere cu regulile de tehnică legislativă; </w:t>
            </w:r>
          </w:p>
          <w:p w14:paraId="1C17FBF6" w14:textId="77777777" w:rsidR="008E7C06" w:rsidRPr="005D6998" w:rsidRDefault="008E7C06" w:rsidP="00A46332">
            <w:pPr>
              <w:pStyle w:val="Default"/>
              <w:jc w:val="both"/>
              <w:rPr>
                <w:sz w:val="22"/>
                <w:szCs w:val="22"/>
                <w:lang w:val="ro-RO"/>
              </w:rPr>
            </w:pPr>
            <w:r w:rsidRPr="005D6998">
              <w:rPr>
                <w:sz w:val="22"/>
                <w:szCs w:val="22"/>
              </w:rPr>
              <w:t>- textul „prevăzute la art. 3 lit. a)”, se va revedea, întrucât acest articol din Legea nr. 202/2017 nu este divizat pe litere. Or, sunt divizate pe litere, dispozițiile ale unor noțiuni cuprinse în art. 3. În acest sens, întru evitarea unei interpretări eronate, se recomandă reformularea normei de modificare, prin expunerea că, cuvântul „băncilor” se substituie cu cuvintele „instituțiilor de credit care desfășoară activități referitoare la atragerea de depozite sau de alte fonduri rambursabile de la public şi în acordarea de credite în cont propriu”.</w:t>
            </w:r>
          </w:p>
        </w:tc>
        <w:tc>
          <w:tcPr>
            <w:tcW w:w="4960" w:type="dxa"/>
            <w:gridSpan w:val="3"/>
            <w:shd w:val="clear" w:color="auto" w:fill="FFFFFF"/>
          </w:tcPr>
          <w:p w14:paraId="5F29DB9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3D9234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pt-BR"/>
              </w:rPr>
              <w:t>Cuv</w:t>
            </w:r>
            <w:r w:rsidRPr="005D6998">
              <w:rPr>
                <w:rFonts w:ascii="Times New Roman" w:hAnsi="Times New Roman"/>
              </w:rPr>
              <w:t xml:space="preserve">ântul </w:t>
            </w:r>
            <w:r w:rsidRPr="005D6998">
              <w:rPr>
                <w:rFonts w:ascii="Times New Roman" w:hAnsi="Times New Roman"/>
                <w:lang w:val="pt-BR"/>
              </w:rPr>
              <w:t>“</w:t>
            </w:r>
            <w:r w:rsidRPr="005D6998">
              <w:rPr>
                <w:rFonts w:ascii="Times New Roman" w:hAnsi="Times New Roman"/>
              </w:rPr>
              <w:t>cuvintele” substituit cu cuvântul „textul”,</w:t>
            </w:r>
          </w:p>
          <w:p w14:paraId="1C2BB104" w14:textId="77777777" w:rsidR="008E7C06" w:rsidRPr="005D6998" w:rsidRDefault="008E7C06" w:rsidP="00A46332">
            <w:pPr>
              <w:spacing w:after="0" w:line="240" w:lineRule="auto"/>
              <w:jc w:val="both"/>
              <w:rPr>
                <w:rFonts w:ascii="Times New Roman" w:hAnsi="Times New Roman"/>
              </w:rPr>
            </w:pPr>
          </w:p>
          <w:p w14:paraId="5332A5D7" w14:textId="77777777" w:rsidR="008E7C06" w:rsidRPr="005D6998" w:rsidRDefault="008E7C06" w:rsidP="00A46332">
            <w:pPr>
              <w:spacing w:after="0" w:line="240" w:lineRule="auto"/>
              <w:jc w:val="both"/>
              <w:rPr>
                <w:rFonts w:ascii="Times New Roman" w:hAnsi="Times New Roman"/>
              </w:rPr>
            </w:pPr>
          </w:p>
          <w:p w14:paraId="59111C9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Textul “prevăzute la art. 3 lit. a)” substituit cu textul “care desfășoară activități referitoare la atragerea de depozite sau de alte fonduri rambursabile de la public şi în acordarea de credite în cont propriu potrivit Legii nr. 202/2017 privind activitatea instituțiilor de credit”.</w:t>
            </w:r>
          </w:p>
        </w:tc>
      </w:tr>
      <w:tr w:rsidR="008E7C06" w:rsidRPr="005D6998" w14:paraId="6614AB95" w14:textId="77777777" w:rsidTr="00651F58">
        <w:trPr>
          <w:gridAfter w:val="2"/>
          <w:wAfter w:w="153" w:type="dxa"/>
          <w:trHeight w:val="105"/>
        </w:trPr>
        <w:tc>
          <w:tcPr>
            <w:tcW w:w="899" w:type="dxa"/>
            <w:gridSpan w:val="3"/>
            <w:shd w:val="clear" w:color="auto" w:fill="FFFFFF"/>
          </w:tcPr>
          <w:p w14:paraId="11FBFD7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B387FA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Art. III.</w:t>
            </w:r>
            <w:r w:rsidRPr="005D6998">
              <w:rPr>
                <w:rFonts w:ascii="Times New Roman" w:hAnsi="Times New Roman"/>
              </w:rPr>
              <w:t xml:space="preserve"> </w:t>
            </w:r>
            <w:r w:rsidRPr="005D6998">
              <w:rPr>
                <w:rFonts w:ascii="Times New Roman" w:hAnsi="Times New Roman"/>
                <w:b/>
                <w:bCs/>
              </w:rPr>
              <w:t>Legea nr. 202/2017 privind activitatea băncilor</w:t>
            </w:r>
            <w:r w:rsidRPr="005D6998">
              <w:rPr>
                <w:rFonts w:ascii="Times New Roman" w:hAnsi="Times New Roman"/>
              </w:rPr>
              <w:t xml:space="preserve"> (Monitorul Oficial al Republicii Moldova, 2017, nr.434–439, art.727), cu modificările ulterioare, se modifică după cum urmează:</w:t>
            </w:r>
          </w:p>
          <w:p w14:paraId="1186D7F8" w14:textId="77777777" w:rsidR="008E7C06" w:rsidRPr="005D6998" w:rsidRDefault="008E7C06" w:rsidP="00A46332">
            <w:pPr>
              <w:tabs>
                <w:tab w:val="left" w:pos="426"/>
              </w:tabs>
              <w:spacing w:after="0" w:line="240" w:lineRule="auto"/>
              <w:jc w:val="both"/>
              <w:rPr>
                <w:rFonts w:ascii="Times New Roman" w:eastAsiaTheme="minorHAnsi" w:hAnsi="Times New Roman"/>
                <w:b/>
                <w:bCs/>
                <w:kern w:val="2"/>
                <w:lang w:eastAsia="en-US"/>
                <w14:ligatures w14:val="standardContextual"/>
              </w:rPr>
            </w:pPr>
            <w:r w:rsidRPr="005D6998">
              <w:rPr>
                <w:rFonts w:ascii="Times New Roman" w:eastAsiaTheme="minorHAnsi" w:hAnsi="Times New Roman"/>
                <w:b/>
                <w:bCs/>
                <w:kern w:val="2"/>
                <w:lang w:eastAsia="en-US"/>
                <w14:ligatures w14:val="standardContextual"/>
              </w:rPr>
              <w:t>2.</w:t>
            </w:r>
            <w:r w:rsidRPr="005D6998">
              <w:rPr>
                <w:rFonts w:ascii="Times New Roman" w:eastAsiaTheme="minorHAnsi" w:hAnsi="Times New Roman"/>
                <w:kern w:val="2"/>
                <w:lang w:eastAsia="en-US"/>
                <w14:ligatures w14:val="standardContextual"/>
              </w:rPr>
              <w:t xml:space="preserve"> Clauza de armonizare se modifică după cum urmează:</w:t>
            </w:r>
          </w:p>
          <w:p w14:paraId="7D180531" w14:textId="77777777" w:rsidR="008E7C06" w:rsidRPr="005D6998" w:rsidRDefault="008E7C06" w:rsidP="00A46332">
            <w:pPr>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p>
        </w:tc>
        <w:tc>
          <w:tcPr>
            <w:tcW w:w="1418" w:type="dxa"/>
            <w:gridSpan w:val="2"/>
            <w:shd w:val="clear" w:color="auto" w:fill="FFFFFF"/>
          </w:tcPr>
          <w:p w14:paraId="1D8C24EC"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4713433"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5EC406D" w14:textId="77777777" w:rsidR="008E7C06" w:rsidRPr="005D6998" w:rsidRDefault="008E7C06" w:rsidP="00A46332">
            <w:pPr>
              <w:pStyle w:val="Default"/>
              <w:jc w:val="both"/>
              <w:rPr>
                <w:sz w:val="22"/>
                <w:szCs w:val="22"/>
              </w:rPr>
            </w:pPr>
            <w:r w:rsidRPr="005D6998">
              <w:rPr>
                <w:sz w:val="22"/>
                <w:szCs w:val="22"/>
              </w:rPr>
              <w:t>În pct. 2, textul „se modifică după cum urmează:” se va substitui cu textul „va avea următorul cuprins:”, în vederea respectării regulilor de tehnică legislativă (observație valabilă în tot textul proiectului).</w:t>
            </w:r>
          </w:p>
        </w:tc>
        <w:tc>
          <w:tcPr>
            <w:tcW w:w="4960" w:type="dxa"/>
            <w:gridSpan w:val="3"/>
            <w:shd w:val="clear" w:color="auto" w:fill="FFFFFF"/>
          </w:tcPr>
          <w:p w14:paraId="73705C67"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3895CE3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Textul „se modifică după cum urmează:” substituit cu textul “va avea următorul cuprins:”.</w:t>
            </w:r>
          </w:p>
        </w:tc>
      </w:tr>
      <w:tr w:rsidR="008E7C06" w:rsidRPr="005D6998" w14:paraId="7A052BA4" w14:textId="77777777" w:rsidTr="00651F58">
        <w:trPr>
          <w:gridAfter w:val="2"/>
          <w:wAfter w:w="153" w:type="dxa"/>
          <w:trHeight w:val="105"/>
        </w:trPr>
        <w:tc>
          <w:tcPr>
            <w:tcW w:w="899" w:type="dxa"/>
            <w:gridSpan w:val="3"/>
            <w:shd w:val="clear" w:color="auto" w:fill="FFFFFF"/>
          </w:tcPr>
          <w:p w14:paraId="42075549"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E5FA96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4.</w:t>
            </w:r>
            <w:r w:rsidRPr="005D6998">
              <w:rPr>
                <w:rFonts w:ascii="Times New Roman" w:hAnsi="Times New Roman"/>
              </w:rPr>
              <w:t xml:space="preserve"> Articolul 2:</w:t>
            </w:r>
          </w:p>
          <w:p w14:paraId="26F2FD75" w14:textId="77777777" w:rsidR="008E7C06" w:rsidRPr="005D6998" w:rsidRDefault="008E7C06" w:rsidP="00A46332">
            <w:pPr>
              <w:spacing w:after="0" w:line="240" w:lineRule="auto"/>
              <w:ind w:firstLine="567"/>
              <w:jc w:val="both"/>
              <w:rPr>
                <w:rFonts w:ascii="Times New Roman" w:hAnsi="Times New Roman"/>
              </w:rPr>
            </w:pPr>
            <w:r w:rsidRPr="005D6998">
              <w:rPr>
                <w:rFonts w:ascii="Times New Roman" w:hAnsi="Times New Roman"/>
                <w:b/>
                <w:bCs/>
              </w:rPr>
              <w:t>alin. (2) la litera b)</w:t>
            </w:r>
            <w:r w:rsidRPr="005D6998">
              <w:rPr>
                <w:rFonts w:ascii="Times New Roman" w:hAnsi="Times New Roman"/>
              </w:rPr>
              <w:t>, cuvintele „alte state” se substituie cu cuvintele „state membre, respectiv din state terțe”;</w:t>
            </w:r>
          </w:p>
          <w:p w14:paraId="52F242F3" w14:textId="77777777" w:rsidR="008E7C06" w:rsidRPr="005D6998" w:rsidRDefault="008E7C06" w:rsidP="00A46332">
            <w:pPr>
              <w:spacing w:after="0" w:line="240" w:lineRule="auto"/>
              <w:ind w:firstLine="567"/>
              <w:jc w:val="both"/>
              <w:rPr>
                <w:rFonts w:ascii="Times New Roman" w:hAnsi="Times New Roman"/>
              </w:rPr>
            </w:pPr>
            <w:r w:rsidRPr="005D6998">
              <w:rPr>
                <w:rFonts w:ascii="Times New Roman" w:hAnsi="Times New Roman"/>
              </w:rPr>
              <w:t>se completează cu două alineate (1</w:t>
            </w:r>
            <w:r w:rsidRPr="005D6998">
              <w:rPr>
                <w:rFonts w:ascii="Times New Roman" w:hAnsi="Times New Roman"/>
                <w:vertAlign w:val="superscript"/>
              </w:rPr>
              <w:t>1</w:t>
            </w:r>
            <w:r w:rsidRPr="005D6998">
              <w:rPr>
                <w:rFonts w:ascii="Times New Roman" w:hAnsi="Times New Roman"/>
              </w:rPr>
              <w:t>) și (1</w:t>
            </w:r>
            <w:r w:rsidRPr="005D6998">
              <w:rPr>
                <w:rFonts w:ascii="Times New Roman" w:hAnsi="Times New Roman"/>
                <w:vertAlign w:val="superscript"/>
              </w:rPr>
              <w:t>2</w:t>
            </w:r>
            <w:r w:rsidRPr="005D6998">
              <w:rPr>
                <w:rFonts w:ascii="Times New Roman" w:hAnsi="Times New Roman"/>
              </w:rPr>
              <w:t>) cu următorul cuprins:</w:t>
            </w:r>
          </w:p>
          <w:p w14:paraId="32FF4F20" w14:textId="77777777" w:rsidR="008E7C06" w:rsidRPr="005D6998" w:rsidRDefault="008E7C06" w:rsidP="00A46332">
            <w:pPr>
              <w:spacing w:after="0" w:line="240" w:lineRule="auto"/>
              <w:ind w:firstLine="567"/>
              <w:jc w:val="both"/>
              <w:rPr>
                <w:rFonts w:ascii="Times New Roman" w:hAnsi="Times New Roman"/>
              </w:rPr>
            </w:pPr>
            <w:r w:rsidRPr="005D6998">
              <w:rPr>
                <w:rFonts w:ascii="Times New Roman" w:hAnsi="Times New Roman"/>
              </w:rPr>
              <w:lastRenderedPageBreak/>
              <w:t>„ (1</w:t>
            </w:r>
            <w:r w:rsidRPr="005D6998">
              <w:rPr>
                <w:rFonts w:ascii="Times New Roman" w:hAnsi="Times New Roman"/>
                <w:vertAlign w:val="superscript"/>
              </w:rPr>
              <w:t>1</w:t>
            </w:r>
            <w:r w:rsidRPr="005D6998">
              <w:rPr>
                <w:rFonts w:ascii="Times New Roman" w:hAnsi="Times New Roman"/>
              </w:rPr>
              <w:t>) Prezenta lege nu se aplică:</w:t>
            </w:r>
          </w:p>
          <w:p w14:paraId="078B593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  </w:t>
            </w:r>
          </w:p>
          <w:p w14:paraId="07EA5D9D" w14:textId="77777777" w:rsidR="008E7C06" w:rsidRPr="005D6998" w:rsidRDefault="008E7C06" w:rsidP="00A46332">
            <w:pPr>
              <w:spacing w:after="0" w:line="240" w:lineRule="auto"/>
              <w:ind w:firstLine="567"/>
              <w:jc w:val="both"/>
              <w:rPr>
                <w:rFonts w:ascii="Times New Roman" w:hAnsi="Times New Roman"/>
              </w:rPr>
            </w:pPr>
            <w:r w:rsidRPr="005D6998">
              <w:rPr>
                <w:rFonts w:ascii="Times New Roman" w:hAnsi="Times New Roman"/>
              </w:rPr>
              <w:t xml:space="preserve">c)  instituțiilor prevăzute la art. 2 alin. (5) pct. 4-23 din </w:t>
            </w:r>
            <w:r w:rsidRPr="005D6998">
              <w:rPr>
                <w:rFonts w:ascii="Times New Roman" w:hAnsi="Times New Roman"/>
                <w:b/>
                <w:bCs/>
              </w:rPr>
              <w:t>Directiva UE 2013/36</w:t>
            </w:r>
            <w:r w:rsidRPr="005D6998">
              <w:rPr>
                <w:rFonts w:ascii="Times New Roman" w:hAnsi="Times New Roman"/>
              </w:rPr>
              <w:t>.</w:t>
            </w:r>
          </w:p>
          <w:p w14:paraId="45160037"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78130FF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se completează cu alineatul (3</w:t>
            </w:r>
            <w:r w:rsidRPr="005D6998">
              <w:rPr>
                <w:rFonts w:ascii="Times New Roman" w:hAnsi="Times New Roman"/>
                <w:vertAlign w:val="superscript"/>
              </w:rPr>
              <w:t>1</w:t>
            </w:r>
            <w:r w:rsidRPr="005D6998">
              <w:rPr>
                <w:rFonts w:ascii="Times New Roman" w:hAnsi="Times New Roman"/>
              </w:rPr>
              <w:t>) cu următorul cuprins:</w:t>
            </w:r>
          </w:p>
          <w:p w14:paraId="0E57D28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„(3</w:t>
            </w:r>
            <w:r w:rsidRPr="005D6998">
              <w:rPr>
                <w:rFonts w:ascii="Times New Roman" w:hAnsi="Times New Roman"/>
                <w:vertAlign w:val="superscript"/>
              </w:rPr>
              <w:t>1</w:t>
            </w:r>
            <w:r w:rsidRPr="005D6998">
              <w:rPr>
                <w:rFonts w:ascii="Times New Roman" w:hAnsi="Times New Roman"/>
              </w:rPr>
              <w:t xml:space="preserve">) Pentru a asigura faptul că cerințele sau competențele de supraveghere prevăzute în prezenta lege sau în actele normative emise de Banca Națională a Moldovei se aplică pe o bază consolidată sau subconsolidată, în conformitate cu prezenta lege și actele normative emise în aplicarea acesteia, termenii „instituţie de credit”, „instituţie de credit-mamă dintr-un stat membru”, „instituţie de credit-mamă din UE” și „întreprindere-mamă” includ de asemenea: </w:t>
            </w:r>
          </w:p>
          <w:p w14:paraId="5A34DC5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 societăţile financiare holding și societăţile financiare holding mixte care au fost aprobate în conformitate cu art. 116</w:t>
            </w:r>
            <w:r w:rsidRPr="005D6998">
              <w:rPr>
                <w:rFonts w:ascii="Times New Roman" w:hAnsi="Times New Roman"/>
                <w:vertAlign w:val="superscript"/>
              </w:rPr>
              <w:t>1</w:t>
            </w:r>
            <w:r w:rsidRPr="005D6998">
              <w:rPr>
                <w:rFonts w:ascii="Times New Roman" w:hAnsi="Times New Roman"/>
              </w:rPr>
              <w:t xml:space="preserve">; </w:t>
            </w:r>
          </w:p>
          <w:p w14:paraId="38F4BD4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b) instituţiile desemnate controlate de o societate financiară holding-mamă din UE, de o societate financiară holding mixtă-mamă din UE, de o societate financiară holding-mamă dintr-un stat membru sau de o societate financiară holding mixtă-mamă dintr-un stat membru în cazul cărora întreprinderea-mamă relevantă nu face obiectul aprobării în conformitate cu art. 116</w:t>
            </w:r>
            <w:r w:rsidRPr="005D6998">
              <w:rPr>
                <w:rFonts w:ascii="Times New Roman" w:hAnsi="Times New Roman"/>
                <w:vertAlign w:val="superscript"/>
              </w:rPr>
              <w:t>2</w:t>
            </w:r>
            <w:r w:rsidRPr="005D6998">
              <w:rPr>
                <w:rFonts w:ascii="Times New Roman" w:hAnsi="Times New Roman"/>
              </w:rPr>
              <w:t xml:space="preserve">; </w:t>
            </w:r>
          </w:p>
          <w:p w14:paraId="200E534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c) societăţile financiare holding, societăţile financiare holding mixte sau </w:t>
            </w:r>
            <w:r w:rsidRPr="005D6998">
              <w:rPr>
                <w:rFonts w:ascii="Times New Roman" w:hAnsi="Times New Roman"/>
              </w:rPr>
              <w:lastRenderedPageBreak/>
              <w:t>instituţiile desemnate în temeiul art. 116</w:t>
            </w:r>
            <w:r w:rsidRPr="005D6998">
              <w:rPr>
                <w:rFonts w:ascii="Times New Roman" w:hAnsi="Times New Roman"/>
                <w:vertAlign w:val="superscript"/>
              </w:rPr>
              <w:t>5</w:t>
            </w:r>
            <w:r w:rsidRPr="005D6998">
              <w:rPr>
                <w:rFonts w:ascii="Times New Roman" w:hAnsi="Times New Roman"/>
              </w:rPr>
              <w:t xml:space="preserve"> alin. (1) lit. d).”.</w:t>
            </w:r>
          </w:p>
        </w:tc>
        <w:tc>
          <w:tcPr>
            <w:tcW w:w="1418" w:type="dxa"/>
            <w:gridSpan w:val="2"/>
            <w:shd w:val="clear" w:color="auto" w:fill="FFFFFF"/>
          </w:tcPr>
          <w:p w14:paraId="609E1972"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C4302E8"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1D3459D" w14:textId="77777777" w:rsidR="008E7C06" w:rsidRPr="005D6998" w:rsidRDefault="008E7C06" w:rsidP="00A46332">
            <w:pPr>
              <w:pStyle w:val="Default"/>
              <w:jc w:val="both"/>
              <w:rPr>
                <w:sz w:val="22"/>
                <w:szCs w:val="22"/>
              </w:rPr>
            </w:pPr>
            <w:r w:rsidRPr="005D6998">
              <w:rPr>
                <w:sz w:val="22"/>
                <w:szCs w:val="22"/>
              </w:rPr>
              <w:t xml:space="preserve">În pct. 4: </w:t>
            </w:r>
          </w:p>
          <w:p w14:paraId="41226EE1" w14:textId="77777777" w:rsidR="008E7C06" w:rsidRPr="005D6998" w:rsidRDefault="008E7C06" w:rsidP="00A46332">
            <w:pPr>
              <w:pStyle w:val="Default"/>
              <w:jc w:val="both"/>
              <w:rPr>
                <w:sz w:val="22"/>
                <w:szCs w:val="22"/>
              </w:rPr>
            </w:pPr>
            <w:r w:rsidRPr="005D6998">
              <w:rPr>
                <w:sz w:val="22"/>
                <w:szCs w:val="22"/>
              </w:rPr>
              <w:t xml:space="preserve">- textul „alin. (2) la litera b)” se va substitui cu textul „în alineatul (1) litera b)”; </w:t>
            </w:r>
          </w:p>
          <w:p w14:paraId="61047538" w14:textId="77777777" w:rsidR="008E7C06" w:rsidRPr="005D6998" w:rsidRDefault="008E7C06" w:rsidP="00A46332">
            <w:pPr>
              <w:pStyle w:val="Default"/>
              <w:jc w:val="both"/>
              <w:rPr>
                <w:sz w:val="22"/>
                <w:szCs w:val="22"/>
              </w:rPr>
            </w:pPr>
          </w:p>
          <w:p w14:paraId="0311CA20" w14:textId="77777777" w:rsidR="008E7C06" w:rsidRPr="005D6998" w:rsidRDefault="008E7C06" w:rsidP="00A46332">
            <w:pPr>
              <w:pStyle w:val="Default"/>
              <w:jc w:val="both"/>
              <w:rPr>
                <w:sz w:val="22"/>
                <w:szCs w:val="22"/>
              </w:rPr>
            </w:pPr>
            <w:r w:rsidRPr="005D6998">
              <w:rPr>
                <w:sz w:val="22"/>
                <w:szCs w:val="22"/>
              </w:rPr>
              <w:t xml:space="preserve">- referința la denumirea actului UE (Directiva 2013/36/UE) se va expune pe </w:t>
            </w:r>
            <w:r w:rsidRPr="005D6998">
              <w:rPr>
                <w:sz w:val="22"/>
                <w:szCs w:val="22"/>
              </w:rPr>
              <w:lastRenderedPageBreak/>
              <w:t xml:space="preserve">deplin (observație valabilă în tot textul proiectului); </w:t>
            </w:r>
          </w:p>
          <w:p w14:paraId="5C83ECDD" w14:textId="77777777" w:rsidR="008E7C06" w:rsidRPr="005D6998" w:rsidRDefault="008E7C06" w:rsidP="00A46332">
            <w:pPr>
              <w:pStyle w:val="Default"/>
              <w:jc w:val="both"/>
              <w:rPr>
                <w:sz w:val="22"/>
                <w:szCs w:val="22"/>
              </w:rPr>
            </w:pPr>
          </w:p>
          <w:p w14:paraId="4C22BFD1" w14:textId="77777777" w:rsidR="008E7C06" w:rsidRPr="005D6998" w:rsidRDefault="008E7C06" w:rsidP="00A46332">
            <w:pPr>
              <w:pStyle w:val="Default"/>
              <w:jc w:val="both"/>
              <w:rPr>
                <w:sz w:val="22"/>
                <w:szCs w:val="22"/>
              </w:rPr>
            </w:pPr>
            <w:r w:rsidRPr="005D6998">
              <w:rPr>
                <w:sz w:val="22"/>
                <w:szCs w:val="22"/>
              </w:rPr>
              <w:t>- dispozițiile propuse pentru art. 2 alin. (3</w:t>
            </w:r>
            <w:r w:rsidRPr="005D6998">
              <w:rPr>
                <w:sz w:val="22"/>
                <w:szCs w:val="22"/>
                <w:vertAlign w:val="superscript"/>
              </w:rPr>
              <w:t>1</w:t>
            </w:r>
            <w:r w:rsidRPr="005D6998">
              <w:rPr>
                <w:sz w:val="22"/>
                <w:szCs w:val="22"/>
              </w:rPr>
              <w:t>) se recomandă a fi parte componentă a art. 3, întrucât vizează semnificarea unor noțiuni.</w:t>
            </w:r>
          </w:p>
        </w:tc>
        <w:tc>
          <w:tcPr>
            <w:tcW w:w="4960" w:type="dxa"/>
            <w:gridSpan w:val="3"/>
            <w:shd w:val="clear" w:color="auto" w:fill="FFFFFF"/>
          </w:tcPr>
          <w:p w14:paraId="6C25841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764A993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Textul „alin. (2) la litera b)” substituit cu textul “alineatul (1) la litera b)” inclusiv pentru a corecta referința la alin. (1) dar nu la alin. (2).</w:t>
            </w:r>
          </w:p>
          <w:p w14:paraId="26E59C4B" w14:textId="77777777" w:rsidR="008E7C06" w:rsidRPr="005D6998" w:rsidRDefault="008E7C06" w:rsidP="00A46332">
            <w:pPr>
              <w:spacing w:after="0" w:line="240" w:lineRule="auto"/>
              <w:jc w:val="both"/>
              <w:rPr>
                <w:rFonts w:ascii="Times New Roman" w:hAnsi="Times New Roman"/>
              </w:rPr>
            </w:pPr>
          </w:p>
          <w:p w14:paraId="51A9A8B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Denumirile prescurtate a directivelor utilizate în proiect substituite cu denumirile pe deplin.</w:t>
            </w:r>
          </w:p>
          <w:p w14:paraId="74BA222F" w14:textId="77777777" w:rsidR="008E7C06" w:rsidRPr="005D6998" w:rsidRDefault="008E7C06" w:rsidP="00A46332">
            <w:pPr>
              <w:spacing w:after="0" w:line="240" w:lineRule="auto"/>
              <w:jc w:val="both"/>
              <w:rPr>
                <w:rFonts w:ascii="Times New Roman" w:hAnsi="Times New Roman"/>
              </w:rPr>
            </w:pPr>
          </w:p>
          <w:p w14:paraId="23BE5DA3" w14:textId="77777777" w:rsidR="008E7C06" w:rsidRPr="005D6998" w:rsidRDefault="008E7C06" w:rsidP="00A46332">
            <w:pPr>
              <w:spacing w:after="0" w:line="240" w:lineRule="auto"/>
              <w:jc w:val="both"/>
              <w:rPr>
                <w:rFonts w:ascii="Times New Roman" w:hAnsi="Times New Roman"/>
              </w:rPr>
            </w:pPr>
          </w:p>
          <w:p w14:paraId="591AF3B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Dispoziițiile propuse în art. 2 alin. (3</w:t>
            </w:r>
            <w:r w:rsidRPr="005D6998">
              <w:rPr>
                <w:rFonts w:ascii="Times New Roman" w:hAnsi="Times New Roman"/>
                <w:vertAlign w:val="superscript"/>
              </w:rPr>
              <w:t>1</w:t>
            </w:r>
            <w:r w:rsidRPr="005D6998">
              <w:rPr>
                <w:rFonts w:ascii="Times New Roman" w:hAnsi="Times New Roman"/>
              </w:rPr>
              <w:t>) reprezintă o transpunere a art. 3 alin. (3) din Directiva 2013/36/UE. Acestea nu au doar rol de clarificare a unor noțiuni, dar instituie reguli privind aplicarea normelor referitoare la supravegherea consolidată sau subconsolidată. Respectiv, este justificată menținerea dispoziției la articolul 2 din lege, luând în considerare că acesta se referă la domeniul de aplicare al acesteia.</w:t>
            </w:r>
          </w:p>
        </w:tc>
      </w:tr>
      <w:tr w:rsidR="008E7C06" w:rsidRPr="005D6998" w14:paraId="7B269359" w14:textId="77777777" w:rsidTr="00651F58">
        <w:trPr>
          <w:gridAfter w:val="2"/>
          <w:wAfter w:w="153" w:type="dxa"/>
          <w:trHeight w:val="105"/>
        </w:trPr>
        <w:tc>
          <w:tcPr>
            <w:tcW w:w="899" w:type="dxa"/>
            <w:gridSpan w:val="3"/>
            <w:shd w:val="clear" w:color="auto" w:fill="FFFFFF"/>
          </w:tcPr>
          <w:p w14:paraId="3368233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D1B0F4E" w14:textId="77777777" w:rsidR="008E7C06" w:rsidRPr="005D6998" w:rsidRDefault="008E7C06" w:rsidP="00A46332">
            <w:pPr>
              <w:tabs>
                <w:tab w:val="left" w:pos="284"/>
              </w:tabs>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b/>
                <w:bCs/>
                <w:kern w:val="2"/>
                <w:lang w:eastAsia="en-US"/>
                <w14:ligatures w14:val="standardContextual"/>
              </w:rPr>
              <w:t xml:space="preserve">5. </w:t>
            </w:r>
            <w:r w:rsidRPr="005D6998">
              <w:rPr>
                <w:rFonts w:ascii="Times New Roman" w:eastAsiaTheme="minorHAnsi" w:hAnsi="Times New Roman"/>
                <w:kern w:val="2"/>
                <w:lang w:eastAsia="en-US"/>
                <w14:ligatures w14:val="standardContextual"/>
              </w:rPr>
              <w:t>Articolul 3:</w:t>
            </w:r>
          </w:p>
          <w:p w14:paraId="5226EA84"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la noțiunea de “</w:t>
            </w:r>
            <w:r w:rsidRPr="005D6998">
              <w:rPr>
                <w:rFonts w:ascii="Times New Roman" w:eastAsiaTheme="minorHAnsi" w:hAnsi="Times New Roman"/>
                <w:i/>
                <w:kern w:val="2"/>
                <w:lang w:eastAsia="en-US"/>
                <w14:ligatures w14:val="standardContextual"/>
              </w:rPr>
              <w:t>achizi</w:t>
            </w:r>
            <w:r w:rsidRPr="005D6998">
              <w:rPr>
                <w:rFonts w:ascii="Times New Roman" w:eastAsiaTheme="minorHAnsi" w:hAnsi="Times New Roman"/>
                <w:i/>
                <w:iCs/>
                <w:kern w:val="2"/>
                <w:lang w:eastAsia="en-US"/>
                <w14:ligatures w14:val="standardContextual"/>
              </w:rPr>
              <w:t>tor potențial</w:t>
            </w:r>
            <w:r w:rsidRPr="005D6998">
              <w:rPr>
                <w:rFonts w:ascii="Times New Roman" w:eastAsiaTheme="minorHAnsi" w:hAnsi="Times New Roman"/>
                <w:kern w:val="2"/>
                <w:lang w:eastAsia="en-US"/>
                <w14:ligatures w14:val="standardContextual"/>
              </w:rPr>
              <w:t>”, cuvintele “beneficiar efectiv” se substituie cu cuvintele “beneficiar real al deținerii”;</w:t>
            </w:r>
          </w:p>
          <w:p w14:paraId="39FFB939" w14:textId="77777777" w:rsidR="008E7C06" w:rsidRPr="005D6998" w:rsidRDefault="008E7C06" w:rsidP="00A46332">
            <w:pPr>
              <w:tabs>
                <w:tab w:val="left" w:pos="284"/>
              </w:tabs>
              <w:spacing w:after="0" w:line="240" w:lineRule="auto"/>
              <w:ind w:left="-23" w:firstLine="590"/>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se completează cu noțiunea de „</w:t>
            </w:r>
            <w:r w:rsidRPr="005D6998">
              <w:rPr>
                <w:rFonts w:ascii="Times New Roman" w:eastAsiaTheme="minorHAnsi" w:hAnsi="Times New Roman"/>
                <w:i/>
                <w:iCs/>
                <w:kern w:val="2"/>
                <w:lang w:eastAsia="en-US"/>
                <w14:ligatures w14:val="standardContextual"/>
              </w:rPr>
              <w:t>abordări interne</w:t>
            </w:r>
            <w:r w:rsidRPr="005D6998">
              <w:rPr>
                <w:rFonts w:ascii="Times New Roman" w:eastAsiaTheme="minorHAnsi" w:hAnsi="Times New Roman"/>
                <w:kern w:val="2"/>
                <w:lang w:eastAsia="en-US"/>
                <w14:ligatures w14:val="standardContextual"/>
              </w:rPr>
              <w:t>” cu următorul cuprins:</w:t>
            </w:r>
          </w:p>
          <w:p w14:paraId="22718F6F"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 xml:space="preserve">abordări interne </w:t>
            </w:r>
            <w:r w:rsidRPr="005D6998">
              <w:rPr>
                <w:rFonts w:ascii="Times New Roman" w:eastAsiaTheme="minorHAnsi" w:hAnsi="Times New Roman"/>
                <w:kern w:val="2"/>
                <w:lang w:eastAsia="en-US"/>
                <w14:ligatures w14:val="standardContextual"/>
              </w:rPr>
              <w:t>– abordări bazate pe ratinguri interne menționate la art. 64 alin. (2), art. 66-68, art. 72 și abordarea bazată pe modele interne alternativă menționată la art. 71 alin. (4);”</w:t>
            </w:r>
          </w:p>
        </w:tc>
        <w:tc>
          <w:tcPr>
            <w:tcW w:w="1418" w:type="dxa"/>
            <w:gridSpan w:val="2"/>
            <w:shd w:val="clear" w:color="auto" w:fill="FFFFFF"/>
          </w:tcPr>
          <w:p w14:paraId="799852FD"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3B4A08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380501D" w14:textId="77777777" w:rsidR="008E7C06" w:rsidRPr="005D6998" w:rsidRDefault="008E7C06" w:rsidP="00A46332">
            <w:pPr>
              <w:pStyle w:val="Default"/>
              <w:jc w:val="both"/>
              <w:rPr>
                <w:sz w:val="22"/>
                <w:szCs w:val="22"/>
              </w:rPr>
            </w:pPr>
            <w:r w:rsidRPr="005D6998">
              <w:rPr>
                <w:sz w:val="22"/>
                <w:szCs w:val="22"/>
              </w:rPr>
              <w:t xml:space="preserve">La pct. 5, se reține că în cazul completării articolului cu noi noțiuni integrate în ordinea alfabetică a acestora, se va indica inclusiv după ce noțiune se include noul termen definit. În context, se va indica după care noțiune se completează cu noțiunea „abordări interne”. </w:t>
            </w:r>
          </w:p>
          <w:p w14:paraId="0C8E2AED" w14:textId="77777777" w:rsidR="008E7C06" w:rsidRPr="005D6998" w:rsidRDefault="008E7C06" w:rsidP="00A46332">
            <w:pPr>
              <w:pStyle w:val="Default"/>
              <w:ind w:firstLine="319"/>
              <w:jc w:val="both"/>
              <w:rPr>
                <w:sz w:val="22"/>
                <w:szCs w:val="22"/>
              </w:rPr>
            </w:pPr>
            <w:r w:rsidRPr="005D6998">
              <w:rPr>
                <w:sz w:val="22"/>
                <w:szCs w:val="22"/>
              </w:rPr>
              <w:t xml:space="preserve">În redacția propusă pentru noțiunea „abordări interne” textul „art. 71 alin. (4)” se va substitui cu textul „art. 71 alin. (3) lit. b)”, întru indicarea corectă a referinței. </w:t>
            </w:r>
          </w:p>
          <w:p w14:paraId="45117707" w14:textId="77777777" w:rsidR="008E7C06" w:rsidRPr="005D6998" w:rsidRDefault="008E7C06" w:rsidP="00A46332">
            <w:pPr>
              <w:pStyle w:val="Default"/>
              <w:jc w:val="both"/>
              <w:rPr>
                <w:sz w:val="22"/>
                <w:szCs w:val="22"/>
              </w:rPr>
            </w:pPr>
          </w:p>
        </w:tc>
        <w:tc>
          <w:tcPr>
            <w:tcW w:w="4960" w:type="dxa"/>
            <w:gridSpan w:val="3"/>
            <w:shd w:val="clear" w:color="auto" w:fill="FFFFFF"/>
          </w:tcPr>
          <w:p w14:paraId="4A101279"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5A17802" w14:textId="77777777" w:rsidR="008E7C06" w:rsidRPr="005D6998" w:rsidRDefault="008E7C06" w:rsidP="00A46332">
            <w:pPr>
              <w:tabs>
                <w:tab w:val="left" w:pos="284"/>
              </w:tabs>
              <w:spacing w:after="0" w:line="240" w:lineRule="auto"/>
              <w:ind w:left="-23"/>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Având în vedere că noțiunea de </w:t>
            </w:r>
            <w:r w:rsidRPr="005D6998">
              <w:rPr>
                <w:rFonts w:ascii="Times New Roman" w:eastAsiaTheme="minorHAnsi" w:hAnsi="Times New Roman"/>
                <w:kern w:val="2"/>
                <w:lang w:val="ro-MD" w:eastAsia="en-US"/>
                <w14:ligatures w14:val="standardContextual"/>
              </w:rPr>
              <w:t>“</w:t>
            </w:r>
            <w:r w:rsidRPr="005D6998">
              <w:rPr>
                <w:rFonts w:ascii="Times New Roman" w:eastAsiaTheme="minorHAnsi" w:hAnsi="Times New Roman"/>
                <w:i/>
                <w:iCs/>
                <w:kern w:val="2"/>
                <w:lang w:eastAsia="en-US"/>
                <w14:ligatures w14:val="standardContextual"/>
              </w:rPr>
              <w:t>abordări interne</w:t>
            </w:r>
            <w:r w:rsidRPr="005D6998">
              <w:rPr>
                <w:rFonts w:ascii="Times New Roman" w:eastAsiaTheme="minorHAnsi" w:hAnsi="Times New Roman"/>
                <w:kern w:val="2"/>
                <w:lang w:val="ro-MD" w:eastAsia="en-US"/>
                <w14:ligatures w14:val="standardContextual"/>
              </w:rPr>
              <w:t>” va fi prima în lista de noțiuni de la art. 3 textul “</w:t>
            </w:r>
            <w:r w:rsidRPr="005D6998">
              <w:rPr>
                <w:rFonts w:ascii="Times New Roman" w:eastAsiaTheme="minorHAnsi" w:hAnsi="Times New Roman"/>
                <w:kern w:val="2"/>
                <w:lang w:eastAsia="en-US"/>
                <w14:ligatures w14:val="standardContextual"/>
              </w:rPr>
              <w:t>se completează cu noțiunea de „</w:t>
            </w:r>
            <w:r w:rsidRPr="005D6998">
              <w:rPr>
                <w:rFonts w:ascii="Times New Roman" w:eastAsiaTheme="minorHAnsi" w:hAnsi="Times New Roman"/>
                <w:i/>
                <w:iCs/>
                <w:kern w:val="2"/>
                <w:lang w:eastAsia="en-US"/>
                <w14:ligatures w14:val="standardContextual"/>
              </w:rPr>
              <w:t>abordări interne</w:t>
            </w:r>
            <w:r w:rsidRPr="005D6998">
              <w:rPr>
                <w:rFonts w:ascii="Times New Roman" w:eastAsiaTheme="minorHAnsi" w:hAnsi="Times New Roman"/>
                <w:kern w:val="2"/>
                <w:lang w:eastAsia="en-US"/>
                <w14:ligatures w14:val="standardContextual"/>
              </w:rPr>
              <w:t>” cu următorul cuprins:</w:t>
            </w:r>
          </w:p>
          <w:p w14:paraId="7E85CC93"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val="it-CH"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 xml:space="preserve">abordări interne </w:t>
            </w:r>
            <w:r w:rsidRPr="005D6998">
              <w:rPr>
                <w:rFonts w:ascii="Times New Roman" w:eastAsiaTheme="minorHAnsi" w:hAnsi="Times New Roman"/>
                <w:kern w:val="2"/>
                <w:lang w:eastAsia="en-US"/>
                <w14:ligatures w14:val="standardContextual"/>
              </w:rPr>
              <w:t xml:space="preserve">– abordări bazate pe ratinguri interne menționate la art. 64 alin. (2), art. 66-68, art. 72 și abordarea bazată pe modele interne alternativă menționată la art. 71 alin. (3) lit. b);” se va indica prima în lista modificărilor la alin. (1), înaintea modificărilor la noțiunea de </w:t>
            </w:r>
            <w:r w:rsidRPr="005D6998">
              <w:rPr>
                <w:rFonts w:ascii="Times New Roman" w:eastAsiaTheme="minorHAnsi" w:hAnsi="Times New Roman"/>
                <w:kern w:val="2"/>
                <w:lang w:val="it-CH" w:eastAsia="en-US"/>
                <w14:ligatures w14:val="standardContextual"/>
              </w:rPr>
              <w:t>“</w:t>
            </w:r>
            <w:r w:rsidRPr="005D6998">
              <w:rPr>
                <w:rFonts w:ascii="Times New Roman" w:eastAsiaTheme="minorHAnsi" w:hAnsi="Times New Roman"/>
                <w:i/>
                <w:iCs/>
                <w:kern w:val="2"/>
                <w:lang w:eastAsia="en-US"/>
                <w14:ligatures w14:val="standardContextual"/>
              </w:rPr>
              <w:t>achizitor potențial</w:t>
            </w:r>
            <w:r w:rsidRPr="005D6998">
              <w:rPr>
                <w:rFonts w:ascii="Times New Roman" w:eastAsiaTheme="minorHAnsi" w:hAnsi="Times New Roman"/>
                <w:kern w:val="2"/>
                <w:lang w:val="it-CH" w:eastAsia="en-US"/>
                <w14:ligatures w14:val="standardContextual"/>
              </w:rPr>
              <w:t>”.</w:t>
            </w:r>
          </w:p>
          <w:p w14:paraId="6E061A29" w14:textId="77777777" w:rsidR="008E7C06" w:rsidRPr="005D6998" w:rsidRDefault="008E7C06" w:rsidP="00A46332">
            <w:pPr>
              <w:spacing w:after="0" w:line="240" w:lineRule="auto"/>
              <w:jc w:val="both"/>
              <w:rPr>
                <w:rFonts w:ascii="Times New Roman" w:hAnsi="Times New Roman"/>
                <w:b/>
                <w:bCs/>
              </w:rPr>
            </w:pPr>
          </w:p>
        </w:tc>
      </w:tr>
      <w:tr w:rsidR="008E7C06" w:rsidRPr="005D6998" w14:paraId="02FEE671" w14:textId="77777777" w:rsidTr="00651F58">
        <w:trPr>
          <w:gridAfter w:val="2"/>
          <w:wAfter w:w="153" w:type="dxa"/>
          <w:trHeight w:val="105"/>
        </w:trPr>
        <w:tc>
          <w:tcPr>
            <w:tcW w:w="899" w:type="dxa"/>
            <w:gridSpan w:val="3"/>
            <w:shd w:val="clear" w:color="auto" w:fill="FFFFFF"/>
          </w:tcPr>
          <w:p w14:paraId="11EFB24C"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397D5EB" w14:textId="77777777" w:rsidR="008E7C06" w:rsidRPr="005D6998" w:rsidRDefault="008E7C06" w:rsidP="00A46332">
            <w:pPr>
              <w:tabs>
                <w:tab w:val="left" w:pos="284"/>
              </w:tabs>
              <w:spacing w:after="0" w:line="240" w:lineRule="auto"/>
              <w:jc w:val="both"/>
              <w:rPr>
                <w:rFonts w:ascii="Times New Roman" w:eastAsiaTheme="minorHAnsi" w:hAnsi="Times New Roman"/>
                <w:kern w:val="2"/>
                <w:lang w:val="it-CH" w:eastAsia="en-US"/>
                <w14:ligatures w14:val="standardContextual"/>
              </w:rPr>
            </w:pPr>
            <w:r w:rsidRPr="005D6998">
              <w:rPr>
                <w:rFonts w:ascii="Times New Roman" w:eastAsiaTheme="minorHAnsi" w:hAnsi="Times New Roman"/>
                <w:kern w:val="2"/>
                <w:lang w:val="it-CH" w:eastAsia="en-US"/>
                <w14:ligatures w14:val="standardContextual"/>
              </w:rPr>
              <w:t>[...]</w:t>
            </w:r>
          </w:p>
          <w:p w14:paraId="62F656B6" w14:textId="77777777" w:rsidR="008E7C06" w:rsidRPr="005D6998" w:rsidRDefault="008E7C06" w:rsidP="00A46332">
            <w:pPr>
              <w:tabs>
                <w:tab w:val="left" w:pos="284"/>
              </w:tabs>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la noțiunea “</w:t>
            </w:r>
            <w:r w:rsidRPr="005D6998">
              <w:rPr>
                <w:rFonts w:ascii="Times New Roman" w:eastAsiaTheme="minorHAnsi" w:hAnsi="Times New Roman"/>
                <w:i/>
                <w:kern w:val="2"/>
                <w:lang w:eastAsia="en-US"/>
                <w14:ligatures w14:val="standardContextual"/>
              </w:rPr>
              <w:t>afiliată a unei alte persoane</w:t>
            </w:r>
            <w:r w:rsidRPr="005D6998">
              <w:rPr>
                <w:rFonts w:ascii="Times New Roman" w:eastAsiaTheme="minorHAnsi" w:hAnsi="Times New Roman"/>
                <w:kern w:val="2"/>
                <w:lang w:eastAsia="en-US"/>
                <w14:ligatures w14:val="standardContextual"/>
              </w:rPr>
              <w:t>”: litera a), după textul „membrii organului de conducere,” se completează cu cuvintele „persoanele care reprezintă conducerea superioară”, litera b), textul „1%” se substituie cu textul “10%”  iar cuvintele “beneficiarii efectivi” se substituie cu cuvintele “beneficiarii reali ai deținerii”;</w:t>
            </w:r>
          </w:p>
          <w:p w14:paraId="1F6962C1" w14:textId="77777777" w:rsidR="008E7C06" w:rsidRPr="005D6998" w:rsidRDefault="008E7C06" w:rsidP="00A46332">
            <w:pPr>
              <w:tabs>
                <w:tab w:val="left" w:pos="284"/>
              </w:tabs>
              <w:spacing w:after="0" w:line="240" w:lineRule="auto"/>
              <w:jc w:val="both"/>
              <w:rPr>
                <w:rFonts w:ascii="Times New Roman" w:eastAsiaTheme="minorHAnsi" w:hAnsi="Times New Roman"/>
                <w:kern w:val="2"/>
                <w:lang w:val="it-CH" w:eastAsia="en-US"/>
                <w14:ligatures w14:val="standardContextual"/>
              </w:rPr>
            </w:pPr>
          </w:p>
        </w:tc>
        <w:tc>
          <w:tcPr>
            <w:tcW w:w="1418" w:type="dxa"/>
            <w:gridSpan w:val="2"/>
            <w:shd w:val="clear" w:color="auto" w:fill="FFFFFF"/>
          </w:tcPr>
          <w:p w14:paraId="28FE496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E52AC3D"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4A6865E" w14:textId="77777777" w:rsidR="008E7C06" w:rsidRPr="005D6998" w:rsidRDefault="008E7C06" w:rsidP="00A46332">
            <w:pPr>
              <w:pStyle w:val="Default"/>
              <w:jc w:val="both"/>
              <w:rPr>
                <w:sz w:val="22"/>
                <w:szCs w:val="22"/>
              </w:rPr>
            </w:pPr>
            <w:r w:rsidRPr="005D6998">
              <w:rPr>
                <w:sz w:val="22"/>
                <w:szCs w:val="22"/>
              </w:rPr>
              <w:t xml:space="preserve">Referitor la noțiunea „afiliată unei alte persoane” se recomandă ca modificările propuse la lit. a) și b) să fie expuse în alineate distincte. </w:t>
            </w:r>
          </w:p>
          <w:p w14:paraId="037D6E56" w14:textId="77777777" w:rsidR="008E7C06" w:rsidRPr="005D6998" w:rsidRDefault="008E7C06" w:rsidP="00A46332">
            <w:pPr>
              <w:pStyle w:val="Default"/>
              <w:jc w:val="both"/>
              <w:rPr>
                <w:sz w:val="22"/>
                <w:szCs w:val="22"/>
              </w:rPr>
            </w:pPr>
          </w:p>
        </w:tc>
        <w:tc>
          <w:tcPr>
            <w:tcW w:w="4960" w:type="dxa"/>
            <w:gridSpan w:val="3"/>
            <w:shd w:val="clear" w:color="auto" w:fill="FFFFFF"/>
          </w:tcPr>
          <w:p w14:paraId="7DFE96D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2AED4F0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noțiunea „afiliată unei alte persoane” lit. a) și b) au fost expuse în alineate distincte.</w:t>
            </w:r>
          </w:p>
          <w:p w14:paraId="6CFEB8A8" w14:textId="77777777" w:rsidR="008E7C06" w:rsidRPr="005D6998" w:rsidRDefault="008E7C06" w:rsidP="00A46332">
            <w:pPr>
              <w:spacing w:after="0" w:line="240" w:lineRule="auto"/>
              <w:jc w:val="both"/>
              <w:rPr>
                <w:rFonts w:ascii="Times New Roman" w:hAnsi="Times New Roman"/>
              </w:rPr>
            </w:pPr>
          </w:p>
        </w:tc>
      </w:tr>
      <w:tr w:rsidR="008E7C06" w:rsidRPr="005D6998" w14:paraId="472102C6" w14:textId="77777777" w:rsidTr="00651F58">
        <w:trPr>
          <w:gridAfter w:val="2"/>
          <w:wAfter w:w="153" w:type="dxa"/>
          <w:trHeight w:val="105"/>
        </w:trPr>
        <w:tc>
          <w:tcPr>
            <w:tcW w:w="899" w:type="dxa"/>
            <w:gridSpan w:val="3"/>
            <w:shd w:val="clear" w:color="auto" w:fill="FFFFFF"/>
          </w:tcPr>
          <w:p w14:paraId="07DB35A0"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FA4F3EB"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la noțiunea “</w:t>
            </w:r>
            <w:r w:rsidRPr="005D6998">
              <w:rPr>
                <w:rFonts w:ascii="Times New Roman" w:eastAsiaTheme="minorHAnsi" w:hAnsi="Times New Roman"/>
                <w:i/>
                <w:iCs/>
                <w:kern w:val="2"/>
                <w:lang w:eastAsia="en-US"/>
                <w14:ligatures w14:val="standardContextual"/>
              </w:rPr>
              <w:t>autoritate competentă</w:t>
            </w:r>
            <w:r w:rsidRPr="005D6998">
              <w:rPr>
                <w:rFonts w:ascii="Times New Roman" w:eastAsiaTheme="minorHAnsi" w:hAnsi="Times New Roman"/>
                <w:kern w:val="2"/>
                <w:lang w:eastAsia="en-US"/>
                <w14:ligatures w14:val="standardContextual"/>
              </w:rPr>
              <w:t>”, textul “după caz, societățile de investiții” se exclude;</w:t>
            </w:r>
          </w:p>
          <w:p w14:paraId="762E896D"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după noțiunea de “</w:t>
            </w:r>
            <w:r w:rsidRPr="005D6998">
              <w:rPr>
                <w:rFonts w:ascii="Times New Roman" w:eastAsiaTheme="minorHAnsi" w:hAnsi="Times New Roman"/>
                <w:i/>
                <w:iCs/>
                <w:kern w:val="2"/>
                <w:lang w:eastAsia="en-US"/>
                <w14:ligatures w14:val="standardContextual"/>
              </w:rPr>
              <w:t>autoritate competentă</w:t>
            </w:r>
            <w:r w:rsidRPr="005D6998">
              <w:rPr>
                <w:rFonts w:ascii="Times New Roman" w:eastAsiaTheme="minorHAnsi" w:hAnsi="Times New Roman"/>
                <w:kern w:val="2"/>
                <w:lang w:eastAsia="en-US"/>
                <w14:ligatures w14:val="standardContextual"/>
              </w:rPr>
              <w:t>” se completează cu următoarele noțiuni cu următorul cuprins:</w:t>
            </w:r>
          </w:p>
          <w:p w14:paraId="725B1075"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autoritate de rezoluție</w:t>
            </w:r>
            <w:r w:rsidRPr="005D6998">
              <w:rPr>
                <w:rFonts w:ascii="Times New Roman" w:eastAsiaTheme="minorHAnsi" w:hAnsi="Times New Roman"/>
                <w:kern w:val="2"/>
                <w:lang w:eastAsia="en-US"/>
                <w14:ligatures w14:val="standardContextual"/>
              </w:rPr>
              <w:t xml:space="preserve"> –astfel cum este definită de Legea nr. </w:t>
            </w:r>
            <w:r w:rsidRPr="005D6998">
              <w:rPr>
                <w:rFonts w:ascii="Times New Roman" w:eastAsiaTheme="minorHAnsi" w:hAnsi="Times New Roman"/>
                <w:kern w:val="2"/>
                <w:lang w:eastAsia="en-US"/>
                <w14:ligatures w14:val="standardContextual"/>
              </w:rPr>
              <w:lastRenderedPageBreak/>
              <w:t xml:space="preserve">232/2016 privind redresarea și rezoluția instituțiilor de credit; </w:t>
            </w:r>
          </w:p>
          <w:p w14:paraId="2A934E11"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autorizație</w:t>
            </w:r>
            <w:r w:rsidRPr="005D6998">
              <w:rPr>
                <w:rFonts w:ascii="Times New Roman" w:eastAsiaTheme="minorHAnsi" w:hAnsi="Times New Roman"/>
                <w:kern w:val="2"/>
                <w:lang w:eastAsia="en-US"/>
                <w14:ligatures w14:val="standardContextual"/>
              </w:rPr>
              <w:t xml:space="preserve"> – instrument eliberat de către autoritatea competentă prin care se acordă dreptul de a desfășura activitatea; </w:t>
            </w:r>
          </w:p>
          <w:p w14:paraId="7026BBDD"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 xml:space="preserve">bănci centrale – </w:t>
            </w:r>
            <w:r w:rsidRPr="005D6998">
              <w:rPr>
                <w:rFonts w:ascii="Times New Roman" w:eastAsiaTheme="minorHAnsi" w:hAnsi="Times New Roman"/>
                <w:kern w:val="2"/>
                <w:lang w:eastAsia="en-US"/>
                <w14:ligatures w14:val="standardContextual"/>
              </w:rPr>
              <w:t xml:space="preserve">băncile centrale din cadrul Sistemului European al Băncilor Centrale și băncile centrale din state terţe; </w:t>
            </w:r>
          </w:p>
          <w:p w14:paraId="1901F763"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 xml:space="preserve">bănci centrale din cadrul SEBC – </w:t>
            </w:r>
            <w:r w:rsidRPr="005D6998">
              <w:rPr>
                <w:rFonts w:ascii="Times New Roman" w:eastAsiaTheme="minorHAnsi" w:hAnsi="Times New Roman"/>
                <w:kern w:val="2"/>
                <w:lang w:eastAsia="en-US"/>
                <w14:ligatures w14:val="standardContextual"/>
              </w:rPr>
              <w:t xml:space="preserve">băncile centrale naţionale care sunt membre ale Sistemului European al Băncilor Centrale, precum și Banca Centrală Europeană (BCE); </w:t>
            </w:r>
          </w:p>
          <w:p w14:paraId="7B7C4C3B" w14:textId="77777777" w:rsidR="008E7C06" w:rsidRPr="005D6998" w:rsidRDefault="008E7C06" w:rsidP="00A46332">
            <w:pPr>
              <w:tabs>
                <w:tab w:val="left" w:pos="284"/>
              </w:tabs>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bază subconsolidată</w:t>
            </w:r>
            <w:r w:rsidRPr="005D6998">
              <w:rPr>
                <w:rFonts w:ascii="Times New Roman" w:eastAsiaTheme="minorHAnsi" w:hAnsi="Times New Roman"/>
                <w:kern w:val="2"/>
                <w:lang w:eastAsia="en-US"/>
                <w14:ligatures w14:val="standardContextual"/>
              </w:rPr>
              <w:t xml:space="preserve"> – pe baza situaţiei consolidate a instituţiei-mamă, a societăţii financiare holding sau a societăţii financiare holding mixt, excluzând un subgrup de entităţi, sau pe baza situaţiei consolidate a unei instituţii-mamă, a unei societăţi financiare holding sau a unei societăţi financiare holding mixte care nu este instituţia-mamă, societatea financiară holding sau societatea financiară holding mixtă de cel mai înalt rang;</w:t>
            </w:r>
          </w:p>
        </w:tc>
        <w:tc>
          <w:tcPr>
            <w:tcW w:w="1418" w:type="dxa"/>
            <w:gridSpan w:val="2"/>
            <w:shd w:val="clear" w:color="auto" w:fill="FFFFFF"/>
          </w:tcPr>
          <w:p w14:paraId="6A85674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AD7BB61"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13C2EA2" w14:textId="77777777" w:rsidR="008E7C06" w:rsidRPr="005D6998" w:rsidRDefault="008E7C06" w:rsidP="00A46332">
            <w:pPr>
              <w:pStyle w:val="Default"/>
              <w:ind w:firstLine="319"/>
              <w:jc w:val="both"/>
              <w:rPr>
                <w:sz w:val="22"/>
                <w:szCs w:val="22"/>
              </w:rPr>
            </w:pPr>
            <w:r w:rsidRPr="005D6998">
              <w:rPr>
                <w:sz w:val="22"/>
                <w:szCs w:val="22"/>
              </w:rPr>
              <w:t xml:space="preserve">Textul „după noțiunea de „autoritate competentă” se completează cu următoarele noțiuni cu următorul cuprins:” se va substitui cu textul „după noțiunea de „autoritate competentă” se completează cu noțiunile „autoritate de rezoluție”, „autorizație”, „bază subconsolidată”, „bănci centrale” și „bănci centrale din cadrul SEBC”, cu următorul cuprins:” (similar se va proceda și în cazul dispoziției care prevede </w:t>
            </w:r>
            <w:r w:rsidRPr="005D6998">
              <w:rPr>
                <w:sz w:val="22"/>
                <w:szCs w:val="22"/>
              </w:rPr>
              <w:lastRenderedPageBreak/>
              <w:t xml:space="preserve">completarea cu noi noțiuni după noțiunea „beneficiar real al deținerii”, după noțiunea „client”, după noțiunea „deținere calificată”, după noțiunea „filială”, ș.a.). </w:t>
            </w:r>
          </w:p>
          <w:p w14:paraId="5CD5F81B" w14:textId="77777777" w:rsidR="008E7C06" w:rsidRPr="005D6998" w:rsidRDefault="008E7C06" w:rsidP="00A46332">
            <w:pPr>
              <w:pStyle w:val="Default"/>
              <w:ind w:firstLine="319"/>
              <w:jc w:val="both"/>
              <w:rPr>
                <w:sz w:val="22"/>
                <w:szCs w:val="22"/>
              </w:rPr>
            </w:pPr>
          </w:p>
        </w:tc>
        <w:tc>
          <w:tcPr>
            <w:tcW w:w="4960" w:type="dxa"/>
            <w:gridSpan w:val="3"/>
            <w:shd w:val="clear" w:color="auto" w:fill="FFFFFF"/>
          </w:tcPr>
          <w:p w14:paraId="179C1C4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5AF6461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Textul „după noțiunea de „autoritate competentă” se completează cu următoarele noțiuni cu următorul cuprins:” a fost redactat după cum a fost indicat, inclusiv și în cazul completării cu noi noțiuni după noțiunea „beneficiar real al deținerii”, după noțiunea „client”, după noțiunea „deținere calificată”, după noțiunea „filială”, ș.a.</w:t>
            </w:r>
          </w:p>
          <w:p w14:paraId="34EB6F7E" w14:textId="77777777" w:rsidR="008E7C06" w:rsidRPr="005D6998" w:rsidRDefault="008E7C06" w:rsidP="00A46332">
            <w:pPr>
              <w:spacing w:after="0" w:line="240" w:lineRule="auto"/>
              <w:jc w:val="both"/>
              <w:rPr>
                <w:rFonts w:ascii="Times New Roman" w:hAnsi="Times New Roman"/>
                <w:b/>
                <w:bCs/>
              </w:rPr>
            </w:pPr>
          </w:p>
        </w:tc>
      </w:tr>
      <w:tr w:rsidR="008E7C06" w:rsidRPr="005D6998" w14:paraId="24CB027E" w14:textId="77777777" w:rsidTr="00651F58">
        <w:trPr>
          <w:gridAfter w:val="2"/>
          <w:wAfter w:w="153" w:type="dxa"/>
          <w:trHeight w:val="105"/>
        </w:trPr>
        <w:tc>
          <w:tcPr>
            <w:tcW w:w="899" w:type="dxa"/>
            <w:gridSpan w:val="3"/>
            <w:shd w:val="clear" w:color="auto" w:fill="FFFFFF"/>
          </w:tcPr>
          <w:p w14:paraId="5874432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F40946A"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noțiunea de “</w:t>
            </w:r>
            <w:r w:rsidRPr="005D6998" w:rsidDel="00841C27">
              <w:rPr>
                <w:rFonts w:ascii="Times New Roman" w:eastAsiaTheme="minorHAnsi" w:hAnsi="Times New Roman"/>
                <w:i/>
                <w:iCs/>
                <w:kern w:val="2"/>
                <w:lang w:eastAsia="en-US"/>
                <w14:ligatures w14:val="standardContextual"/>
              </w:rPr>
              <w:t>beneficiar efectiv</w:t>
            </w:r>
            <w:r w:rsidRPr="005D6998">
              <w:rPr>
                <w:rFonts w:ascii="Times New Roman" w:eastAsiaTheme="minorHAnsi" w:hAnsi="Times New Roman"/>
                <w:kern w:val="2"/>
                <w:lang w:eastAsia="en-US"/>
                <w14:ligatures w14:val="standardContextual"/>
              </w:rPr>
              <w:t xml:space="preserve">” va avea următorul cuprins: </w:t>
            </w:r>
          </w:p>
          <w:p w14:paraId="6B8AACA1"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beneficiar real al deținerii</w:t>
            </w:r>
            <w:r w:rsidRPr="005D6998">
              <w:rPr>
                <w:rFonts w:ascii="Times New Roman" w:eastAsiaTheme="minorHAnsi" w:hAnsi="Times New Roman"/>
                <w:kern w:val="2"/>
                <w:lang w:eastAsia="en-US"/>
                <w14:ligatures w14:val="standardContextual"/>
              </w:rPr>
              <w:t>– persoană (persoanele) fizică (fizice) care deţine (dețin) sau controlează în ultimă instanţă, direct sau indirect, achizitorul potenţial ori deţinătorul direct sau indirect al unei deţineri în capitalul social al instituției de credit sau din drepturile de vot, care include cel puțin:</w:t>
            </w:r>
          </w:p>
          <w:p w14:paraId="420D7BB9"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lastRenderedPageBreak/>
              <w:t>1) în cazul persoanelor juridice cu scop lucrativ (comercial) – persoana fizică/persoanele fizice care deţine/deţin sau controlează în ultimă instanţă o persoană juridică, alta decât o societate cotată pe o piaţă reglementată care face obiectul cerinţelor de divulgare a informaţiilor în conformitate cu standardele internaţionale echivalente care asigură transparenţa corespunzătoare a informaţiilor privind exercitarea dreptului de proprietate, prin exercitarea directă sau indirectă a dreptului de proprietate asupra unei cote-părţi din numărul de acţiuni ori din drepturile de vot sau prin participaţia în capitalul social al persoanei juridice respective, sau prin exercitarea controlului prin alte mijloace.</w:t>
            </w:r>
          </w:p>
          <w:p w14:paraId="1A503CF4"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Deţinerea de către o persoană fizică a 25% plus o acţiune sau participarea acesteia în capitalul social al unei persoane juridice cu peste 25% este un criteriu al exercitării directe a dreptului de proprietate.</w:t>
            </w:r>
          </w:p>
          <w:p w14:paraId="133F20D4"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Deţinerea a 25% plus o acţiune de către o altă persoană juridică care se află sub controlul unei persoane fizice sau de către mai multe persoane juridice care se află sub controlul aceleiaşi persoane fizice sau participarea acesteia/acestora în capitalul social al unei persoane juridice cu peste 25% este un criteriu al exercitării indirecte a dreptului de proprietate;</w:t>
            </w:r>
          </w:p>
          <w:p w14:paraId="77DB23BA"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lastRenderedPageBreak/>
              <w:t>2) în cazul fiduciilor sau construcţiilor juridice similare, toate persoanele fizice, după cum urmează:</w:t>
            </w:r>
          </w:p>
          <w:p w14:paraId="2CF6980C"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a) constituitorul/constituitorii, precum şi persoanele desemnate să îi/le reprezinte interesele în condiţiile legii;</w:t>
            </w:r>
          </w:p>
          <w:p w14:paraId="0B33D968"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b) fiduciarul/fiduciarii;</w:t>
            </w:r>
          </w:p>
          <w:p w14:paraId="5F282479"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c) protectorul/protectorii (dacă există);</w:t>
            </w:r>
          </w:p>
          <w:p w14:paraId="220C30EB"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 beneficiarul/beneficiarii fiduciilor sau construcţiilor juridice similare sau, în cazul în care identitatea acestuia/acestora încă nu este identificată, categoria de persoane în al căror interes principal se constituie sau funcţionează fiducia ori construcţia juridică similară;</w:t>
            </w:r>
          </w:p>
          <w:p w14:paraId="48BD5D9E"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e) oricare altă persoană fizică care exercită controlul în ultimă instanţă asupra fiduciei sau a construcţiei juridice similare prin exercitarea directă sau indirectă a dreptului de proprietate sau prin alte mijloace;”;</w:t>
            </w:r>
          </w:p>
        </w:tc>
        <w:tc>
          <w:tcPr>
            <w:tcW w:w="1418" w:type="dxa"/>
            <w:gridSpan w:val="2"/>
            <w:shd w:val="clear" w:color="auto" w:fill="FFFFFF"/>
          </w:tcPr>
          <w:p w14:paraId="23BD63B9"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3A76435"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7BC2157" w14:textId="77777777" w:rsidR="008E7C06" w:rsidRPr="005D6998" w:rsidRDefault="008E7C06" w:rsidP="00A46332">
            <w:pPr>
              <w:pStyle w:val="Default"/>
              <w:jc w:val="both"/>
              <w:rPr>
                <w:sz w:val="22"/>
                <w:szCs w:val="22"/>
              </w:rPr>
            </w:pPr>
            <w:r w:rsidRPr="005D6998">
              <w:rPr>
                <w:sz w:val="22"/>
                <w:szCs w:val="22"/>
              </w:rPr>
              <w:t xml:space="preserve">Având în vedere că, potrivit proiectului, noțiunea de „beneficiar efectiv” se substituie cu noțiunea „beneficiar real al deținerii”, art. III al proiectului de lege va cuprinde o dispoziție generală care va prevedea că „în tot textul legii, cuvintele „beneficiar efectiv”, la orice formă gramaticală, se substituie cu cuvintele „beneficiar real al deținerii”, la forma gramaticală corespunzătoare”. Respectiv, dispozițiile aferente acestor modificări cuprinse în </w:t>
            </w:r>
            <w:r w:rsidRPr="005D6998">
              <w:rPr>
                <w:sz w:val="22"/>
                <w:szCs w:val="22"/>
              </w:rPr>
              <w:lastRenderedPageBreak/>
              <w:t xml:space="preserve">cadrul modificării anumitor noțiuni sau articole distincte se vor exclude. </w:t>
            </w:r>
          </w:p>
          <w:p w14:paraId="4757E983" w14:textId="77777777" w:rsidR="008E7C06" w:rsidRPr="005D6998" w:rsidRDefault="008E7C06" w:rsidP="00A46332">
            <w:pPr>
              <w:pStyle w:val="Default"/>
              <w:jc w:val="both"/>
              <w:rPr>
                <w:sz w:val="22"/>
                <w:szCs w:val="22"/>
              </w:rPr>
            </w:pPr>
          </w:p>
          <w:p w14:paraId="12A61771" w14:textId="77777777" w:rsidR="008E7C06" w:rsidRPr="005D6998" w:rsidRDefault="008E7C06" w:rsidP="00A46332">
            <w:pPr>
              <w:pStyle w:val="Default"/>
              <w:ind w:firstLine="319"/>
              <w:jc w:val="both"/>
              <w:rPr>
                <w:sz w:val="22"/>
                <w:szCs w:val="22"/>
              </w:rPr>
            </w:pPr>
            <w:r w:rsidRPr="005D6998">
              <w:rPr>
                <w:sz w:val="22"/>
                <w:szCs w:val="22"/>
              </w:rPr>
              <w:t xml:space="preserve">În același context, noțiunea „beneficiar real al deținerii” preia criterii specifice identificării beneficiarului efectiv, inclusiv pragul de 25% și elemente referitoare la fiducii sau construcții juridice similare. Se va justifica necesitatea instituirii unei noțiuni sectoriale distincte și se va delimita expres raportul acesteia cu noțiunea „beneficiar efectiv” utilizată de Legea nr. 308/2017 cu privire la prevenirea și combaterea spălării banilor și finanțării terorismului, pentru a exclude interpretarea și aplicarea neuniformă a unor criterii juridice similare. </w:t>
            </w:r>
          </w:p>
          <w:p w14:paraId="08DDFD28" w14:textId="77777777" w:rsidR="008E7C06" w:rsidRPr="005D6998" w:rsidRDefault="008E7C06" w:rsidP="00A46332">
            <w:pPr>
              <w:pStyle w:val="Default"/>
              <w:jc w:val="both"/>
              <w:rPr>
                <w:sz w:val="22"/>
                <w:szCs w:val="22"/>
              </w:rPr>
            </w:pPr>
          </w:p>
          <w:p w14:paraId="4745965C" w14:textId="77777777" w:rsidR="008E7C06" w:rsidRPr="005D6998" w:rsidRDefault="008E7C06" w:rsidP="00A46332">
            <w:pPr>
              <w:pStyle w:val="Default"/>
              <w:jc w:val="both"/>
              <w:rPr>
                <w:sz w:val="22"/>
                <w:szCs w:val="22"/>
              </w:rPr>
            </w:pPr>
          </w:p>
          <w:p w14:paraId="53A6356A" w14:textId="77777777" w:rsidR="008E7C06" w:rsidRPr="005D6998" w:rsidRDefault="008E7C06" w:rsidP="00A46332">
            <w:pPr>
              <w:pStyle w:val="Default"/>
              <w:jc w:val="both"/>
              <w:rPr>
                <w:sz w:val="22"/>
                <w:szCs w:val="22"/>
              </w:rPr>
            </w:pPr>
          </w:p>
          <w:p w14:paraId="2A5C163A" w14:textId="77777777" w:rsidR="008E7C06" w:rsidRPr="005D6998" w:rsidRDefault="008E7C06" w:rsidP="00A46332">
            <w:pPr>
              <w:pStyle w:val="Default"/>
              <w:jc w:val="both"/>
              <w:rPr>
                <w:sz w:val="22"/>
                <w:szCs w:val="22"/>
              </w:rPr>
            </w:pPr>
          </w:p>
          <w:p w14:paraId="29CD6612" w14:textId="77777777" w:rsidR="008E7C06" w:rsidRPr="005D6998" w:rsidRDefault="008E7C06" w:rsidP="00A46332">
            <w:pPr>
              <w:pStyle w:val="Default"/>
              <w:jc w:val="both"/>
              <w:rPr>
                <w:sz w:val="22"/>
                <w:szCs w:val="22"/>
              </w:rPr>
            </w:pPr>
          </w:p>
        </w:tc>
        <w:tc>
          <w:tcPr>
            <w:tcW w:w="4960" w:type="dxa"/>
            <w:gridSpan w:val="3"/>
            <w:shd w:val="clear" w:color="auto" w:fill="FFFFFF"/>
          </w:tcPr>
          <w:p w14:paraId="47D1807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Nu se acceptă.</w:t>
            </w:r>
          </w:p>
          <w:p w14:paraId="4B39B9A8" w14:textId="77777777" w:rsidR="008E7C06" w:rsidRPr="005D6998" w:rsidRDefault="008E7C06" w:rsidP="00A46332">
            <w:pPr>
              <w:spacing w:after="0" w:line="240" w:lineRule="auto"/>
              <w:jc w:val="both"/>
              <w:rPr>
                <w:rFonts w:ascii="Times New Roman" w:hAnsi="Times New Roman"/>
              </w:rPr>
            </w:pPr>
          </w:p>
          <w:p w14:paraId="009441D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Având în vedere, că pe parcursul proiectului se întâlnesc diferite formulări în contextul beneficiarului efectiv, care necesită o modificare specifică, nu doar o modificare automată a sintagmei respective (spre exemplu, modificarea care se referă la beneficiarul efectiv de la pct. 17 care modifică art. 19 alin. (1) din Legea nr. 202/2017 – “beneficiarul efectiv </w:t>
            </w:r>
            <w:r w:rsidRPr="005D6998">
              <w:rPr>
                <w:rFonts w:ascii="Times New Roman" w:hAnsi="Times New Roman"/>
                <w:b/>
                <w:bCs/>
              </w:rPr>
              <w:t>al băncii</w:t>
            </w:r>
            <w:r w:rsidRPr="005D6998">
              <w:rPr>
                <w:rFonts w:ascii="Times New Roman" w:hAnsi="Times New Roman"/>
              </w:rPr>
              <w:t xml:space="preserve">” se substituie cu textul “beneficiarul real </w:t>
            </w:r>
            <w:r w:rsidRPr="005D6998">
              <w:rPr>
                <w:rFonts w:ascii="Times New Roman" w:hAnsi="Times New Roman"/>
                <w:b/>
                <w:bCs/>
              </w:rPr>
              <w:t>al deținerii</w:t>
            </w:r>
            <w:r w:rsidRPr="005D6998">
              <w:rPr>
                <w:rFonts w:ascii="Times New Roman" w:hAnsi="Times New Roman"/>
              </w:rPr>
              <w:t xml:space="preserve">” sau modificările efectuate prin pct. 47 care se referă la </w:t>
            </w:r>
            <w:r w:rsidRPr="005D6998">
              <w:rPr>
                <w:rFonts w:ascii="Times New Roman" w:hAnsi="Times New Roman"/>
              </w:rPr>
              <w:lastRenderedPageBreak/>
              <w:t>modificarea alin. (6)), se consideră adecvată menținerea modificărilor punctuale, astfel cum au fost introduse prin proiect, pentru evitarea unor neconcordanțe de sens.</w:t>
            </w:r>
          </w:p>
          <w:p w14:paraId="52AFA15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Noțiunea „beneficiar real al deținerii”, la fel cum  este și noțiunea actuală de “beneficiar efectiv” din Legea nr. 202/2017 urmează a fi utilizată în scopuri prudențiale, pentru identificarea persoanelor care dețin sau controlează în ultimă instanță o deținere în capitalul social ori drepturile de vot ale unei instituții de credit și pentru evaluarea transparenței structurii de proprietate și a influenței exercitate asupra acesteia. </w:t>
            </w:r>
          </w:p>
          <w:p w14:paraId="36CD493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Deși utilizează criterii similare noțiunii de „beneficiar efectiv” din Legea nr. 308/2017, aceasta are un </w:t>
            </w:r>
            <w:r w:rsidRPr="005D6998">
              <w:rPr>
                <w:rFonts w:ascii="Times New Roman" w:hAnsi="Times New Roman"/>
                <w:b/>
                <w:bCs/>
              </w:rPr>
              <w:t>scop și un cadru de aplicare diferit</w:t>
            </w:r>
            <w:r w:rsidRPr="005D6998">
              <w:rPr>
                <w:rFonts w:ascii="Times New Roman" w:hAnsi="Times New Roman"/>
              </w:rPr>
              <w:t>, specifice supravegherii prudențiale. Această abordare este, de asemenea, în concordanță cu Ghidul comun EBA și EIOPA privind evaluarea achizițiilor și majorărilor deținerilor calificate în sectorul financiar</w:t>
            </w:r>
            <w:r w:rsidRPr="005D6998">
              <w:rPr>
                <w:rFonts w:ascii="Times New Roman" w:hAnsi="Times New Roman"/>
                <w:u w:val="single"/>
              </w:rPr>
              <w:t xml:space="preserve"> (</w:t>
            </w:r>
            <w:hyperlink r:id="rId16" w:history="1">
              <w:r w:rsidRPr="005D6998">
                <w:rPr>
                  <w:rStyle w:val="afb"/>
                  <w:rFonts w:ascii="Times New Roman" w:hAnsi="Times New Roman"/>
                  <w:i/>
                  <w:iCs/>
                </w:rPr>
                <w:t>EBA Guidelines on the prudential assessment of acquisitions and increases of qualifying holdings in the financial secto</w:t>
              </w:r>
              <w:bookmarkStart w:id="20" w:name="_Hlk211517999"/>
              <w:r w:rsidRPr="005D6998">
                <w:rPr>
                  <w:rStyle w:val="afb"/>
                  <w:rFonts w:ascii="Times New Roman" w:hAnsi="Times New Roman"/>
                  <w:i/>
                  <w:iCs/>
                </w:rPr>
                <w:t>r JC/GL/2016/01 of 20 December 2016</w:t>
              </w:r>
              <w:bookmarkEnd w:id="20"/>
            </w:hyperlink>
            <w:r w:rsidRPr="005D6998">
              <w:rPr>
                <w:rFonts w:ascii="Times New Roman" w:hAnsi="Times New Roman"/>
                <w:u w:val="single"/>
              </w:rPr>
              <w:t>),</w:t>
            </w:r>
            <w:r w:rsidRPr="005D6998">
              <w:rPr>
                <w:rFonts w:ascii="Times New Roman" w:hAnsi="Times New Roman"/>
              </w:rPr>
              <w:t xml:space="preserve"> care acordă relevanță identificării persoanelor care controlează în ultimă instanță achizitorul potențial și structurii de proprietate a acestuia. </w:t>
            </w:r>
          </w:p>
          <w:p w14:paraId="7C7EBAA3"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Prin urmare, instituirea unei noțiuni sectoriale distincte este justificată și nu conduce la suprapunerea celor două concepte.</w:t>
            </w:r>
          </w:p>
        </w:tc>
      </w:tr>
      <w:tr w:rsidR="008E7C06" w:rsidRPr="005D6998" w14:paraId="4BB2504A" w14:textId="77777777" w:rsidTr="00651F58">
        <w:trPr>
          <w:gridAfter w:val="2"/>
          <w:wAfter w:w="153" w:type="dxa"/>
          <w:trHeight w:val="105"/>
        </w:trPr>
        <w:tc>
          <w:tcPr>
            <w:tcW w:w="899" w:type="dxa"/>
            <w:gridSpan w:val="3"/>
            <w:shd w:val="clear" w:color="auto" w:fill="FFFFFF"/>
          </w:tcPr>
          <w:p w14:paraId="1B2B583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8E50C67" w14:textId="77777777" w:rsidR="008E7C06" w:rsidRPr="005D6998" w:rsidRDefault="008E7C06" w:rsidP="00A46332">
            <w:pPr>
              <w:spacing w:after="0" w:line="240" w:lineRule="auto"/>
              <w:ind w:firstLine="567"/>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după noțiunea “</w:t>
            </w:r>
            <w:r w:rsidRPr="005D6998">
              <w:rPr>
                <w:rFonts w:ascii="Times New Roman" w:eastAsiaTheme="minorHAnsi" w:hAnsi="Times New Roman"/>
                <w:i/>
                <w:iCs/>
                <w:kern w:val="2"/>
                <w:lang w:eastAsia="en-US"/>
                <w14:ligatures w14:val="standardContextual"/>
              </w:rPr>
              <w:t>beneficiar real al deținerii</w:t>
            </w:r>
            <w:r w:rsidRPr="005D6998">
              <w:rPr>
                <w:rFonts w:ascii="Times New Roman" w:eastAsiaTheme="minorHAnsi" w:hAnsi="Times New Roman"/>
                <w:kern w:val="2"/>
                <w:lang w:eastAsia="en-US"/>
                <w14:ligatures w14:val="standardContextual"/>
              </w:rPr>
              <w:t>” se completează cu următoarele noțiuni cu următorul cuprins:</w:t>
            </w:r>
          </w:p>
          <w:p w14:paraId="3619A901" w14:textId="77777777" w:rsidR="008E7C06" w:rsidRPr="005D6998" w:rsidRDefault="008E7C06" w:rsidP="00A46332">
            <w:pPr>
              <w:spacing w:after="0" w:line="240" w:lineRule="auto"/>
              <w:ind w:firstLine="567"/>
              <w:jc w:val="both"/>
              <w:rPr>
                <w:rFonts w:ascii="Times New Roman" w:eastAsiaTheme="minorHAnsi" w:hAnsi="Times New Roman"/>
                <w:kern w:val="2"/>
                <w:lang w:val="it-CH" w:eastAsia="en-US"/>
                <w14:ligatures w14:val="standardContextual"/>
              </w:rPr>
            </w:pPr>
            <w:r w:rsidRPr="005D6998">
              <w:rPr>
                <w:rFonts w:ascii="Times New Roman" w:eastAsiaTheme="minorHAnsi" w:hAnsi="Times New Roman"/>
                <w:kern w:val="2"/>
                <w:lang w:val="it-CH" w:eastAsia="en-US"/>
                <w14:ligatures w14:val="standardContextual"/>
              </w:rPr>
              <w:t>[…]</w:t>
            </w:r>
          </w:p>
          <w:p w14:paraId="1175602F" w14:textId="77777777" w:rsidR="008E7C06" w:rsidRPr="005D6998" w:rsidRDefault="008E7C06" w:rsidP="00A46332">
            <w:pPr>
              <w:spacing w:after="0" w:line="240" w:lineRule="auto"/>
              <w:jc w:val="both"/>
              <w:rPr>
                <w:rFonts w:ascii="Times New Roman" w:eastAsiaTheme="minorHAnsi" w:hAnsi="Times New Roman"/>
                <w:i/>
                <w:iCs/>
                <w:kern w:val="2"/>
                <w:lang w:eastAsia="en-US"/>
                <w14:ligatures w14:val="standardContextual"/>
              </w:rPr>
            </w:pPr>
            <w:r w:rsidRPr="005D6998">
              <w:rPr>
                <w:rFonts w:ascii="Times New Roman" w:eastAsiaTheme="minorHAnsi" w:hAnsi="Times New Roman"/>
                <w:i/>
                <w:iCs/>
                <w:kern w:val="2"/>
                <w:lang w:eastAsia="en-US"/>
                <w14:ligatures w14:val="standardContextual"/>
              </w:rPr>
              <w:t xml:space="preserve">„comerciant de mărfuri și de certificate de emisii –  </w:t>
            </w:r>
            <w:r w:rsidRPr="005D6998">
              <w:rPr>
                <w:rFonts w:ascii="Times New Roman" w:eastAsiaTheme="minorHAnsi" w:hAnsi="Times New Roman"/>
                <w:kern w:val="2"/>
                <w:lang w:eastAsia="en-US"/>
                <w14:ligatures w14:val="standardContextual"/>
              </w:rPr>
              <w:t xml:space="preserve">o întreprindere a cărei activitate principală constă exclusiv în prestarea de servicii de investiții sau în desfășurarea de activități de investiții legate de instrumentele financiare derivate pe mărfuri sau de contractele derivate pe mărfuri prevăzute la art. 5 lit. e)-g), lit. </w:t>
            </w:r>
            <w:r w:rsidRPr="005D6998">
              <w:rPr>
                <w:rFonts w:ascii="Times New Roman" w:eastAsiaTheme="minorHAnsi" w:hAnsi="Times New Roman"/>
                <w:kern w:val="2"/>
                <w:lang w:eastAsia="en-US"/>
                <w14:ligatures w14:val="standardContextual"/>
              </w:rPr>
              <w:lastRenderedPageBreak/>
              <w:t>i) și j) din Legea privind pieţele instrumentelor financiare și activitățile de investiții, de instrumentele financiare derivate pe certificate de emisii prevăzute la art. 5 lit. d) din Legea privind pieţele instrumentelor financiare și activitățile de investiții sau de certificatele de emisii prevăzute la art. 5 lit. k) din Legea privind pieţele instrumentelor financiare și activitățile de investiții”;</w:t>
            </w:r>
          </w:p>
        </w:tc>
        <w:tc>
          <w:tcPr>
            <w:tcW w:w="1418" w:type="dxa"/>
            <w:gridSpan w:val="2"/>
            <w:shd w:val="clear" w:color="auto" w:fill="FFFFFF"/>
          </w:tcPr>
          <w:p w14:paraId="5EF7B63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016B007"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16BD807" w14:textId="77777777" w:rsidR="008E7C06" w:rsidRPr="005D6998" w:rsidRDefault="008E7C06" w:rsidP="00A46332">
            <w:pPr>
              <w:pStyle w:val="Default"/>
              <w:jc w:val="both"/>
              <w:rPr>
                <w:sz w:val="22"/>
                <w:szCs w:val="22"/>
              </w:rPr>
            </w:pPr>
            <w:r w:rsidRPr="005D6998">
              <w:rPr>
                <w:sz w:val="22"/>
                <w:szCs w:val="22"/>
              </w:rPr>
              <w:t>Referitor la noțiunea „comerciant de mărfuri și de certificate de emisii” se vor indica elementele de identificare ale Legii privind piețele instrumentelor financiare și activitățile de investiții, întru corespundere cu art. 55 alin. (5) al Legii nr. 100/2017 (observație valabilă în tot textul proiectului, unde se face referire la această lege).</w:t>
            </w:r>
          </w:p>
          <w:p w14:paraId="014B7C6F" w14:textId="77777777" w:rsidR="008E7C06" w:rsidRPr="005D6998" w:rsidRDefault="008E7C06" w:rsidP="00A46332">
            <w:pPr>
              <w:pStyle w:val="Default"/>
              <w:jc w:val="both"/>
              <w:rPr>
                <w:sz w:val="22"/>
                <w:szCs w:val="22"/>
              </w:rPr>
            </w:pPr>
          </w:p>
        </w:tc>
        <w:tc>
          <w:tcPr>
            <w:tcW w:w="4960" w:type="dxa"/>
            <w:gridSpan w:val="3"/>
            <w:shd w:val="clear" w:color="auto" w:fill="FFFFFF"/>
          </w:tcPr>
          <w:p w14:paraId="47F1536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019DFFB" w14:textId="77777777" w:rsidR="008E7C06" w:rsidRPr="005D6998" w:rsidRDefault="008E7C06" w:rsidP="00A46332">
            <w:pPr>
              <w:spacing w:after="0" w:line="240" w:lineRule="auto"/>
              <w:jc w:val="both"/>
              <w:rPr>
                <w:rFonts w:ascii="Times New Roman" w:hAnsi="Times New Roman"/>
                <w:b/>
                <w:bCs/>
              </w:rPr>
            </w:pPr>
            <w:r w:rsidRPr="005D6998">
              <w:rPr>
                <w:rFonts w:ascii="Times New Roman" w:eastAsiaTheme="minorHAnsi" w:hAnsi="Times New Roman"/>
                <w:kern w:val="2"/>
                <w:lang w:eastAsia="en-US"/>
                <w14:ligatures w14:val="standardContextual"/>
              </w:rPr>
              <w:t>Legea privind pieţele instrumentelor financiare și activitățile de investiții a fost adoptată la 24.08.2026 cu numărul 181. Prima referință la lege va fi denumirea pe lung – Legea nr. 181/2026 privind piețele instrumentelor financiare și activitățile de investiții, iar următoarele referințe – Legea nr. 181/2026.</w:t>
            </w:r>
          </w:p>
        </w:tc>
      </w:tr>
      <w:tr w:rsidR="008E7C06" w:rsidRPr="005D6998" w14:paraId="3C82D9C0" w14:textId="77777777" w:rsidTr="00651F58">
        <w:trPr>
          <w:gridAfter w:val="2"/>
          <w:wAfter w:w="153" w:type="dxa"/>
          <w:trHeight w:val="105"/>
        </w:trPr>
        <w:tc>
          <w:tcPr>
            <w:tcW w:w="899" w:type="dxa"/>
            <w:gridSpan w:val="3"/>
            <w:shd w:val="clear" w:color="auto" w:fill="FFFFFF"/>
          </w:tcPr>
          <w:p w14:paraId="12BEF1E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252647C"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 xml:space="preserve">contraparte centrală </w:t>
            </w:r>
            <w:r w:rsidRPr="005D6998">
              <w:rPr>
                <w:rFonts w:ascii="Times New Roman" w:eastAsiaTheme="minorHAnsi" w:hAnsi="Times New Roman"/>
                <w:kern w:val="2"/>
                <w:lang w:eastAsia="en-US"/>
                <w14:ligatures w14:val="standardContextual"/>
              </w:rPr>
              <w:t>–astfel cum este definită de legislația privind instrumentele financiare derivate extrabursiere, contrapărțile centrale și registrele centrale de tranzacții;”;</w:t>
            </w:r>
          </w:p>
          <w:p w14:paraId="6DE5CCC6"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după noțiunea „</w:t>
            </w:r>
            <w:r w:rsidRPr="005D6998">
              <w:rPr>
                <w:rFonts w:ascii="Times New Roman" w:eastAsiaTheme="minorHAnsi" w:hAnsi="Times New Roman"/>
                <w:i/>
                <w:iCs/>
                <w:kern w:val="2"/>
                <w:lang w:eastAsia="en-US"/>
                <w14:ligatures w14:val="standardContextual"/>
              </w:rPr>
              <w:t>credit</w:t>
            </w:r>
            <w:r w:rsidRPr="005D6998">
              <w:rPr>
                <w:rFonts w:ascii="Times New Roman" w:eastAsiaTheme="minorHAnsi" w:hAnsi="Times New Roman"/>
                <w:kern w:val="2"/>
                <w:lang w:eastAsia="en-US"/>
                <w14:ligatures w14:val="standardContextual"/>
              </w:rPr>
              <w:t>” se completează cu noțiunea „</w:t>
            </w:r>
            <w:r w:rsidRPr="005D6998">
              <w:rPr>
                <w:rFonts w:ascii="Times New Roman" w:eastAsiaTheme="minorHAnsi" w:hAnsi="Times New Roman"/>
                <w:i/>
                <w:iCs/>
                <w:kern w:val="2"/>
                <w:lang w:eastAsia="en-US"/>
                <w14:ligatures w14:val="standardContextual"/>
              </w:rPr>
              <w:t xml:space="preserve">criptoactiv” </w:t>
            </w:r>
            <w:r w:rsidRPr="005D6998">
              <w:rPr>
                <w:rFonts w:ascii="Times New Roman" w:eastAsiaTheme="minorHAnsi" w:hAnsi="Times New Roman"/>
                <w:kern w:val="2"/>
                <w:lang w:eastAsia="en-US"/>
                <w14:ligatures w14:val="standardContextual"/>
              </w:rPr>
              <w:t>cu următorul cuprins:</w:t>
            </w:r>
          </w:p>
          <w:p w14:paraId="23EDBF11"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 xml:space="preserve">criptoactiv </w:t>
            </w:r>
            <w:r w:rsidRPr="005D6998">
              <w:rPr>
                <w:rFonts w:ascii="Times New Roman" w:eastAsiaTheme="minorHAnsi" w:hAnsi="Times New Roman"/>
                <w:kern w:val="2"/>
                <w:lang w:eastAsia="en-US"/>
                <w14:ligatures w14:val="standardContextual"/>
              </w:rPr>
              <w:t>– un criptoactiv astfel cum este definit de legislația privind piața criptoactivelor și care nu este o monedă digitală emisă de o bancă centrală.”;</w:t>
            </w:r>
          </w:p>
        </w:tc>
        <w:tc>
          <w:tcPr>
            <w:tcW w:w="1418" w:type="dxa"/>
            <w:gridSpan w:val="2"/>
            <w:shd w:val="clear" w:color="auto" w:fill="FFFFFF"/>
          </w:tcPr>
          <w:p w14:paraId="72C7C1D2"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4637C8A"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7AD9FAA" w14:textId="77777777" w:rsidR="008E7C06" w:rsidRPr="005D6998" w:rsidRDefault="008E7C06" w:rsidP="00A46332">
            <w:pPr>
              <w:pStyle w:val="Default"/>
              <w:jc w:val="both"/>
              <w:rPr>
                <w:sz w:val="22"/>
                <w:szCs w:val="22"/>
              </w:rPr>
            </w:pPr>
            <w:r w:rsidRPr="005D6998">
              <w:rPr>
                <w:sz w:val="22"/>
                <w:szCs w:val="22"/>
              </w:rPr>
              <w:t xml:space="preserve">Aferent noțiunii „contraparte centrală”, se va indica concret elementul structural, precum și actul normativ, cu toate elementele de identificare a acestuia, în care se regăsește asemenea noțiune (observație valabilă și pentru noțiunile „criptoactiv” și „firmă de investiții”). </w:t>
            </w:r>
          </w:p>
          <w:p w14:paraId="4AD2F507" w14:textId="77777777" w:rsidR="008E7C06" w:rsidRPr="005D6998" w:rsidRDefault="008E7C06" w:rsidP="00A46332">
            <w:pPr>
              <w:pStyle w:val="Default"/>
              <w:jc w:val="both"/>
              <w:rPr>
                <w:sz w:val="22"/>
                <w:szCs w:val="22"/>
              </w:rPr>
            </w:pPr>
          </w:p>
        </w:tc>
        <w:tc>
          <w:tcPr>
            <w:tcW w:w="4960" w:type="dxa"/>
            <w:gridSpan w:val="3"/>
            <w:shd w:val="clear" w:color="auto" w:fill="FFFFFF"/>
          </w:tcPr>
          <w:p w14:paraId="1A0EF732"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4B2DF0F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 xml:space="preserve">La momentul actual, proiectul de lege care aliniază legislația națională cu Regulamentul (UE) nr. 648/2012 privind instrumentele financiare derivate extrabursiere, contrapărțile centrale și registrele centrale de tranzacții nu este definitivat, respectiv, se face o referință generală care să permită identificarea ulterioară a legii avute în vedere în cadrul căreia se va defini termenul de </w:t>
            </w:r>
            <w:r w:rsidRPr="005D6998">
              <w:rPr>
                <w:rFonts w:ascii="Times New Roman" w:hAnsi="Times New Roman"/>
                <w:lang w:val="ro-MD"/>
              </w:rPr>
              <w:t>“</w:t>
            </w:r>
            <w:r w:rsidRPr="005D6998">
              <w:rPr>
                <w:rFonts w:ascii="Times New Roman" w:hAnsi="Times New Roman"/>
              </w:rPr>
              <w:t>contraparte centrală</w:t>
            </w:r>
            <w:r w:rsidRPr="005D6998">
              <w:rPr>
                <w:rFonts w:ascii="Times New Roman" w:hAnsi="Times New Roman"/>
                <w:lang w:val="ro-MD"/>
              </w:rPr>
              <w:t>”.</w:t>
            </w:r>
          </w:p>
        </w:tc>
      </w:tr>
      <w:tr w:rsidR="008E7C06" w:rsidRPr="005D6998" w14:paraId="663BB466" w14:textId="77777777" w:rsidTr="00651F58">
        <w:trPr>
          <w:gridAfter w:val="2"/>
          <w:wAfter w:w="153" w:type="dxa"/>
          <w:trHeight w:val="105"/>
        </w:trPr>
        <w:tc>
          <w:tcPr>
            <w:tcW w:w="899" w:type="dxa"/>
            <w:gridSpan w:val="3"/>
            <w:shd w:val="clear" w:color="auto" w:fill="FFFFFF"/>
          </w:tcPr>
          <w:p w14:paraId="02E86B4D"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9692691"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“la noțiunea „</w:t>
            </w:r>
            <w:r w:rsidRPr="005D6998">
              <w:rPr>
                <w:rFonts w:ascii="Times New Roman" w:eastAsiaTheme="minorHAnsi" w:hAnsi="Times New Roman"/>
                <w:i/>
                <w:iCs/>
                <w:kern w:val="2"/>
                <w:lang w:eastAsia="en-US"/>
                <w14:ligatures w14:val="standardContextual"/>
              </w:rPr>
              <w:t>deținere calificată</w:t>
            </w:r>
            <w:r w:rsidRPr="005D6998">
              <w:rPr>
                <w:rFonts w:ascii="Times New Roman" w:eastAsiaTheme="minorHAnsi" w:hAnsi="Times New Roman"/>
                <w:kern w:val="2"/>
                <w:lang w:eastAsia="en-US"/>
                <w14:ligatures w14:val="standardContextual"/>
              </w:rPr>
              <w:t>”, textul „1%” se substituie cu textul “„10%” iar după cuvintele „influențe” se completează cu cuvântul „semnificative” iar textul “la luarea deciziilor în adunarea generală sau în organul de conducere, reprezentînd mai puţin de 1% din capitalul social ori din drepturile de vot” se substituie cu textul “respective, astfel cum este definită în actele normative ale Băncii Naționale a Moldovei”;</w:t>
            </w:r>
          </w:p>
        </w:tc>
        <w:tc>
          <w:tcPr>
            <w:tcW w:w="1418" w:type="dxa"/>
            <w:gridSpan w:val="2"/>
            <w:shd w:val="clear" w:color="auto" w:fill="FFFFFF"/>
          </w:tcPr>
          <w:p w14:paraId="41F947F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34BB86A"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5AEE6584" w14:textId="77777777" w:rsidR="008E7C06" w:rsidRPr="005D6998" w:rsidRDefault="008E7C06" w:rsidP="00A46332">
            <w:pPr>
              <w:pStyle w:val="Default"/>
              <w:jc w:val="both"/>
              <w:rPr>
                <w:sz w:val="22"/>
                <w:szCs w:val="22"/>
              </w:rPr>
            </w:pPr>
            <w:r w:rsidRPr="005D6998">
              <w:rPr>
                <w:sz w:val="22"/>
                <w:szCs w:val="22"/>
              </w:rPr>
              <w:t xml:space="preserve">Având în vedere multiplele modificări ale noțiunii „deținere calificată” considerăm necesar ca aceasta să fie expusă integral în redacție nouă. </w:t>
            </w:r>
          </w:p>
          <w:p w14:paraId="06B95CD6" w14:textId="77777777" w:rsidR="008E7C06" w:rsidRPr="005D6998" w:rsidRDefault="008E7C06" w:rsidP="00A46332">
            <w:pPr>
              <w:pStyle w:val="Default"/>
              <w:jc w:val="both"/>
              <w:rPr>
                <w:sz w:val="22"/>
                <w:szCs w:val="22"/>
              </w:rPr>
            </w:pPr>
          </w:p>
        </w:tc>
        <w:tc>
          <w:tcPr>
            <w:tcW w:w="4960" w:type="dxa"/>
            <w:gridSpan w:val="3"/>
            <w:shd w:val="clear" w:color="auto" w:fill="FFFFFF"/>
          </w:tcPr>
          <w:p w14:paraId="102B3617" w14:textId="77777777" w:rsidR="008E7C06" w:rsidRPr="005D6998" w:rsidRDefault="008E7C06" w:rsidP="00A46332">
            <w:pPr>
              <w:spacing w:after="0" w:line="240" w:lineRule="auto"/>
              <w:jc w:val="both"/>
              <w:rPr>
                <w:rFonts w:ascii="Times New Roman" w:hAnsi="Times New Roman"/>
                <w:b/>
                <w:bCs/>
                <w:lang w:val="it-CH"/>
              </w:rPr>
            </w:pPr>
            <w:r w:rsidRPr="005D6998">
              <w:rPr>
                <w:rFonts w:ascii="Times New Roman" w:hAnsi="Times New Roman"/>
                <w:b/>
                <w:bCs/>
                <w:lang w:val="it-CH"/>
              </w:rPr>
              <w:t>Nu se acceptă.</w:t>
            </w:r>
          </w:p>
          <w:p w14:paraId="64C6DA9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Noțiunea „deținere calificată” va intra în vigoare la data aderării (conform lit. a) a alin. (3) de la Art. IV Dispoziții finale) doar în partea care se referă la substituirea textului “1%” cu „10%”. </w:t>
            </w:r>
          </w:p>
          <w:p w14:paraId="3BBD6CB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În partea care se referă la modificările aferente influenței semnificative, modificările respective intră în vigoare în termenul general de intrare în vigoare a legii – 6 luni de la data publicării în Monitorul Oficial.</w:t>
            </w:r>
          </w:p>
          <w:p w14:paraId="6D014ED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Respectiv, se mențin modificările la noțiune, fără a fi dată în redacție nouă.</w:t>
            </w:r>
          </w:p>
        </w:tc>
      </w:tr>
      <w:tr w:rsidR="008E7C06" w:rsidRPr="005D6998" w14:paraId="1DEDDCE5" w14:textId="77777777" w:rsidTr="00651F58">
        <w:trPr>
          <w:gridAfter w:val="2"/>
          <w:wAfter w:w="153" w:type="dxa"/>
          <w:trHeight w:val="105"/>
        </w:trPr>
        <w:tc>
          <w:tcPr>
            <w:tcW w:w="899" w:type="dxa"/>
            <w:gridSpan w:val="3"/>
            <w:shd w:val="clear" w:color="auto" w:fill="FFFFFF"/>
          </w:tcPr>
          <w:p w14:paraId="1B84A2C5"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A6520C1"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după noțiunea de “</w:t>
            </w:r>
            <w:r w:rsidRPr="005D6998">
              <w:rPr>
                <w:rFonts w:ascii="Times New Roman" w:eastAsiaTheme="minorHAnsi" w:hAnsi="Times New Roman"/>
                <w:i/>
                <w:iCs/>
                <w:kern w:val="2"/>
                <w:lang w:eastAsia="en-US"/>
                <w14:ligatures w14:val="standardContextual"/>
              </w:rPr>
              <w:t>deținere calificată</w:t>
            </w:r>
            <w:r w:rsidRPr="005D6998">
              <w:rPr>
                <w:rFonts w:ascii="Times New Roman" w:eastAsiaTheme="minorHAnsi" w:hAnsi="Times New Roman"/>
                <w:kern w:val="2"/>
                <w:lang w:eastAsia="en-US"/>
                <w14:ligatures w14:val="standardContextual"/>
              </w:rPr>
              <w:t xml:space="preserve">” se completează cu </w:t>
            </w:r>
            <w:r w:rsidRPr="005D6998">
              <w:rPr>
                <w:rFonts w:ascii="Times New Roman" w:eastAsiaTheme="minorHAnsi" w:hAnsi="Times New Roman"/>
                <w:kern w:val="2"/>
                <w:lang w:eastAsia="en-US"/>
                <w14:ligatures w14:val="standardContextual"/>
              </w:rPr>
              <w:lastRenderedPageBreak/>
              <w:t>următoarele noțiuni</w:t>
            </w:r>
            <w:r w:rsidRPr="005D6998">
              <w:rPr>
                <w:rFonts w:ascii="Times New Roman" w:eastAsiaTheme="minorHAnsi" w:hAnsi="Times New Roman"/>
                <w:i/>
                <w:iCs/>
                <w:kern w:val="2"/>
                <w:lang w:eastAsia="en-US"/>
                <w14:ligatures w14:val="standardContextual"/>
              </w:rPr>
              <w:t xml:space="preserve"> </w:t>
            </w:r>
            <w:r w:rsidRPr="005D6998">
              <w:rPr>
                <w:rFonts w:ascii="Times New Roman" w:eastAsiaTheme="minorHAnsi" w:hAnsi="Times New Roman"/>
                <w:kern w:val="2"/>
                <w:lang w:eastAsia="en-US"/>
                <w14:ligatures w14:val="standardContextual"/>
              </w:rPr>
              <w:t>cu următorul cuprins:</w:t>
            </w:r>
          </w:p>
          <w:p w14:paraId="24A66701"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 </w:t>
            </w:r>
          </w:p>
          <w:p w14:paraId="1ECA5181"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entitate din sectorul financiar</w:t>
            </w:r>
            <w:r w:rsidRPr="005D6998">
              <w:rPr>
                <w:rFonts w:ascii="Times New Roman" w:eastAsiaTheme="minorHAnsi" w:hAnsi="Times New Roman"/>
                <w:kern w:val="2"/>
                <w:lang w:eastAsia="en-US"/>
                <w14:ligatures w14:val="standardContextual"/>
              </w:rPr>
              <w:t xml:space="preserve"> – oricare dintre următoarele:</w:t>
            </w:r>
          </w:p>
          <w:p w14:paraId="52A587EC"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a) o instituție de credit;</w:t>
            </w:r>
          </w:p>
          <w:p w14:paraId="335C3C35"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b) o firmă</w:t>
            </w:r>
            <w:r w:rsidRPr="005D6998" w:rsidDel="00C52214">
              <w:rPr>
                <w:rFonts w:ascii="Times New Roman" w:eastAsiaTheme="minorHAnsi" w:hAnsi="Times New Roman"/>
                <w:kern w:val="2"/>
                <w:lang w:eastAsia="en-US"/>
                <w14:ligatures w14:val="standardContextual"/>
              </w:rPr>
              <w:t xml:space="preserve"> </w:t>
            </w:r>
            <w:r w:rsidRPr="005D6998">
              <w:rPr>
                <w:rFonts w:ascii="Times New Roman" w:eastAsiaTheme="minorHAnsi" w:hAnsi="Times New Roman"/>
                <w:kern w:val="2"/>
                <w:lang w:eastAsia="en-US"/>
                <w14:ligatures w14:val="standardContextual"/>
              </w:rPr>
              <w:t>de investiții;</w:t>
            </w:r>
          </w:p>
          <w:p w14:paraId="747E7E10"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c) o instituție financiară;</w:t>
            </w:r>
          </w:p>
          <w:p w14:paraId="33B73096"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 un asigurător, inclusiv dintr-un stat terț;</w:t>
            </w:r>
          </w:p>
          <w:p w14:paraId="15CFBF3D"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e) un reasigurător;</w:t>
            </w:r>
          </w:p>
          <w:p w14:paraId="5DE84B58"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f) un reasigurător dintr-un stat terț;</w:t>
            </w:r>
          </w:p>
          <w:p w14:paraId="339F540C"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g) o societate holding de asigurare şi o societate holding de asigurare cu activitate mixtă;</w:t>
            </w:r>
          </w:p>
          <w:p w14:paraId="02682B7A"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h) o societate de asigurare exclusă din domeniul de aplicare al actelor normative care transpun prevederile Directivei 2009/138/CE;</w:t>
            </w:r>
          </w:p>
          <w:p w14:paraId="715895FF"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i) o întreprindere dintr-un  stat terț cu activitate principală comparabilă cu a oricărei dintre entităţile menţionate în cadrul definiţiei respective;”;</w:t>
            </w:r>
          </w:p>
          <w:p w14:paraId="6E7F5E0F"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p>
        </w:tc>
        <w:tc>
          <w:tcPr>
            <w:tcW w:w="1418" w:type="dxa"/>
            <w:gridSpan w:val="2"/>
            <w:shd w:val="clear" w:color="auto" w:fill="FFFFFF"/>
          </w:tcPr>
          <w:p w14:paraId="2748511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C5CECDA"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3F731D3" w14:textId="77777777" w:rsidR="008E7C06" w:rsidRPr="005D6998" w:rsidRDefault="008E7C06" w:rsidP="00A46332">
            <w:pPr>
              <w:pStyle w:val="Default"/>
              <w:jc w:val="both"/>
              <w:rPr>
                <w:sz w:val="22"/>
                <w:szCs w:val="22"/>
              </w:rPr>
            </w:pPr>
            <w:r w:rsidRPr="005D6998">
              <w:rPr>
                <w:sz w:val="22"/>
                <w:szCs w:val="22"/>
              </w:rPr>
              <w:t>Referitor la noțiunea „entitate din sectorul financiar”, lit. e) și f) se recomand</w:t>
            </w:r>
            <w:r w:rsidRPr="005D6998">
              <w:rPr>
                <w:sz w:val="22"/>
                <w:szCs w:val="22"/>
                <w:lang w:val="ro-RO"/>
              </w:rPr>
              <w:t>ă</w:t>
            </w:r>
            <w:r w:rsidRPr="005D6998">
              <w:rPr>
                <w:sz w:val="22"/>
                <w:szCs w:val="22"/>
              </w:rPr>
              <w:t xml:space="preserve"> a fi </w:t>
            </w:r>
            <w:r w:rsidRPr="005D6998">
              <w:rPr>
                <w:sz w:val="22"/>
                <w:szCs w:val="22"/>
              </w:rPr>
              <w:lastRenderedPageBreak/>
              <w:t xml:space="preserve">comasate, după cum urmează: „un reasigurător, inclusiv dintr-un stat terț”, similar dispoziției lit. d). </w:t>
            </w:r>
          </w:p>
          <w:p w14:paraId="2D3F4232" w14:textId="77777777" w:rsidR="008E7C06" w:rsidRPr="005D6998" w:rsidRDefault="008E7C06" w:rsidP="00A46332">
            <w:pPr>
              <w:pStyle w:val="Default"/>
              <w:jc w:val="both"/>
              <w:rPr>
                <w:sz w:val="22"/>
                <w:szCs w:val="22"/>
              </w:rPr>
            </w:pPr>
          </w:p>
        </w:tc>
        <w:tc>
          <w:tcPr>
            <w:tcW w:w="4960" w:type="dxa"/>
            <w:gridSpan w:val="3"/>
            <w:shd w:val="clear" w:color="auto" w:fill="FFFFFF"/>
          </w:tcPr>
          <w:p w14:paraId="6EDB4A22" w14:textId="77777777" w:rsidR="008E7C06" w:rsidRPr="005D6998" w:rsidRDefault="008E7C06" w:rsidP="00A46332">
            <w:pPr>
              <w:spacing w:after="0" w:line="240" w:lineRule="auto"/>
              <w:jc w:val="both"/>
              <w:rPr>
                <w:rFonts w:ascii="Times New Roman" w:hAnsi="Times New Roman"/>
                <w:b/>
                <w:lang w:val="pt-BR"/>
              </w:rPr>
            </w:pPr>
            <w:r w:rsidRPr="005D6998">
              <w:rPr>
                <w:rFonts w:ascii="Times New Roman" w:hAnsi="Times New Roman"/>
                <w:b/>
                <w:lang w:val="pt-BR"/>
              </w:rPr>
              <w:lastRenderedPageBreak/>
              <w:t xml:space="preserve">Se acceptă. </w:t>
            </w:r>
          </w:p>
          <w:p w14:paraId="6DB7EF9D" w14:textId="77777777" w:rsidR="008E7C06" w:rsidRPr="005D6998" w:rsidRDefault="008E7C06" w:rsidP="00A46332">
            <w:pPr>
              <w:spacing w:after="0" w:line="240" w:lineRule="auto"/>
              <w:jc w:val="both"/>
              <w:rPr>
                <w:rFonts w:ascii="Times New Roman" w:hAnsi="Times New Roman"/>
                <w:lang w:val="pt-BR"/>
              </w:rPr>
            </w:pPr>
            <w:r w:rsidRPr="005D6998">
              <w:rPr>
                <w:rFonts w:ascii="Times New Roman" w:hAnsi="Times New Roman"/>
                <w:lang w:val="pt-BR"/>
              </w:rPr>
              <w:lastRenderedPageBreak/>
              <w:t>Redactat conform noțiunii din Regulamentul (UE) nr. 575/2013:</w:t>
            </w:r>
          </w:p>
          <w:p w14:paraId="44703E37"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i/>
                <w:iCs/>
              </w:rPr>
              <w:t>entitate din sectorul financiar</w:t>
            </w:r>
            <w:r w:rsidRPr="005D6998">
              <w:rPr>
                <w:rFonts w:ascii="Times New Roman" w:hAnsi="Times New Roman"/>
              </w:rPr>
              <w:t xml:space="preserve"> – oricare dintre următoarele:</w:t>
            </w:r>
          </w:p>
          <w:p w14:paraId="210F9847"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a) o instituție de credit;</w:t>
            </w:r>
          </w:p>
          <w:p w14:paraId="6E519C87"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b) o firmă</w:t>
            </w:r>
            <w:r w:rsidRPr="005D6998" w:rsidDel="00C52214">
              <w:rPr>
                <w:rFonts w:ascii="Times New Roman" w:hAnsi="Times New Roman"/>
              </w:rPr>
              <w:t xml:space="preserve"> </w:t>
            </w:r>
            <w:r w:rsidRPr="005D6998">
              <w:rPr>
                <w:rFonts w:ascii="Times New Roman" w:hAnsi="Times New Roman"/>
              </w:rPr>
              <w:t>de investiții;</w:t>
            </w:r>
          </w:p>
          <w:p w14:paraId="4BEEE4D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c) o instituție financiară;</w:t>
            </w:r>
          </w:p>
          <w:p w14:paraId="26CE31C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d) un asigurător;</w:t>
            </w:r>
          </w:p>
          <w:p w14:paraId="4F5843B5"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e) un asigurător dintr-un stat terț;</w:t>
            </w:r>
          </w:p>
          <w:p w14:paraId="082A5B3D"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f) un reasigurător;</w:t>
            </w:r>
          </w:p>
          <w:p w14:paraId="5BFAD68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g) un reasigurător dintr-un stat terț;</w:t>
            </w:r>
          </w:p>
          <w:p w14:paraId="4104C8B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h) o societate holding de asigurare şi o societate holding de asigurare cu activitate mixtă;</w:t>
            </w:r>
          </w:p>
          <w:p w14:paraId="6F940B5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i) o societate de asigurare exclusă din domeniul de aplicare al actelor normative care transpun prevederile Directivei 2009/138/CE;</w:t>
            </w:r>
          </w:p>
          <w:p w14:paraId="1D84B93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j) o întreprindere dintr-un  stat terț cu activitate principală comparabilă cu a oricărei dintre entităţile menţionate în cadrul definiţiei respective;”;</w:t>
            </w:r>
          </w:p>
          <w:p w14:paraId="07C14E84" w14:textId="77777777" w:rsidR="008E7C06" w:rsidRPr="005D6998" w:rsidRDefault="008E7C06" w:rsidP="00A46332">
            <w:pPr>
              <w:spacing w:after="0" w:line="240" w:lineRule="auto"/>
              <w:jc w:val="both"/>
              <w:rPr>
                <w:rFonts w:ascii="Times New Roman" w:hAnsi="Times New Roman"/>
              </w:rPr>
            </w:pPr>
          </w:p>
        </w:tc>
      </w:tr>
      <w:tr w:rsidR="008E7C06" w:rsidRPr="005D6998" w14:paraId="2EA662B8" w14:textId="77777777" w:rsidTr="00651F58">
        <w:trPr>
          <w:gridAfter w:val="2"/>
          <w:wAfter w:w="153" w:type="dxa"/>
          <w:trHeight w:val="105"/>
        </w:trPr>
        <w:tc>
          <w:tcPr>
            <w:tcW w:w="899" w:type="dxa"/>
            <w:gridSpan w:val="3"/>
            <w:shd w:val="clear" w:color="auto" w:fill="FFFFFF"/>
          </w:tcPr>
          <w:p w14:paraId="494006D8"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8537B83"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după noțiunea „</w:t>
            </w:r>
            <w:r w:rsidRPr="005D6998">
              <w:rPr>
                <w:rFonts w:ascii="Times New Roman" w:eastAsiaTheme="minorHAnsi" w:hAnsi="Times New Roman"/>
                <w:i/>
                <w:iCs/>
                <w:kern w:val="2"/>
                <w:lang w:eastAsia="en-US"/>
                <w14:ligatures w14:val="standardContextual"/>
              </w:rPr>
              <w:t>filială</w:t>
            </w:r>
            <w:r w:rsidRPr="005D6998">
              <w:rPr>
                <w:rFonts w:ascii="Times New Roman" w:eastAsiaTheme="minorHAnsi" w:hAnsi="Times New Roman"/>
                <w:kern w:val="2"/>
                <w:lang w:eastAsia="en-US"/>
                <w14:ligatures w14:val="standardContextual"/>
              </w:rPr>
              <w:t>” se completează cu următoarele noțiuni cu următorul cuprins:</w:t>
            </w:r>
          </w:p>
          <w:p w14:paraId="75B631C5" w14:textId="77777777" w:rsidR="008E7C06" w:rsidRPr="005D6998" w:rsidRDefault="008E7C06" w:rsidP="00A46332">
            <w:pPr>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 </w:t>
            </w:r>
          </w:p>
          <w:p w14:paraId="69A042F5"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grup</w:t>
            </w:r>
            <w:r w:rsidRPr="005D6998">
              <w:rPr>
                <w:rFonts w:ascii="Times New Roman" w:eastAsiaTheme="minorHAnsi" w:hAnsi="Times New Roman"/>
                <w:kern w:val="2"/>
                <w:lang w:eastAsia="en-US"/>
                <w14:ligatures w14:val="standardContextual"/>
              </w:rPr>
              <w:t xml:space="preserve"> -  grup de întreprinderi dintre care cel puţin una este o instituţie de credit și care este compus dintr-o întreprindere-mamă și filialele acesteia sau din întreprinderi care sunt legate între ele astfel cum prevede Legea contabilității și raportării financiare nr. 287/2017; </w:t>
            </w:r>
          </w:p>
        </w:tc>
        <w:tc>
          <w:tcPr>
            <w:tcW w:w="1418" w:type="dxa"/>
            <w:gridSpan w:val="2"/>
            <w:shd w:val="clear" w:color="auto" w:fill="FFFFFF"/>
          </w:tcPr>
          <w:p w14:paraId="44359C8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7C2B39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371A6AA" w14:textId="77777777" w:rsidR="008E7C06" w:rsidRPr="005D6998" w:rsidRDefault="008E7C06" w:rsidP="00A46332">
            <w:pPr>
              <w:pStyle w:val="Default"/>
              <w:jc w:val="both"/>
              <w:rPr>
                <w:sz w:val="22"/>
                <w:szCs w:val="22"/>
              </w:rPr>
            </w:pPr>
            <w:r w:rsidRPr="005D6998">
              <w:rPr>
                <w:sz w:val="22"/>
                <w:szCs w:val="22"/>
              </w:rPr>
              <w:t xml:space="preserve">Cu referire la noțiunea „grup”, considerăm necesar a face trimitere concretă la art. 3 al Legii contabilității și raportării financiare nr. 287/2017 (observație valabilă și pentru noțiunea „participație”). Totodată, având în vedere că pe parcursul textului art. III sunt mai multe referiri la această lege, în această noțiune, după textul „Legii contabilității și raportării financiare nr. 287/2017” se propune a completa cu textul „(în continuare – Legea nr. 287/2017)”. </w:t>
            </w:r>
          </w:p>
          <w:p w14:paraId="1A13A1AD" w14:textId="77777777" w:rsidR="008E7C06" w:rsidRPr="005D6998" w:rsidRDefault="008E7C06" w:rsidP="00A46332">
            <w:pPr>
              <w:pStyle w:val="Default"/>
              <w:ind w:firstLine="319"/>
              <w:jc w:val="both"/>
              <w:rPr>
                <w:sz w:val="22"/>
                <w:szCs w:val="22"/>
              </w:rPr>
            </w:pPr>
          </w:p>
        </w:tc>
        <w:tc>
          <w:tcPr>
            <w:tcW w:w="4960" w:type="dxa"/>
            <w:gridSpan w:val="3"/>
            <w:shd w:val="clear" w:color="auto" w:fill="FFFFFF"/>
          </w:tcPr>
          <w:p w14:paraId="7E2E1C1F" w14:textId="77777777" w:rsidR="008E7C06" w:rsidRPr="005D6998" w:rsidRDefault="008E7C06" w:rsidP="00A46332">
            <w:pPr>
              <w:spacing w:after="0" w:line="240" w:lineRule="auto"/>
              <w:jc w:val="both"/>
              <w:rPr>
                <w:rFonts w:ascii="Times New Roman" w:hAnsi="Times New Roman"/>
                <w:b/>
                <w:bCs/>
                <w:lang w:val="ro-MD"/>
              </w:rPr>
            </w:pPr>
            <w:r w:rsidRPr="005D6998">
              <w:rPr>
                <w:rFonts w:ascii="Times New Roman" w:hAnsi="Times New Roman"/>
                <w:b/>
                <w:bCs/>
                <w:lang w:val="ro-MD"/>
              </w:rPr>
              <w:t>Se accept</w:t>
            </w:r>
            <w:r w:rsidRPr="005D6998">
              <w:rPr>
                <w:rFonts w:ascii="Times New Roman" w:hAnsi="Times New Roman"/>
                <w:b/>
                <w:bCs/>
              </w:rPr>
              <w:t>ă</w:t>
            </w:r>
            <w:r w:rsidRPr="005D6998">
              <w:rPr>
                <w:rFonts w:ascii="Times New Roman" w:hAnsi="Times New Roman"/>
                <w:b/>
                <w:bCs/>
                <w:lang w:val="ro-MD"/>
              </w:rPr>
              <w:t>.</w:t>
            </w:r>
          </w:p>
          <w:p w14:paraId="49F9CCE5"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Trimiterea la Legea nr. 287/2017 a fost completată cu referin</w:t>
            </w:r>
            <w:r w:rsidRPr="005D6998">
              <w:rPr>
                <w:rFonts w:ascii="Times New Roman" w:hAnsi="Times New Roman"/>
              </w:rPr>
              <w:t>ț</w:t>
            </w:r>
            <w:r w:rsidRPr="005D6998">
              <w:rPr>
                <w:rFonts w:ascii="Times New Roman" w:hAnsi="Times New Roman"/>
                <w:lang w:val="ro-MD"/>
              </w:rPr>
              <w:t>a la art. 3 în cadrul noțiunilor de “grup“ și “participație”.</w:t>
            </w:r>
          </w:p>
          <w:p w14:paraId="0F363BF2" w14:textId="77777777" w:rsidR="008E7C06" w:rsidRPr="005D6998" w:rsidRDefault="008E7C06" w:rsidP="00A46332">
            <w:pPr>
              <w:spacing w:after="0" w:line="240" w:lineRule="auto"/>
              <w:jc w:val="both"/>
              <w:rPr>
                <w:rFonts w:ascii="Times New Roman" w:hAnsi="Times New Roman"/>
                <w:lang w:val="it-CH"/>
              </w:rPr>
            </w:pPr>
            <w:r w:rsidRPr="005D6998">
              <w:rPr>
                <w:rFonts w:ascii="Times New Roman" w:hAnsi="Times New Roman"/>
                <w:lang w:val="it-CH"/>
              </w:rPr>
              <w:t>În cadrul proiectului, trimiterea la Legea nr. 287/2017 a fost realizată prin utilizarea formulei prescurtate a denumirii legii.</w:t>
            </w:r>
          </w:p>
        </w:tc>
      </w:tr>
      <w:tr w:rsidR="008E7C06" w:rsidRPr="005D6998" w14:paraId="298EE924" w14:textId="77777777" w:rsidTr="00651F58">
        <w:trPr>
          <w:gridAfter w:val="2"/>
          <w:wAfter w:w="153" w:type="dxa"/>
          <w:trHeight w:val="105"/>
        </w:trPr>
        <w:tc>
          <w:tcPr>
            <w:tcW w:w="899" w:type="dxa"/>
            <w:gridSpan w:val="3"/>
            <w:shd w:val="clear" w:color="auto" w:fill="FFFFFF"/>
          </w:tcPr>
          <w:p w14:paraId="40260256"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D3480C0" w14:textId="77777777" w:rsidR="008E7C06" w:rsidRPr="005D6998" w:rsidRDefault="008E7C06" w:rsidP="00A46332">
            <w:pPr>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kern w:val="2"/>
                <w:lang w:eastAsia="en-US"/>
                <w14:ligatures w14:val="standardContextual"/>
              </w:rPr>
              <w:t>instituție de credit</w:t>
            </w:r>
            <w:r w:rsidRPr="005D6998">
              <w:rPr>
                <w:rFonts w:ascii="Times New Roman" w:eastAsiaTheme="minorHAnsi" w:hAnsi="Times New Roman"/>
                <w:kern w:val="2"/>
                <w:lang w:eastAsia="en-US"/>
                <w14:ligatures w14:val="standardContextual"/>
              </w:rPr>
              <w:t xml:space="preserve"> – persoană juridică a cărei activitate constă în oricare dintre următoarele activități:</w:t>
            </w:r>
          </w:p>
          <w:p w14:paraId="323C019E" w14:textId="77777777" w:rsidR="008E7C06" w:rsidRPr="005D6998" w:rsidRDefault="008E7C06" w:rsidP="008E7C06">
            <w:pPr>
              <w:numPr>
                <w:ilvl w:val="0"/>
                <w:numId w:val="4"/>
              </w:numPr>
              <w:spacing w:after="0" w:line="240" w:lineRule="auto"/>
              <w:ind w:left="0" w:firstLine="1429"/>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atragerea de depozite sau de alte fonduri rambursabile de la public şi în acordarea de credite în cont propriu;</w:t>
            </w:r>
          </w:p>
          <w:p w14:paraId="4316E942" w14:textId="77777777" w:rsidR="008E7C06" w:rsidRPr="005D6998" w:rsidRDefault="008E7C06" w:rsidP="008E7C06">
            <w:pPr>
              <w:numPr>
                <w:ilvl w:val="0"/>
                <w:numId w:val="4"/>
              </w:numPr>
              <w:spacing w:after="0" w:line="240" w:lineRule="auto"/>
              <w:ind w:left="0" w:firstLine="1429"/>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desfășurarea oricăreia dintre activităţile de tranzacţionare în cont propriu sau subscriere de instrumente financiare și/sau plasare de instrumente financiare cu angajament ferm în cazul în care este îndeplinită una dintre condiţiile următoare, dar întreprinderea nu este un comerciant de mărfuri și de certificate de emisii, un organism de plasament colectiv sau o societate de asigurare: </w:t>
            </w:r>
          </w:p>
          <w:p w14:paraId="60FF612A" w14:textId="77777777" w:rsidR="008E7C06" w:rsidRPr="005D6998" w:rsidRDefault="008E7C06" w:rsidP="008E7C06">
            <w:pPr>
              <w:numPr>
                <w:ilvl w:val="0"/>
                <w:numId w:val="5"/>
              </w:numPr>
              <w:spacing w:after="0" w:line="240" w:lineRule="auto"/>
              <w:ind w:left="0" w:firstLine="1789"/>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valoarea totală a activelor consolidate ale întreprinderii este mai mare sau egală cu echivalentul în lei moldovenești a 30 de miliarde euro; </w:t>
            </w:r>
          </w:p>
          <w:p w14:paraId="403F8071" w14:textId="77777777" w:rsidR="008E7C06" w:rsidRPr="005D6998" w:rsidRDefault="008E7C06" w:rsidP="008E7C06">
            <w:pPr>
              <w:numPr>
                <w:ilvl w:val="0"/>
                <w:numId w:val="5"/>
              </w:numPr>
              <w:spacing w:after="0" w:line="240" w:lineRule="auto"/>
              <w:ind w:left="0" w:firstLine="1789"/>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valoarea totală a activelor întreprinderii este mai mică de echivalentul în lei moldovenești a 30 de miliarde euro, întreprinderea face parte dintr-un grup, iar valoarea totală a activelor consolidate ale tuturor întreprinderilor din grupul respectiv, care la nivel individual au active totale mai mici de echivalentul în lei moldovenești a 30 de miliarde euro și care desfășoară oricare dintre activităţile de tranzacţionare în cont propriu sau subscriere de instrumente financiare și/sau plasare de instrumente </w:t>
            </w:r>
            <w:r w:rsidRPr="005D6998">
              <w:rPr>
                <w:rFonts w:ascii="Times New Roman" w:eastAsiaTheme="minorHAnsi" w:hAnsi="Times New Roman"/>
                <w:kern w:val="2"/>
                <w:lang w:eastAsia="en-US"/>
                <w14:ligatures w14:val="standardContextual"/>
              </w:rPr>
              <w:lastRenderedPageBreak/>
              <w:t xml:space="preserve">financiare cu angajament ferm, este mai mare sau egală cu echivalentul în lei moldovenești a 30 de miliarde euro; sau </w:t>
            </w:r>
          </w:p>
          <w:p w14:paraId="5F2F5660" w14:textId="77777777" w:rsidR="008E7C06" w:rsidRPr="005D6998" w:rsidRDefault="008E7C06" w:rsidP="008E7C06">
            <w:pPr>
              <w:numPr>
                <w:ilvl w:val="0"/>
                <w:numId w:val="5"/>
              </w:numPr>
              <w:spacing w:after="0" w:line="240" w:lineRule="auto"/>
              <w:ind w:left="0" w:firstLine="1789"/>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valoarea totală a activelor întreprinderii este mai mică de echivalentul în lei moldovenești a</w:t>
            </w:r>
            <w:r w:rsidRPr="005D6998" w:rsidDel="009E13C0">
              <w:rPr>
                <w:rFonts w:ascii="Times New Roman" w:eastAsiaTheme="minorHAnsi" w:hAnsi="Times New Roman"/>
                <w:kern w:val="2"/>
                <w:lang w:eastAsia="en-US"/>
                <w14:ligatures w14:val="standardContextual"/>
              </w:rPr>
              <w:t xml:space="preserve"> </w:t>
            </w:r>
            <w:r w:rsidRPr="005D6998">
              <w:rPr>
                <w:rFonts w:ascii="Times New Roman" w:eastAsiaTheme="minorHAnsi" w:hAnsi="Times New Roman"/>
                <w:kern w:val="2"/>
                <w:lang w:eastAsia="en-US"/>
                <w14:ligatures w14:val="standardContextual"/>
              </w:rPr>
              <w:t xml:space="preserve">30 de miliarde euro, întreprinderea face parte dintr-un grup, iar valoarea totală a activelor consolidate ale tuturor întreprinderilor din grup care desfășoară oricare dintre activităţile de tranzacţionare în cont propriu sau subscriere de instrumente financiare și/sau plasare de instrumente financiare cu angajament ferm este mai mare sau egală cu echivalentul în lei moldovenești a 30 de miliarde euro, în cazul în care supraveghetorul consolidant, în consultare cu colegiul de supraveghetori, decide astfel pentru a contracara eventualele riscuri de eludare sau eventualele riscuri la adresa stabilităţii financiare a UE; </w:t>
            </w:r>
          </w:p>
          <w:p w14:paraId="36118D39"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în sensul literei b) punctele (ii) și (iii), în cazul în care întreprinderea face parte dintr-un grup dintr-un stat terţ, activele totale ale fiecărei sucursale a grupului dintr-un stat terţ autorizate în UE sunt incluse în valoarea totală combinată a activelor tuturor întreprinderilor din grup, iar în sensul literei b) subpunctul (iii), supraveghetorul consolidant poate solicita întreprinderii toate informațiile relevante pentru a lua o decizie. </w:t>
            </w:r>
          </w:p>
          <w:p w14:paraId="5A639035" w14:textId="77777777" w:rsidR="008E7C06" w:rsidRPr="005D6998" w:rsidRDefault="008E7C06" w:rsidP="00A46332">
            <w:pPr>
              <w:spacing w:after="0" w:line="240" w:lineRule="auto"/>
              <w:jc w:val="both"/>
              <w:rPr>
                <w:rFonts w:ascii="Times New Roman" w:eastAsiaTheme="minorHAnsi" w:hAnsi="Times New Roman"/>
                <w:i/>
                <w:kern w:val="2"/>
                <w:lang w:eastAsia="en-US"/>
                <w14:ligatures w14:val="standardContextual"/>
              </w:rPr>
            </w:pPr>
          </w:p>
        </w:tc>
        <w:tc>
          <w:tcPr>
            <w:tcW w:w="1418" w:type="dxa"/>
            <w:gridSpan w:val="2"/>
            <w:shd w:val="clear" w:color="auto" w:fill="FFFFFF"/>
          </w:tcPr>
          <w:p w14:paraId="38A02C8D"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3D9FB41"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C88EB3F" w14:textId="77777777" w:rsidR="008E7C06" w:rsidRPr="005D6998" w:rsidRDefault="008E7C06" w:rsidP="00A46332">
            <w:pPr>
              <w:pStyle w:val="Default"/>
              <w:jc w:val="both"/>
              <w:rPr>
                <w:sz w:val="22"/>
                <w:szCs w:val="22"/>
              </w:rPr>
            </w:pPr>
            <w:r w:rsidRPr="005D6998">
              <w:rPr>
                <w:sz w:val="22"/>
                <w:szCs w:val="22"/>
              </w:rPr>
              <w:t xml:space="preserve">Având în vedere substituirea noțiunii „bancă” cu noțiunea „instituție de credit”, noțiunea „bancă” se va exclude din art. 3 al Legii nr. 202/2017. </w:t>
            </w:r>
          </w:p>
          <w:p w14:paraId="7BB58276" w14:textId="77777777" w:rsidR="008E7C06" w:rsidRPr="005D6998" w:rsidRDefault="008E7C06" w:rsidP="00A46332">
            <w:pPr>
              <w:pStyle w:val="Default"/>
              <w:ind w:firstLine="319"/>
              <w:jc w:val="both"/>
              <w:rPr>
                <w:sz w:val="22"/>
                <w:szCs w:val="22"/>
              </w:rPr>
            </w:pPr>
            <w:r w:rsidRPr="005D6998">
              <w:rPr>
                <w:sz w:val="22"/>
                <w:szCs w:val="22"/>
              </w:rPr>
              <w:t xml:space="preserve">Totodată, noua definiție a „instituției de credit” include, pe lângă entitățile care atrag depozite sau alte fonduri rambursabile de la public și acordă credite în cont propriu, și anumite întreprinderi care desfășoară activități de investiții și întrunesc pragurile valorice prevăzute de proiect. În aceste condiții, substituirea generală, în tot textul Legii nr. 202/2017, a termenului „bancă” cu termenul „instituție de credit” nu poate fi realizată exclusiv mecanic, întrucât poate extinde asupra celei de-a doua categorii norme concepute pentru activitatea bancară propriu-zisă. Se va verifica individual domeniul subiectiv al normelor incidente și se va asigura delimitarea expresă a regimului juridic aplicabil fiecărei categorii. </w:t>
            </w:r>
          </w:p>
          <w:p w14:paraId="7D5ADA01" w14:textId="77777777" w:rsidR="008E7C06" w:rsidRPr="005D6998" w:rsidRDefault="008E7C06" w:rsidP="00A46332">
            <w:pPr>
              <w:pStyle w:val="Default"/>
              <w:jc w:val="both"/>
              <w:rPr>
                <w:sz w:val="22"/>
                <w:szCs w:val="22"/>
              </w:rPr>
            </w:pPr>
          </w:p>
        </w:tc>
        <w:tc>
          <w:tcPr>
            <w:tcW w:w="4960" w:type="dxa"/>
            <w:gridSpan w:val="3"/>
            <w:shd w:val="clear" w:color="auto" w:fill="FFFFFF"/>
          </w:tcPr>
          <w:p w14:paraId="216A635C" w14:textId="77777777" w:rsidR="008E7C06" w:rsidRPr="005D6998" w:rsidRDefault="008E7C06" w:rsidP="00A46332">
            <w:pPr>
              <w:spacing w:after="0" w:line="240" w:lineRule="auto"/>
              <w:jc w:val="both"/>
              <w:rPr>
                <w:rFonts w:ascii="Times New Roman" w:hAnsi="Times New Roman"/>
                <w:b/>
                <w:lang w:val="pt-BR"/>
              </w:rPr>
            </w:pPr>
            <w:r w:rsidRPr="005D6998">
              <w:rPr>
                <w:rFonts w:ascii="Times New Roman" w:hAnsi="Times New Roman"/>
                <w:b/>
                <w:lang w:val="pt-BR"/>
              </w:rPr>
              <w:t>Se acceptă parțial.</w:t>
            </w:r>
          </w:p>
          <w:p w14:paraId="097271CE" w14:textId="77777777" w:rsidR="008E7C06" w:rsidRPr="005D6998" w:rsidRDefault="008E7C06" w:rsidP="00A46332">
            <w:pPr>
              <w:tabs>
                <w:tab w:val="left" w:pos="284"/>
              </w:tabs>
              <w:spacing w:after="0" w:line="240" w:lineRule="auto"/>
              <w:jc w:val="both"/>
              <w:rPr>
                <w:rFonts w:ascii="Times New Roman" w:hAnsi="Times New Roman"/>
                <w:lang w:val="ro-MD"/>
              </w:rPr>
            </w:pPr>
            <w:r w:rsidRPr="005D6998">
              <w:rPr>
                <w:rFonts w:ascii="Times New Roman" w:hAnsi="Times New Roman"/>
                <w:lang w:val="ro-MD"/>
              </w:rPr>
              <w:t>Noțiunea de „</w:t>
            </w:r>
            <w:r w:rsidRPr="005D6998">
              <w:rPr>
                <w:rFonts w:ascii="Times New Roman" w:hAnsi="Times New Roman"/>
                <w:i/>
                <w:iCs/>
                <w:lang w:val="ro-MD"/>
              </w:rPr>
              <w:t>bancă</w:t>
            </w:r>
            <w:r w:rsidRPr="005D6998">
              <w:rPr>
                <w:rFonts w:ascii="Times New Roman" w:hAnsi="Times New Roman"/>
                <w:lang w:val="ro-MD"/>
              </w:rPr>
              <w:t>” se exclude;</w:t>
            </w:r>
          </w:p>
          <w:p w14:paraId="068493D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ro-MD"/>
              </w:rPr>
              <w:t>N</w:t>
            </w:r>
            <w:r w:rsidRPr="005D6998">
              <w:rPr>
                <w:rFonts w:ascii="Times New Roman" w:hAnsi="Times New Roman"/>
              </w:rPr>
              <w:t>oțiunea de „instituție de credit” este utilizată în cadrul CRD/CRR ca o categorie juridică unitară, care include atât întreprinderile prevăzute la lit. a), cât și pe cele care întrunesc condițiile prevăzute la lit. b) ale definiției din art. 4 alin. (1) pct. 1 din Regulamentul (UE) nr. 575/2013. Directiva 2013/36/UE definește „instituția de credit” prin trimitere expresă la această definiție în Regulamentul nr. 575/2013 și, prin art. 2, stabilește aplicarea directivei instituțiilor de credit.</w:t>
            </w:r>
          </w:p>
          <w:p w14:paraId="2728C58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Prin urmare, transpunerea noțiunii de „instituție de credit” în Legea nr. 202/2017 presupune preluarea corespunzătoare a domeniului său de aplicare, fără a fi necesară o delimitare generală între cele două categorii de activități. Acolo unde o anumită dispoziție a legii vizează în mod particular doar categoria prevăzută la lit. a) (de ex: art. 4-art. 6), acest lucru rezultă în mod expres din norma respectivă și, în consecință, a fost reflectat ca atare în proiect. </w:t>
            </w:r>
          </w:p>
          <w:p w14:paraId="622E696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În rest, utilizarea termenului „instituție de credit” urmărește aplicarea regimului juridic asupra întregii categorii astfel definite la nivelul cadrului european.</w:t>
            </w:r>
          </w:p>
        </w:tc>
      </w:tr>
      <w:tr w:rsidR="008E7C06" w:rsidRPr="005D6998" w14:paraId="26CA9D4C" w14:textId="77777777" w:rsidTr="00651F58">
        <w:trPr>
          <w:gridAfter w:val="2"/>
          <w:wAfter w:w="153" w:type="dxa"/>
          <w:trHeight w:val="105"/>
        </w:trPr>
        <w:tc>
          <w:tcPr>
            <w:tcW w:w="899" w:type="dxa"/>
            <w:gridSpan w:val="3"/>
            <w:shd w:val="clear" w:color="auto" w:fill="FFFFFF"/>
          </w:tcPr>
          <w:p w14:paraId="6A92D78D"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E643562"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instituție de credit-mamă dintr-un stat membru</w:t>
            </w:r>
            <w:r w:rsidRPr="005D6998">
              <w:rPr>
                <w:rFonts w:ascii="Times New Roman" w:eastAsiaTheme="minorHAnsi" w:hAnsi="Times New Roman"/>
                <w:kern w:val="2"/>
                <w:lang w:eastAsia="en-US"/>
                <w14:ligatures w14:val="standardContextual"/>
              </w:rPr>
              <w:t xml:space="preserve"> – o instituţie de credit dintr-un stat membru care are ca filială o instituţie de credit sau o instituţie financiară ori care deţine o participaţie într-o instituţie de credit sau o instituţie financiară și care nu este la rândul său o filială a unei alte instituţii de credit autorizate în același stat membru sau a unei societăţi financiare holding ori a unei societăţi financiare holding mixte înfiinţate în același stat membru; </w:t>
            </w:r>
          </w:p>
          <w:p w14:paraId="0560BF6E"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 xml:space="preserve">instituție de credit-mamă din Republica Moldova </w:t>
            </w:r>
            <w:r w:rsidRPr="005D6998">
              <w:rPr>
                <w:rFonts w:ascii="Times New Roman" w:eastAsiaTheme="minorHAnsi" w:hAnsi="Times New Roman"/>
                <w:kern w:val="2"/>
                <w:lang w:eastAsia="en-US"/>
                <w14:ligatures w14:val="standardContextual"/>
              </w:rPr>
              <w:t>– instituție de credit-mamă înființată în Republica Moldova care corespunde noțiunii de instituție-mamă dintr-un stat membru.</w:t>
            </w:r>
          </w:p>
          <w:p w14:paraId="6B9C95BB" w14:textId="77777777" w:rsidR="008E7C06" w:rsidRPr="005D6998" w:rsidRDefault="008E7C06" w:rsidP="00A46332">
            <w:pPr>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 xml:space="preserve">instituție mare </w:t>
            </w:r>
            <w:r w:rsidRPr="005D6998">
              <w:rPr>
                <w:rFonts w:ascii="Times New Roman" w:eastAsiaTheme="minorHAnsi" w:hAnsi="Times New Roman"/>
                <w:kern w:val="2"/>
                <w:lang w:eastAsia="en-US"/>
                <w14:ligatures w14:val="standardContextual"/>
              </w:rPr>
              <w:t>– instituție de credit care îndeplinește oricare din următoarele condiții:</w:t>
            </w:r>
          </w:p>
          <w:p w14:paraId="71291EAB"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a) este o G-SIB;</w:t>
            </w:r>
          </w:p>
          <w:p w14:paraId="518A6A26"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b) a fost identificată ca fiind o altă instituţie de importanţă sistemică O-SII; </w:t>
            </w:r>
          </w:p>
          <w:p w14:paraId="46172087"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c) este una dintre cele mai mari trei instituţii de credit din Republica Moldova în ceea ce privește valoarea totală a activelor; </w:t>
            </w:r>
          </w:p>
          <w:p w14:paraId="0047A407"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d) valoarea totală a activelor sale pe bază individuală sau, după caz, pe baza situaţiei sale consolidate în conformitate cu prezenta lege și cu actele normative emise în aplicarea acesteia este mai mare sau egală cu echivalentul în lei moldovenești a 30 de miliarde euro; </w:t>
            </w:r>
          </w:p>
        </w:tc>
        <w:tc>
          <w:tcPr>
            <w:tcW w:w="1418" w:type="dxa"/>
            <w:gridSpan w:val="2"/>
            <w:shd w:val="clear" w:color="auto" w:fill="FFFFFF"/>
          </w:tcPr>
          <w:p w14:paraId="576C50D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1675AEB"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517E4C8" w14:textId="77777777" w:rsidR="008E7C06" w:rsidRPr="005D6998" w:rsidRDefault="008E7C06" w:rsidP="00A46332">
            <w:pPr>
              <w:pStyle w:val="Default"/>
              <w:jc w:val="both"/>
              <w:rPr>
                <w:sz w:val="22"/>
                <w:szCs w:val="22"/>
              </w:rPr>
            </w:pPr>
            <w:r w:rsidRPr="005D6998">
              <w:rPr>
                <w:sz w:val="22"/>
                <w:szCs w:val="22"/>
              </w:rPr>
              <w:t xml:space="preserve">Cu referire la noțiunea „instituție de credit-mamă din Republica Moldova”, se va analiza suplimentar referința la noțiunea „instituție-mamă dintr-un stat membru”, întrucât proiectul nu definește un asemenea termen. </w:t>
            </w:r>
          </w:p>
          <w:p w14:paraId="20B0866E" w14:textId="77777777" w:rsidR="008E7C06" w:rsidRPr="005D6998" w:rsidRDefault="008E7C06" w:rsidP="00A46332">
            <w:pPr>
              <w:pStyle w:val="Default"/>
              <w:ind w:firstLine="319"/>
              <w:jc w:val="both"/>
              <w:rPr>
                <w:sz w:val="22"/>
                <w:szCs w:val="22"/>
              </w:rPr>
            </w:pPr>
          </w:p>
        </w:tc>
        <w:tc>
          <w:tcPr>
            <w:tcW w:w="4960" w:type="dxa"/>
            <w:gridSpan w:val="3"/>
            <w:shd w:val="clear" w:color="auto" w:fill="FFFFFF"/>
          </w:tcPr>
          <w:p w14:paraId="2F21DF29" w14:textId="77777777" w:rsidR="008E7C06" w:rsidRPr="005D6998" w:rsidRDefault="008E7C06" w:rsidP="00A46332">
            <w:pPr>
              <w:spacing w:after="0" w:line="240" w:lineRule="auto"/>
              <w:jc w:val="both"/>
              <w:rPr>
                <w:rFonts w:ascii="Times New Roman" w:hAnsi="Times New Roman"/>
                <w:b/>
                <w:bCs/>
                <w:lang w:val="ro-MD"/>
              </w:rPr>
            </w:pPr>
            <w:r w:rsidRPr="005D6998">
              <w:rPr>
                <w:rFonts w:ascii="Times New Roman" w:hAnsi="Times New Roman"/>
                <w:b/>
                <w:bCs/>
                <w:lang w:val="ro-MD"/>
              </w:rPr>
              <w:t>Se acceptă.</w:t>
            </w:r>
          </w:p>
          <w:p w14:paraId="417B0063" w14:textId="77777777" w:rsidR="008E7C06" w:rsidRPr="005D6998" w:rsidRDefault="008E7C06" w:rsidP="00A46332">
            <w:pPr>
              <w:spacing w:after="0" w:line="240" w:lineRule="auto"/>
              <w:jc w:val="both"/>
              <w:rPr>
                <w:rFonts w:ascii="Times New Roman" w:hAnsi="Times New Roman"/>
                <w:b/>
                <w:bCs/>
                <w:lang w:val="ro-MD"/>
              </w:rPr>
            </w:pPr>
            <w:r w:rsidRPr="005D6998">
              <w:rPr>
                <w:rFonts w:ascii="Times New Roman" w:hAnsi="Times New Roman"/>
                <w:lang w:val="ro-MD"/>
              </w:rPr>
              <w:t>Termenul de “</w:t>
            </w:r>
            <w:r w:rsidRPr="005D6998">
              <w:rPr>
                <w:rFonts w:ascii="Times New Roman" w:hAnsi="Times New Roman"/>
              </w:rPr>
              <w:t>instituție-mamă dintr-un stat membru</w:t>
            </w:r>
            <w:r w:rsidRPr="005D6998">
              <w:rPr>
                <w:rFonts w:ascii="Times New Roman" w:hAnsi="Times New Roman"/>
                <w:lang w:val="ro-MD"/>
              </w:rPr>
              <w:t xml:space="preserve">” din cadrul noțiunii de </w:t>
            </w:r>
            <w:r w:rsidRPr="005D6998">
              <w:rPr>
                <w:rFonts w:ascii="Times New Roman" w:hAnsi="Times New Roman"/>
              </w:rPr>
              <w:t xml:space="preserve">„instituție de credit-mamă din Republica Moldova” și alte noțiuni precum </w:t>
            </w:r>
            <w:r w:rsidRPr="005D6998">
              <w:rPr>
                <w:rFonts w:ascii="Times New Roman" w:hAnsi="Times New Roman"/>
                <w:lang w:val="ro-MD"/>
              </w:rPr>
              <w:t>“</w:t>
            </w:r>
            <w:r w:rsidRPr="005D6998">
              <w:rPr>
                <w:rFonts w:ascii="Times New Roman" w:hAnsi="Times New Roman"/>
              </w:rPr>
              <w:t>instituție de importanță sistemică O-SII</w:t>
            </w:r>
            <w:r w:rsidRPr="005D6998">
              <w:rPr>
                <w:rFonts w:ascii="Times New Roman" w:hAnsi="Times New Roman"/>
                <w:lang w:val="ro-MD"/>
              </w:rPr>
              <w:t xml:space="preserve">” sau alin. (5) din Art. IV Dispoziții finale) </w:t>
            </w:r>
            <w:r w:rsidRPr="005D6998">
              <w:rPr>
                <w:rFonts w:ascii="Times New Roman" w:hAnsi="Times New Roman"/>
              </w:rPr>
              <w:t xml:space="preserve">se redactează după cum urmează </w:t>
            </w:r>
            <w:r w:rsidRPr="005D6998">
              <w:rPr>
                <w:rFonts w:ascii="Times New Roman" w:hAnsi="Times New Roman"/>
                <w:lang w:val="ro-MD"/>
              </w:rPr>
              <w:t>“</w:t>
            </w:r>
            <w:r w:rsidRPr="005D6998">
              <w:rPr>
                <w:rFonts w:ascii="Times New Roman" w:eastAsiaTheme="minorHAnsi" w:hAnsi="Times New Roman"/>
                <w:kern w:val="2"/>
                <w:lang w:eastAsia="en-US"/>
                <w14:ligatures w14:val="standardContextual"/>
              </w:rPr>
              <w:t>instituție</w:t>
            </w:r>
            <w:r w:rsidRPr="005D6998">
              <w:rPr>
                <w:rFonts w:ascii="Times New Roman" w:eastAsiaTheme="minorHAnsi" w:hAnsi="Times New Roman"/>
                <w:b/>
                <w:bCs/>
                <w:kern w:val="2"/>
                <w:lang w:eastAsia="en-US"/>
                <w14:ligatures w14:val="standardContextual"/>
              </w:rPr>
              <w:t xml:space="preserve"> de credit</w:t>
            </w:r>
            <w:r w:rsidRPr="005D6998">
              <w:rPr>
                <w:rFonts w:ascii="Times New Roman" w:eastAsiaTheme="minorHAnsi" w:hAnsi="Times New Roman"/>
                <w:kern w:val="2"/>
                <w:lang w:eastAsia="en-US"/>
                <w14:ligatures w14:val="standardContextual"/>
              </w:rPr>
              <w:t>-mamă dintr-un stat membru</w:t>
            </w:r>
            <w:r w:rsidRPr="005D6998">
              <w:rPr>
                <w:rFonts w:ascii="Times New Roman" w:hAnsi="Times New Roman"/>
                <w:lang w:val="ro-MD"/>
              </w:rPr>
              <w:t>”.</w:t>
            </w:r>
          </w:p>
        </w:tc>
      </w:tr>
      <w:tr w:rsidR="008E7C06" w:rsidRPr="005D6998" w14:paraId="2E7582D2" w14:textId="77777777" w:rsidTr="00651F58">
        <w:trPr>
          <w:gridAfter w:val="2"/>
          <w:wAfter w:w="153" w:type="dxa"/>
          <w:trHeight w:val="105"/>
        </w:trPr>
        <w:tc>
          <w:tcPr>
            <w:tcW w:w="899" w:type="dxa"/>
            <w:gridSpan w:val="3"/>
            <w:shd w:val="clear" w:color="auto" w:fill="FFFFFF"/>
          </w:tcPr>
          <w:p w14:paraId="4601437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985809F"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 xml:space="preserve">instituție mică și cu un grad redus de complexitate </w:t>
            </w:r>
            <w:r w:rsidRPr="005D6998">
              <w:rPr>
                <w:rFonts w:ascii="Times New Roman" w:eastAsiaTheme="minorHAnsi" w:hAnsi="Times New Roman"/>
                <w:kern w:val="2"/>
                <w:lang w:eastAsia="en-US"/>
                <w14:ligatures w14:val="standardContextual"/>
              </w:rPr>
              <w:t>– instituție de credit care îndeplinește cumulativ următoarele condiții:</w:t>
            </w:r>
          </w:p>
          <w:p w14:paraId="51A4388A"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p>
          <w:p w14:paraId="2419EBBD"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 portofoliul său de tranzacţionare este clasificat ca fiind de mici dimensiuni în sensul actelor normative ale Băncii Naționale a Moldovei;</w:t>
            </w:r>
          </w:p>
          <w:p w14:paraId="117570D4" w14:textId="77777777" w:rsidR="008E7C06" w:rsidRPr="005D6998" w:rsidRDefault="008E7C06" w:rsidP="00A46332">
            <w:pPr>
              <w:spacing w:after="0" w:line="240" w:lineRule="auto"/>
              <w:ind w:firstLine="708"/>
              <w:jc w:val="both"/>
              <w:rPr>
                <w:rFonts w:ascii="Times New Roman" w:eastAsiaTheme="minorHAnsi" w:hAnsi="Times New Roman"/>
                <w:i/>
                <w:iCs/>
                <w:kern w:val="2"/>
                <w:lang w:eastAsia="en-US"/>
                <w14:ligatures w14:val="standardContextual"/>
              </w:rPr>
            </w:pPr>
            <w:r w:rsidRPr="005D6998">
              <w:rPr>
                <w:rFonts w:ascii="Times New Roman" w:eastAsiaTheme="minorHAnsi" w:hAnsi="Times New Roman"/>
                <w:kern w:val="2"/>
                <w:lang w:eastAsia="en-US"/>
                <w14:ligatures w14:val="standardContextual"/>
              </w:rPr>
              <w:t>[...]</w:t>
            </w:r>
          </w:p>
        </w:tc>
        <w:tc>
          <w:tcPr>
            <w:tcW w:w="1418" w:type="dxa"/>
            <w:gridSpan w:val="2"/>
            <w:shd w:val="clear" w:color="auto" w:fill="FFFFFF"/>
          </w:tcPr>
          <w:p w14:paraId="61762D36"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DB1534D"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6D56CEA" w14:textId="77777777" w:rsidR="008E7C06" w:rsidRPr="005D6998" w:rsidRDefault="008E7C06" w:rsidP="00A46332">
            <w:pPr>
              <w:pStyle w:val="Default"/>
              <w:jc w:val="both"/>
              <w:rPr>
                <w:sz w:val="22"/>
                <w:szCs w:val="22"/>
              </w:rPr>
            </w:pPr>
            <w:r w:rsidRPr="005D6998">
              <w:rPr>
                <w:sz w:val="22"/>
                <w:szCs w:val="22"/>
              </w:rPr>
              <w:t xml:space="preserve">Cu referire la noțiunea „instituție mică și cu grad redus de complexitate”, în dispoziția lit. d), se vor detalia cuvintele „în sensul actelor normative ale Băncii Naționale a Moldovei”. Or, formularea dată este mult prea generală și nu corespunde principiului clarității și previzibilității legii. </w:t>
            </w:r>
          </w:p>
          <w:p w14:paraId="24C032D6" w14:textId="77777777" w:rsidR="008E7C06" w:rsidRPr="005D6998" w:rsidRDefault="008E7C06" w:rsidP="00A46332">
            <w:pPr>
              <w:pStyle w:val="Default"/>
              <w:jc w:val="both"/>
              <w:rPr>
                <w:sz w:val="22"/>
                <w:szCs w:val="22"/>
              </w:rPr>
            </w:pPr>
          </w:p>
        </w:tc>
        <w:tc>
          <w:tcPr>
            <w:tcW w:w="4960" w:type="dxa"/>
            <w:gridSpan w:val="3"/>
            <w:shd w:val="clear" w:color="auto" w:fill="FFFFFF"/>
          </w:tcPr>
          <w:p w14:paraId="7C6B0FC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lang w:val="ro-MD"/>
              </w:rPr>
              <w:t>Se accept</w:t>
            </w:r>
            <w:r w:rsidRPr="005D6998">
              <w:rPr>
                <w:rFonts w:ascii="Times New Roman" w:hAnsi="Times New Roman"/>
                <w:b/>
                <w:bCs/>
              </w:rPr>
              <w:t>ă.</w:t>
            </w:r>
          </w:p>
          <w:p w14:paraId="324A70C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Se redactează în stilul tuturor prevederilor din proiect și din legea în vigoare, după cum urmează:</w:t>
            </w:r>
          </w:p>
          <w:p w14:paraId="6CD4A65B"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 xml:space="preserve">“în sensul </w:t>
            </w:r>
            <w:r w:rsidRPr="005D6998">
              <w:rPr>
                <w:rFonts w:ascii="Times New Roman" w:eastAsiaTheme="minorHAnsi" w:hAnsi="Times New Roman"/>
                <w:kern w:val="2"/>
                <w:lang w:eastAsia="en-US"/>
                <w14:ligatures w14:val="standardContextual"/>
              </w:rPr>
              <w:t>actelor normative ale Băncii Naționale a Moldovei</w:t>
            </w:r>
            <w:r w:rsidRPr="005D6998">
              <w:rPr>
                <w:rFonts w:ascii="Times New Roman" w:hAnsi="Times New Roman"/>
                <w:lang w:val="ro-MD"/>
              </w:rPr>
              <w:t xml:space="preserve"> emise în aplicarea prezentei legi”.</w:t>
            </w:r>
          </w:p>
          <w:p w14:paraId="34FECFC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lang w:val="ro-MD"/>
              </w:rPr>
              <w:t>Prevederi aferente</w:t>
            </w:r>
            <w:r w:rsidRPr="005D6998">
              <w:rPr>
                <w:rFonts w:ascii="Times New Roman" w:hAnsi="Times New Roman"/>
              </w:rPr>
              <w:t xml:space="preserve"> </w:t>
            </w:r>
            <w:r w:rsidRPr="005D6998">
              <w:rPr>
                <w:rFonts w:ascii="Times New Roman" w:hAnsi="Times New Roman"/>
                <w:lang w:val="ro-MD"/>
              </w:rPr>
              <w:t>portofoliilor de tranzacționare de mici dimensiuni se regăsesc în Regulamentul nr. 109/2018 cu privire la fondurile proprii și cerințele de capital, astfel cum a fost modificat prin HCE nr. 76/2026 (pct. 135).</w:t>
            </w:r>
          </w:p>
        </w:tc>
      </w:tr>
      <w:tr w:rsidR="008E7C06" w:rsidRPr="005D6998" w14:paraId="3CA94F8C" w14:textId="77777777" w:rsidTr="00651F58">
        <w:trPr>
          <w:gridAfter w:val="2"/>
          <w:wAfter w:w="153" w:type="dxa"/>
          <w:trHeight w:val="105"/>
        </w:trPr>
        <w:tc>
          <w:tcPr>
            <w:tcW w:w="899" w:type="dxa"/>
            <w:gridSpan w:val="3"/>
            <w:shd w:val="clear" w:color="auto" w:fill="FFFFFF"/>
          </w:tcPr>
          <w:p w14:paraId="6D288C5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79D3F46" w14:textId="77777777" w:rsidR="008E7C06" w:rsidRPr="005D6998" w:rsidRDefault="008E7C06" w:rsidP="00A46332">
            <w:pPr>
              <w:spacing w:after="0" w:line="240" w:lineRule="auto"/>
              <w:ind w:firstLine="708"/>
              <w:jc w:val="both"/>
              <w:rPr>
                <w:rFonts w:ascii="Times New Roman" w:hAnsi="Times New Roman"/>
                <w:lang w:val="ro-MD"/>
              </w:rPr>
            </w:pPr>
            <w:r w:rsidRPr="005D6998">
              <w:rPr>
                <w:rFonts w:ascii="Times New Roman" w:hAnsi="Times New Roman"/>
                <w:lang w:val="ro-MD"/>
              </w:rPr>
              <w:t>la noțiunea „întreprindere-mamă” cuvintele “sau membru” și „ori membru” se exclud;</w:t>
            </w:r>
          </w:p>
          <w:p w14:paraId="76912D87"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noțiunea „</w:t>
            </w:r>
            <w:r w:rsidRPr="005D6998">
              <w:rPr>
                <w:rFonts w:ascii="Times New Roman" w:eastAsiaTheme="minorHAnsi" w:hAnsi="Times New Roman"/>
                <w:i/>
                <w:iCs/>
                <w:kern w:val="2"/>
                <w:lang w:eastAsia="en-US"/>
                <w14:ligatures w14:val="standardContextual"/>
              </w:rPr>
              <w:t xml:space="preserve">întreprindere prestatoare de servicii auxiliare” </w:t>
            </w:r>
            <w:r w:rsidRPr="005D6998">
              <w:rPr>
                <w:rFonts w:ascii="Times New Roman" w:eastAsiaTheme="minorHAnsi" w:hAnsi="Times New Roman"/>
                <w:kern w:val="2"/>
                <w:lang w:eastAsia="en-US"/>
                <w14:ligatures w14:val="standardContextual"/>
              </w:rPr>
              <w:t xml:space="preserve">va avea următorul cuprins: </w:t>
            </w:r>
          </w:p>
          <w:p w14:paraId="3A8C90B9"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 xml:space="preserve">întreprindere prestatoare de servicii auxiliare </w:t>
            </w:r>
            <w:r w:rsidRPr="005D6998">
              <w:rPr>
                <w:rFonts w:ascii="Times New Roman" w:eastAsiaTheme="minorHAnsi" w:hAnsi="Times New Roman"/>
                <w:kern w:val="2"/>
                <w:lang w:eastAsia="en-US"/>
                <w14:ligatures w14:val="standardContextual"/>
              </w:rPr>
              <w:t>– întreprindere a cărei activitate principală, indiferent dacă este furnizată unor întreprinderi din cadrul grupului sau unor clienți din afara grupului, constă în oricare dintre următoarele:</w:t>
            </w:r>
          </w:p>
          <w:p w14:paraId="3D98ECA3"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a) o prelungire directă a serviciilor bancare;</w:t>
            </w:r>
          </w:p>
          <w:p w14:paraId="2EBB047B"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b) activități de leasing operațional, deţinere sau administrare de bunuri, prestare de servicii de prelucrare a datelor sau o activitate similară care este auxiliară serviciilor bancare;</w:t>
            </w:r>
          </w:p>
          <w:p w14:paraId="57A79F4D"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c) orice altă activitate considerată de Banca Națională a Moldovei similară cu cele menționate la lit. a) și b);</w:t>
            </w:r>
          </w:p>
          <w:p w14:paraId="549724CA"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d) orice altă activitate considerată de Autoritatea Bancară </w:t>
            </w:r>
            <w:r w:rsidRPr="005D6998">
              <w:rPr>
                <w:rFonts w:ascii="Times New Roman" w:eastAsiaTheme="minorHAnsi" w:hAnsi="Times New Roman"/>
                <w:kern w:val="2"/>
                <w:lang w:eastAsia="en-US"/>
                <w14:ligatures w14:val="standardContextual"/>
              </w:rPr>
              <w:lastRenderedPageBreak/>
              <w:t>Europeană similară cu cele menționate la lit. a) și b);”;</w:t>
            </w:r>
          </w:p>
        </w:tc>
        <w:tc>
          <w:tcPr>
            <w:tcW w:w="1418" w:type="dxa"/>
            <w:gridSpan w:val="2"/>
            <w:shd w:val="clear" w:color="auto" w:fill="FFFFFF"/>
          </w:tcPr>
          <w:p w14:paraId="456B2EB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BEC6B24"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7D7082F" w14:textId="77777777" w:rsidR="008E7C06" w:rsidRPr="005D6998" w:rsidRDefault="008E7C06" w:rsidP="00A46332">
            <w:pPr>
              <w:pStyle w:val="Default"/>
              <w:jc w:val="both"/>
              <w:rPr>
                <w:sz w:val="22"/>
                <w:szCs w:val="22"/>
              </w:rPr>
            </w:pPr>
            <w:r w:rsidRPr="005D6998">
              <w:rPr>
                <w:sz w:val="22"/>
                <w:szCs w:val="22"/>
              </w:rPr>
              <w:t xml:space="preserve">Complementar la pct. 5, se va asigura suplimentar ca noțiunile noi să fie incluse în art. 3 în ordine alfabetică, la fel cum și modificările incluse în acest articol să fie expuse în ordinea succesiunii firești a reglementărilor (în acest sens, spre exemplu, modificările operate la noțiunea „întreprindere prestatoare de servicii auxiliare” necesită a fi expuse anterior dispozițiilor de modificare a noțiunii „întreprindere-mamă”). </w:t>
            </w:r>
          </w:p>
          <w:p w14:paraId="0F61F78D" w14:textId="77777777" w:rsidR="008E7C06" w:rsidRPr="005D6998" w:rsidRDefault="008E7C06" w:rsidP="00A46332">
            <w:pPr>
              <w:pStyle w:val="Default"/>
              <w:jc w:val="both"/>
              <w:rPr>
                <w:sz w:val="22"/>
                <w:szCs w:val="22"/>
              </w:rPr>
            </w:pPr>
          </w:p>
        </w:tc>
        <w:tc>
          <w:tcPr>
            <w:tcW w:w="4960" w:type="dxa"/>
            <w:gridSpan w:val="3"/>
            <w:shd w:val="clear" w:color="auto" w:fill="FFFFFF"/>
          </w:tcPr>
          <w:p w14:paraId="3C629518"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lang w:val="ro-MD"/>
              </w:rPr>
              <w:t>Se accept</w:t>
            </w:r>
            <w:r w:rsidRPr="005D6998">
              <w:rPr>
                <w:rFonts w:ascii="Times New Roman" w:hAnsi="Times New Roman"/>
                <w:b/>
                <w:bCs/>
              </w:rPr>
              <w:t>ă.</w:t>
            </w:r>
          </w:p>
          <w:p w14:paraId="2CFE8E6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ro-MD"/>
              </w:rPr>
              <w:t>Următoarea modificare de la pct. 5 - la noțiunea „întreprindere-mamă” cuvintele “sau membru” și „ori membru” se exclud –  se mută după modificarea propusă la noțiunea de “</w:t>
            </w: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întreprindere prestatoare de servicii auxiliare”</w:t>
            </w:r>
            <w:r w:rsidRPr="005D6998">
              <w:rPr>
                <w:rFonts w:ascii="Times New Roman" w:hAnsi="Times New Roman"/>
              </w:rPr>
              <w:t>.</w:t>
            </w:r>
          </w:p>
        </w:tc>
      </w:tr>
      <w:tr w:rsidR="008E7C06" w:rsidRPr="005D6998" w14:paraId="7D302CB1" w14:textId="77777777" w:rsidTr="00651F58">
        <w:trPr>
          <w:gridAfter w:val="2"/>
          <w:wAfter w:w="153" w:type="dxa"/>
          <w:trHeight w:val="105"/>
        </w:trPr>
        <w:tc>
          <w:tcPr>
            <w:tcW w:w="899" w:type="dxa"/>
            <w:gridSpan w:val="3"/>
            <w:shd w:val="clear" w:color="auto" w:fill="FFFFFF"/>
          </w:tcPr>
          <w:p w14:paraId="465D70B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9B93768" w14:textId="77777777" w:rsidR="008E7C06" w:rsidRPr="005D6998" w:rsidRDefault="008E7C06" w:rsidP="00A46332">
            <w:pPr>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„la noțiunea „</w:t>
            </w:r>
            <w:r w:rsidRPr="005D6998">
              <w:rPr>
                <w:rFonts w:ascii="Times New Roman" w:eastAsiaTheme="minorHAnsi" w:hAnsi="Times New Roman"/>
                <w:i/>
                <w:iCs/>
                <w:kern w:val="2"/>
                <w:lang w:eastAsia="en-US"/>
                <w14:ligatures w14:val="standardContextual"/>
              </w:rPr>
              <w:t>persoane care dețin funcții-cheie</w:t>
            </w:r>
            <w:r w:rsidRPr="005D6998">
              <w:rPr>
                <w:rFonts w:ascii="Times New Roman" w:eastAsiaTheme="minorHAnsi" w:hAnsi="Times New Roman"/>
                <w:kern w:val="2"/>
                <w:lang w:eastAsia="en-US"/>
                <w14:ligatures w14:val="standardContextual"/>
              </w:rPr>
              <w:t>”, după cuvintele „se pot număra” se completează cu textul „coordonatorii funcțiilor de control intern și directorul financiar, în cazul în care aceștia nu sunt membri ai organului de conducere,” iar cuvântul „Categorii” se substituie cu cuvintele „Alte categorii”;</w:t>
            </w:r>
          </w:p>
        </w:tc>
        <w:tc>
          <w:tcPr>
            <w:tcW w:w="1418" w:type="dxa"/>
            <w:gridSpan w:val="2"/>
            <w:shd w:val="clear" w:color="auto" w:fill="FFFFFF"/>
          </w:tcPr>
          <w:p w14:paraId="218F42FC"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0098BDA"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5946D68D" w14:textId="77777777" w:rsidR="008E7C06" w:rsidRPr="005D6998" w:rsidRDefault="008E7C06" w:rsidP="00A46332">
            <w:pPr>
              <w:pStyle w:val="Default"/>
              <w:jc w:val="both"/>
              <w:rPr>
                <w:sz w:val="22"/>
                <w:szCs w:val="22"/>
              </w:rPr>
            </w:pPr>
            <w:r w:rsidRPr="005D6998">
              <w:rPr>
                <w:sz w:val="22"/>
                <w:szCs w:val="22"/>
              </w:rPr>
              <w:t>Referitor la modificarea noțiunii „persoane care dețin funcții-cheie”, întru corectarea redactării se va indica că, cuvântul „Categoriile” se substituie cu cuvintele „Alte categorii”.</w:t>
            </w:r>
          </w:p>
          <w:p w14:paraId="0DA1CD72" w14:textId="77777777" w:rsidR="008E7C06" w:rsidRPr="005D6998" w:rsidRDefault="008E7C06" w:rsidP="00A46332">
            <w:pPr>
              <w:pStyle w:val="Default"/>
              <w:jc w:val="both"/>
              <w:rPr>
                <w:sz w:val="22"/>
                <w:szCs w:val="22"/>
              </w:rPr>
            </w:pPr>
          </w:p>
        </w:tc>
        <w:tc>
          <w:tcPr>
            <w:tcW w:w="4960" w:type="dxa"/>
            <w:gridSpan w:val="3"/>
            <w:shd w:val="clear" w:color="auto" w:fill="FFFFFF"/>
          </w:tcPr>
          <w:p w14:paraId="13534950" w14:textId="77777777" w:rsidR="008E7C06" w:rsidRPr="005D6998" w:rsidRDefault="008E7C06" w:rsidP="00A46332">
            <w:pPr>
              <w:spacing w:after="0" w:line="240" w:lineRule="auto"/>
              <w:jc w:val="both"/>
              <w:rPr>
                <w:rFonts w:ascii="Times New Roman" w:hAnsi="Times New Roman"/>
                <w:b/>
                <w:bCs/>
                <w:lang w:val="it-CH"/>
              </w:rPr>
            </w:pPr>
            <w:r w:rsidRPr="005D6998">
              <w:rPr>
                <w:rFonts w:ascii="Times New Roman" w:hAnsi="Times New Roman"/>
                <w:b/>
                <w:bCs/>
                <w:lang w:val="it-CH"/>
              </w:rPr>
              <w:t>Se accept</w:t>
            </w:r>
            <w:r w:rsidRPr="005D6998">
              <w:rPr>
                <w:rFonts w:ascii="Times New Roman" w:hAnsi="Times New Roman"/>
                <w:b/>
                <w:bCs/>
              </w:rPr>
              <w:t>ă.</w:t>
            </w:r>
          </w:p>
        </w:tc>
      </w:tr>
      <w:tr w:rsidR="008E7C06" w:rsidRPr="005D6998" w14:paraId="3AC21B12" w14:textId="77777777" w:rsidTr="00651F58">
        <w:trPr>
          <w:gridAfter w:val="2"/>
          <w:wAfter w:w="153" w:type="dxa"/>
          <w:trHeight w:val="105"/>
        </w:trPr>
        <w:tc>
          <w:tcPr>
            <w:tcW w:w="899" w:type="dxa"/>
            <w:gridSpan w:val="3"/>
            <w:shd w:val="clear" w:color="auto" w:fill="FFFFFF"/>
          </w:tcPr>
          <w:p w14:paraId="3C2F9011"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7B6A922" w14:textId="77777777" w:rsidR="008E7C06" w:rsidRPr="005D6998" w:rsidRDefault="008E7C06" w:rsidP="00A46332">
            <w:pPr>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după noțiunea „</w:t>
            </w:r>
            <w:r w:rsidRPr="005D6998">
              <w:rPr>
                <w:rFonts w:ascii="Times New Roman" w:eastAsiaTheme="minorHAnsi" w:hAnsi="Times New Roman"/>
                <w:i/>
                <w:iCs/>
                <w:kern w:val="2"/>
                <w:lang w:eastAsia="en-US"/>
                <w14:ligatures w14:val="standardContextual"/>
              </w:rPr>
              <w:t>risc sistemic</w:t>
            </w:r>
            <w:r w:rsidRPr="005D6998">
              <w:rPr>
                <w:rFonts w:ascii="Times New Roman" w:eastAsiaTheme="minorHAnsi" w:hAnsi="Times New Roman"/>
                <w:kern w:val="2"/>
                <w:lang w:eastAsia="en-US"/>
                <w14:ligatures w14:val="standardContextual"/>
              </w:rPr>
              <w:t>” se completează cu noțiunea de „</w:t>
            </w:r>
            <w:r w:rsidRPr="005D6998">
              <w:rPr>
                <w:rFonts w:ascii="Times New Roman" w:eastAsiaTheme="minorHAnsi" w:hAnsi="Times New Roman"/>
                <w:i/>
                <w:iCs/>
                <w:kern w:val="2"/>
                <w:lang w:eastAsia="en-US"/>
                <w14:ligatures w14:val="standardContextual"/>
              </w:rPr>
              <w:t>securitizare</w:t>
            </w:r>
            <w:r w:rsidRPr="005D6998">
              <w:rPr>
                <w:rFonts w:ascii="Times New Roman" w:eastAsiaTheme="minorHAnsi" w:hAnsi="Times New Roman"/>
                <w:kern w:val="2"/>
                <w:lang w:eastAsia="en-US"/>
                <w14:ligatures w14:val="standardContextual"/>
              </w:rPr>
              <w:t>” cu următorul cuprins:</w:t>
            </w:r>
          </w:p>
          <w:p w14:paraId="05831F5F"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 xml:space="preserve">securitizare </w:t>
            </w:r>
            <w:r w:rsidRPr="005D6998">
              <w:rPr>
                <w:rFonts w:ascii="Times New Roman" w:eastAsiaTheme="minorHAnsi" w:hAnsi="Times New Roman"/>
                <w:kern w:val="2"/>
                <w:lang w:eastAsia="en-US"/>
                <w14:ligatures w14:val="standardContextual"/>
              </w:rPr>
              <w:t>– securitizare care îndeplinește condițiile prevăzute de actele normative ale Băncii Naționale a Moldovei;”;</w:t>
            </w:r>
          </w:p>
          <w:p w14:paraId="125744D3"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p>
        </w:tc>
        <w:tc>
          <w:tcPr>
            <w:tcW w:w="1418" w:type="dxa"/>
            <w:gridSpan w:val="2"/>
            <w:shd w:val="clear" w:color="auto" w:fill="FFFFFF"/>
          </w:tcPr>
          <w:p w14:paraId="38F806C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E29D080"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453072CD" w14:textId="77777777" w:rsidR="008E7C06" w:rsidRPr="005D6998" w:rsidRDefault="008E7C06" w:rsidP="00A46332">
            <w:pPr>
              <w:pStyle w:val="Default"/>
              <w:jc w:val="both"/>
              <w:rPr>
                <w:sz w:val="22"/>
                <w:szCs w:val="22"/>
              </w:rPr>
            </w:pPr>
            <w:r w:rsidRPr="005D6998">
              <w:rPr>
                <w:sz w:val="22"/>
                <w:szCs w:val="22"/>
              </w:rPr>
              <w:t xml:space="preserve">La noțiunea „securitizare”, formularea „care îndeplinește condițiile prevăzute de actele normative ale Băncii Naționale a Moldovei” este mult prea generală și nu indică cu claritate și precizie întinderea obiectului de reglementare a actului care urmează a fi aprobat de către Banca Națională a Moldovei. În altă ordine de idei, se consideră adecvat ca termenul dat să fie definit în lege și nu în actul normativ inferior acesteia. </w:t>
            </w:r>
          </w:p>
        </w:tc>
        <w:tc>
          <w:tcPr>
            <w:tcW w:w="4960" w:type="dxa"/>
            <w:gridSpan w:val="3"/>
            <w:shd w:val="clear" w:color="auto" w:fill="FFFFFF"/>
          </w:tcPr>
          <w:p w14:paraId="6EB0F41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59028F7"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În prezent, în cadrul normativ național, noțiunea de „securitizare” este reglementată prin Regulamentul privind tratamentul prudențial al securitizărilor, aprobat prin HCE nr. 221/2025, elaborat în concordanță cu cadrul european aplicabil. Totodată, cadrul european în materie de securitizare, la care face trimitere Regulamentul (UE) nr. 575/2013, este stabilit prin Regulamentul (UE) 2017/2402.</w:t>
            </w:r>
          </w:p>
          <w:p w14:paraId="568037B6"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Menționăm că, în prezent, se află în proces de elaborare un proiect de lege privind securitizarea, care va institui cadrul general aplicabil acestui domeniu și care conține, de asemenea, definiția noțiunii de „securitizare”, preluată din actele UE relevante.</w:t>
            </w:r>
          </w:p>
          <w:p w14:paraId="0FE632DD"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Respectiv, noțiunea se redactează cu introducerea trimiterii generale la legislația aferentă domeniului securitizărilor, putând fi identificată până a fi adoptată, după cum urmează:</w:t>
            </w:r>
          </w:p>
          <w:p w14:paraId="0D39F16D" w14:textId="77777777" w:rsidR="008E7C06" w:rsidRPr="005D6998" w:rsidRDefault="008E7C06" w:rsidP="00A46332">
            <w:pPr>
              <w:spacing w:after="0" w:line="240" w:lineRule="auto"/>
              <w:ind w:firstLine="708"/>
              <w:jc w:val="both"/>
              <w:rPr>
                <w:rFonts w:ascii="Times New Roman" w:hAnsi="Times New Roman"/>
                <w:lang w:val="en-US"/>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 xml:space="preserve">securitizare </w:t>
            </w:r>
            <w:r w:rsidRPr="005D6998">
              <w:rPr>
                <w:rFonts w:ascii="Times New Roman" w:eastAsiaTheme="minorHAnsi" w:hAnsi="Times New Roman"/>
                <w:kern w:val="2"/>
                <w:lang w:eastAsia="en-US"/>
                <w14:ligatures w14:val="standardContextual"/>
              </w:rPr>
              <w:t xml:space="preserve">– securitizare care îndeplinește condițiile prevăzute de </w:t>
            </w:r>
            <w:r w:rsidRPr="005D6998">
              <w:rPr>
                <w:rFonts w:ascii="Times New Roman" w:hAnsi="Times New Roman"/>
                <w:lang w:val="ro-MD"/>
              </w:rPr>
              <w:t>legislația privind securitizarea;</w:t>
            </w:r>
            <w:r w:rsidRPr="005D6998">
              <w:rPr>
                <w:rFonts w:ascii="Times New Roman" w:hAnsi="Times New Roman"/>
                <w:lang w:val="en-US"/>
              </w:rPr>
              <w:t>”.</w:t>
            </w:r>
          </w:p>
          <w:p w14:paraId="02EF8B5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ro-MD"/>
              </w:rPr>
              <w:t xml:space="preserve"> </w:t>
            </w:r>
          </w:p>
        </w:tc>
      </w:tr>
      <w:tr w:rsidR="008E7C06" w:rsidRPr="005D6998" w14:paraId="76064786" w14:textId="77777777" w:rsidTr="00651F58">
        <w:trPr>
          <w:gridAfter w:val="2"/>
          <w:wAfter w:w="153" w:type="dxa"/>
          <w:trHeight w:val="105"/>
        </w:trPr>
        <w:tc>
          <w:tcPr>
            <w:tcW w:w="899" w:type="dxa"/>
            <w:gridSpan w:val="3"/>
            <w:shd w:val="clear" w:color="auto" w:fill="FFFFFF"/>
          </w:tcPr>
          <w:p w14:paraId="4395426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0224BFA"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la noțiunea „situație consolidată”, cuvintele „bănci sau societăți de investiții” se substituie cu cuvintele „instituții de credit” iar </w:t>
            </w:r>
            <w:r w:rsidRPr="005D6998">
              <w:rPr>
                <w:rFonts w:ascii="Times New Roman" w:eastAsiaTheme="minorHAnsi" w:hAnsi="Times New Roman"/>
                <w:kern w:val="2"/>
                <w:lang w:eastAsia="en-US"/>
                <w14:ligatures w14:val="standardContextual"/>
              </w:rPr>
              <w:lastRenderedPageBreak/>
              <w:t>cuvintele „sau o singură firmă de investiții” se exclud;</w:t>
            </w:r>
          </w:p>
          <w:p w14:paraId="4EC9A3BD"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p>
        </w:tc>
        <w:tc>
          <w:tcPr>
            <w:tcW w:w="1418" w:type="dxa"/>
            <w:gridSpan w:val="2"/>
            <w:shd w:val="clear" w:color="auto" w:fill="FFFFFF"/>
          </w:tcPr>
          <w:p w14:paraId="289B7569"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EF3F843"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088083F" w14:textId="77777777" w:rsidR="008E7C06" w:rsidRPr="005D6998" w:rsidRDefault="008E7C06" w:rsidP="00A46332">
            <w:pPr>
              <w:pStyle w:val="Default"/>
              <w:ind w:firstLine="319"/>
              <w:jc w:val="both"/>
              <w:rPr>
                <w:sz w:val="22"/>
                <w:szCs w:val="22"/>
              </w:rPr>
            </w:pPr>
            <w:r w:rsidRPr="005D6998">
              <w:rPr>
                <w:sz w:val="22"/>
                <w:szCs w:val="22"/>
              </w:rPr>
              <w:t>Dispoziția ce prevede modificarea noțiunii „situație consolidată” va prevedea ca textul „bănci sau societăți de investiții, ca și cum acestea” să fie substituit cu textul „instituții de credit, ca și cum respectiva”.</w:t>
            </w:r>
          </w:p>
        </w:tc>
        <w:tc>
          <w:tcPr>
            <w:tcW w:w="4960" w:type="dxa"/>
            <w:gridSpan w:val="3"/>
            <w:shd w:val="clear" w:color="auto" w:fill="FFFFFF"/>
          </w:tcPr>
          <w:p w14:paraId="1DB10D90"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2C621B6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după cum urmează:</w:t>
            </w:r>
          </w:p>
          <w:p w14:paraId="4AC18925"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w:t>
            </w:r>
            <w:r w:rsidRPr="005D6998">
              <w:rPr>
                <w:rFonts w:ascii="Times New Roman" w:hAnsi="Times New Roman"/>
                <w:lang w:val="ro-MD"/>
              </w:rPr>
              <w:t>la noțiunea „situație consolidată”, cuvintele „bănci sau societăți de investiții</w:t>
            </w:r>
            <w:r w:rsidRPr="005D6998">
              <w:rPr>
                <w:rFonts w:ascii="Times New Roman" w:hAnsi="Times New Roman"/>
              </w:rPr>
              <w:t>, ca și cum acestea</w:t>
            </w:r>
            <w:r w:rsidRPr="005D6998">
              <w:rPr>
                <w:rFonts w:ascii="Times New Roman" w:hAnsi="Times New Roman"/>
                <w:lang w:val="ro-MD"/>
              </w:rPr>
              <w:t>” se substituie cu cuvintele „instituții de credit</w:t>
            </w:r>
            <w:r w:rsidRPr="005D6998">
              <w:rPr>
                <w:rFonts w:ascii="Times New Roman" w:hAnsi="Times New Roman"/>
              </w:rPr>
              <w:t xml:space="preserve">, ca și cum </w:t>
            </w:r>
            <w:r w:rsidRPr="005D6998">
              <w:rPr>
                <w:rFonts w:ascii="Times New Roman" w:hAnsi="Times New Roman"/>
              </w:rPr>
              <w:lastRenderedPageBreak/>
              <w:t>respectiva</w:t>
            </w:r>
            <w:r w:rsidRPr="005D6998">
              <w:rPr>
                <w:rFonts w:ascii="Times New Roman" w:hAnsi="Times New Roman"/>
                <w:lang w:val="ro-MD"/>
              </w:rPr>
              <w:t xml:space="preserve">” iar </w:t>
            </w:r>
            <w:r w:rsidRPr="005D6998">
              <w:rPr>
                <w:rFonts w:ascii="Times New Roman" w:hAnsi="Times New Roman"/>
              </w:rPr>
              <w:t xml:space="preserve">textul </w:t>
            </w:r>
            <w:r w:rsidRPr="005D6998">
              <w:rPr>
                <w:rFonts w:ascii="Times New Roman" w:hAnsi="Times New Roman"/>
                <w:lang w:val="ro-MD"/>
              </w:rPr>
              <w:t>„sau o singură firmă de investiții” se exclud;”</w:t>
            </w:r>
          </w:p>
          <w:p w14:paraId="7DB724A8" w14:textId="77777777" w:rsidR="008E7C06" w:rsidRPr="005D6998" w:rsidRDefault="008E7C06" w:rsidP="00A46332">
            <w:pPr>
              <w:spacing w:after="0" w:line="240" w:lineRule="auto"/>
              <w:jc w:val="both"/>
              <w:rPr>
                <w:rFonts w:ascii="Times New Roman" w:hAnsi="Times New Roman"/>
                <w:b/>
                <w:bCs/>
              </w:rPr>
            </w:pPr>
          </w:p>
        </w:tc>
      </w:tr>
      <w:tr w:rsidR="008E7C06" w:rsidRPr="005D6998" w14:paraId="4C507215" w14:textId="77777777" w:rsidTr="00651F58">
        <w:trPr>
          <w:gridAfter w:val="2"/>
          <w:wAfter w:w="153" w:type="dxa"/>
          <w:trHeight w:val="105"/>
        </w:trPr>
        <w:tc>
          <w:tcPr>
            <w:tcW w:w="899" w:type="dxa"/>
            <w:gridSpan w:val="3"/>
            <w:shd w:val="clear" w:color="auto" w:fill="FFFFFF"/>
          </w:tcPr>
          <w:p w14:paraId="69F2E1A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5C8AFBF"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noțiunea „</w:t>
            </w:r>
            <w:r w:rsidRPr="005D6998">
              <w:rPr>
                <w:rFonts w:ascii="Times New Roman" w:eastAsiaTheme="minorHAnsi" w:hAnsi="Times New Roman"/>
                <w:i/>
                <w:iCs/>
                <w:kern w:val="2"/>
                <w:lang w:eastAsia="en-US"/>
                <w14:ligatures w14:val="standardContextual"/>
              </w:rPr>
              <w:t>societate financiară holding mixtă-mamă din Republica Moldova</w:t>
            </w:r>
            <w:r w:rsidRPr="005D6998">
              <w:rPr>
                <w:rFonts w:ascii="Times New Roman" w:eastAsiaTheme="minorHAnsi" w:hAnsi="Times New Roman"/>
                <w:kern w:val="2"/>
                <w:lang w:eastAsia="en-US"/>
                <w14:ligatures w14:val="standardContextual"/>
              </w:rPr>
              <w:t>” se substituie cu următoarele noțiuni cu următorul cuprins:</w:t>
            </w:r>
          </w:p>
          <w:p w14:paraId="1F0AFC91"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societate financiară holding mixtă-mamă dintr-un stat membru</w:t>
            </w:r>
            <w:r w:rsidRPr="005D6998">
              <w:rPr>
                <w:rFonts w:ascii="Times New Roman" w:eastAsiaTheme="minorHAnsi" w:hAnsi="Times New Roman"/>
                <w:kern w:val="2"/>
                <w:lang w:eastAsia="en-US"/>
                <w14:ligatures w14:val="standardContextual"/>
              </w:rPr>
              <w:t xml:space="preserve"> –  societate financiară holding mixtă care nu este la rândul său o filială a unei instituţii de credit autorizate în același stat membru sau a unei societăţi financiare holding sau societăţi financiare holding mixte înfiinţate în același stat membru; </w:t>
            </w:r>
          </w:p>
          <w:p w14:paraId="038819C6"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i/>
                <w:iCs/>
                <w:kern w:val="2"/>
                <w:lang w:eastAsia="en-US"/>
                <w14:ligatures w14:val="standardContextual"/>
              </w:rPr>
              <w:t xml:space="preserve">societate financiară holding mixtă-mamă din UE – </w:t>
            </w:r>
            <w:r w:rsidRPr="005D6998">
              <w:rPr>
                <w:rFonts w:ascii="Times New Roman" w:eastAsiaTheme="minorHAnsi" w:hAnsi="Times New Roman"/>
                <w:kern w:val="2"/>
                <w:lang w:eastAsia="en-US"/>
                <w14:ligatures w14:val="standardContextual"/>
              </w:rPr>
              <w:t>o societate financiară holding mixtă-mamă dintr-un stat membru, care nu este o filială a unei instituţii de credit autorizate în orice stat membru ori a unei alte societăţi financiare holding sau societăţi financiare holding mixte înfiinţate în orice stat membru;”;</w:t>
            </w:r>
          </w:p>
        </w:tc>
        <w:tc>
          <w:tcPr>
            <w:tcW w:w="1418" w:type="dxa"/>
            <w:gridSpan w:val="2"/>
            <w:shd w:val="clear" w:color="auto" w:fill="FFFFFF"/>
          </w:tcPr>
          <w:p w14:paraId="1751854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D724E5B"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534CBEF" w14:textId="77777777" w:rsidR="008E7C06" w:rsidRPr="005D6998" w:rsidRDefault="008E7C06" w:rsidP="00A46332">
            <w:pPr>
              <w:pStyle w:val="Default"/>
              <w:jc w:val="both"/>
              <w:rPr>
                <w:sz w:val="22"/>
                <w:szCs w:val="22"/>
              </w:rPr>
            </w:pPr>
            <w:r w:rsidRPr="005D6998">
              <w:rPr>
                <w:sz w:val="22"/>
                <w:szCs w:val="22"/>
              </w:rPr>
              <w:t xml:space="preserve">Referitor la dispoziția „noțiunea „societate financiară holding mixtă-mamă din Republica Moldova” se substituie cu următoarele noțiuni cu următorul cuprins:”, menționăm că aceasta este defectuoasă, întrucât art. 3 al Legii nr. 202/2017 nu conține asemenea noțiune. </w:t>
            </w:r>
          </w:p>
          <w:p w14:paraId="25803F41" w14:textId="77777777" w:rsidR="008E7C06" w:rsidRPr="005D6998" w:rsidRDefault="008E7C06" w:rsidP="00A46332">
            <w:pPr>
              <w:pStyle w:val="Default"/>
              <w:jc w:val="both"/>
              <w:rPr>
                <w:sz w:val="22"/>
                <w:szCs w:val="22"/>
              </w:rPr>
            </w:pPr>
          </w:p>
        </w:tc>
        <w:tc>
          <w:tcPr>
            <w:tcW w:w="4960" w:type="dxa"/>
            <w:gridSpan w:val="3"/>
            <w:shd w:val="clear" w:color="auto" w:fill="FFFFFF"/>
          </w:tcPr>
          <w:p w14:paraId="440779A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DD1E73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Redactat, după cum urmează: </w:t>
            </w:r>
          </w:p>
          <w:p w14:paraId="28A0C928"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 xml:space="preserve">“după </w:t>
            </w:r>
            <w:r w:rsidRPr="005D6998">
              <w:rPr>
                <w:rFonts w:ascii="Times New Roman" w:hAnsi="Times New Roman"/>
                <w:lang w:val="ro-MD"/>
              </w:rPr>
              <w:t>noțiunea „</w:t>
            </w:r>
            <w:r w:rsidRPr="005D6998">
              <w:rPr>
                <w:rFonts w:ascii="Times New Roman" w:hAnsi="Times New Roman"/>
                <w:i/>
                <w:iCs/>
                <w:lang w:val="ro-MD"/>
              </w:rPr>
              <w:t>societate financiară holding mixtă</w:t>
            </w:r>
            <w:r w:rsidRPr="005D6998">
              <w:rPr>
                <w:rFonts w:ascii="Times New Roman" w:hAnsi="Times New Roman"/>
                <w:lang w:val="ro-MD"/>
              </w:rPr>
              <w:t>”</w:t>
            </w:r>
            <w:r w:rsidRPr="005D6998">
              <w:rPr>
                <w:rFonts w:ascii="Times New Roman" w:hAnsi="Times New Roman"/>
              </w:rPr>
              <w:t xml:space="preserve"> se completează </w:t>
            </w:r>
            <w:r w:rsidRPr="005D6998">
              <w:rPr>
                <w:rFonts w:ascii="Times New Roman" w:hAnsi="Times New Roman"/>
                <w:lang w:val="ro-MD"/>
              </w:rPr>
              <w:t>cu noțiunile „</w:t>
            </w:r>
            <w:r w:rsidRPr="005D6998">
              <w:rPr>
                <w:rFonts w:ascii="Times New Roman" w:hAnsi="Times New Roman"/>
                <w:i/>
                <w:iCs/>
                <w:lang w:val="ro-MD"/>
              </w:rPr>
              <w:t>societate financiară holding mixtă-mamă dintr-un stat membru”, „societate financiară holding mixtă-mamă din UE</w:t>
            </w:r>
            <w:r w:rsidRPr="005D6998">
              <w:rPr>
                <w:rFonts w:ascii="Times New Roman" w:hAnsi="Times New Roman"/>
                <w:lang w:val="ro-MD"/>
              </w:rPr>
              <w:t>” cu următorul cuprins:[...]”.</w:t>
            </w:r>
          </w:p>
          <w:p w14:paraId="3B51CDC9" w14:textId="77777777" w:rsidR="008E7C06" w:rsidRPr="005D6998" w:rsidRDefault="008E7C06" w:rsidP="00A46332">
            <w:pPr>
              <w:spacing w:after="0" w:line="240" w:lineRule="auto"/>
              <w:jc w:val="both"/>
              <w:rPr>
                <w:rFonts w:ascii="Times New Roman" w:hAnsi="Times New Roman"/>
                <w:lang w:val="ro-MD"/>
              </w:rPr>
            </w:pPr>
          </w:p>
        </w:tc>
      </w:tr>
      <w:tr w:rsidR="008E7C06" w:rsidRPr="005D6998" w14:paraId="59F59CD4" w14:textId="77777777" w:rsidTr="00651F58">
        <w:trPr>
          <w:gridAfter w:val="2"/>
          <w:wAfter w:w="153" w:type="dxa"/>
          <w:trHeight w:val="105"/>
        </w:trPr>
        <w:tc>
          <w:tcPr>
            <w:tcW w:w="899" w:type="dxa"/>
            <w:gridSpan w:val="3"/>
            <w:shd w:val="clear" w:color="auto" w:fill="FFFFFF"/>
          </w:tcPr>
          <w:p w14:paraId="45357635"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F049C48"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la noțiunea „</w:t>
            </w:r>
            <w:r w:rsidRPr="005D6998">
              <w:rPr>
                <w:rFonts w:ascii="Times New Roman" w:eastAsiaTheme="minorHAnsi" w:hAnsi="Times New Roman"/>
                <w:i/>
                <w:iCs/>
                <w:kern w:val="2"/>
                <w:lang w:eastAsia="en-US"/>
                <w14:ligatures w14:val="standardContextual"/>
              </w:rPr>
              <w:t>stat de origine</w:t>
            </w:r>
            <w:r w:rsidRPr="005D6998">
              <w:rPr>
                <w:rFonts w:ascii="Times New Roman" w:eastAsiaTheme="minorHAnsi" w:hAnsi="Times New Roman"/>
                <w:kern w:val="2"/>
                <w:lang w:eastAsia="en-US"/>
                <w14:ligatures w14:val="standardContextual"/>
              </w:rPr>
              <w:t>” în denumirea și conținutul noțiunii, după cuvântul „stat”, la orice formă gramaticală se completează cu cuvântul „membru” iar cuvintele „este înfiinţată şi” se exclud;</w:t>
            </w:r>
          </w:p>
          <w:p w14:paraId="5EEC4581"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la noțiunea „</w:t>
            </w:r>
            <w:r w:rsidRPr="005D6998">
              <w:rPr>
                <w:rFonts w:ascii="Times New Roman" w:eastAsiaTheme="minorHAnsi" w:hAnsi="Times New Roman"/>
                <w:i/>
                <w:iCs/>
                <w:kern w:val="2"/>
                <w:lang w:eastAsia="en-US"/>
                <w14:ligatures w14:val="standardContextual"/>
              </w:rPr>
              <w:t>stat gazdă</w:t>
            </w:r>
            <w:r w:rsidRPr="005D6998">
              <w:rPr>
                <w:rFonts w:ascii="Times New Roman" w:eastAsiaTheme="minorHAnsi" w:hAnsi="Times New Roman"/>
                <w:kern w:val="2"/>
                <w:lang w:eastAsia="en-US"/>
                <w14:ligatures w14:val="standardContextual"/>
              </w:rPr>
              <w:t>” în denumirea și conținutul noțiunii, după cuvântul „stat”, la orice formă gramaticală, se completează cu cuvântul „membru” iar la final se completează cu cuvintele „sau în care prestează servicii”;</w:t>
            </w:r>
          </w:p>
        </w:tc>
        <w:tc>
          <w:tcPr>
            <w:tcW w:w="1418" w:type="dxa"/>
            <w:gridSpan w:val="2"/>
            <w:shd w:val="clear" w:color="auto" w:fill="FFFFFF"/>
          </w:tcPr>
          <w:p w14:paraId="29334D6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02DB666"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4BB2731" w14:textId="77777777" w:rsidR="008E7C06" w:rsidRPr="005D6998" w:rsidRDefault="008E7C06" w:rsidP="00A46332">
            <w:pPr>
              <w:pStyle w:val="Default"/>
              <w:jc w:val="both"/>
              <w:rPr>
                <w:sz w:val="22"/>
                <w:szCs w:val="22"/>
              </w:rPr>
            </w:pPr>
            <w:r w:rsidRPr="005D6998">
              <w:rPr>
                <w:sz w:val="22"/>
                <w:szCs w:val="22"/>
              </w:rPr>
              <w:t xml:space="preserve">Având în vedere multiplele modificări necesar a fi operate în noțiunea „stat de origine” și „stat gazdă” acestea se recomandă a fi expuse în redacție nouă. </w:t>
            </w:r>
          </w:p>
          <w:p w14:paraId="7ADB6F38" w14:textId="77777777" w:rsidR="008E7C06" w:rsidRPr="005D6998" w:rsidRDefault="008E7C06" w:rsidP="00A46332">
            <w:pPr>
              <w:pStyle w:val="Default"/>
              <w:jc w:val="both"/>
              <w:rPr>
                <w:sz w:val="22"/>
                <w:szCs w:val="22"/>
              </w:rPr>
            </w:pPr>
          </w:p>
        </w:tc>
        <w:tc>
          <w:tcPr>
            <w:tcW w:w="4960" w:type="dxa"/>
            <w:gridSpan w:val="3"/>
            <w:shd w:val="clear" w:color="auto" w:fill="FFFFFF"/>
          </w:tcPr>
          <w:p w14:paraId="4F46B12D"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607F2A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Noțiunile s-au expus în redacție nouă.</w:t>
            </w:r>
          </w:p>
        </w:tc>
      </w:tr>
      <w:tr w:rsidR="008E7C06" w:rsidRPr="005D6998" w14:paraId="154EFF61" w14:textId="77777777" w:rsidTr="00651F58">
        <w:trPr>
          <w:gridAfter w:val="2"/>
          <w:wAfter w:w="153" w:type="dxa"/>
          <w:trHeight w:val="105"/>
        </w:trPr>
        <w:tc>
          <w:tcPr>
            <w:tcW w:w="899" w:type="dxa"/>
            <w:gridSpan w:val="3"/>
            <w:shd w:val="clear" w:color="auto" w:fill="FFFFFF"/>
          </w:tcPr>
          <w:p w14:paraId="3E8E63E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79A9A08"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după noțiunea de „</w:t>
            </w:r>
            <w:r w:rsidRPr="005D6998">
              <w:rPr>
                <w:rFonts w:ascii="Times New Roman" w:eastAsiaTheme="minorHAnsi" w:hAnsi="Times New Roman"/>
                <w:i/>
                <w:iCs/>
                <w:kern w:val="2"/>
                <w:lang w:eastAsia="en-US"/>
                <w14:ligatures w14:val="standardContextual"/>
              </w:rPr>
              <w:t>stat membru de origine</w:t>
            </w:r>
            <w:r w:rsidRPr="005D6998">
              <w:rPr>
                <w:rFonts w:ascii="Times New Roman" w:eastAsiaTheme="minorHAnsi" w:hAnsi="Times New Roman"/>
                <w:kern w:val="2"/>
                <w:lang w:eastAsia="en-US"/>
                <w14:ligatures w14:val="standardContextual"/>
              </w:rPr>
              <w:t>” se completează cu noțiunea de „</w:t>
            </w:r>
            <w:r w:rsidRPr="005D6998">
              <w:rPr>
                <w:rFonts w:ascii="Times New Roman" w:eastAsiaTheme="minorHAnsi" w:hAnsi="Times New Roman"/>
                <w:i/>
                <w:iCs/>
                <w:kern w:val="2"/>
                <w:lang w:eastAsia="en-US"/>
                <w14:ligatures w14:val="standardContextual"/>
              </w:rPr>
              <w:t>stat terț</w:t>
            </w:r>
            <w:r w:rsidRPr="005D6998">
              <w:rPr>
                <w:rFonts w:ascii="Times New Roman" w:eastAsiaTheme="minorHAnsi" w:hAnsi="Times New Roman"/>
                <w:kern w:val="2"/>
                <w:lang w:eastAsia="en-US"/>
                <w14:ligatures w14:val="standardContextual"/>
              </w:rPr>
              <w:t>” cu următorul cuprins:</w:t>
            </w:r>
          </w:p>
          <w:p w14:paraId="0114294F"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r w:rsidRPr="005D6998">
              <w:rPr>
                <w:rFonts w:ascii="Times New Roman" w:eastAsiaTheme="minorHAnsi" w:hAnsi="Times New Roman"/>
                <w:i/>
                <w:iCs/>
                <w:kern w:val="2"/>
                <w:lang w:eastAsia="en-US"/>
                <w14:ligatures w14:val="standardContextual"/>
              </w:rPr>
              <w:t xml:space="preserve">stat terț </w:t>
            </w:r>
            <w:r w:rsidRPr="005D6998">
              <w:rPr>
                <w:rFonts w:ascii="Times New Roman" w:eastAsiaTheme="minorHAnsi" w:hAnsi="Times New Roman"/>
                <w:kern w:val="2"/>
                <w:lang w:eastAsia="en-US"/>
                <w14:ligatures w14:val="standardContextual"/>
              </w:rPr>
              <w:t>– orice stat care nu este stat membru al Uniunii Europene;”;</w:t>
            </w:r>
          </w:p>
          <w:p w14:paraId="7D816DAC" w14:textId="77777777" w:rsidR="008E7C06" w:rsidRPr="005D6998" w:rsidRDefault="008E7C06" w:rsidP="00A46332">
            <w:pPr>
              <w:spacing w:after="0" w:line="240" w:lineRule="auto"/>
              <w:ind w:firstLine="708"/>
              <w:jc w:val="both"/>
              <w:rPr>
                <w:rFonts w:ascii="Times New Roman" w:eastAsiaTheme="minorHAnsi" w:hAnsi="Times New Roman"/>
                <w:kern w:val="2"/>
                <w:lang w:eastAsia="en-US"/>
                <w14:ligatures w14:val="standardContextual"/>
              </w:rPr>
            </w:pPr>
          </w:p>
        </w:tc>
        <w:tc>
          <w:tcPr>
            <w:tcW w:w="1418" w:type="dxa"/>
            <w:gridSpan w:val="2"/>
            <w:shd w:val="clear" w:color="auto" w:fill="FFFFFF"/>
          </w:tcPr>
          <w:p w14:paraId="6959659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59BD5E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66AF781" w14:textId="77777777" w:rsidR="008E7C06" w:rsidRPr="005D6998" w:rsidRDefault="008E7C06" w:rsidP="00A46332">
            <w:pPr>
              <w:pStyle w:val="Default"/>
              <w:jc w:val="both"/>
              <w:rPr>
                <w:sz w:val="22"/>
                <w:szCs w:val="22"/>
              </w:rPr>
            </w:pPr>
            <w:r w:rsidRPr="005D6998">
              <w:rPr>
                <w:sz w:val="22"/>
                <w:szCs w:val="22"/>
              </w:rPr>
              <w:t>La noțiunea „stat terț” cuvintele „al Uniunii Europene” se recomandă a fi excluse, având în vedere noțiunea de „stat membru”, definită în același articol.</w:t>
            </w:r>
          </w:p>
        </w:tc>
        <w:tc>
          <w:tcPr>
            <w:tcW w:w="4960" w:type="dxa"/>
            <w:gridSpan w:val="3"/>
            <w:shd w:val="clear" w:color="auto" w:fill="FFFFFF"/>
          </w:tcPr>
          <w:p w14:paraId="30A60D38"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6D55F2C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Sintagma „al Uniunii Europene” este necesară pentru a stabili în mod expres și clar criteriul în raport cu care un stat este calificat drept „stat terț”, și anume faptul că acesta nu este stat membru al Uniunii Europene.</w:t>
            </w:r>
          </w:p>
        </w:tc>
      </w:tr>
      <w:tr w:rsidR="008E7C06" w:rsidRPr="005D6998" w14:paraId="0B320E3E" w14:textId="77777777" w:rsidTr="00651F58">
        <w:trPr>
          <w:gridAfter w:val="2"/>
          <w:wAfter w:w="153" w:type="dxa"/>
          <w:trHeight w:val="105"/>
        </w:trPr>
        <w:tc>
          <w:tcPr>
            <w:tcW w:w="899" w:type="dxa"/>
            <w:gridSpan w:val="3"/>
            <w:shd w:val="clear" w:color="auto" w:fill="FFFFFF"/>
          </w:tcPr>
          <w:p w14:paraId="12A7EC4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F212B6D" w14:textId="77777777" w:rsidR="008E7C06" w:rsidRPr="005D6998" w:rsidRDefault="008E7C06" w:rsidP="00A46332">
            <w:pPr>
              <w:tabs>
                <w:tab w:val="left" w:pos="284"/>
              </w:tabs>
              <w:spacing w:after="0" w:line="240" w:lineRule="auto"/>
              <w:jc w:val="both"/>
              <w:rPr>
                <w:rFonts w:ascii="Times New Roman" w:hAnsi="Times New Roman"/>
              </w:rPr>
            </w:pPr>
            <w:r w:rsidRPr="005D6998">
              <w:rPr>
                <w:rFonts w:ascii="Times New Roman" w:hAnsi="Times New Roman"/>
                <w:b/>
                <w:bCs/>
              </w:rPr>
              <w:t>6</w:t>
            </w:r>
            <w:r w:rsidRPr="005D6998">
              <w:rPr>
                <w:rFonts w:ascii="Times New Roman" w:hAnsi="Times New Roman"/>
              </w:rPr>
              <w:t>. Articolul 4:</w:t>
            </w:r>
          </w:p>
          <w:p w14:paraId="468BCC30"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7C25343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se completează cu alineatul (1</w:t>
            </w:r>
            <w:r w:rsidRPr="005D6998">
              <w:rPr>
                <w:rFonts w:ascii="Times New Roman" w:hAnsi="Times New Roman"/>
                <w:vertAlign w:val="superscript"/>
              </w:rPr>
              <w:t>1</w:t>
            </w:r>
            <w:r w:rsidRPr="005D6998">
              <w:rPr>
                <w:rFonts w:ascii="Times New Roman" w:hAnsi="Times New Roman"/>
              </w:rPr>
              <w:t xml:space="preserve">) cu următorul cuprins: </w:t>
            </w:r>
          </w:p>
          <w:p w14:paraId="3A51EA1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1</w:t>
            </w:r>
            <w:r w:rsidRPr="005D6998">
              <w:rPr>
                <w:rFonts w:ascii="Times New Roman" w:hAnsi="Times New Roman"/>
              </w:rPr>
              <w:t>) Comisia Națională a Pieței Financiare este autoritatea competentă pentru instituțiile de credit prevăzute la art. 3 noțiunea „</w:t>
            </w:r>
            <w:r w:rsidRPr="005D6998">
              <w:rPr>
                <w:rFonts w:ascii="Times New Roman" w:hAnsi="Times New Roman"/>
                <w:i/>
                <w:iCs/>
              </w:rPr>
              <w:t>instituție de credit</w:t>
            </w:r>
            <w:r w:rsidRPr="005D6998">
              <w:rPr>
                <w:rFonts w:ascii="Times New Roman" w:hAnsi="Times New Roman"/>
              </w:rPr>
              <w:t>” lit. b). În acest sens, Comisia Națională a Pieței Financiare exercită atribuţiile de autorizare, reglementare şi supraveghere prudenţială potrivit prevederilor prezentei legi şi Legii nr. 192</w:t>
            </w:r>
            <w:r w:rsidRPr="005D6998" w:rsidDel="00F9335E">
              <w:rPr>
                <w:rFonts w:ascii="Times New Roman" w:hAnsi="Times New Roman"/>
              </w:rPr>
              <w:t xml:space="preserve"> </w:t>
            </w:r>
            <w:r w:rsidRPr="005D6998">
              <w:rPr>
                <w:rFonts w:ascii="Times New Roman" w:hAnsi="Times New Roman"/>
              </w:rPr>
              <w:t>/1998 cu privire la Comisia Națională a Pieței Financiare.”;</w:t>
            </w:r>
          </w:p>
        </w:tc>
        <w:tc>
          <w:tcPr>
            <w:tcW w:w="1418" w:type="dxa"/>
            <w:gridSpan w:val="2"/>
            <w:shd w:val="clear" w:color="auto" w:fill="FFFFFF"/>
          </w:tcPr>
          <w:p w14:paraId="738E5DC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7B08AF0"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ACEE58B" w14:textId="77777777" w:rsidR="008E7C06" w:rsidRPr="005D6998" w:rsidRDefault="008E7C06" w:rsidP="00A46332">
            <w:pPr>
              <w:pStyle w:val="Default"/>
              <w:jc w:val="both"/>
              <w:rPr>
                <w:sz w:val="22"/>
                <w:szCs w:val="22"/>
              </w:rPr>
            </w:pPr>
            <w:r w:rsidRPr="005D6998">
              <w:rPr>
                <w:sz w:val="22"/>
                <w:szCs w:val="22"/>
              </w:rPr>
              <w:t>La pct. 6, în redacția propusă pentru art. 4 alin. (1</w:t>
            </w:r>
            <w:r w:rsidRPr="005D6998">
              <w:rPr>
                <w:sz w:val="22"/>
                <w:szCs w:val="22"/>
                <w:vertAlign w:val="superscript"/>
              </w:rPr>
              <w:t>1</w:t>
            </w:r>
            <w:r w:rsidRPr="005D6998">
              <w:rPr>
                <w:sz w:val="22"/>
                <w:szCs w:val="22"/>
              </w:rPr>
              <w:t>) al Legii nr. 202/2017, textul „În acest sens,” se recomandă a fi exclus, deoarece nu are caracter normativ.</w:t>
            </w:r>
          </w:p>
        </w:tc>
        <w:tc>
          <w:tcPr>
            <w:tcW w:w="4960" w:type="dxa"/>
            <w:gridSpan w:val="3"/>
            <w:shd w:val="clear" w:color="auto" w:fill="FFFFFF"/>
          </w:tcPr>
          <w:p w14:paraId="3E48BC7E"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0774140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Textul „În acest sens,” a fost exclus de la art. 4 alin. (1</w:t>
            </w:r>
            <w:r w:rsidRPr="005D6998">
              <w:rPr>
                <w:rFonts w:ascii="Times New Roman" w:hAnsi="Times New Roman"/>
                <w:vertAlign w:val="superscript"/>
              </w:rPr>
              <w:t>1</w:t>
            </w:r>
            <w:r w:rsidRPr="005D6998">
              <w:rPr>
                <w:rFonts w:ascii="Times New Roman" w:hAnsi="Times New Roman"/>
              </w:rPr>
              <w:t>) și art. 5</w:t>
            </w:r>
            <w:r w:rsidRPr="005D6998">
              <w:rPr>
                <w:rFonts w:ascii="Times New Roman" w:hAnsi="Times New Roman"/>
                <w:vertAlign w:val="superscript"/>
              </w:rPr>
              <w:t xml:space="preserve">1 </w:t>
            </w:r>
            <w:r w:rsidRPr="005D6998">
              <w:rPr>
                <w:rFonts w:ascii="Times New Roman" w:hAnsi="Times New Roman"/>
              </w:rPr>
              <w:t>alin. (5).</w:t>
            </w:r>
          </w:p>
        </w:tc>
      </w:tr>
      <w:tr w:rsidR="008E7C06" w:rsidRPr="005D6998" w14:paraId="1CF9D76E" w14:textId="77777777" w:rsidTr="00651F58">
        <w:trPr>
          <w:gridAfter w:val="2"/>
          <w:wAfter w:w="153" w:type="dxa"/>
          <w:trHeight w:val="105"/>
        </w:trPr>
        <w:tc>
          <w:tcPr>
            <w:tcW w:w="899" w:type="dxa"/>
            <w:gridSpan w:val="3"/>
            <w:shd w:val="clear" w:color="auto" w:fill="FFFFFF"/>
          </w:tcPr>
          <w:p w14:paraId="1A5919F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7470B53" w14:textId="77777777" w:rsidR="008E7C06" w:rsidRPr="005D6998" w:rsidRDefault="008E7C06" w:rsidP="00A46332">
            <w:pPr>
              <w:pStyle w:val="a7"/>
              <w:tabs>
                <w:tab w:val="left" w:pos="284"/>
              </w:tabs>
              <w:spacing w:after="0" w:line="240" w:lineRule="auto"/>
              <w:ind w:left="142"/>
              <w:jc w:val="both"/>
              <w:rPr>
                <w:rFonts w:ascii="Times New Roman" w:hAnsi="Times New Roman"/>
              </w:rPr>
            </w:pPr>
            <w:r w:rsidRPr="005D6998">
              <w:rPr>
                <w:rFonts w:ascii="Times New Roman" w:hAnsi="Times New Roman"/>
                <w:b/>
                <w:bCs/>
              </w:rPr>
              <w:t>7.</w:t>
            </w:r>
            <w:r w:rsidRPr="005D6998">
              <w:rPr>
                <w:rFonts w:ascii="Times New Roman" w:hAnsi="Times New Roman"/>
              </w:rPr>
              <w:t xml:space="preserve"> Articolul 5:</w:t>
            </w:r>
          </w:p>
          <w:p w14:paraId="2B8A582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în titlul articolului, cuvintele „autorității competente” se substituie cu cuvintele „Băncii Naționale a Moldovei în calitate de autoritate competentă”;</w:t>
            </w:r>
          </w:p>
          <w:p w14:paraId="7563AFD2"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0C5CF03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la alineatul (4), după cuvintele „competenţele necesare” se completează cu textul „</w:t>
            </w:r>
            <w:bookmarkStart w:id="21" w:name="_Hlk223625985"/>
            <w:r w:rsidRPr="005D6998">
              <w:rPr>
                <w:rFonts w:ascii="Times New Roman" w:hAnsi="Times New Roman"/>
              </w:rPr>
              <w:t>, inclusiv de competențele necesare pentru a impune penalitățile cu titlu cominatoriu</w:t>
            </w:r>
            <w:bookmarkEnd w:id="21"/>
            <w:r w:rsidRPr="005D6998">
              <w:rPr>
                <w:rFonts w:ascii="Times New Roman" w:hAnsi="Times New Roman"/>
              </w:rPr>
              <w:t>”;</w:t>
            </w:r>
          </w:p>
          <w:p w14:paraId="6478619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7944E87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se completează cu alineatul (7) cu următorul cuprins:</w:t>
            </w:r>
          </w:p>
          <w:p w14:paraId="63974525"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lastRenderedPageBreak/>
              <w:t>„(7) În exercitarea atribuțiilor conferite prin prezenta lege, Banca Națională a Moldovei ia în calcul în mod corespunzător efectul potențial al deciziilor sale asupra stabilității financiare din statele membre a UE și, în special în situații de urgență, pe baza informațiilor disponibile din momentul respectiv.”.</w:t>
            </w:r>
          </w:p>
        </w:tc>
        <w:tc>
          <w:tcPr>
            <w:tcW w:w="1418" w:type="dxa"/>
            <w:gridSpan w:val="2"/>
            <w:shd w:val="clear" w:color="auto" w:fill="FFFFFF"/>
          </w:tcPr>
          <w:p w14:paraId="3D44788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6D0B5F4"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FE0FC21" w14:textId="77777777" w:rsidR="008E7C06" w:rsidRPr="005D6998" w:rsidRDefault="008E7C06" w:rsidP="00A46332">
            <w:pPr>
              <w:pStyle w:val="Default"/>
              <w:jc w:val="both"/>
              <w:rPr>
                <w:sz w:val="22"/>
                <w:szCs w:val="22"/>
              </w:rPr>
            </w:pPr>
            <w:r w:rsidRPr="005D6998">
              <w:rPr>
                <w:sz w:val="22"/>
                <w:szCs w:val="22"/>
              </w:rPr>
              <w:t xml:space="preserve">La pct. 7: </w:t>
            </w:r>
          </w:p>
          <w:p w14:paraId="45353117" w14:textId="77777777" w:rsidR="008E7C06" w:rsidRPr="005D6998" w:rsidRDefault="008E7C06" w:rsidP="00A46332">
            <w:pPr>
              <w:pStyle w:val="Default"/>
              <w:jc w:val="both"/>
              <w:rPr>
                <w:sz w:val="22"/>
                <w:szCs w:val="22"/>
              </w:rPr>
            </w:pPr>
            <w:r w:rsidRPr="005D6998">
              <w:rPr>
                <w:sz w:val="22"/>
                <w:szCs w:val="22"/>
              </w:rPr>
              <w:t xml:space="preserve">- cuvintele „în titlul articolului” se recomandă a fi substituite cu cuvintele „în denumire” (observație valabilă și pentru pct. 18, 41 - 43, 61, 63, ș.a.); </w:t>
            </w:r>
          </w:p>
          <w:p w14:paraId="24A9148D" w14:textId="77777777" w:rsidR="008E7C06" w:rsidRPr="005D6998" w:rsidRDefault="008E7C06" w:rsidP="00A46332">
            <w:pPr>
              <w:pStyle w:val="Default"/>
              <w:jc w:val="both"/>
              <w:rPr>
                <w:sz w:val="22"/>
                <w:szCs w:val="22"/>
              </w:rPr>
            </w:pPr>
          </w:p>
          <w:p w14:paraId="05862CDC" w14:textId="77777777" w:rsidR="008E7C06" w:rsidRPr="005D6998" w:rsidRDefault="008E7C06" w:rsidP="00A46332">
            <w:pPr>
              <w:pStyle w:val="Default"/>
              <w:jc w:val="both"/>
              <w:rPr>
                <w:sz w:val="22"/>
                <w:szCs w:val="22"/>
              </w:rPr>
            </w:pPr>
            <w:r w:rsidRPr="005D6998">
              <w:rPr>
                <w:sz w:val="22"/>
                <w:szCs w:val="22"/>
              </w:rPr>
              <w:t xml:space="preserve">- cu referire la dispoziția de modificare a art. 5 alin. (4) al Legii nr. 202/2017, cuvintele „de competențele necesare” se recomandă a fi excluse, deoarece în contextul în care se propun a fi incluse, sunt excedente; </w:t>
            </w:r>
          </w:p>
          <w:p w14:paraId="077399EA" w14:textId="77777777" w:rsidR="008E7C06" w:rsidRPr="005D6998" w:rsidRDefault="008E7C06" w:rsidP="00A46332">
            <w:pPr>
              <w:pStyle w:val="Default"/>
              <w:jc w:val="both"/>
              <w:rPr>
                <w:sz w:val="22"/>
                <w:szCs w:val="22"/>
              </w:rPr>
            </w:pPr>
          </w:p>
          <w:p w14:paraId="78E45D01" w14:textId="77777777" w:rsidR="008E7C06" w:rsidRPr="005D6998" w:rsidRDefault="008E7C06" w:rsidP="00A46332">
            <w:pPr>
              <w:pStyle w:val="Default"/>
              <w:jc w:val="both"/>
              <w:rPr>
                <w:sz w:val="22"/>
                <w:szCs w:val="22"/>
              </w:rPr>
            </w:pPr>
          </w:p>
          <w:p w14:paraId="6BD0D5A3" w14:textId="77777777" w:rsidR="008E7C06" w:rsidRPr="005D6998" w:rsidRDefault="008E7C06" w:rsidP="00A46332">
            <w:pPr>
              <w:pStyle w:val="Default"/>
              <w:jc w:val="both"/>
              <w:rPr>
                <w:sz w:val="22"/>
                <w:szCs w:val="22"/>
              </w:rPr>
            </w:pPr>
          </w:p>
          <w:p w14:paraId="45A0CC2B" w14:textId="77777777" w:rsidR="008E7C06" w:rsidRPr="005D6998" w:rsidRDefault="008E7C06" w:rsidP="00A46332">
            <w:pPr>
              <w:pStyle w:val="Default"/>
              <w:jc w:val="both"/>
              <w:rPr>
                <w:sz w:val="22"/>
                <w:szCs w:val="22"/>
              </w:rPr>
            </w:pPr>
          </w:p>
          <w:p w14:paraId="44C5747F" w14:textId="77777777" w:rsidR="008E7C06" w:rsidRPr="005D6998" w:rsidRDefault="008E7C06" w:rsidP="00A46332">
            <w:pPr>
              <w:pStyle w:val="Default"/>
              <w:jc w:val="both"/>
              <w:rPr>
                <w:sz w:val="22"/>
                <w:szCs w:val="22"/>
              </w:rPr>
            </w:pPr>
            <w:r w:rsidRPr="005D6998">
              <w:rPr>
                <w:sz w:val="22"/>
                <w:szCs w:val="22"/>
              </w:rPr>
              <w:lastRenderedPageBreak/>
              <w:t>- în redacția alin. (7) al art. 5, din sintagma „statele membre a UE” se vor exclude cuvintele „a UE”, având în vedere noțiunea „stat membru” propusă în art. 3 al Legii nr. 202/2017.</w:t>
            </w:r>
          </w:p>
        </w:tc>
        <w:tc>
          <w:tcPr>
            <w:tcW w:w="4960" w:type="dxa"/>
            <w:gridSpan w:val="3"/>
            <w:shd w:val="clear" w:color="auto" w:fill="FFFFFF"/>
          </w:tcPr>
          <w:p w14:paraId="66131509"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051ADF80" w14:textId="77777777" w:rsidR="008E7C06" w:rsidRPr="005D6998" w:rsidRDefault="008E7C06" w:rsidP="00A46332">
            <w:pPr>
              <w:spacing w:after="0" w:line="240" w:lineRule="auto"/>
              <w:jc w:val="both"/>
              <w:rPr>
                <w:rFonts w:ascii="Times New Roman" w:hAnsi="Times New Roman"/>
                <w:lang w:val="it-CH"/>
              </w:rPr>
            </w:pPr>
            <w:r w:rsidRPr="005D6998">
              <w:rPr>
                <w:rFonts w:ascii="Times New Roman" w:hAnsi="Times New Roman"/>
              </w:rPr>
              <w:t xml:space="preserve">Substituit cu </w:t>
            </w:r>
            <w:r w:rsidRPr="005D6998">
              <w:rPr>
                <w:rFonts w:ascii="Times New Roman" w:hAnsi="Times New Roman"/>
                <w:lang w:val="it-CH"/>
              </w:rPr>
              <w:t>“</w:t>
            </w:r>
            <w:r w:rsidRPr="005D6998">
              <w:rPr>
                <w:rFonts w:ascii="Times New Roman" w:hAnsi="Times New Roman"/>
              </w:rPr>
              <w:t>în denumire</w:t>
            </w:r>
            <w:r w:rsidRPr="005D6998">
              <w:rPr>
                <w:rFonts w:ascii="Times New Roman" w:hAnsi="Times New Roman"/>
                <w:lang w:val="it-CH"/>
              </w:rPr>
              <w:t>” la pct. 7, 18, 41, 42, 43, 61, 81, 98, 100, 107, 109, 111, 125, 126.</w:t>
            </w:r>
          </w:p>
          <w:p w14:paraId="72FCF42F" w14:textId="77777777" w:rsidR="008E7C06" w:rsidRPr="005D6998" w:rsidRDefault="008E7C06" w:rsidP="00A46332">
            <w:pPr>
              <w:spacing w:after="0" w:line="240" w:lineRule="auto"/>
              <w:jc w:val="both"/>
              <w:rPr>
                <w:rFonts w:ascii="Times New Roman" w:hAnsi="Times New Roman"/>
                <w:lang w:val="it-CH"/>
              </w:rPr>
            </w:pPr>
          </w:p>
          <w:p w14:paraId="6D30A23D" w14:textId="77777777" w:rsidR="008E7C06" w:rsidRPr="005D6998" w:rsidRDefault="008E7C06" w:rsidP="00A46332">
            <w:pPr>
              <w:spacing w:after="0" w:line="240" w:lineRule="auto"/>
              <w:jc w:val="both"/>
              <w:rPr>
                <w:rFonts w:ascii="Times New Roman" w:hAnsi="Times New Roman"/>
                <w:lang w:val="it-CH"/>
              </w:rPr>
            </w:pPr>
          </w:p>
          <w:p w14:paraId="7DCCDF0A" w14:textId="77777777" w:rsidR="008E7C06" w:rsidRPr="005D6998" w:rsidRDefault="008E7C06" w:rsidP="00A46332">
            <w:pPr>
              <w:spacing w:after="0" w:line="240" w:lineRule="auto"/>
              <w:jc w:val="both"/>
              <w:rPr>
                <w:rFonts w:ascii="Times New Roman" w:hAnsi="Times New Roman"/>
                <w:lang w:val="it-CH"/>
              </w:rPr>
            </w:pPr>
          </w:p>
          <w:p w14:paraId="37957D97" w14:textId="77777777" w:rsidR="008E7C06" w:rsidRPr="005D6998" w:rsidRDefault="008E7C06" w:rsidP="00A46332">
            <w:pPr>
              <w:spacing w:after="0" w:line="240" w:lineRule="auto"/>
              <w:jc w:val="both"/>
              <w:rPr>
                <w:rFonts w:ascii="Times New Roman" w:hAnsi="Times New Roman"/>
                <w:lang w:val="it-CH"/>
              </w:rPr>
            </w:pPr>
            <w:r w:rsidRPr="005D6998">
              <w:rPr>
                <w:rFonts w:ascii="Times New Roman" w:hAnsi="Times New Roman"/>
                <w:lang w:val="it-CH"/>
              </w:rPr>
              <w:t>Se exclude cuvântul “</w:t>
            </w:r>
            <w:r w:rsidRPr="005D6998">
              <w:rPr>
                <w:rFonts w:ascii="Times New Roman" w:hAnsi="Times New Roman"/>
              </w:rPr>
              <w:t>necesare</w:t>
            </w:r>
            <w:r w:rsidRPr="005D6998">
              <w:rPr>
                <w:rFonts w:ascii="Times New Roman" w:hAnsi="Times New Roman"/>
                <w:lang w:val="it-CH"/>
              </w:rPr>
              <w:t>” din textul cu care se completează alin. (4):</w:t>
            </w:r>
          </w:p>
          <w:p w14:paraId="7CFFE68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it-CH"/>
              </w:rPr>
              <w:t>“</w:t>
            </w:r>
            <w:r w:rsidRPr="005D6998">
              <w:rPr>
                <w:rFonts w:ascii="Times New Roman" w:hAnsi="Times New Roman"/>
              </w:rPr>
              <w:t>la alineatul (4), după cuvintele „competenţele necesare” se completează cu textul „, inclusiv de competențele pentru a impune penalitățile cu titlu cominatoriu”;”.</w:t>
            </w:r>
          </w:p>
          <w:p w14:paraId="003C306D" w14:textId="77777777" w:rsidR="008E7C06" w:rsidRPr="005D6998" w:rsidRDefault="008E7C06" w:rsidP="00A46332">
            <w:pPr>
              <w:spacing w:after="0" w:line="240" w:lineRule="auto"/>
              <w:jc w:val="both"/>
              <w:rPr>
                <w:rFonts w:ascii="Times New Roman" w:hAnsi="Times New Roman"/>
              </w:rPr>
            </w:pPr>
          </w:p>
          <w:p w14:paraId="201A757B" w14:textId="77777777" w:rsidR="008E7C06" w:rsidRPr="005D6998" w:rsidRDefault="008E7C06" w:rsidP="00A46332">
            <w:pPr>
              <w:spacing w:after="0" w:line="240" w:lineRule="auto"/>
              <w:jc w:val="both"/>
              <w:rPr>
                <w:rFonts w:ascii="Times New Roman" w:hAnsi="Times New Roman"/>
              </w:rPr>
            </w:pPr>
          </w:p>
          <w:p w14:paraId="3219A5C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Din sintagma „statele membre a UE” s-au exclus cuvintele „a UE”.</w:t>
            </w:r>
          </w:p>
        </w:tc>
      </w:tr>
      <w:tr w:rsidR="008E7C06" w:rsidRPr="005D6998" w14:paraId="298E7DDC" w14:textId="77777777" w:rsidTr="00651F58">
        <w:trPr>
          <w:gridAfter w:val="2"/>
          <w:wAfter w:w="153" w:type="dxa"/>
          <w:trHeight w:val="105"/>
        </w:trPr>
        <w:tc>
          <w:tcPr>
            <w:tcW w:w="899" w:type="dxa"/>
            <w:gridSpan w:val="3"/>
            <w:shd w:val="clear" w:color="auto" w:fill="FFFFFF"/>
          </w:tcPr>
          <w:p w14:paraId="37CA4E69"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72ED581"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8.</w:t>
            </w:r>
            <w:r w:rsidRPr="005D6998">
              <w:rPr>
                <w:rFonts w:ascii="Times New Roman" w:hAnsi="Times New Roman"/>
              </w:rPr>
              <w:t xml:space="preserve"> Se completează cu articolul 5</w:t>
            </w:r>
            <w:r w:rsidRPr="005D6998">
              <w:rPr>
                <w:rFonts w:ascii="Times New Roman" w:hAnsi="Times New Roman"/>
                <w:vertAlign w:val="superscript"/>
              </w:rPr>
              <w:t xml:space="preserve">1 </w:t>
            </w:r>
            <w:r w:rsidRPr="005D6998">
              <w:rPr>
                <w:rFonts w:ascii="Times New Roman" w:hAnsi="Times New Roman"/>
              </w:rPr>
              <w:t>cu următorul cuprins:</w:t>
            </w:r>
          </w:p>
          <w:p w14:paraId="0AC19B05"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Pr>
                <w:rFonts w:ascii="Times New Roman" w:hAnsi="Times New Roman"/>
                <w:b/>
                <w:bCs/>
              </w:rPr>
              <w:t>Articolul 5</w:t>
            </w:r>
            <w:r w:rsidRPr="005D6998">
              <w:rPr>
                <w:rFonts w:ascii="Times New Roman" w:hAnsi="Times New Roman"/>
                <w:b/>
                <w:bCs/>
                <w:vertAlign w:val="superscript"/>
              </w:rPr>
              <w:t>1</w:t>
            </w:r>
            <w:r w:rsidRPr="005D6998">
              <w:rPr>
                <w:rFonts w:ascii="Times New Roman" w:hAnsi="Times New Roman"/>
                <w:b/>
                <w:bCs/>
              </w:rPr>
              <w:t>.</w:t>
            </w:r>
            <w:r w:rsidRPr="005D6998">
              <w:rPr>
                <w:rFonts w:ascii="Times New Roman" w:hAnsi="Times New Roman"/>
              </w:rPr>
              <w:t xml:space="preserve"> Atribuţiile de autorizare, reglementare și supraveghere ale Comisiei Naționale a Pieței Financiare în calitate de autoritate competentă </w:t>
            </w:r>
          </w:p>
          <w:p w14:paraId="4064CA8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 Comisia Națională a Pieței Financiare realizează autorizarea, reglementarea și supravegherea prudențială a instituțiilor de credit care desfășoară activitățile prevăzute la art. 3 noțiunea „</w:t>
            </w:r>
            <w:r w:rsidRPr="005D6998">
              <w:rPr>
                <w:rFonts w:ascii="Times New Roman" w:hAnsi="Times New Roman"/>
                <w:i/>
                <w:iCs/>
              </w:rPr>
              <w:t>instituție de credit</w:t>
            </w:r>
            <w:r w:rsidRPr="005D6998">
              <w:rPr>
                <w:rFonts w:ascii="Times New Roman" w:hAnsi="Times New Roman"/>
              </w:rPr>
              <w:t>” lit. b) pe teritoriul Republicii Moldova potrivit prevederilor prezentei legi şi actelor normative emise în aplicarea acesteia.</w:t>
            </w:r>
          </w:p>
          <w:p w14:paraId="75BABAB0"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(2) În aplicarea dispozițiilor alin.(1), competențele și atribuțiile Băncii Naționale a Moldovei aferente cerințelor prevăzute de prezenta lege se consideră aplicabile Comisiei Naționale a Pieței Financiare.</w:t>
            </w:r>
          </w:p>
          <w:p w14:paraId="1798F8B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(3) Comisia Națională a Pieței Financiare monitorizează activităţile instituţiilor de credit prevăzute la art. 3 noțiunea “</w:t>
            </w:r>
            <w:r w:rsidRPr="005D6998">
              <w:rPr>
                <w:rFonts w:ascii="Times New Roman" w:hAnsi="Times New Roman"/>
                <w:i/>
                <w:iCs/>
              </w:rPr>
              <w:t>instituție de credit</w:t>
            </w:r>
            <w:r w:rsidRPr="005D6998">
              <w:rPr>
                <w:rFonts w:ascii="Times New Roman" w:hAnsi="Times New Roman"/>
              </w:rPr>
              <w:t xml:space="preserve">” lit. b) pe teritoriul Republicii Moldova, precum şi, în cazul în care este autoritate </w:t>
            </w:r>
            <w:r w:rsidRPr="005D6998">
              <w:rPr>
                <w:rFonts w:ascii="Times New Roman" w:hAnsi="Times New Roman"/>
              </w:rPr>
              <w:lastRenderedPageBreak/>
              <w:t xml:space="preserve">responsabilă cu supravegherea pe bază consolidată, activităţile societăţilor financiare holding şi ale societăţilor financiare holding mixte, pentru prevederile aplicabile acestora, în scopul evaluării conformării la cerinţele prudenţiale prevăzute de </w:t>
            </w:r>
            <w:r w:rsidRPr="005D6998">
              <w:rPr>
                <w:rFonts w:ascii="Times New Roman" w:hAnsi="Times New Roman"/>
                <w:b/>
                <w:bCs/>
              </w:rPr>
              <w:t>prezenta lege şi de actele normative emise în aplicarea acesteia.</w:t>
            </w:r>
          </w:p>
          <w:p w14:paraId="628B157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(4) În exercitarea competenţelor sale prevăzute de lege, Comisia Națională a Pieței Financiare colectează şi procesează orice date şi informaţii relevante, inclusiv de natura datelor cu caracter personal, necesare pentru evaluarea conformării instituţiilor de credit prevăzute la art. 3 noțiunea „</w:t>
            </w:r>
            <w:r w:rsidRPr="005D6998">
              <w:rPr>
                <w:rFonts w:ascii="Times New Roman" w:hAnsi="Times New Roman"/>
                <w:i/>
                <w:iCs/>
              </w:rPr>
              <w:t>instituție de credit</w:t>
            </w:r>
            <w:r w:rsidRPr="005D6998">
              <w:rPr>
                <w:rFonts w:ascii="Times New Roman" w:hAnsi="Times New Roman"/>
              </w:rPr>
              <w:t xml:space="preserve">” lit. b) pe teritoriul Republicii Moldova, precum şi, în cazul în care este autoritate responsabilă cu supravegherea pe bază consolidată a societăţilor financiare holding şi a societăţilor financiare holding mixte, la cerinţele prudenţiale </w:t>
            </w:r>
            <w:r w:rsidRPr="005D6998">
              <w:rPr>
                <w:rFonts w:ascii="Times New Roman" w:hAnsi="Times New Roman"/>
                <w:b/>
                <w:bCs/>
              </w:rPr>
              <w:t>prevăzute de prezenta lege şi de actele normative emise în aplicarea acesteia</w:t>
            </w:r>
            <w:r w:rsidRPr="005D6998">
              <w:rPr>
                <w:rFonts w:ascii="Times New Roman" w:hAnsi="Times New Roman"/>
              </w:rPr>
              <w:t>.</w:t>
            </w:r>
          </w:p>
          <w:p w14:paraId="0CC28564"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1D84120A"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(8) În aplicarea prezentei legi și a actelor normative emise în aplicarea acesteia, orice referire la Banca Naţională a Moldovei în raport cu instituțiile de credit prevăzute la art. 3 noțiunea „</w:t>
            </w:r>
            <w:r w:rsidRPr="005D6998">
              <w:rPr>
                <w:rFonts w:ascii="Times New Roman" w:hAnsi="Times New Roman"/>
                <w:i/>
                <w:iCs/>
              </w:rPr>
              <w:t>instituție de credit</w:t>
            </w:r>
            <w:r w:rsidRPr="005D6998">
              <w:rPr>
                <w:rFonts w:ascii="Times New Roman" w:hAnsi="Times New Roman"/>
              </w:rPr>
              <w:t>” lit. b) se consideră a fi făcută la Comisia Națională a Pieței Financiare.</w:t>
            </w:r>
          </w:p>
        </w:tc>
        <w:tc>
          <w:tcPr>
            <w:tcW w:w="1418" w:type="dxa"/>
            <w:gridSpan w:val="2"/>
            <w:shd w:val="clear" w:color="auto" w:fill="FFFFFF"/>
          </w:tcPr>
          <w:p w14:paraId="6EB4D2C3"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A066778"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52BC3E55" w14:textId="77777777" w:rsidR="008E7C06" w:rsidRPr="005D6998" w:rsidRDefault="008E7C06" w:rsidP="00A46332">
            <w:pPr>
              <w:pStyle w:val="Default"/>
              <w:jc w:val="both"/>
              <w:rPr>
                <w:sz w:val="22"/>
                <w:szCs w:val="22"/>
              </w:rPr>
            </w:pPr>
            <w:r w:rsidRPr="005D6998">
              <w:rPr>
                <w:sz w:val="22"/>
                <w:szCs w:val="22"/>
              </w:rPr>
              <w:t xml:space="preserve">La pct. 8: </w:t>
            </w:r>
          </w:p>
          <w:p w14:paraId="1AB0379F" w14:textId="77777777" w:rsidR="008E7C06" w:rsidRPr="005D6998" w:rsidRDefault="008E7C06" w:rsidP="00A46332">
            <w:pPr>
              <w:pStyle w:val="Default"/>
              <w:jc w:val="both"/>
              <w:rPr>
                <w:sz w:val="22"/>
                <w:szCs w:val="22"/>
              </w:rPr>
            </w:pPr>
            <w:r w:rsidRPr="005D6998">
              <w:rPr>
                <w:sz w:val="22"/>
                <w:szCs w:val="22"/>
              </w:rPr>
              <w:t>În tot textul art. 5</w:t>
            </w:r>
            <w:r w:rsidRPr="005D6998">
              <w:rPr>
                <w:sz w:val="22"/>
                <w:szCs w:val="22"/>
                <w:vertAlign w:val="superscript"/>
              </w:rPr>
              <w:t>1</w:t>
            </w:r>
            <w:r w:rsidRPr="005D6998">
              <w:rPr>
                <w:sz w:val="22"/>
                <w:szCs w:val="22"/>
              </w:rPr>
              <w:t xml:space="preserve"> se va analiza necesitatea detalierii cuvintelor „și actelor normative emise în aplicarea acesteia, în vederea indicării autorității emitente (observație valabilă și pentru pct. 27, cu referire la redacția art. 34 alin. (23); pct. 65, cu referire la redacția art. 77 alin. (2) al Legii nr. 202/2027, precum și în alte puncte din proiect). </w:t>
            </w:r>
          </w:p>
          <w:p w14:paraId="75528216" w14:textId="77777777" w:rsidR="008E7C06" w:rsidRPr="005D6998" w:rsidRDefault="008E7C06" w:rsidP="00A46332">
            <w:pPr>
              <w:pStyle w:val="Default"/>
              <w:jc w:val="both"/>
              <w:rPr>
                <w:sz w:val="22"/>
                <w:szCs w:val="22"/>
              </w:rPr>
            </w:pPr>
          </w:p>
          <w:p w14:paraId="79557016" w14:textId="77777777" w:rsidR="008E7C06" w:rsidRPr="005D6998" w:rsidRDefault="008E7C06" w:rsidP="00A46332">
            <w:pPr>
              <w:pStyle w:val="Default"/>
              <w:jc w:val="both"/>
              <w:rPr>
                <w:sz w:val="22"/>
                <w:szCs w:val="22"/>
              </w:rPr>
            </w:pPr>
          </w:p>
          <w:p w14:paraId="5DBA03FC" w14:textId="77777777" w:rsidR="008E7C06" w:rsidRPr="005D6998" w:rsidRDefault="008E7C06" w:rsidP="00A46332">
            <w:pPr>
              <w:pStyle w:val="Default"/>
              <w:jc w:val="both"/>
              <w:rPr>
                <w:sz w:val="22"/>
                <w:szCs w:val="22"/>
              </w:rPr>
            </w:pPr>
          </w:p>
          <w:p w14:paraId="4437CE76" w14:textId="77777777" w:rsidR="008E7C06" w:rsidRPr="005D6998" w:rsidRDefault="008E7C06" w:rsidP="00A46332">
            <w:pPr>
              <w:pStyle w:val="Default"/>
              <w:jc w:val="both"/>
              <w:rPr>
                <w:sz w:val="22"/>
                <w:szCs w:val="22"/>
              </w:rPr>
            </w:pPr>
          </w:p>
          <w:p w14:paraId="2BF85EA2" w14:textId="77777777" w:rsidR="008E7C06" w:rsidRPr="005D6998" w:rsidRDefault="008E7C06" w:rsidP="00A46332">
            <w:pPr>
              <w:pStyle w:val="Default"/>
              <w:jc w:val="both"/>
              <w:rPr>
                <w:sz w:val="22"/>
                <w:szCs w:val="22"/>
              </w:rPr>
            </w:pPr>
          </w:p>
          <w:p w14:paraId="7253378D" w14:textId="77777777" w:rsidR="008E7C06" w:rsidRPr="005D6998" w:rsidRDefault="008E7C06" w:rsidP="00A46332">
            <w:pPr>
              <w:pStyle w:val="Default"/>
              <w:jc w:val="both"/>
              <w:rPr>
                <w:sz w:val="22"/>
                <w:szCs w:val="22"/>
              </w:rPr>
            </w:pPr>
          </w:p>
          <w:p w14:paraId="7D872018" w14:textId="77777777" w:rsidR="008E7C06" w:rsidRPr="005D6998" w:rsidRDefault="008E7C06" w:rsidP="00A46332">
            <w:pPr>
              <w:pStyle w:val="Default"/>
              <w:jc w:val="both"/>
              <w:rPr>
                <w:sz w:val="22"/>
                <w:szCs w:val="22"/>
              </w:rPr>
            </w:pPr>
            <w:r w:rsidRPr="005D6998">
              <w:rPr>
                <w:sz w:val="22"/>
                <w:szCs w:val="22"/>
              </w:rPr>
              <w:t>Dispozițiile alin. (2) dublează dispozițiile alin. (8), dublajul normativ fiind inadmisibil.</w:t>
            </w:r>
          </w:p>
        </w:tc>
        <w:tc>
          <w:tcPr>
            <w:tcW w:w="4960" w:type="dxa"/>
            <w:gridSpan w:val="3"/>
            <w:shd w:val="clear" w:color="auto" w:fill="FFFFFF"/>
          </w:tcPr>
          <w:p w14:paraId="43E72CE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16B39C2D"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Menținerea sintagmei „actelor normative emise în aplicarea acesteia” fără indicarea autorității emitente este justificată de necesitatea asigurării continuității și coerenței cadrului normativ aplicabil, inclusiv sub aspectul competențelor de reglementare.</w:t>
            </w:r>
          </w:p>
          <w:p w14:paraId="037B2B8A"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În acest context, cadrul normativ aplicabil societăților de investiții de dimensiuni mari care se califică drept instituții de credit este relativ nou și urmează să fie adaptat și completat în funcție de noile cerințe instituite prin proiectul de lege, inclusiv prin actele normative necesare exercitării competențelor de reglementare ale autorității competente. Formularea generală permite includerea atât a actelor normative existente, cât și a celor care vor fi elaborate și adoptate ulterior.</w:t>
            </w:r>
          </w:p>
          <w:p w14:paraId="274201A9" w14:textId="77777777" w:rsidR="008E7C06" w:rsidRPr="005D6998" w:rsidRDefault="008E7C06" w:rsidP="00A46332">
            <w:pPr>
              <w:spacing w:after="0" w:line="240" w:lineRule="auto"/>
              <w:jc w:val="both"/>
              <w:rPr>
                <w:rFonts w:ascii="Times New Roman" w:hAnsi="Times New Roman"/>
              </w:rPr>
            </w:pPr>
          </w:p>
          <w:p w14:paraId="2A46708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Dispozițiile alin. (2) și alin. (8) ale art. 5</w:t>
            </w:r>
            <w:r w:rsidRPr="005D6998">
              <w:rPr>
                <w:rFonts w:ascii="Times New Roman" w:hAnsi="Times New Roman"/>
                <w:vertAlign w:val="superscript"/>
              </w:rPr>
              <w:t>1</w:t>
            </w:r>
            <w:r w:rsidRPr="005D6998">
              <w:rPr>
                <w:rFonts w:ascii="Times New Roman" w:hAnsi="Times New Roman"/>
              </w:rPr>
              <w:t xml:space="preserve"> nu au caracter identic și nu reglementează aceeași situație juridică.</w:t>
            </w:r>
          </w:p>
          <w:p w14:paraId="6B57FDD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(2) stabilește exercitarea de către CNPF a competențelor și atribuțiilor aferente cerințelor prevăzute de lege care revin BNM.</w:t>
            </w:r>
          </w:p>
          <w:p w14:paraId="29B1817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Alin. (8), în schimb, instituie o regulă de interpretare a referințelor normative, potrivit căreia orice referire la BNM în raport cu instituțiile de credit de la lit. b) a noțiunii de “instituție de credit” se consideră a fi făcută la CNPF. Această regulă este necesară pentru </w:t>
            </w:r>
            <w:r w:rsidRPr="005D6998">
              <w:rPr>
                <w:rFonts w:ascii="Times New Roman" w:hAnsi="Times New Roman"/>
              </w:rPr>
              <w:lastRenderedPageBreak/>
              <w:t>asigurarea aplicării coerente nu doar a legii, ci și a actelor normative emise în aplicarea acesteia.</w:t>
            </w:r>
          </w:p>
          <w:p w14:paraId="19C1596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Astfel, nu există o dublare normativă, iar menținerea ambelor dispoziții este justificată.</w:t>
            </w:r>
          </w:p>
        </w:tc>
      </w:tr>
      <w:tr w:rsidR="008E7C06" w:rsidRPr="005D6998" w14:paraId="751BF016" w14:textId="77777777" w:rsidTr="00651F58">
        <w:trPr>
          <w:gridAfter w:val="2"/>
          <w:wAfter w:w="153" w:type="dxa"/>
          <w:trHeight w:val="105"/>
        </w:trPr>
        <w:tc>
          <w:tcPr>
            <w:tcW w:w="899" w:type="dxa"/>
            <w:gridSpan w:val="3"/>
            <w:shd w:val="clear" w:color="auto" w:fill="FFFFFF"/>
          </w:tcPr>
          <w:p w14:paraId="5A7F2D6C"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BFE738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10.</w:t>
            </w:r>
            <w:r w:rsidRPr="005D6998">
              <w:rPr>
                <w:rFonts w:ascii="Times New Roman" w:hAnsi="Times New Roman"/>
              </w:rPr>
              <w:t xml:space="preserve"> La articolul 7 alineatul (1), textul „Se interzice oricărei persoane, alta decât o bancă licenţiată sau sucursală licenţiată a unei bănci din alt stat, să utilizeze denumirea de „bancă” se substituie cu textul „Se interzice oricărei persoane, alta decât o instituție de credit  autorizată sau sucursala unei instituții de credit dintr-un  stat terț ori sucursala instituției de credit autorizată într-un stat membru care desfășoară activitate pe teritoriul Republicii Moldova, să utilizeze denumirea de „bancă/instituție de credit””.</w:t>
            </w:r>
          </w:p>
        </w:tc>
        <w:tc>
          <w:tcPr>
            <w:tcW w:w="1418" w:type="dxa"/>
            <w:gridSpan w:val="2"/>
            <w:shd w:val="clear" w:color="auto" w:fill="FFFFFF"/>
          </w:tcPr>
          <w:p w14:paraId="4BA3067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83AF551"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8E1FD38" w14:textId="77777777" w:rsidR="008E7C06" w:rsidRPr="005D6998" w:rsidRDefault="008E7C06" w:rsidP="00A46332">
            <w:pPr>
              <w:pStyle w:val="Default"/>
              <w:jc w:val="both"/>
              <w:rPr>
                <w:sz w:val="22"/>
                <w:szCs w:val="22"/>
              </w:rPr>
            </w:pPr>
            <w:r w:rsidRPr="005D6998">
              <w:rPr>
                <w:sz w:val="22"/>
                <w:szCs w:val="22"/>
              </w:rPr>
              <w:t>La pct. 10, textul „bancă/instituție de credit” se recomandă a fi substituit cu textul „„bancă” sau „instituție de credit””.</w:t>
            </w:r>
          </w:p>
        </w:tc>
        <w:tc>
          <w:tcPr>
            <w:tcW w:w="4960" w:type="dxa"/>
            <w:gridSpan w:val="3"/>
            <w:shd w:val="clear" w:color="auto" w:fill="FFFFFF"/>
          </w:tcPr>
          <w:p w14:paraId="30BC0A30"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38DF99C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Se substituie textul „bancă/instituție de credit”  cu textul „bancă” sau </w:t>
            </w:r>
            <w:r w:rsidRPr="005D6998">
              <w:rPr>
                <w:rFonts w:ascii="Times New Roman" w:hAnsi="Times New Roman"/>
                <w:lang w:val="pt-BR"/>
              </w:rPr>
              <w:t>“</w:t>
            </w:r>
            <w:r w:rsidRPr="005D6998">
              <w:rPr>
                <w:rFonts w:ascii="Times New Roman" w:hAnsi="Times New Roman"/>
              </w:rPr>
              <w:t>instituție de credit”.</w:t>
            </w:r>
          </w:p>
        </w:tc>
      </w:tr>
      <w:tr w:rsidR="008E7C06" w:rsidRPr="005D6998" w14:paraId="0FFC9411" w14:textId="77777777" w:rsidTr="00651F58">
        <w:trPr>
          <w:gridAfter w:val="2"/>
          <w:wAfter w:w="153" w:type="dxa"/>
          <w:trHeight w:val="105"/>
        </w:trPr>
        <w:tc>
          <w:tcPr>
            <w:tcW w:w="899" w:type="dxa"/>
            <w:gridSpan w:val="3"/>
            <w:shd w:val="clear" w:color="auto" w:fill="FFFFFF"/>
          </w:tcPr>
          <w:p w14:paraId="4BD6790C"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DEEA157"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11</w:t>
            </w:r>
            <w:r w:rsidRPr="005D6998">
              <w:rPr>
                <w:rFonts w:ascii="Times New Roman" w:hAnsi="Times New Roman"/>
              </w:rPr>
              <w:t xml:space="preserve">. Articolul 8: </w:t>
            </w:r>
          </w:p>
          <w:p w14:paraId="46B07A9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la alineatul (2), cuvintele „de a elibera licenţe băncilor” se substituie cu textul „de a elibera autorizații instituțiilor de credit pentru desfășurarea activităților prevăzute la art. 14 alin.(1)”;</w:t>
            </w:r>
          </w:p>
          <w:p w14:paraId="7B5BF9F3" w14:textId="77777777" w:rsidR="008E7C06" w:rsidRPr="005D6998" w:rsidRDefault="008E7C06" w:rsidP="00A46332">
            <w:pPr>
              <w:spacing w:after="0" w:line="240" w:lineRule="auto"/>
              <w:ind w:firstLine="708"/>
              <w:jc w:val="both"/>
              <w:rPr>
                <w:rFonts w:ascii="Times New Roman" w:hAnsi="Times New Roman"/>
                <w:lang w:val="en-US"/>
              </w:rPr>
            </w:pPr>
            <w:r w:rsidRPr="005D6998">
              <w:rPr>
                <w:rFonts w:ascii="Times New Roman" w:hAnsi="Times New Roman"/>
                <w:lang w:val="en-US"/>
              </w:rPr>
              <w:t>[…]</w:t>
            </w:r>
          </w:p>
        </w:tc>
        <w:tc>
          <w:tcPr>
            <w:tcW w:w="1418" w:type="dxa"/>
            <w:gridSpan w:val="2"/>
            <w:shd w:val="clear" w:color="auto" w:fill="FFFFFF"/>
          </w:tcPr>
          <w:p w14:paraId="1290CC3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7F784B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4DAC454A" w14:textId="77777777" w:rsidR="008E7C06" w:rsidRPr="005D6998" w:rsidRDefault="008E7C06" w:rsidP="00A46332">
            <w:pPr>
              <w:pStyle w:val="Default"/>
              <w:jc w:val="both"/>
              <w:rPr>
                <w:sz w:val="22"/>
                <w:szCs w:val="22"/>
              </w:rPr>
            </w:pPr>
            <w:r w:rsidRPr="005D6998">
              <w:rPr>
                <w:sz w:val="22"/>
                <w:szCs w:val="22"/>
              </w:rPr>
              <w:t xml:space="preserve">La pct. 11, potrivit redacției propuse la art. 8 alin. (2) al Legii nr. 202/2017, Banca Națională a Moldovei este învestită cu dreptul exclusiv de a elibera autorizații instituțiilor de credit pentru desfășurarea activităților prevăzute la art. 14 alin. (1). </w:t>
            </w:r>
          </w:p>
          <w:p w14:paraId="64EB00AC" w14:textId="77777777" w:rsidR="008E7C06" w:rsidRPr="005D6998" w:rsidRDefault="008E7C06" w:rsidP="00A46332">
            <w:pPr>
              <w:pStyle w:val="Default"/>
              <w:jc w:val="both"/>
              <w:rPr>
                <w:sz w:val="22"/>
                <w:szCs w:val="22"/>
              </w:rPr>
            </w:pPr>
          </w:p>
          <w:p w14:paraId="2685A9B1" w14:textId="77777777" w:rsidR="008E7C06" w:rsidRPr="005D6998" w:rsidRDefault="008E7C06" w:rsidP="00A46332">
            <w:pPr>
              <w:pStyle w:val="Default"/>
              <w:jc w:val="both"/>
              <w:rPr>
                <w:sz w:val="22"/>
                <w:szCs w:val="22"/>
              </w:rPr>
            </w:pPr>
            <w:r w:rsidRPr="005D6998">
              <w:rPr>
                <w:sz w:val="22"/>
                <w:szCs w:val="22"/>
              </w:rPr>
              <w:t>În context, dreptul exclusiv al Băncii Naționale a Moldovei de a elibera autorizații instituțiilor de credit pentru desfășurarea activităților prevăzute la art. 14 alin. (1) se va analiza suplimentar, având în vedere că, potrivit proiectului pentru unele activități prevăzute la lit. b) a noțiunii „instituție de credit” (a se vedea redacția art. 3) autorizarea se realizează de către Comisia Națională a Pieței Financiare (a se vedea redacția propusă pentru art. 4 alin. (1</w:t>
            </w:r>
            <w:r w:rsidRPr="005D6998">
              <w:rPr>
                <w:sz w:val="22"/>
                <w:szCs w:val="22"/>
                <w:vertAlign w:val="superscript"/>
              </w:rPr>
              <w:t>1</w:t>
            </w:r>
            <w:r w:rsidRPr="005D6998">
              <w:rPr>
                <w:sz w:val="22"/>
                <w:szCs w:val="22"/>
              </w:rPr>
              <w:t>)).</w:t>
            </w:r>
          </w:p>
        </w:tc>
        <w:tc>
          <w:tcPr>
            <w:tcW w:w="4960" w:type="dxa"/>
            <w:gridSpan w:val="3"/>
            <w:shd w:val="clear" w:color="auto" w:fill="FFFFFF"/>
          </w:tcPr>
          <w:p w14:paraId="70CBB1A8"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516B6960"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Trimiterea din art. 8 alin. (2) la activitățile prevăzute la art. 14 alin. (1) este una intenționată și urmărește specificarea competențelor de autorizare ale BNM.</w:t>
            </w:r>
          </w:p>
          <w:p w14:paraId="20B65EB8"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Astfel, activitățile prevăzute la art. 14 alin. (1) reprezintă activitățile bancare pentru care competența de autorizare revine BNM. </w:t>
            </w:r>
          </w:p>
          <w:p w14:paraId="0F5C8054"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În schimb, activitățile desfășurate de societățile de investiții care intră în sfera noțiunii de „instituție de credit” de la art. 3 lit. b) nu sunt incluse în art. 14 alin. (1), iar pentru acestea competența de autorizare este atribuită CNPF, conform art. 4 alin. (1</w:t>
            </w:r>
            <w:r w:rsidRPr="005D6998">
              <w:rPr>
                <w:rFonts w:ascii="Times New Roman" w:hAnsi="Times New Roman"/>
                <w:vertAlign w:val="superscript"/>
                <w:lang w:val="ro-MD"/>
              </w:rPr>
              <w:t>1</w:t>
            </w:r>
            <w:r w:rsidRPr="005D6998">
              <w:rPr>
                <w:rFonts w:ascii="Times New Roman" w:hAnsi="Times New Roman"/>
                <w:lang w:val="ro-MD"/>
              </w:rPr>
              <w:t>).</w:t>
            </w:r>
          </w:p>
          <w:p w14:paraId="6AB3D4EE"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Prin urmare, faptul că societățile de investiții sunt incluse în noțiunea de „instituție de credit” nu determină, în mod automat, extinderea competenței BNM asupra autorizării activităților acestora. Menționarea expresă a activităților de la art. 14 alin. (1) în art. 8 alin. (2) are tocmai rolul de a delimita competențele autorităților în discuție.</w:t>
            </w:r>
          </w:p>
        </w:tc>
      </w:tr>
      <w:tr w:rsidR="008E7C06" w:rsidRPr="005D6998" w14:paraId="359B631C" w14:textId="77777777" w:rsidTr="00651F58">
        <w:trPr>
          <w:gridAfter w:val="2"/>
          <w:wAfter w:w="153" w:type="dxa"/>
          <w:trHeight w:val="105"/>
        </w:trPr>
        <w:tc>
          <w:tcPr>
            <w:tcW w:w="899" w:type="dxa"/>
            <w:gridSpan w:val="3"/>
            <w:shd w:val="clear" w:color="auto" w:fill="FFFFFF"/>
          </w:tcPr>
          <w:p w14:paraId="67C90F5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75E5B2B"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b/>
                <w:bCs/>
              </w:rPr>
              <w:t>13</w:t>
            </w:r>
            <w:r w:rsidRPr="005D6998">
              <w:rPr>
                <w:rFonts w:ascii="Times New Roman" w:hAnsi="Times New Roman"/>
              </w:rPr>
              <w:t>. Articolul 11 alineatul (2), după cuvintele „art. 43” șe completează cu textul „-art. 43</w:t>
            </w:r>
            <w:r w:rsidRPr="005D6998">
              <w:rPr>
                <w:rFonts w:ascii="Times New Roman" w:hAnsi="Times New Roman"/>
                <w:vertAlign w:val="superscript"/>
              </w:rPr>
              <w:t>1</w:t>
            </w:r>
            <w:r w:rsidRPr="005D6998">
              <w:rPr>
                <w:rFonts w:ascii="Times New Roman" w:hAnsi="Times New Roman"/>
              </w:rPr>
              <w:t>”.</w:t>
            </w:r>
          </w:p>
        </w:tc>
        <w:tc>
          <w:tcPr>
            <w:tcW w:w="1418" w:type="dxa"/>
            <w:gridSpan w:val="2"/>
            <w:shd w:val="clear" w:color="auto" w:fill="FFFFFF"/>
          </w:tcPr>
          <w:p w14:paraId="69DC3CF0"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11AA57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64BB89A" w14:textId="77777777" w:rsidR="008E7C06" w:rsidRPr="005D6998" w:rsidRDefault="008E7C06" w:rsidP="00A46332">
            <w:pPr>
              <w:pStyle w:val="Default"/>
              <w:jc w:val="both"/>
              <w:rPr>
                <w:sz w:val="22"/>
                <w:szCs w:val="22"/>
              </w:rPr>
            </w:pPr>
            <w:r w:rsidRPr="005D6998">
              <w:rPr>
                <w:sz w:val="22"/>
                <w:szCs w:val="22"/>
              </w:rPr>
              <w:t>Dispoziția pct. 13 se va reformula, în vederea expunerii că „articolul 11 alineatul (2), după textul „art. 43” se completează cu textul „și 43</w:t>
            </w:r>
            <w:r w:rsidRPr="005D6998">
              <w:rPr>
                <w:sz w:val="22"/>
                <w:szCs w:val="22"/>
                <w:vertAlign w:val="superscript"/>
              </w:rPr>
              <w:t>1</w:t>
            </w:r>
            <w:r w:rsidRPr="005D6998">
              <w:rPr>
                <w:sz w:val="22"/>
                <w:szCs w:val="22"/>
              </w:rPr>
              <w:t>”” (observație similară valabilă și pentru pct. 17).</w:t>
            </w:r>
          </w:p>
        </w:tc>
        <w:tc>
          <w:tcPr>
            <w:tcW w:w="4960" w:type="dxa"/>
            <w:gridSpan w:val="3"/>
            <w:shd w:val="clear" w:color="auto" w:fill="FFFFFF"/>
          </w:tcPr>
          <w:p w14:paraId="11F5C00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BD42BA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Pct. 13 și pct. 17 a fost redactat conform propunerii.</w:t>
            </w:r>
          </w:p>
        </w:tc>
      </w:tr>
      <w:tr w:rsidR="008E7C06" w:rsidRPr="005D6998" w14:paraId="09D0A3E6" w14:textId="77777777" w:rsidTr="00651F58">
        <w:trPr>
          <w:gridAfter w:val="2"/>
          <w:wAfter w:w="153" w:type="dxa"/>
          <w:trHeight w:val="105"/>
        </w:trPr>
        <w:tc>
          <w:tcPr>
            <w:tcW w:w="899" w:type="dxa"/>
            <w:gridSpan w:val="3"/>
            <w:shd w:val="clear" w:color="auto" w:fill="FFFFFF"/>
          </w:tcPr>
          <w:p w14:paraId="253600E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3CDDF63" w14:textId="77777777" w:rsidR="008E7C06" w:rsidRPr="005D6998" w:rsidRDefault="008E7C06" w:rsidP="00A46332">
            <w:pPr>
              <w:tabs>
                <w:tab w:val="left" w:pos="426"/>
              </w:tabs>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b/>
                <w:bCs/>
                <w:kern w:val="2"/>
                <w:lang w:eastAsia="en-US"/>
                <w14:ligatures w14:val="standardContextual"/>
              </w:rPr>
              <w:t>16</w:t>
            </w:r>
            <w:r w:rsidRPr="005D6998">
              <w:rPr>
                <w:rFonts w:ascii="Times New Roman" w:eastAsiaTheme="minorHAnsi" w:hAnsi="Times New Roman"/>
                <w:kern w:val="2"/>
                <w:lang w:eastAsia="en-US"/>
                <w14:ligatures w14:val="standardContextual"/>
              </w:rPr>
              <w:t>. Articolul 18:</w:t>
            </w:r>
          </w:p>
          <w:p w14:paraId="2BFF8C4B" w14:textId="77777777" w:rsidR="008E7C06" w:rsidRPr="005D6998" w:rsidRDefault="008E7C06" w:rsidP="00A46332">
            <w:pPr>
              <w:tabs>
                <w:tab w:val="left" w:pos="426"/>
              </w:tabs>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la alineatul (1), </w:t>
            </w:r>
          </w:p>
          <w:p w14:paraId="05B5DCFC" w14:textId="77777777" w:rsidR="008E7C06" w:rsidRPr="005D6998" w:rsidRDefault="008E7C06" w:rsidP="00A46332">
            <w:pPr>
              <w:tabs>
                <w:tab w:val="left" w:pos="426"/>
              </w:tabs>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ab/>
              <w:t>după cuvintele „altui stat” se completează cu cuvântul „membru” iar cuvintele „în alt stat” se substituie cu cuvintele „dintr-un stat membru”;</w:t>
            </w:r>
          </w:p>
          <w:p w14:paraId="2CEB6AD1" w14:textId="77777777" w:rsidR="008E7C06" w:rsidRPr="005D6998" w:rsidRDefault="008E7C06" w:rsidP="00A46332">
            <w:pPr>
              <w:tabs>
                <w:tab w:val="left" w:pos="426"/>
              </w:tabs>
              <w:spacing w:after="0" w:line="240" w:lineRule="auto"/>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 </w:t>
            </w:r>
          </w:p>
        </w:tc>
        <w:tc>
          <w:tcPr>
            <w:tcW w:w="1418" w:type="dxa"/>
            <w:gridSpan w:val="2"/>
            <w:shd w:val="clear" w:color="auto" w:fill="FFFFFF"/>
          </w:tcPr>
          <w:p w14:paraId="5E6DA166"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ED5BF37"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59156FCE" w14:textId="77777777" w:rsidR="008E7C06" w:rsidRPr="005D6998" w:rsidRDefault="008E7C06" w:rsidP="00A46332">
            <w:pPr>
              <w:pStyle w:val="Default"/>
              <w:jc w:val="both"/>
              <w:rPr>
                <w:sz w:val="22"/>
                <w:szCs w:val="22"/>
              </w:rPr>
            </w:pPr>
            <w:r w:rsidRPr="005D6998">
              <w:rPr>
                <w:sz w:val="22"/>
                <w:szCs w:val="22"/>
              </w:rPr>
              <w:t>La pct. 16, textul „iar cuvintele „în alt stat” se substituie cu cuvintele „dintr-un stat membru”” se va exclude, ca fiind excedent.</w:t>
            </w:r>
          </w:p>
        </w:tc>
        <w:tc>
          <w:tcPr>
            <w:tcW w:w="4960" w:type="dxa"/>
            <w:gridSpan w:val="3"/>
            <w:shd w:val="clear" w:color="auto" w:fill="FFFFFF"/>
          </w:tcPr>
          <w:p w14:paraId="266F0EF9"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0D9E37D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Pct. 16 a fost redactat conform propunerii.</w:t>
            </w:r>
          </w:p>
        </w:tc>
      </w:tr>
      <w:tr w:rsidR="008E7C06" w:rsidRPr="005D6998" w14:paraId="45B69793" w14:textId="77777777" w:rsidTr="00651F58">
        <w:trPr>
          <w:gridAfter w:val="2"/>
          <w:wAfter w:w="153" w:type="dxa"/>
          <w:trHeight w:val="105"/>
        </w:trPr>
        <w:tc>
          <w:tcPr>
            <w:tcW w:w="899" w:type="dxa"/>
            <w:gridSpan w:val="3"/>
            <w:shd w:val="clear" w:color="auto" w:fill="FFFFFF"/>
          </w:tcPr>
          <w:p w14:paraId="242C66E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674762C"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19</w:t>
            </w:r>
            <w:r w:rsidRPr="005D6998">
              <w:rPr>
                <w:rFonts w:ascii="Times New Roman" w:hAnsi="Times New Roman"/>
              </w:rPr>
              <w:t>. Articolul 21 va avea următorul cuprins:</w:t>
            </w:r>
          </w:p>
          <w:p w14:paraId="4CE6500C"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t>„</w:t>
            </w:r>
            <w:r w:rsidRPr="005D6998">
              <w:rPr>
                <w:rFonts w:ascii="Times New Roman" w:hAnsi="Times New Roman"/>
                <w:b/>
                <w:bCs/>
              </w:rPr>
              <w:t>Articolul 21.</w:t>
            </w:r>
            <w:r w:rsidRPr="005D6998">
              <w:rPr>
                <w:rFonts w:ascii="Times New Roman" w:hAnsi="Times New Roman"/>
              </w:rPr>
              <w:t xml:space="preserve"> Registrul instituțiilor de credit, a sucursalelor instituțiilor de credit din alte state membre și a sucursalelor din state terțe”;</w:t>
            </w:r>
          </w:p>
          <w:p w14:paraId="3A99C2F0"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 Banca Naţională a Moldovei ţine în formă electronică registrul instituțiilor de credit  persoane juridice din Republica Moldova şi al sucursalelor instituțiilor de credit din state membre și state terțe, în care se înscrie, după caz, seria, numărul şi data acordării autorizației, denumirea, adresele sediului acestora informaţia privind reperfectarea autorizației şi eliberarea duplicatelor de pe aceasta. Banca Naţională a Moldovei publică pe pagina oficială şi actualizează în mod regulat o listă cu denumirile tuturor instituțiilor de credit  care au primit autorizație, inclusiv ale sucursalelor instituțiilor de credit  din state terțe și denumirile sucursalelor instituțiilor de credit din state membre. Banca Naţională a Moldovei efectuează înregistrarea în registrul menționat a sucursalelor instituțiilor de credit din state membre pe baza notificării prevăzute la art. 23</w:t>
            </w:r>
            <w:r w:rsidRPr="005D6998">
              <w:rPr>
                <w:rFonts w:ascii="Times New Roman" w:hAnsi="Times New Roman"/>
                <w:vertAlign w:val="superscript"/>
              </w:rPr>
              <w:t>2</w:t>
            </w:r>
            <w:r w:rsidRPr="005D6998">
              <w:rPr>
                <w:rFonts w:ascii="Times New Roman" w:hAnsi="Times New Roman"/>
              </w:rPr>
              <w:t>.</w:t>
            </w:r>
          </w:p>
          <w:p w14:paraId="7DD79353" w14:textId="2DC9427F" w:rsidR="008E7C06" w:rsidRPr="005D6998" w:rsidRDefault="008E7C06" w:rsidP="00244DE3">
            <w:pPr>
              <w:spacing w:after="0" w:line="240" w:lineRule="auto"/>
              <w:ind w:firstLine="708"/>
              <w:jc w:val="both"/>
              <w:rPr>
                <w:rFonts w:ascii="Times New Roman" w:hAnsi="Times New Roman"/>
              </w:rPr>
            </w:pPr>
            <w:r w:rsidRPr="005D6998">
              <w:rPr>
                <w:rFonts w:ascii="Times New Roman" w:hAnsi="Times New Roman"/>
              </w:rPr>
              <w:lastRenderedPageBreak/>
              <w:t>(2) Instituțiile de credit persoane juridice din Republica Moldova sau sucursalele instituțiilor de credit  din state terțe ale căror autorizații au fost retrase sunt radiate din registru prin înserarea unei note speciale care include data şi numărul deciziei privind retragerea autorizației. Radierea din registru a sucursalelor instituțiilor de credit din state membre se realizează prin înscrierea unei note speciale privind încetarea activității acesteia. Radierea nu reprezintă excluderea fizică a datelor din registru.</w:t>
            </w:r>
          </w:p>
        </w:tc>
        <w:tc>
          <w:tcPr>
            <w:tcW w:w="1418" w:type="dxa"/>
            <w:gridSpan w:val="2"/>
            <w:shd w:val="clear" w:color="auto" w:fill="FFFFFF"/>
          </w:tcPr>
          <w:p w14:paraId="523BE51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ECF9836"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5D0F440E" w14:textId="77777777" w:rsidR="008E7C06" w:rsidRPr="005D6998" w:rsidRDefault="008E7C06" w:rsidP="00A46332">
            <w:pPr>
              <w:pStyle w:val="Default"/>
              <w:jc w:val="both"/>
              <w:rPr>
                <w:sz w:val="22"/>
                <w:szCs w:val="22"/>
              </w:rPr>
            </w:pPr>
            <w:r w:rsidRPr="005D6998">
              <w:rPr>
                <w:sz w:val="22"/>
                <w:szCs w:val="22"/>
              </w:rPr>
              <w:t xml:space="preserve">La pct. 19: </w:t>
            </w:r>
          </w:p>
          <w:p w14:paraId="2DB2B144" w14:textId="77777777" w:rsidR="008E7C06" w:rsidRPr="005D6998" w:rsidRDefault="008E7C06" w:rsidP="00A46332">
            <w:pPr>
              <w:pStyle w:val="Default"/>
              <w:jc w:val="both"/>
              <w:rPr>
                <w:sz w:val="22"/>
                <w:szCs w:val="22"/>
              </w:rPr>
            </w:pPr>
            <w:r w:rsidRPr="005D6998">
              <w:rPr>
                <w:sz w:val="22"/>
                <w:szCs w:val="22"/>
              </w:rPr>
              <w:t>În redacția propusă pentru art. 21 alin. (1), cuvintele „pagina oficială” recomandăm a fi substituite cu cuvintele „pagina sa web oficială” (observație valabilă și pentru pct. 99, cu referire la redacția art. 116</w:t>
            </w:r>
            <w:r w:rsidRPr="005D6998">
              <w:rPr>
                <w:sz w:val="22"/>
                <w:szCs w:val="22"/>
                <w:vertAlign w:val="superscript"/>
              </w:rPr>
              <w:t>4</w:t>
            </w:r>
            <w:r w:rsidRPr="005D6998">
              <w:rPr>
                <w:sz w:val="22"/>
                <w:szCs w:val="22"/>
              </w:rPr>
              <w:t xml:space="preserve"> alin. (3)). </w:t>
            </w:r>
          </w:p>
          <w:p w14:paraId="3B4751EC" w14:textId="77777777" w:rsidR="008E7C06" w:rsidRPr="005D6998" w:rsidRDefault="008E7C06" w:rsidP="00A46332">
            <w:pPr>
              <w:pStyle w:val="Default"/>
              <w:jc w:val="both"/>
              <w:rPr>
                <w:sz w:val="22"/>
                <w:szCs w:val="22"/>
              </w:rPr>
            </w:pPr>
          </w:p>
          <w:p w14:paraId="3A1EAADE" w14:textId="77777777" w:rsidR="008E7C06" w:rsidRPr="005D6998" w:rsidRDefault="008E7C06" w:rsidP="00A46332">
            <w:pPr>
              <w:pStyle w:val="Default"/>
              <w:jc w:val="both"/>
              <w:rPr>
                <w:sz w:val="22"/>
                <w:szCs w:val="22"/>
              </w:rPr>
            </w:pPr>
            <w:r w:rsidRPr="005D6998">
              <w:rPr>
                <w:sz w:val="22"/>
                <w:szCs w:val="22"/>
              </w:rPr>
              <w:t>În redacția propusă pentru art. 21 alin. (2), cuvântul „registru” se propune a fi completat cu textul „prevăzut la alin. (1)”.</w:t>
            </w:r>
          </w:p>
        </w:tc>
        <w:tc>
          <w:tcPr>
            <w:tcW w:w="4960" w:type="dxa"/>
            <w:gridSpan w:val="3"/>
            <w:shd w:val="clear" w:color="auto" w:fill="FFFFFF"/>
          </w:tcPr>
          <w:p w14:paraId="458DE23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lang w:val="ro-MD"/>
              </w:rPr>
              <w:t>Se accept</w:t>
            </w:r>
            <w:r w:rsidRPr="005D6998">
              <w:rPr>
                <w:rFonts w:ascii="Times New Roman" w:hAnsi="Times New Roman"/>
                <w:b/>
                <w:bCs/>
              </w:rPr>
              <w:t>ă.</w:t>
            </w:r>
          </w:p>
          <w:p w14:paraId="6F2C0A1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Recomandarea nu se consideră necesară, întrucât sintagma „pagina oficială” este suficient de clară în contextul normei, mai ales că aceasta corespunde terminologiei utilizate în Directiva 2013/36/UE, când se referă la pagina ABE. </w:t>
            </w:r>
          </w:p>
          <w:p w14:paraId="078C9B8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S-a redactat pe tot parcursul textului proiectului.</w:t>
            </w:r>
          </w:p>
          <w:p w14:paraId="38367AB5" w14:textId="77777777" w:rsidR="008E7C06" w:rsidRPr="005D6998" w:rsidRDefault="008E7C06" w:rsidP="00A46332">
            <w:pPr>
              <w:spacing w:after="0" w:line="240" w:lineRule="auto"/>
              <w:jc w:val="both"/>
              <w:rPr>
                <w:rFonts w:ascii="Times New Roman" w:hAnsi="Times New Roman"/>
              </w:rPr>
            </w:pPr>
          </w:p>
          <w:p w14:paraId="1D0E393D" w14:textId="77777777" w:rsidR="008E7C06" w:rsidRPr="005D6998" w:rsidRDefault="008E7C06" w:rsidP="00A46332">
            <w:pPr>
              <w:spacing w:line="240" w:lineRule="auto"/>
              <w:jc w:val="both"/>
              <w:rPr>
                <w:rFonts w:ascii="Times New Roman" w:hAnsi="Times New Roman"/>
              </w:rPr>
            </w:pPr>
            <w:r w:rsidRPr="005D6998">
              <w:rPr>
                <w:rFonts w:ascii="Times New Roman" w:hAnsi="Times New Roman"/>
              </w:rPr>
              <w:t>Art. 21 alin. (2) a fost completat în mod corespunzător conform propunerii.</w:t>
            </w:r>
          </w:p>
        </w:tc>
      </w:tr>
      <w:tr w:rsidR="008E7C06" w:rsidRPr="005D6998" w14:paraId="799F495E" w14:textId="77777777" w:rsidTr="00651F58">
        <w:trPr>
          <w:gridAfter w:val="2"/>
          <w:wAfter w:w="153" w:type="dxa"/>
          <w:trHeight w:val="105"/>
        </w:trPr>
        <w:tc>
          <w:tcPr>
            <w:tcW w:w="899" w:type="dxa"/>
            <w:gridSpan w:val="3"/>
            <w:shd w:val="clear" w:color="auto" w:fill="FFFFFF"/>
          </w:tcPr>
          <w:p w14:paraId="08E1C80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8C2B3E4"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20</w:t>
            </w:r>
            <w:r w:rsidRPr="005D6998">
              <w:rPr>
                <w:rFonts w:ascii="Times New Roman" w:hAnsi="Times New Roman"/>
              </w:rPr>
              <w:t>. Articolul 22:</w:t>
            </w:r>
            <w:r w:rsidRPr="005D6998">
              <w:rPr>
                <w:rFonts w:ascii="Times New Roman" w:hAnsi="Times New Roman"/>
              </w:rPr>
              <w:tab/>
            </w:r>
          </w:p>
          <w:p w14:paraId="407C1063"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728D88A5"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t xml:space="preserve">alineatul (5) după cuvintele “Serviciul Fiscal de Stat” se completează cu „, Autoritatea Bancară Europeană și autorităţile competente din statele membre gazdă în cazul retragerii autorizației unei instituţii de credit, persoană juridică din Republica Moldova, care își desfăşoară activitatea pe teritoriul altor state membre, inclusiv cu privire la motivele și consecinţele retragerii autorizaţiei.”. </w:t>
            </w:r>
          </w:p>
        </w:tc>
        <w:tc>
          <w:tcPr>
            <w:tcW w:w="1418" w:type="dxa"/>
            <w:gridSpan w:val="2"/>
            <w:shd w:val="clear" w:color="auto" w:fill="FFFFFF"/>
          </w:tcPr>
          <w:p w14:paraId="3AC0043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36FCAB6"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2C0A28D" w14:textId="77777777" w:rsidR="008E7C06" w:rsidRPr="005D6998" w:rsidRDefault="008E7C06" w:rsidP="00A46332">
            <w:pPr>
              <w:pStyle w:val="Default"/>
              <w:jc w:val="both"/>
              <w:rPr>
                <w:sz w:val="22"/>
                <w:szCs w:val="22"/>
              </w:rPr>
            </w:pPr>
            <w:r w:rsidRPr="005D6998">
              <w:rPr>
                <w:sz w:val="22"/>
                <w:szCs w:val="22"/>
              </w:rPr>
              <w:t>La pct. 20, în dispoziția de modificare a art. 22 alin. (5), textul „după cuvintele “Serviciul Fiscal de Stat”” se va exclude, ca fiind inutil. Or, potrivit regulilor de tehnică legislativă, completarea unui text sau alineat, fără a specifica ordinea în care se inserează cuvintele, semnifică, conform regulii generale de tehnică legislativă, completarea textului la sfârșitul acestuia.</w:t>
            </w:r>
          </w:p>
        </w:tc>
        <w:tc>
          <w:tcPr>
            <w:tcW w:w="4960" w:type="dxa"/>
            <w:gridSpan w:val="3"/>
            <w:shd w:val="clear" w:color="auto" w:fill="FFFFFF"/>
          </w:tcPr>
          <w:p w14:paraId="5328CD9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5F63256A" w14:textId="77777777" w:rsidR="008E7C06" w:rsidRPr="005D6998" w:rsidRDefault="008E7C06" w:rsidP="00A46332">
            <w:pPr>
              <w:spacing w:after="0" w:line="240" w:lineRule="auto"/>
              <w:jc w:val="both"/>
              <w:rPr>
                <w:rFonts w:ascii="Times New Roman" w:hAnsi="Times New Roman"/>
                <w:lang w:val="it-CH"/>
              </w:rPr>
            </w:pPr>
            <w:r w:rsidRPr="005D6998">
              <w:rPr>
                <w:rFonts w:ascii="Times New Roman" w:hAnsi="Times New Roman"/>
              </w:rPr>
              <w:t xml:space="preserve">Textul </w:t>
            </w:r>
            <w:r w:rsidRPr="005D6998">
              <w:rPr>
                <w:rFonts w:ascii="Times New Roman" w:hAnsi="Times New Roman"/>
                <w:lang w:val="it-CH"/>
              </w:rPr>
              <w:t>“</w:t>
            </w:r>
            <w:r w:rsidRPr="005D6998">
              <w:rPr>
                <w:rFonts w:ascii="Times New Roman" w:hAnsi="Times New Roman"/>
              </w:rPr>
              <w:t>după cuvintele “Serviciul Fiscal de Stat”</w:t>
            </w:r>
            <w:r w:rsidRPr="005D6998">
              <w:rPr>
                <w:rFonts w:ascii="Times New Roman" w:hAnsi="Times New Roman"/>
                <w:lang w:val="it-CH"/>
              </w:rPr>
              <w:t xml:space="preserve"> se exclude.</w:t>
            </w:r>
          </w:p>
        </w:tc>
      </w:tr>
      <w:tr w:rsidR="008E7C06" w:rsidRPr="005D6998" w14:paraId="5F852405" w14:textId="77777777" w:rsidTr="00651F58">
        <w:trPr>
          <w:gridAfter w:val="2"/>
          <w:wAfter w:w="153" w:type="dxa"/>
          <w:trHeight w:val="105"/>
        </w:trPr>
        <w:tc>
          <w:tcPr>
            <w:tcW w:w="899" w:type="dxa"/>
            <w:gridSpan w:val="3"/>
            <w:shd w:val="clear" w:color="auto" w:fill="FFFFFF"/>
          </w:tcPr>
          <w:p w14:paraId="6ECE90A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58F8FDD"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21</w:t>
            </w:r>
            <w:r w:rsidRPr="005D6998">
              <w:rPr>
                <w:rFonts w:ascii="Times New Roman" w:hAnsi="Times New Roman"/>
              </w:rPr>
              <w:t>. Se completează cu articolul 23</w:t>
            </w:r>
            <w:r w:rsidRPr="005D6998">
              <w:rPr>
                <w:rFonts w:ascii="Times New Roman" w:hAnsi="Times New Roman"/>
                <w:vertAlign w:val="superscript"/>
              </w:rPr>
              <w:t xml:space="preserve">1 </w:t>
            </w:r>
            <w:r w:rsidRPr="005D6998">
              <w:rPr>
                <w:rFonts w:ascii="Times New Roman" w:hAnsi="Times New Roman"/>
              </w:rPr>
              <w:t>cu următorul cuprins:</w:t>
            </w:r>
          </w:p>
          <w:p w14:paraId="6F8ED23F" w14:textId="77777777" w:rsidR="008E7C06" w:rsidRPr="005D6998" w:rsidRDefault="008E7C06" w:rsidP="00A46332">
            <w:pPr>
              <w:spacing w:after="0" w:line="240" w:lineRule="auto"/>
              <w:ind w:firstLine="708"/>
              <w:jc w:val="both"/>
              <w:rPr>
                <w:rFonts w:ascii="Times New Roman" w:hAnsi="Times New Roman"/>
                <w:vertAlign w:val="superscript"/>
              </w:rPr>
            </w:pPr>
            <w:r w:rsidRPr="005D6998">
              <w:rPr>
                <w:rFonts w:ascii="Times New Roman" w:hAnsi="Times New Roman"/>
              </w:rPr>
              <w:t>„</w:t>
            </w:r>
            <w:r w:rsidRPr="005D6998">
              <w:rPr>
                <w:rFonts w:ascii="Times New Roman" w:hAnsi="Times New Roman"/>
                <w:b/>
                <w:bCs/>
              </w:rPr>
              <w:t xml:space="preserve">Articolul </w:t>
            </w:r>
            <w:r w:rsidRPr="005D6998">
              <w:rPr>
                <w:rFonts w:ascii="Times New Roman" w:hAnsi="Times New Roman"/>
                <w:b/>
              </w:rPr>
              <w:t>23</w:t>
            </w:r>
            <w:r w:rsidRPr="005D6998">
              <w:rPr>
                <w:rFonts w:ascii="Times New Roman" w:hAnsi="Times New Roman"/>
                <w:b/>
                <w:vertAlign w:val="superscript"/>
              </w:rPr>
              <w:t>1</w:t>
            </w:r>
            <w:r w:rsidRPr="005D6998">
              <w:rPr>
                <w:rFonts w:ascii="Times New Roman" w:hAnsi="Times New Roman"/>
                <w:b/>
              </w:rPr>
              <w:t>.</w:t>
            </w:r>
            <w:r w:rsidRPr="005D6998">
              <w:rPr>
                <w:rFonts w:ascii="Times New Roman" w:hAnsi="Times New Roman"/>
              </w:rPr>
              <w:t xml:space="preserve"> Cerințe specifice pentru autorizarea întreprinderilor menționate la art. 3 noțiunea “</w:t>
            </w:r>
            <w:r w:rsidRPr="005D6998">
              <w:rPr>
                <w:rFonts w:ascii="Times New Roman" w:hAnsi="Times New Roman"/>
                <w:i/>
                <w:iCs/>
              </w:rPr>
              <w:t>instituție de credit</w:t>
            </w:r>
            <w:r w:rsidRPr="005D6998">
              <w:rPr>
                <w:rFonts w:ascii="Times New Roman" w:hAnsi="Times New Roman"/>
              </w:rPr>
              <w:t>” lit. b) ca instituții de credit</w:t>
            </w:r>
          </w:p>
          <w:p w14:paraId="5524A73B"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 Întreprinderile menționate la art. 3 noțiunea “</w:t>
            </w:r>
            <w:r w:rsidRPr="005D6998">
              <w:rPr>
                <w:rFonts w:ascii="Times New Roman" w:hAnsi="Times New Roman"/>
                <w:i/>
                <w:iCs/>
              </w:rPr>
              <w:t>instituție de credit</w:t>
            </w:r>
            <w:r w:rsidRPr="005D6998">
              <w:rPr>
                <w:rFonts w:ascii="Times New Roman" w:hAnsi="Times New Roman"/>
              </w:rPr>
              <w:t xml:space="preserve">” lit. b) care desfășoară activitățile de tranzacţionare în cont propriu sau </w:t>
            </w:r>
            <w:r w:rsidRPr="005D6998">
              <w:rPr>
                <w:rFonts w:ascii="Times New Roman" w:hAnsi="Times New Roman"/>
              </w:rPr>
              <w:lastRenderedPageBreak/>
              <w:t>subscriere de instrumente financiare și/sau plasare de instrumente financiare cu angajament ferm trebuie să solicite Comisiei Naționale a Pieței Financiare eliberarea autorizației ca instituție de credit în conformitate cu dispozițiile prezentei secțiuni și cu actele normative emise în aplicarea acesteia cel târziu la data la care are loc oricare din următoarele evenimente:</w:t>
            </w:r>
          </w:p>
          <w:p w14:paraId="7A307572"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a)  media activelor totale lunare, calculată pe o perioadă de 12 luni consecutive, este mai mare sau egală cu 30 de miliarde euro; sau</w:t>
            </w:r>
          </w:p>
          <w:p w14:paraId="30168FA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b) media activelor totale lunare, calculată pe o perioadă de 12 luni consecutive, este mai mică de 30 de miliarde euro, iar întreprinderea face parte dintr-un grup în cadrul căruia valoarea totală a activelor consolidate ale tuturor întreprinderilor din grup stabilite în UE, incluzând oricare din sucursalele și filialele lor stabilite într-un stat terț, care în mod individual au active a căror valoare totală este mai mică de echivalentul în lei moldovenești a 30 de miliarde euro și care desfășoară oricare dintre activitățile de tranzacţionare în cont propriu sau subscriere de instrumente financiare și/sau plasare de instrumente financiare cu angajament ferm, este mai mare sau egală cu echivalentul în lei moldovenești a 30 de miliarde euro, ambele cuantumuri fiind calculate ca medie pe o perioadă de 12 luni consecutive.</w:t>
            </w:r>
          </w:p>
          <w:p w14:paraId="6C91A93F"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w:t>
            </w:r>
            <w:r w:rsidRPr="005D6998">
              <w:rPr>
                <w:rFonts w:ascii="Times New Roman" w:hAnsi="Times New Roman"/>
                <w:b/>
                <w:bCs/>
              </w:rPr>
              <w:t xml:space="preserve"> </w:t>
            </w:r>
          </w:p>
          <w:p w14:paraId="2B16BCD7"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lastRenderedPageBreak/>
              <w:t xml:space="preserve">(3) Prin derogare de la alin. (1), în baza solicitării eliberării autorizației ca instituție de credit și a informațiilor corespunzătoare, Comisa Națională a Pieței Financiare poate, după recepționarea unei cereri din partea unei întreprinderi menționate la alin. (1) să acorde o derogare întreprinderii respective de la cerința de a obține autorizația ca instituție de credit în conformitate cu prezenta lege. </w:t>
            </w:r>
          </w:p>
          <w:p w14:paraId="22574DC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(4) Comisia Națională a Pieței Financiare informează Autoritatea Bancară Europeană despre recepționarea unei cereri de derogare în conformitate cu alin. (3) și decide cu privire la respectiva cerere, luând în considerare avizul recepționat din partea Autorității Bancare Europene, precum și următoarele elemente:</w:t>
            </w:r>
          </w:p>
          <w:p w14:paraId="0A4EFA8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a) în cazul în care întreprinderea face parte dintr-un grup, structura organizatorică a grupului, practicile de contabilizare predominante în cadrul grupului și alocarea activelor între entitățile din grup; </w:t>
            </w:r>
          </w:p>
          <w:p w14:paraId="12EDA180"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b) natura, amploarea și complexitatea activităților desfășurate de întreprindere în statul membru în care este stabilită și în UE în general; </w:t>
            </w:r>
          </w:p>
          <w:p w14:paraId="41597588"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c) importanța și riscul sistemic pe care îl prezintă activitățile desfășurate de întreprindere în statul membru în care este stabilită și în UE în ansamblu.</w:t>
            </w:r>
            <w:r w:rsidRPr="005D6998">
              <w:rPr>
                <w:rFonts w:ascii="Times New Roman" w:hAnsi="Times New Roman"/>
                <w:i/>
                <w:iCs/>
              </w:rPr>
              <w:t xml:space="preserve"> </w:t>
            </w:r>
          </w:p>
          <w:p w14:paraId="1FFEA791"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 xml:space="preserve">(5) În cazul în care hotărârea Comisiei Naționale a Pieței Financiare </w:t>
            </w:r>
            <w:r w:rsidRPr="005D6998">
              <w:rPr>
                <w:rFonts w:ascii="Times New Roman" w:hAnsi="Times New Roman"/>
              </w:rPr>
              <w:lastRenderedPageBreak/>
              <w:t xml:space="preserve">nu corespunde cu avizul Autorității Bancare Europene, aceasta va cuprinde în mod expres motivele abaterii. </w:t>
            </w:r>
          </w:p>
          <w:p w14:paraId="076F3242" w14:textId="77777777" w:rsidR="008E7C06" w:rsidRPr="005D6998" w:rsidRDefault="008E7C06" w:rsidP="00A46332">
            <w:pPr>
              <w:tabs>
                <w:tab w:val="left" w:pos="426"/>
              </w:tabs>
              <w:spacing w:after="0" w:line="240" w:lineRule="auto"/>
              <w:jc w:val="both"/>
              <w:rPr>
                <w:rFonts w:ascii="Times New Roman" w:hAnsi="Times New Roman"/>
                <w:b/>
                <w:bCs/>
              </w:rPr>
            </w:pPr>
            <w:r w:rsidRPr="005D6998">
              <w:rPr>
                <w:rFonts w:ascii="Times New Roman" w:hAnsi="Times New Roman"/>
              </w:rPr>
              <w:tab/>
            </w:r>
            <w:r w:rsidRPr="005D6998">
              <w:rPr>
                <w:rFonts w:ascii="Times New Roman" w:hAnsi="Times New Roman"/>
              </w:rPr>
              <w:tab/>
              <w:t>(6) Comisia Națională a Pieței Financiare notifică hotărârea menționată la alin. (4) întreprinderii în cauză și Autorității Bancare Europene și reevaluează hotărârea respectivă o dată la trei ani.”.</w:t>
            </w:r>
            <w:r w:rsidRPr="005D6998">
              <w:rPr>
                <w:rFonts w:ascii="Times New Roman" w:hAnsi="Times New Roman"/>
                <w:b/>
                <w:bCs/>
              </w:rPr>
              <w:t xml:space="preserve"> </w:t>
            </w:r>
          </w:p>
        </w:tc>
        <w:tc>
          <w:tcPr>
            <w:tcW w:w="1418" w:type="dxa"/>
            <w:gridSpan w:val="2"/>
            <w:shd w:val="clear" w:color="auto" w:fill="FFFFFF"/>
          </w:tcPr>
          <w:p w14:paraId="4FE7B38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6DEA8D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701254A" w14:textId="77777777" w:rsidR="008E7C06" w:rsidRPr="005D6998" w:rsidRDefault="008E7C06" w:rsidP="00A46332">
            <w:pPr>
              <w:pStyle w:val="Default"/>
              <w:jc w:val="both"/>
              <w:rPr>
                <w:sz w:val="22"/>
                <w:szCs w:val="22"/>
              </w:rPr>
            </w:pPr>
            <w:r w:rsidRPr="005D6998">
              <w:rPr>
                <w:sz w:val="22"/>
                <w:szCs w:val="22"/>
              </w:rPr>
              <w:t>La pct. 21, care prevede completarea Legii nr. 202/2017, cu art. 23</w:t>
            </w:r>
            <w:r w:rsidRPr="005D6998">
              <w:rPr>
                <w:sz w:val="22"/>
                <w:szCs w:val="22"/>
                <w:vertAlign w:val="superscript"/>
              </w:rPr>
              <w:t>1</w:t>
            </w:r>
            <w:r w:rsidRPr="005D6998">
              <w:rPr>
                <w:sz w:val="22"/>
                <w:szCs w:val="22"/>
              </w:rPr>
              <w:t xml:space="preserve">: </w:t>
            </w:r>
          </w:p>
          <w:p w14:paraId="72005D26" w14:textId="77777777" w:rsidR="008E7C06" w:rsidRPr="005D6998" w:rsidRDefault="008E7C06" w:rsidP="00A46332">
            <w:pPr>
              <w:pStyle w:val="Default"/>
              <w:jc w:val="both"/>
              <w:rPr>
                <w:sz w:val="22"/>
                <w:szCs w:val="22"/>
              </w:rPr>
            </w:pPr>
            <w:r w:rsidRPr="005D6998">
              <w:rPr>
                <w:sz w:val="22"/>
                <w:szCs w:val="22"/>
              </w:rPr>
              <w:t xml:space="preserve">În redacția propusă pentru alin. (1): </w:t>
            </w:r>
          </w:p>
          <w:p w14:paraId="13026FC5" w14:textId="77777777" w:rsidR="008E7C06" w:rsidRPr="005D6998" w:rsidRDefault="008E7C06" w:rsidP="00A46332">
            <w:pPr>
              <w:pStyle w:val="Default"/>
              <w:jc w:val="both"/>
              <w:rPr>
                <w:sz w:val="22"/>
                <w:szCs w:val="22"/>
              </w:rPr>
            </w:pPr>
            <w:r w:rsidRPr="005D6998">
              <w:rPr>
                <w:sz w:val="22"/>
                <w:szCs w:val="22"/>
              </w:rPr>
              <w:t xml:space="preserve">- cuvintele „prezentei secțiuni” se vor substitui cu cuvintele „prezentului capitol”. </w:t>
            </w:r>
          </w:p>
          <w:p w14:paraId="5F86A0DF" w14:textId="77777777" w:rsidR="008E7C06" w:rsidRPr="005D6998" w:rsidRDefault="008E7C06" w:rsidP="00A46332">
            <w:pPr>
              <w:pStyle w:val="Default"/>
              <w:jc w:val="both"/>
              <w:rPr>
                <w:sz w:val="22"/>
                <w:szCs w:val="22"/>
              </w:rPr>
            </w:pPr>
          </w:p>
          <w:p w14:paraId="4AD66FB7" w14:textId="77777777" w:rsidR="008E7C06" w:rsidRPr="005D6998" w:rsidRDefault="008E7C06" w:rsidP="00A46332">
            <w:pPr>
              <w:pStyle w:val="Default"/>
              <w:jc w:val="both"/>
              <w:rPr>
                <w:sz w:val="22"/>
                <w:szCs w:val="22"/>
              </w:rPr>
            </w:pPr>
            <w:r w:rsidRPr="005D6998">
              <w:rPr>
                <w:sz w:val="22"/>
                <w:szCs w:val="22"/>
              </w:rPr>
              <w:t>Totodată, pentru claritate și precizie, se consider</w:t>
            </w:r>
            <w:r w:rsidRPr="005D6998">
              <w:rPr>
                <w:sz w:val="22"/>
                <w:szCs w:val="22"/>
                <w:lang w:val="ro-RO"/>
              </w:rPr>
              <w:t>ă</w:t>
            </w:r>
            <w:r w:rsidRPr="005D6998">
              <w:rPr>
                <w:sz w:val="22"/>
                <w:szCs w:val="22"/>
              </w:rPr>
              <w:t xml:space="preserve"> oportun a indica articole concrete din lege la care se face referire. </w:t>
            </w:r>
          </w:p>
          <w:p w14:paraId="1F889E1E" w14:textId="77777777" w:rsidR="008E7C06" w:rsidRPr="005D6998" w:rsidRDefault="008E7C06" w:rsidP="00A46332">
            <w:pPr>
              <w:pStyle w:val="Default"/>
              <w:jc w:val="both"/>
              <w:rPr>
                <w:sz w:val="22"/>
                <w:szCs w:val="22"/>
              </w:rPr>
            </w:pPr>
          </w:p>
          <w:p w14:paraId="5726A82F" w14:textId="77777777" w:rsidR="008E7C06" w:rsidRPr="005D6998" w:rsidRDefault="008E7C06" w:rsidP="00A46332">
            <w:pPr>
              <w:pStyle w:val="Default"/>
              <w:jc w:val="both"/>
              <w:rPr>
                <w:sz w:val="22"/>
                <w:szCs w:val="22"/>
              </w:rPr>
            </w:pPr>
          </w:p>
          <w:p w14:paraId="010EF143" w14:textId="77777777" w:rsidR="008E7C06" w:rsidRPr="005D6998" w:rsidRDefault="008E7C06" w:rsidP="00A46332">
            <w:pPr>
              <w:pStyle w:val="Default"/>
              <w:jc w:val="both"/>
              <w:rPr>
                <w:sz w:val="22"/>
                <w:szCs w:val="22"/>
              </w:rPr>
            </w:pPr>
          </w:p>
          <w:p w14:paraId="354A572E" w14:textId="77777777" w:rsidR="008E7C06" w:rsidRPr="005D6998" w:rsidRDefault="008E7C06" w:rsidP="00A46332">
            <w:pPr>
              <w:pStyle w:val="Default"/>
              <w:jc w:val="both"/>
              <w:rPr>
                <w:sz w:val="22"/>
                <w:szCs w:val="22"/>
              </w:rPr>
            </w:pPr>
          </w:p>
          <w:p w14:paraId="7FFF5042" w14:textId="77777777" w:rsidR="008E7C06" w:rsidRPr="005D6998" w:rsidRDefault="008E7C06" w:rsidP="00A46332">
            <w:pPr>
              <w:pStyle w:val="Default"/>
              <w:jc w:val="both"/>
              <w:rPr>
                <w:sz w:val="22"/>
                <w:szCs w:val="22"/>
              </w:rPr>
            </w:pPr>
          </w:p>
          <w:p w14:paraId="00B6E370" w14:textId="77777777" w:rsidR="008E7C06" w:rsidRPr="005D6998" w:rsidRDefault="008E7C06" w:rsidP="00A46332">
            <w:pPr>
              <w:pStyle w:val="Default"/>
              <w:jc w:val="both"/>
              <w:rPr>
                <w:sz w:val="22"/>
                <w:szCs w:val="22"/>
              </w:rPr>
            </w:pPr>
          </w:p>
          <w:p w14:paraId="033FE754" w14:textId="77777777" w:rsidR="008E7C06" w:rsidRPr="005D6998" w:rsidRDefault="008E7C06" w:rsidP="00A46332">
            <w:pPr>
              <w:pStyle w:val="Default"/>
              <w:jc w:val="both"/>
              <w:rPr>
                <w:sz w:val="22"/>
                <w:szCs w:val="22"/>
              </w:rPr>
            </w:pPr>
            <w:r w:rsidRPr="005D6998">
              <w:rPr>
                <w:sz w:val="22"/>
                <w:szCs w:val="22"/>
              </w:rPr>
              <w:t xml:space="preserve">De asemenea, cuvintele „în conformitate cu actele normative emise în aplicarea acesteia” se vor revedea, în scopul indicării autorității emitente care va emite actele respective. Or, în forma expusă norma nu asigură principiul previzibilității și clarității (observație valabilă în tot textul proiectului); </w:t>
            </w:r>
          </w:p>
          <w:p w14:paraId="459A385D" w14:textId="77777777" w:rsidR="008E7C06" w:rsidRPr="005D6998" w:rsidRDefault="008E7C06" w:rsidP="00A46332">
            <w:pPr>
              <w:pStyle w:val="Default"/>
              <w:jc w:val="both"/>
              <w:rPr>
                <w:sz w:val="22"/>
                <w:szCs w:val="22"/>
              </w:rPr>
            </w:pPr>
          </w:p>
          <w:p w14:paraId="48712BA0" w14:textId="77777777" w:rsidR="008E7C06" w:rsidRPr="005D6998" w:rsidRDefault="008E7C06" w:rsidP="00A46332">
            <w:pPr>
              <w:pStyle w:val="Default"/>
              <w:jc w:val="both"/>
              <w:rPr>
                <w:sz w:val="22"/>
                <w:szCs w:val="22"/>
              </w:rPr>
            </w:pPr>
            <w:r w:rsidRPr="005D6998">
              <w:rPr>
                <w:sz w:val="22"/>
                <w:szCs w:val="22"/>
              </w:rPr>
              <w:t xml:space="preserve">- în dispoziția lit. a) și b), se va analiza necesitatea ca după cuvintele „egală cu” să fie incluse cuvintele „echivalentul în lei moldovenești a”. </w:t>
            </w:r>
          </w:p>
          <w:p w14:paraId="38A37091" w14:textId="77777777" w:rsidR="008E7C06" w:rsidRPr="005D6998" w:rsidRDefault="008E7C06" w:rsidP="00A46332">
            <w:pPr>
              <w:pStyle w:val="Default"/>
              <w:jc w:val="both"/>
              <w:rPr>
                <w:sz w:val="22"/>
                <w:szCs w:val="22"/>
              </w:rPr>
            </w:pPr>
          </w:p>
          <w:p w14:paraId="7122438A" w14:textId="77777777" w:rsidR="008E7C06" w:rsidRPr="005D6998" w:rsidRDefault="008E7C06" w:rsidP="00A46332">
            <w:pPr>
              <w:pStyle w:val="Default"/>
              <w:jc w:val="both"/>
              <w:rPr>
                <w:sz w:val="22"/>
                <w:szCs w:val="22"/>
              </w:rPr>
            </w:pPr>
          </w:p>
          <w:p w14:paraId="4A85EF4E" w14:textId="77777777" w:rsidR="008E7C06" w:rsidRPr="005D6998" w:rsidRDefault="008E7C06" w:rsidP="00A46332">
            <w:pPr>
              <w:pStyle w:val="Default"/>
              <w:jc w:val="both"/>
              <w:rPr>
                <w:color w:val="auto"/>
                <w:sz w:val="22"/>
                <w:szCs w:val="22"/>
              </w:rPr>
            </w:pPr>
            <w:r w:rsidRPr="005D6998">
              <w:rPr>
                <w:sz w:val="22"/>
                <w:szCs w:val="22"/>
              </w:rPr>
              <w:t xml:space="preserve">În redacția propusă pentru alin. (3), cuvintele „informațiilor corespunzătoare” necesită a fi detaliate, întru asigurarea clarității, previzibilității și aplicării uniforme a prevederii. În acest sens, atragem atenția că art. 8a alin. (3a) din Directiva 2013/36/UE, face trimitere la informațiile primite în conformitate cu articolul </w:t>
            </w:r>
            <w:r w:rsidRPr="005D6998">
              <w:rPr>
                <w:b/>
                <w:bCs/>
                <w:i/>
                <w:iCs/>
                <w:color w:val="auto"/>
                <w:sz w:val="22"/>
                <w:szCs w:val="22"/>
              </w:rPr>
              <w:t>95a din Directiva 2014/65/UE</w:t>
            </w:r>
            <w:r w:rsidRPr="005D6998">
              <w:rPr>
                <w:color w:val="auto"/>
                <w:sz w:val="22"/>
                <w:szCs w:val="22"/>
              </w:rPr>
              <w:t>. Respectiv, norma necesită a fi reformulată și conformată dispoziției care constituie obiect al transpunerii.</w:t>
            </w:r>
          </w:p>
          <w:p w14:paraId="0F3A6C04" w14:textId="77777777" w:rsidR="008E7C06" w:rsidRPr="005D6998" w:rsidRDefault="008E7C06" w:rsidP="00A46332">
            <w:pPr>
              <w:pStyle w:val="Default"/>
              <w:jc w:val="both"/>
              <w:rPr>
                <w:color w:val="auto"/>
                <w:sz w:val="22"/>
                <w:szCs w:val="22"/>
              </w:rPr>
            </w:pPr>
            <w:r w:rsidRPr="005D6998">
              <w:rPr>
                <w:color w:val="auto"/>
                <w:sz w:val="22"/>
                <w:szCs w:val="22"/>
              </w:rPr>
              <w:t xml:space="preserve"> </w:t>
            </w:r>
          </w:p>
          <w:p w14:paraId="4F4E7F6A" w14:textId="77777777" w:rsidR="008E7C06" w:rsidRPr="005D6998" w:rsidRDefault="008E7C06" w:rsidP="00A46332">
            <w:pPr>
              <w:pStyle w:val="Default"/>
              <w:jc w:val="both"/>
              <w:rPr>
                <w:color w:val="auto"/>
                <w:sz w:val="22"/>
                <w:szCs w:val="22"/>
              </w:rPr>
            </w:pPr>
            <w:r w:rsidRPr="005D6998">
              <w:rPr>
                <w:color w:val="auto"/>
                <w:sz w:val="22"/>
                <w:szCs w:val="22"/>
              </w:rPr>
              <w:t xml:space="preserve">Suplimentar, din dispozițiile art. 8a alin. (3a) din Directiva 2013/36/UE rezultă că pot solicita o autorizație în conformitate cu art. 8 din actul UE citat, întreprinderile care au obținut deja o autorizație în temeiul titlului II din Directiva 2014/65/UE (a se vedea art. 8a alin. (1) din Directiva 2013/36/UE). </w:t>
            </w:r>
          </w:p>
          <w:p w14:paraId="117AD48F" w14:textId="77777777" w:rsidR="008E7C06" w:rsidRPr="005D6998" w:rsidRDefault="008E7C06" w:rsidP="00A46332">
            <w:pPr>
              <w:pStyle w:val="Default"/>
              <w:jc w:val="both"/>
              <w:rPr>
                <w:sz w:val="22"/>
                <w:szCs w:val="22"/>
              </w:rPr>
            </w:pPr>
            <w:r w:rsidRPr="005D6998">
              <w:rPr>
                <w:color w:val="auto"/>
                <w:sz w:val="22"/>
                <w:szCs w:val="22"/>
              </w:rPr>
              <w:lastRenderedPageBreak/>
              <w:t>În context, nu este clar dacă în cazul întreprinderilor menționate la art. 23</w:t>
            </w:r>
            <w:r w:rsidRPr="005D6998">
              <w:rPr>
                <w:color w:val="auto"/>
                <w:sz w:val="22"/>
                <w:szCs w:val="22"/>
                <w:vertAlign w:val="superscript"/>
              </w:rPr>
              <w:t>1</w:t>
            </w:r>
            <w:r w:rsidRPr="005D6998">
              <w:rPr>
                <w:color w:val="auto"/>
                <w:sz w:val="22"/>
                <w:szCs w:val="22"/>
              </w:rPr>
              <w:t xml:space="preserve"> din Legea nr. 202/2017, întreprinderile trebuie să dețină și altă autorizație în condițiile legii.</w:t>
            </w:r>
          </w:p>
        </w:tc>
        <w:tc>
          <w:tcPr>
            <w:tcW w:w="4960" w:type="dxa"/>
            <w:gridSpan w:val="3"/>
            <w:shd w:val="clear" w:color="auto" w:fill="FFFFFF"/>
          </w:tcPr>
          <w:p w14:paraId="30393DA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1EFE0E80"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 xml:space="preserve">Cuvintele </w:t>
            </w:r>
            <w:r w:rsidRPr="005D6998">
              <w:rPr>
                <w:rFonts w:ascii="Times New Roman" w:hAnsi="Times New Roman"/>
                <w:lang w:val="ro-MD"/>
              </w:rPr>
              <w:t>“</w:t>
            </w:r>
            <w:r w:rsidRPr="005D6998">
              <w:rPr>
                <w:rFonts w:ascii="Times New Roman" w:hAnsi="Times New Roman"/>
              </w:rPr>
              <w:t>prezentei secțiuni</w:t>
            </w:r>
            <w:r w:rsidRPr="005D6998">
              <w:rPr>
                <w:rFonts w:ascii="Times New Roman" w:hAnsi="Times New Roman"/>
                <w:lang w:val="ro-MD"/>
              </w:rPr>
              <w:t>” se substituie cu cuvintele “prezentului capitol” conform propunerii.</w:t>
            </w:r>
          </w:p>
          <w:p w14:paraId="137F032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Trimiterea la „dispozițiile prezentului capitol” este justificată prin faptul că întreprinderea urmează să parcurgă întreaga procedură de autorizare ca instituție de credit, cu respectarea tuturor cerințelor și condițiilor prevăzute în capitolul respectiv, și nu doar a unor prevederi punctuale. </w:t>
            </w:r>
          </w:p>
          <w:p w14:paraId="0AA8503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 xml:space="preserve">Indicarea unor articole concrete ar putea restrânge în mod nejustificat sfera normelor aplicabile procedurii de autorizare. </w:t>
            </w:r>
          </w:p>
          <w:p w14:paraId="761A73DE" w14:textId="77777777" w:rsidR="008E7C06" w:rsidRPr="005D6998" w:rsidRDefault="008E7C06" w:rsidP="00A46332">
            <w:pPr>
              <w:spacing w:after="0" w:line="240" w:lineRule="auto"/>
              <w:jc w:val="both"/>
              <w:rPr>
                <w:rFonts w:ascii="Times New Roman" w:hAnsi="Times New Roman"/>
              </w:rPr>
            </w:pPr>
          </w:p>
          <w:p w14:paraId="6FDC11B1"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Se reiterează argumentul din pct. 27 din prezenta sinteză la propunerile și obiecțiile Ministerului Justiției că menținerea sintagmei „actelor normative emise în aplicarea acesteia” fără indicarea autorității emitente este justificată de necesitatea asigurării continuității și coerenței cadrului normativ aplicabil, inclusiv sub aspectul competențelor de reglementare.</w:t>
            </w:r>
          </w:p>
          <w:p w14:paraId="689FB1DA" w14:textId="77777777" w:rsidR="008E7C06" w:rsidRPr="005D6998" w:rsidRDefault="008E7C06" w:rsidP="00A46332">
            <w:pPr>
              <w:spacing w:after="0" w:line="240" w:lineRule="auto"/>
              <w:jc w:val="both"/>
              <w:rPr>
                <w:rFonts w:ascii="Times New Roman" w:hAnsi="Times New Roman"/>
                <w:lang w:val="ro-MD"/>
              </w:rPr>
            </w:pPr>
          </w:p>
          <w:p w14:paraId="5176F074" w14:textId="77777777" w:rsidR="008E7C06" w:rsidRPr="005D6998" w:rsidRDefault="008E7C06" w:rsidP="00A46332">
            <w:pPr>
              <w:spacing w:line="240" w:lineRule="auto"/>
              <w:jc w:val="both"/>
              <w:rPr>
                <w:rFonts w:ascii="Times New Roman" w:hAnsi="Times New Roman"/>
              </w:rPr>
            </w:pPr>
            <w:r w:rsidRPr="005D6998">
              <w:rPr>
                <w:rFonts w:ascii="Times New Roman" w:hAnsi="Times New Roman"/>
                <w:lang w:val="ro-MD"/>
              </w:rPr>
              <w:t>Lit. a) și b) ale art. 23</w:t>
            </w:r>
            <w:r w:rsidRPr="005D6998">
              <w:rPr>
                <w:rFonts w:ascii="Times New Roman" w:hAnsi="Times New Roman"/>
                <w:vertAlign w:val="superscript"/>
                <w:lang w:val="ro-MD"/>
              </w:rPr>
              <w:t>1</w:t>
            </w:r>
            <w:r w:rsidRPr="005D6998">
              <w:rPr>
                <w:rFonts w:ascii="Times New Roman" w:hAnsi="Times New Roman"/>
                <w:lang w:val="ro-MD"/>
              </w:rPr>
              <w:t xml:space="preserve"> au fost completate cu </w:t>
            </w:r>
            <w:r w:rsidRPr="005D6998">
              <w:rPr>
                <w:rFonts w:ascii="Times New Roman" w:hAnsi="Times New Roman"/>
              </w:rPr>
              <w:t xml:space="preserve">textul propus – </w:t>
            </w:r>
            <w:r w:rsidRPr="005D6998">
              <w:rPr>
                <w:rFonts w:ascii="Times New Roman" w:hAnsi="Times New Roman"/>
                <w:lang w:val="ro-MD"/>
              </w:rPr>
              <w:t>“</w:t>
            </w:r>
            <w:r w:rsidRPr="005D6998">
              <w:rPr>
                <w:rFonts w:ascii="Times New Roman" w:hAnsi="Times New Roman"/>
              </w:rPr>
              <w:t>echivalentul în lei moldovenești a”.</w:t>
            </w:r>
          </w:p>
          <w:p w14:paraId="5AF3806F"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Articolul 95a din Directiva 2014/65/UE conform Tabelului de concordanță aferent proiectul de lege privind piețele instrumentelor financiare și activitățile de investiții (</w:t>
            </w:r>
            <w:hyperlink r:id="rId17" w:history="1">
              <w:r w:rsidRPr="005D6998">
                <w:rPr>
                  <w:rStyle w:val="afb"/>
                  <w:rFonts w:ascii="Times New Roman" w:hAnsi="Times New Roman"/>
                </w:rPr>
                <w:t>https://particip.gov.md/ro/document/stages/proiect-de-lege-privind-pietele-instrumentelor-financiare-si-activitatile-de-investitii-numar-unic/16371</w:t>
              </w:r>
            </w:hyperlink>
            <w:r w:rsidRPr="005D6998">
              <w:rPr>
                <w:rFonts w:ascii="Times New Roman" w:hAnsi="Times New Roman"/>
              </w:rPr>
              <w:t xml:space="preserve">) este calificată ca fiind normă UE neaplicabilă, fiind o măsură tranzitorie destinată autorităților competente din statele membre ale UE în temeiul Regulamentul (UE) nr. 575/2013 și Directiva 2013/36/UE. </w:t>
            </w:r>
          </w:p>
          <w:p w14:paraId="4A930A8D" w14:textId="77777777" w:rsidR="008E7C06" w:rsidRPr="005D6998" w:rsidRDefault="008E7C06" w:rsidP="00A46332">
            <w:pPr>
              <w:tabs>
                <w:tab w:val="left" w:pos="884"/>
                <w:tab w:val="left" w:pos="1196"/>
              </w:tabs>
              <w:spacing w:after="0" w:line="240" w:lineRule="auto"/>
              <w:jc w:val="both"/>
              <w:rPr>
                <w:rFonts w:ascii="Times New Roman" w:hAnsi="Times New Roman"/>
              </w:rPr>
            </w:pPr>
          </w:p>
          <w:p w14:paraId="0608901A"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Respectiv, trimiterea la acest articol, astfel cum prevede art. 8 alin. (3a) din Directiva 2013/36/UE nu este relevantă, iar textul “și a informațiilor corespunzătoare” se exclude.</w:t>
            </w:r>
          </w:p>
          <w:p w14:paraId="118CF6DC" w14:textId="77777777" w:rsidR="008E7C06" w:rsidRPr="005D6998" w:rsidRDefault="008E7C06" w:rsidP="00A46332">
            <w:pPr>
              <w:tabs>
                <w:tab w:val="left" w:pos="884"/>
                <w:tab w:val="left" w:pos="1196"/>
              </w:tabs>
              <w:spacing w:after="0" w:line="240" w:lineRule="auto"/>
              <w:jc w:val="both"/>
              <w:rPr>
                <w:rFonts w:ascii="Times New Roman" w:hAnsi="Times New Roman"/>
              </w:rPr>
            </w:pPr>
          </w:p>
          <w:p w14:paraId="67E71F59" w14:textId="77777777" w:rsidR="008E7C06" w:rsidRPr="005D6998" w:rsidRDefault="008E7C06" w:rsidP="00A46332">
            <w:pPr>
              <w:tabs>
                <w:tab w:val="left" w:pos="884"/>
                <w:tab w:val="left" w:pos="1196"/>
              </w:tabs>
              <w:spacing w:after="0" w:line="240" w:lineRule="auto"/>
              <w:jc w:val="both"/>
              <w:rPr>
                <w:rFonts w:ascii="Times New Roman" w:hAnsi="Times New Roman"/>
              </w:rPr>
            </w:pPr>
            <w:r w:rsidRPr="005D6998">
              <w:rPr>
                <w:rFonts w:ascii="Times New Roman" w:hAnsi="Times New Roman"/>
              </w:rPr>
              <w:t>Menționăm că întreprinderile prevăzute la art. 23</w:t>
            </w:r>
            <w:r w:rsidRPr="005D6998">
              <w:rPr>
                <w:rFonts w:ascii="Times New Roman" w:hAnsi="Times New Roman"/>
                <w:vertAlign w:val="superscript"/>
              </w:rPr>
              <w:t>1</w:t>
            </w:r>
            <w:r w:rsidRPr="005D6998">
              <w:rPr>
                <w:rFonts w:ascii="Times New Roman" w:hAnsi="Times New Roman"/>
              </w:rPr>
              <w:t xml:space="preserve"> din Legea nr. 202/2017 sunt supuse autorizării în condițiile </w:t>
            </w:r>
            <w:r w:rsidRPr="005D6998">
              <w:rPr>
                <w:rFonts w:ascii="Times New Roman" w:hAnsi="Times New Roman"/>
                <w:b/>
                <w:bCs/>
              </w:rPr>
              <w:t>Legii privind piețele instrumentelor financiare și activitățile de investiții</w:t>
            </w:r>
            <w:r w:rsidRPr="005D6998">
              <w:rPr>
                <w:rFonts w:ascii="Times New Roman" w:hAnsi="Times New Roman"/>
              </w:rPr>
              <w:t xml:space="preserve">, care stabilește condițiile și procedura de autorizare a firmelor de investiții. Prin urmare, în cazul acestora, nu este </w:t>
            </w:r>
            <w:r w:rsidRPr="005D6998">
              <w:rPr>
                <w:rFonts w:ascii="Times New Roman" w:hAnsi="Times New Roman"/>
              </w:rPr>
              <w:lastRenderedPageBreak/>
              <w:t>necesară deținerea unei autorizații suplimentare, distincte de autorizația obținută în calitate de firmă de investiții.</w:t>
            </w:r>
          </w:p>
          <w:p w14:paraId="28AA99D6" w14:textId="77777777" w:rsidR="008E7C06" w:rsidRPr="005D6998" w:rsidRDefault="008E7C06" w:rsidP="00A46332">
            <w:pPr>
              <w:tabs>
                <w:tab w:val="left" w:pos="884"/>
                <w:tab w:val="left" w:pos="1196"/>
              </w:tabs>
              <w:spacing w:after="0" w:line="240" w:lineRule="auto"/>
              <w:jc w:val="both"/>
              <w:rPr>
                <w:rFonts w:ascii="Times New Roman" w:hAnsi="Times New Roman"/>
              </w:rPr>
            </w:pPr>
          </w:p>
          <w:p w14:paraId="33DC6DED" w14:textId="77777777" w:rsidR="008E7C06" w:rsidRPr="005D6998" w:rsidRDefault="008E7C06" w:rsidP="00A46332">
            <w:pPr>
              <w:tabs>
                <w:tab w:val="left" w:pos="884"/>
                <w:tab w:val="left" w:pos="1196"/>
              </w:tabs>
              <w:spacing w:after="0" w:line="240" w:lineRule="auto"/>
              <w:jc w:val="both"/>
              <w:rPr>
                <w:rFonts w:ascii="Times New Roman" w:hAnsi="Times New Roman"/>
                <w:lang w:val="ro-MD"/>
              </w:rPr>
            </w:pPr>
          </w:p>
          <w:p w14:paraId="2A71E601" w14:textId="77777777" w:rsidR="008E7C06" w:rsidRPr="005D6998" w:rsidRDefault="008E7C06" w:rsidP="00A46332">
            <w:pPr>
              <w:spacing w:line="240" w:lineRule="auto"/>
              <w:jc w:val="both"/>
              <w:rPr>
                <w:rFonts w:ascii="Times New Roman" w:hAnsi="Times New Roman"/>
              </w:rPr>
            </w:pPr>
          </w:p>
          <w:p w14:paraId="6E918416" w14:textId="77777777" w:rsidR="008E7C06" w:rsidRPr="005D6998" w:rsidRDefault="008E7C06" w:rsidP="00A46332">
            <w:pPr>
              <w:spacing w:line="240" w:lineRule="auto"/>
              <w:jc w:val="both"/>
              <w:rPr>
                <w:rFonts w:ascii="Times New Roman" w:hAnsi="Times New Roman"/>
                <w:lang w:val="ro-MD"/>
              </w:rPr>
            </w:pPr>
          </w:p>
        </w:tc>
      </w:tr>
      <w:tr w:rsidR="008E7C06" w:rsidRPr="005D6998" w14:paraId="25D0E0E4" w14:textId="77777777" w:rsidTr="00651F58">
        <w:trPr>
          <w:gridAfter w:val="2"/>
          <w:wAfter w:w="153" w:type="dxa"/>
          <w:trHeight w:val="105"/>
        </w:trPr>
        <w:tc>
          <w:tcPr>
            <w:tcW w:w="899" w:type="dxa"/>
            <w:gridSpan w:val="3"/>
            <w:shd w:val="clear" w:color="auto" w:fill="FFFFFF"/>
          </w:tcPr>
          <w:p w14:paraId="11C3C08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DBE371E"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22</w:t>
            </w:r>
            <w:r w:rsidRPr="005D6998">
              <w:rPr>
                <w:rFonts w:ascii="Times New Roman" w:hAnsi="Times New Roman"/>
              </w:rPr>
              <w:t>. Titlul II se completează cu capitolul 2</w:t>
            </w:r>
            <w:r w:rsidRPr="005D6998">
              <w:rPr>
                <w:rFonts w:ascii="Times New Roman" w:hAnsi="Times New Roman"/>
                <w:vertAlign w:val="superscript"/>
              </w:rPr>
              <w:t>1</w:t>
            </w:r>
            <w:r w:rsidRPr="005D6998">
              <w:rPr>
                <w:rFonts w:ascii="Times New Roman" w:hAnsi="Times New Roman"/>
                <w:b/>
                <w:bCs/>
              </w:rPr>
              <w:t xml:space="preserve"> </w:t>
            </w:r>
            <w:r w:rsidRPr="005D6998">
              <w:rPr>
                <w:rFonts w:ascii="Times New Roman" w:hAnsi="Times New Roman"/>
              </w:rPr>
              <w:t>cu următorul cuprins:</w:t>
            </w:r>
            <w:r w:rsidRPr="005D6998">
              <w:rPr>
                <w:rFonts w:ascii="Times New Roman" w:hAnsi="Times New Roman"/>
                <w:b/>
                <w:bCs/>
              </w:rPr>
              <w:t xml:space="preserve"> </w:t>
            </w:r>
          </w:p>
          <w:p w14:paraId="25552A3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w:t>
            </w:r>
            <w:r w:rsidRPr="005D6998">
              <w:rPr>
                <w:rFonts w:ascii="Times New Roman" w:hAnsi="Times New Roman"/>
                <w:b/>
                <w:bCs/>
              </w:rPr>
              <w:t>Capitolul 2</w:t>
            </w:r>
            <w:r w:rsidRPr="005D6998">
              <w:rPr>
                <w:rFonts w:ascii="Times New Roman" w:hAnsi="Times New Roman"/>
                <w:b/>
                <w:bCs/>
                <w:vertAlign w:val="superscript"/>
              </w:rPr>
              <w:t>1</w:t>
            </w:r>
            <w:r w:rsidRPr="005D6998">
              <w:rPr>
                <w:rFonts w:ascii="Times New Roman" w:hAnsi="Times New Roman"/>
                <w:b/>
                <w:bCs/>
              </w:rPr>
              <w:t xml:space="preserve"> </w:t>
            </w:r>
          </w:p>
          <w:p w14:paraId="4F41D2F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REGIMUL INSTITUȚIILOR DE CREDIT ŞI AL INSTITUŢIILOR</w:t>
            </w:r>
          </w:p>
          <w:p w14:paraId="2B47ADD8"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 xml:space="preserve">FINANCIARE DIN ALTE STATE MEMBRE </w:t>
            </w:r>
            <w:r w:rsidRPr="005D6998">
              <w:rPr>
                <w:rFonts w:ascii="Times New Roman" w:hAnsi="Times New Roman"/>
                <w:b/>
                <w:bCs/>
              </w:rPr>
              <w:cr/>
            </w:r>
          </w:p>
          <w:p w14:paraId="77E4F5F5"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b/>
              </w:rPr>
              <w:t>Articolul 23</w:t>
            </w:r>
            <w:r w:rsidRPr="005D6998">
              <w:rPr>
                <w:rFonts w:ascii="Times New Roman" w:hAnsi="Times New Roman"/>
                <w:b/>
                <w:vertAlign w:val="superscript"/>
              </w:rPr>
              <w:t>2</w:t>
            </w:r>
            <w:r w:rsidRPr="005D6998">
              <w:rPr>
                <w:rFonts w:ascii="Times New Roman" w:hAnsi="Times New Roman"/>
                <w:b/>
              </w:rPr>
              <w:t>.</w:t>
            </w:r>
            <w:r w:rsidRPr="005D6998">
              <w:rPr>
                <w:rFonts w:ascii="Times New Roman" w:hAnsi="Times New Roman"/>
                <w:b/>
                <w:bCs/>
              </w:rPr>
              <w:t xml:space="preserve"> </w:t>
            </w:r>
            <w:r w:rsidRPr="005D6998">
              <w:rPr>
                <w:rFonts w:ascii="Times New Roman" w:hAnsi="Times New Roman"/>
              </w:rPr>
              <w:t>Desfășurarea activității instituțiilor de credit din state membre pe teritoriul Republicii Moldova</w:t>
            </w:r>
            <w:r w:rsidRPr="005D6998">
              <w:rPr>
                <w:rFonts w:ascii="Times New Roman" w:hAnsi="Times New Roman"/>
                <w:b/>
                <w:bCs/>
              </w:rPr>
              <w:t xml:space="preserve"> </w:t>
            </w:r>
          </w:p>
          <w:p w14:paraId="25BCA494"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 xml:space="preserve">(1) Instituţiile de credit din alte state membre pot desfăşura activităţile prevăzute la art. 14 alin. (1) pe teritoriul Republicii Moldova prin înfiinţarea de sucursale sau prin furnizarea de servicii în mod direct care nu pot excede obiectul de activitate a instituției de credit autorizate de autoritatea competentă din statul membru de origine </w:t>
            </w:r>
            <w:r w:rsidRPr="005D6998">
              <w:rPr>
                <w:rFonts w:ascii="Times New Roman" w:hAnsi="Times New Roman"/>
                <w:b/>
                <w:bCs/>
              </w:rPr>
              <w:t xml:space="preserve">i se asigură respectarea legislaţiei Republicii Moldova adoptate în scopul protejării interesului general. </w:t>
            </w:r>
          </w:p>
          <w:p w14:paraId="51027CE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p w14:paraId="677DD00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(7) Orice intenţie de modificare a informaţiilor prevăzute la alin. (2)</w:t>
            </w:r>
            <w:r w:rsidRPr="005D6998">
              <w:rPr>
                <w:rFonts w:ascii="Times New Roman" w:hAnsi="Times New Roman"/>
                <w:b/>
                <w:bCs/>
              </w:rPr>
              <w:t xml:space="preserve"> lit. b)-c), </w:t>
            </w:r>
            <w:r w:rsidRPr="005D6998">
              <w:rPr>
                <w:rFonts w:ascii="Times New Roman" w:hAnsi="Times New Roman"/>
              </w:rPr>
              <w:t xml:space="preserve">se notifică în scris </w:t>
            </w:r>
            <w:r w:rsidRPr="005D6998">
              <w:rPr>
                <w:rFonts w:ascii="Times New Roman" w:hAnsi="Times New Roman"/>
              </w:rPr>
              <w:lastRenderedPageBreak/>
              <w:t xml:space="preserve">Băncii Naţionale a Moldovei de către instituţia de credit în cauză, cu cel puţin o lună înainte de data la care modificarea urmează să fie efectuată, termen în care Banca Națională a Moldovei trebuie să comunice instituţiei de credit, dacă este necesar, noile condiţii în care activitatea urmează să fie desfăşurată pe teritoriul Republicii Moldova. </w:t>
            </w:r>
          </w:p>
          <w:p w14:paraId="60A1916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w:t>
            </w:r>
          </w:p>
        </w:tc>
        <w:tc>
          <w:tcPr>
            <w:tcW w:w="1418" w:type="dxa"/>
            <w:gridSpan w:val="2"/>
            <w:shd w:val="clear" w:color="auto" w:fill="FFFFFF"/>
          </w:tcPr>
          <w:p w14:paraId="3153EA7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B57C7F3"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19EAFDB" w14:textId="77777777" w:rsidR="008E7C06" w:rsidRPr="005D6998" w:rsidRDefault="008E7C06" w:rsidP="00A46332">
            <w:pPr>
              <w:pStyle w:val="Default"/>
              <w:jc w:val="both"/>
              <w:rPr>
                <w:sz w:val="22"/>
                <w:szCs w:val="22"/>
              </w:rPr>
            </w:pPr>
            <w:r w:rsidRPr="005D6998">
              <w:rPr>
                <w:sz w:val="22"/>
                <w:szCs w:val="22"/>
              </w:rPr>
              <w:t xml:space="preserve">La pct. 22, referitor la redacția propusă pentru </w:t>
            </w:r>
            <w:r w:rsidRPr="005D6998">
              <w:rPr>
                <w:b/>
                <w:bCs/>
                <w:sz w:val="22"/>
                <w:szCs w:val="22"/>
              </w:rPr>
              <w:t>art. 23</w:t>
            </w:r>
            <w:r w:rsidRPr="005D6998">
              <w:rPr>
                <w:b/>
                <w:bCs/>
                <w:sz w:val="22"/>
                <w:szCs w:val="22"/>
                <w:vertAlign w:val="superscript"/>
              </w:rPr>
              <w:t>2</w:t>
            </w:r>
            <w:r w:rsidRPr="005D6998">
              <w:rPr>
                <w:sz w:val="22"/>
                <w:szCs w:val="22"/>
              </w:rPr>
              <w:t xml:space="preserve">: </w:t>
            </w:r>
          </w:p>
          <w:p w14:paraId="6FCD6B0D" w14:textId="77777777" w:rsidR="008E7C06" w:rsidRPr="005D6998" w:rsidRDefault="008E7C06" w:rsidP="00A46332">
            <w:pPr>
              <w:pStyle w:val="Default"/>
              <w:jc w:val="both"/>
              <w:rPr>
                <w:sz w:val="22"/>
                <w:szCs w:val="22"/>
              </w:rPr>
            </w:pPr>
            <w:r w:rsidRPr="005D6998">
              <w:rPr>
                <w:sz w:val="22"/>
                <w:szCs w:val="22"/>
              </w:rPr>
              <w:t xml:space="preserve">- la alin. (1), se vor revedea cuvintele „i se asigură respectarea legislației Republicii Moldova adoptate în scopul protejării interesului general”, deoarece nu se integrează armonios în contextul expus; </w:t>
            </w:r>
          </w:p>
          <w:p w14:paraId="3690D3B9" w14:textId="77777777" w:rsidR="008E7C06" w:rsidRPr="005D6998" w:rsidRDefault="008E7C06" w:rsidP="00A46332">
            <w:pPr>
              <w:pStyle w:val="Default"/>
              <w:jc w:val="both"/>
              <w:rPr>
                <w:sz w:val="22"/>
                <w:szCs w:val="22"/>
              </w:rPr>
            </w:pPr>
          </w:p>
          <w:p w14:paraId="6D173FBD" w14:textId="77777777" w:rsidR="008E7C06" w:rsidRPr="005D6998" w:rsidRDefault="008E7C06" w:rsidP="00A46332">
            <w:pPr>
              <w:pStyle w:val="Default"/>
              <w:jc w:val="both"/>
              <w:rPr>
                <w:sz w:val="22"/>
                <w:szCs w:val="22"/>
              </w:rPr>
            </w:pPr>
            <w:r w:rsidRPr="005D6998">
              <w:rPr>
                <w:sz w:val="22"/>
                <w:szCs w:val="22"/>
              </w:rPr>
              <w:t>- la alin. (7), textul „lit. b)-c)” se va substitui cu textul „lit. b) și c)”. Or, expunerea intervalului referințelor prin utilizarea semnului grafic „-” se acceptă doar în cazul referinței la cel puțin 3 elemente structurale succesive (observație valabilă în tot textul proiectului, inclusiv pentru referința la articole sau alineate).</w:t>
            </w:r>
          </w:p>
          <w:p w14:paraId="2FF52634" w14:textId="77777777" w:rsidR="008E7C06" w:rsidRPr="005D6998" w:rsidRDefault="008E7C06" w:rsidP="00A46332">
            <w:pPr>
              <w:pStyle w:val="Default"/>
              <w:jc w:val="both"/>
              <w:rPr>
                <w:sz w:val="22"/>
                <w:szCs w:val="22"/>
              </w:rPr>
            </w:pPr>
            <w:r w:rsidRPr="005D6998">
              <w:rPr>
                <w:sz w:val="22"/>
                <w:szCs w:val="22"/>
              </w:rPr>
              <w:t xml:space="preserve"> </w:t>
            </w:r>
          </w:p>
          <w:p w14:paraId="6AC76C22" w14:textId="77777777" w:rsidR="008E7C06" w:rsidRPr="005D6998" w:rsidRDefault="008E7C06" w:rsidP="00A46332">
            <w:pPr>
              <w:pStyle w:val="Default"/>
              <w:jc w:val="both"/>
              <w:rPr>
                <w:sz w:val="22"/>
                <w:szCs w:val="22"/>
              </w:rPr>
            </w:pPr>
          </w:p>
        </w:tc>
        <w:tc>
          <w:tcPr>
            <w:tcW w:w="4960" w:type="dxa"/>
            <w:gridSpan w:val="3"/>
            <w:shd w:val="clear" w:color="auto" w:fill="FFFFFF"/>
          </w:tcPr>
          <w:p w14:paraId="7F8C4CF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44724A7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Se redactează alin. (1) după cum urmează: „</w:t>
            </w:r>
            <w:r w:rsidRPr="005D6998">
              <w:rPr>
                <w:rFonts w:ascii="Times New Roman" w:hAnsi="Times New Roman"/>
                <w:b/>
                <w:bCs/>
              </w:rPr>
              <w:t>și</w:t>
            </w:r>
            <w:r w:rsidRPr="005D6998">
              <w:rPr>
                <w:rFonts w:ascii="Times New Roman" w:hAnsi="Times New Roman"/>
              </w:rPr>
              <w:t xml:space="preserve"> se asigură respectarea legislației Republicii Moldova adoptate în scopul protejării interesului general”.</w:t>
            </w:r>
          </w:p>
          <w:p w14:paraId="6F9FBF39" w14:textId="77777777" w:rsidR="008E7C06" w:rsidRPr="005D6998" w:rsidRDefault="008E7C06" w:rsidP="00A46332">
            <w:pPr>
              <w:spacing w:after="0" w:line="240" w:lineRule="auto"/>
              <w:jc w:val="both"/>
              <w:rPr>
                <w:rFonts w:ascii="Times New Roman" w:hAnsi="Times New Roman"/>
                <w:b/>
                <w:bCs/>
              </w:rPr>
            </w:pPr>
          </w:p>
          <w:p w14:paraId="5E77E18B" w14:textId="77777777" w:rsidR="008E7C06" w:rsidRPr="005D6998" w:rsidRDefault="008E7C06" w:rsidP="00A46332">
            <w:pPr>
              <w:spacing w:after="0" w:line="240" w:lineRule="auto"/>
              <w:jc w:val="both"/>
              <w:rPr>
                <w:rFonts w:ascii="Times New Roman" w:hAnsi="Times New Roman"/>
              </w:rPr>
            </w:pPr>
          </w:p>
          <w:p w14:paraId="38148ACE" w14:textId="77777777" w:rsidR="008E7C06" w:rsidRPr="005D6998" w:rsidRDefault="008E7C06" w:rsidP="00A46332">
            <w:pPr>
              <w:spacing w:after="0" w:line="240" w:lineRule="auto"/>
              <w:jc w:val="both"/>
              <w:rPr>
                <w:rFonts w:ascii="Times New Roman" w:hAnsi="Times New Roman"/>
              </w:rPr>
            </w:pPr>
          </w:p>
          <w:p w14:paraId="071DDD9A" w14:textId="77777777" w:rsidR="008E7C06" w:rsidRPr="005D6998" w:rsidRDefault="008E7C06" w:rsidP="00A46332">
            <w:pPr>
              <w:spacing w:after="0" w:line="240" w:lineRule="auto"/>
              <w:jc w:val="both"/>
              <w:rPr>
                <w:rFonts w:ascii="Times New Roman" w:hAnsi="Times New Roman"/>
              </w:rPr>
            </w:pPr>
          </w:p>
          <w:p w14:paraId="1FCB0B7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(7), textul „lit. b)-c)” se redactează conform propunerii.</w:t>
            </w:r>
          </w:p>
          <w:p w14:paraId="4B841971" w14:textId="77777777" w:rsidR="008E7C06" w:rsidRPr="005D6998" w:rsidRDefault="008E7C06" w:rsidP="00A46332">
            <w:pPr>
              <w:spacing w:after="0" w:line="240" w:lineRule="auto"/>
              <w:jc w:val="both"/>
              <w:rPr>
                <w:rFonts w:ascii="Times New Roman" w:hAnsi="Times New Roman"/>
                <w:b/>
                <w:bCs/>
              </w:rPr>
            </w:pPr>
          </w:p>
        </w:tc>
      </w:tr>
      <w:tr w:rsidR="008E7C06" w:rsidRPr="005D6998" w14:paraId="0C93D94F" w14:textId="77777777" w:rsidTr="00651F58">
        <w:trPr>
          <w:gridAfter w:val="2"/>
          <w:wAfter w:w="153" w:type="dxa"/>
          <w:trHeight w:val="105"/>
        </w:trPr>
        <w:tc>
          <w:tcPr>
            <w:tcW w:w="899" w:type="dxa"/>
            <w:gridSpan w:val="3"/>
            <w:shd w:val="clear" w:color="auto" w:fill="FFFFFF"/>
          </w:tcPr>
          <w:p w14:paraId="5950405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6C0A483" w14:textId="77777777" w:rsidR="008E7C06" w:rsidRPr="005D6998" w:rsidRDefault="008E7C06" w:rsidP="00A46332">
            <w:pPr>
              <w:spacing w:after="0" w:line="240" w:lineRule="auto"/>
              <w:ind w:firstLine="709"/>
              <w:jc w:val="both"/>
              <w:rPr>
                <w:rFonts w:ascii="Times New Roman" w:hAnsi="Times New Roman"/>
                <w:b/>
                <w:bCs/>
              </w:rPr>
            </w:pPr>
            <w:r w:rsidRPr="005D6998">
              <w:rPr>
                <w:rFonts w:ascii="Times New Roman" w:hAnsi="Times New Roman"/>
                <w:b/>
              </w:rPr>
              <w:t>Articolul 23</w:t>
            </w:r>
            <w:r w:rsidRPr="005D6998">
              <w:rPr>
                <w:rFonts w:ascii="Times New Roman" w:hAnsi="Times New Roman"/>
                <w:b/>
                <w:vertAlign w:val="superscript"/>
              </w:rPr>
              <w:t>5</w:t>
            </w:r>
            <w:r w:rsidRPr="005D6998">
              <w:rPr>
                <w:rFonts w:ascii="Times New Roman" w:hAnsi="Times New Roman"/>
                <w:b/>
              </w:rPr>
              <w:t>.</w:t>
            </w:r>
            <w:r w:rsidRPr="005D6998">
              <w:rPr>
                <w:rFonts w:ascii="Times New Roman" w:hAnsi="Times New Roman"/>
                <w:b/>
                <w:bCs/>
              </w:rPr>
              <w:t xml:space="preserve"> </w:t>
            </w:r>
            <w:r w:rsidRPr="005D6998">
              <w:rPr>
                <w:rFonts w:ascii="Times New Roman" w:hAnsi="Times New Roman"/>
              </w:rPr>
              <w:t>Desfășurarea activității instituțiilor financiare din state membre pe teritoriul Republicii Moldova</w:t>
            </w:r>
            <w:r w:rsidRPr="005D6998">
              <w:rPr>
                <w:rFonts w:ascii="Times New Roman" w:hAnsi="Times New Roman"/>
                <w:b/>
                <w:bCs/>
              </w:rPr>
              <w:t xml:space="preserve"> </w:t>
            </w:r>
          </w:p>
          <w:p w14:paraId="5774392A"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 Instituţiile financiare cu sediul într-un alt stat membru pot desfăşura activităţile prevăzute la art. 14 alin. (1) lit. b)-o) pe teritoriul Republicii Moldova prin înfiinţarea de sucursale sau prin furnizarea de servicii în mod direct, dacă aceste instituții financiare sunt filiale ale uneia sau mai multor instituţii de credit, dacă activităţile respective sunt prevăzute în statutele lor şi dacă sunt îndeplinite în mod cumulativ următoarele condiţii:</w:t>
            </w:r>
          </w:p>
          <w:p w14:paraId="20C1D89A"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a) întreprinderea sau întreprinderile-mamă sunt instituţii de credit licențiate/autorizate în statele membre în temeiul legii care reglementează și activitatea instituţiei financiare; </w:t>
            </w:r>
          </w:p>
          <w:p w14:paraId="479F455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4433F9B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8FEC209"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06698BB" w14:textId="77777777" w:rsidR="008E7C06" w:rsidRPr="005D6998" w:rsidRDefault="008E7C06" w:rsidP="00A46332">
            <w:pPr>
              <w:pStyle w:val="Default"/>
              <w:jc w:val="both"/>
              <w:rPr>
                <w:sz w:val="22"/>
                <w:szCs w:val="22"/>
              </w:rPr>
            </w:pPr>
            <w:r w:rsidRPr="005D6998">
              <w:rPr>
                <w:sz w:val="22"/>
                <w:szCs w:val="22"/>
              </w:rPr>
              <w:t xml:space="preserve">În redacția </w:t>
            </w:r>
            <w:r w:rsidRPr="005D6998">
              <w:rPr>
                <w:b/>
                <w:bCs/>
                <w:sz w:val="22"/>
                <w:szCs w:val="22"/>
              </w:rPr>
              <w:t>art. 23</w:t>
            </w:r>
            <w:r w:rsidRPr="005D6998">
              <w:rPr>
                <w:b/>
                <w:bCs/>
                <w:sz w:val="22"/>
                <w:szCs w:val="22"/>
                <w:vertAlign w:val="superscript"/>
              </w:rPr>
              <w:t>5</w:t>
            </w:r>
            <w:r w:rsidRPr="005D6998">
              <w:rPr>
                <w:b/>
                <w:bCs/>
                <w:sz w:val="22"/>
                <w:szCs w:val="22"/>
              </w:rPr>
              <w:t xml:space="preserve"> alin. (1) lit. a</w:t>
            </w:r>
            <w:r w:rsidRPr="005D6998">
              <w:rPr>
                <w:sz w:val="22"/>
                <w:szCs w:val="22"/>
              </w:rPr>
              <w:t>), se va analiza suplimentar textul „licențiate/autorizate” întrucât Directiva 2013/36/UE operează cu termenul general „autorizat”. Totodată, utilizarea textului „licențiate/autorizate” nu corelează cu pct. 1 din art. III al proiectului de lege, care prevede că, în tot cuprinsul legii, cuvintele „licențiere”, la orice formă gramaticală, se substituie cu cuvântul „autorizare”, la forma gramaticală corespunzătoare (observație valabilă pentru toate normele din proiect ce utilizează acest text).</w:t>
            </w:r>
          </w:p>
          <w:p w14:paraId="7AFE0004" w14:textId="77777777" w:rsidR="008E7C06" w:rsidRPr="005D6998" w:rsidRDefault="008E7C06" w:rsidP="00A46332">
            <w:pPr>
              <w:pStyle w:val="Default"/>
              <w:jc w:val="both"/>
              <w:rPr>
                <w:sz w:val="22"/>
                <w:szCs w:val="22"/>
              </w:rPr>
            </w:pPr>
          </w:p>
        </w:tc>
        <w:tc>
          <w:tcPr>
            <w:tcW w:w="4960" w:type="dxa"/>
            <w:gridSpan w:val="3"/>
            <w:shd w:val="clear" w:color="auto" w:fill="FFFFFF"/>
          </w:tcPr>
          <w:p w14:paraId="7D53A199"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0C6B5476" w14:textId="77777777" w:rsidR="008E7C06" w:rsidRPr="005D6998" w:rsidRDefault="008E7C06" w:rsidP="00A46332">
            <w:pPr>
              <w:spacing w:after="0" w:line="240" w:lineRule="auto"/>
              <w:jc w:val="both"/>
              <w:rPr>
                <w:rFonts w:ascii="Times New Roman" w:hAnsi="Times New Roman"/>
                <w:b/>
                <w:bCs/>
                <w:lang w:val="it-CH"/>
              </w:rPr>
            </w:pPr>
            <w:r w:rsidRPr="005D6998">
              <w:rPr>
                <w:rFonts w:ascii="Times New Roman" w:hAnsi="Times New Roman"/>
              </w:rPr>
              <w:t xml:space="preserve">Se exclude textul </w:t>
            </w:r>
            <w:r w:rsidRPr="005D6998">
              <w:rPr>
                <w:rFonts w:ascii="Times New Roman" w:hAnsi="Times New Roman"/>
                <w:lang w:val="it-CH"/>
              </w:rPr>
              <w:t>“licen</w:t>
            </w:r>
            <w:r w:rsidRPr="005D6998">
              <w:rPr>
                <w:rFonts w:ascii="Times New Roman" w:hAnsi="Times New Roman"/>
              </w:rPr>
              <w:t>ță/autorizație</w:t>
            </w:r>
            <w:r w:rsidRPr="005D6998">
              <w:rPr>
                <w:rFonts w:ascii="Times New Roman" w:hAnsi="Times New Roman"/>
                <w:lang w:val="it-CH"/>
              </w:rPr>
              <w:t>” la orice formă gramaticală de pe tot parcursul proiectului.</w:t>
            </w:r>
          </w:p>
        </w:tc>
      </w:tr>
      <w:tr w:rsidR="008E7C06" w:rsidRPr="005D6998" w14:paraId="43F4FC77" w14:textId="77777777" w:rsidTr="00651F58">
        <w:trPr>
          <w:gridAfter w:val="2"/>
          <w:wAfter w:w="153" w:type="dxa"/>
          <w:trHeight w:val="105"/>
        </w:trPr>
        <w:tc>
          <w:tcPr>
            <w:tcW w:w="899" w:type="dxa"/>
            <w:gridSpan w:val="3"/>
            <w:shd w:val="clear" w:color="auto" w:fill="FFFFFF"/>
          </w:tcPr>
          <w:p w14:paraId="1F046625"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6CF66FF"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(3) În cazul în care Banca Naţională a Moldovei este informată de către autoritatea competentă din statul membru de origine cu privire la faptul </w:t>
            </w:r>
            <w:r w:rsidRPr="005D6998">
              <w:rPr>
                <w:rFonts w:ascii="Times New Roman" w:hAnsi="Times New Roman"/>
              </w:rPr>
              <w:lastRenderedPageBreak/>
              <w:t xml:space="preserve">că o instituţie financiară nu mai îndeplineşte oricare dintre condiţiile prevăzute la alin. (1), activităţile desfăşurate în Republica Moldova de respectiva instituţie financiară nu mai beneficiază de regimul prevăzut în prezentul articol, iar instituția financiară trebuie să respecte cerințele aplicabile activității desfășurate prevăzute de actele normative relevante. </w:t>
            </w:r>
          </w:p>
          <w:p w14:paraId="5DAEF809" w14:textId="77777777" w:rsidR="008E7C06" w:rsidRPr="005D6998" w:rsidRDefault="008E7C06" w:rsidP="00A46332">
            <w:pPr>
              <w:pStyle w:val="a7"/>
              <w:tabs>
                <w:tab w:val="left" w:pos="426"/>
              </w:tabs>
              <w:spacing w:after="0" w:line="240" w:lineRule="auto"/>
              <w:ind w:left="0"/>
              <w:jc w:val="both"/>
              <w:rPr>
                <w:rFonts w:ascii="Times New Roman" w:hAnsi="Times New Roman"/>
                <w:lang w:val="en-US"/>
              </w:rPr>
            </w:pPr>
            <w:r w:rsidRPr="005D6998">
              <w:rPr>
                <w:rFonts w:ascii="Times New Roman" w:hAnsi="Times New Roman"/>
                <w:lang w:val="en-US"/>
              </w:rPr>
              <w:t>[…]</w:t>
            </w:r>
          </w:p>
        </w:tc>
        <w:tc>
          <w:tcPr>
            <w:tcW w:w="1418" w:type="dxa"/>
            <w:gridSpan w:val="2"/>
            <w:shd w:val="clear" w:color="auto" w:fill="FFFFFF"/>
          </w:tcPr>
          <w:p w14:paraId="1C6E625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1BF5AC0"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5096BF7" w14:textId="77777777" w:rsidR="008E7C06" w:rsidRPr="005D6998" w:rsidRDefault="008E7C06" w:rsidP="00A46332">
            <w:pPr>
              <w:pStyle w:val="Default"/>
              <w:jc w:val="both"/>
              <w:rPr>
                <w:sz w:val="22"/>
                <w:szCs w:val="22"/>
              </w:rPr>
            </w:pPr>
            <w:r w:rsidRPr="005D6998">
              <w:rPr>
                <w:sz w:val="22"/>
                <w:szCs w:val="22"/>
              </w:rPr>
              <w:t xml:space="preserve">În redacția propusă pentru </w:t>
            </w:r>
            <w:r w:rsidRPr="005D6998">
              <w:rPr>
                <w:b/>
                <w:bCs/>
                <w:sz w:val="22"/>
                <w:szCs w:val="22"/>
              </w:rPr>
              <w:t>art. 23</w:t>
            </w:r>
            <w:r w:rsidRPr="005D6998">
              <w:rPr>
                <w:b/>
                <w:bCs/>
                <w:sz w:val="22"/>
                <w:szCs w:val="22"/>
                <w:vertAlign w:val="superscript"/>
              </w:rPr>
              <w:t>5</w:t>
            </w:r>
            <w:r w:rsidRPr="005D6998">
              <w:rPr>
                <w:sz w:val="22"/>
                <w:szCs w:val="22"/>
              </w:rPr>
              <w:t xml:space="preserve"> alin. (3), se vor revizui cuvintele „iar instituția financiară trebuie să respecte cerințele aplicabile activității desfășurate prevăzute </w:t>
            </w:r>
            <w:r w:rsidRPr="005D6998">
              <w:rPr>
                <w:sz w:val="22"/>
                <w:szCs w:val="22"/>
              </w:rPr>
              <w:lastRenderedPageBreak/>
              <w:t xml:space="preserve">de actele normative relevante”, or, acestea sunt neclare și nu asigură transpunerea corespunzătoare a dispoziției „iar activitățile desfășurate de instituția respectivă în statul membru gazdă fac obiectul dreptului statului membru gazdă respectiv, prevăzută în art. 34 alin. (2) din Directiva 2013/36/UE. </w:t>
            </w:r>
          </w:p>
          <w:p w14:paraId="457FB201" w14:textId="77777777" w:rsidR="008E7C06" w:rsidRPr="005D6998" w:rsidRDefault="008E7C06" w:rsidP="00A46332">
            <w:pPr>
              <w:pStyle w:val="Default"/>
              <w:jc w:val="both"/>
              <w:rPr>
                <w:sz w:val="22"/>
                <w:szCs w:val="22"/>
              </w:rPr>
            </w:pPr>
          </w:p>
          <w:p w14:paraId="4EDCB0F2" w14:textId="77777777" w:rsidR="008E7C06" w:rsidRPr="005D6998" w:rsidRDefault="008E7C06" w:rsidP="00A46332">
            <w:pPr>
              <w:pStyle w:val="Default"/>
              <w:jc w:val="both"/>
              <w:rPr>
                <w:sz w:val="22"/>
                <w:szCs w:val="22"/>
              </w:rPr>
            </w:pPr>
          </w:p>
        </w:tc>
        <w:tc>
          <w:tcPr>
            <w:tcW w:w="4960" w:type="dxa"/>
            <w:gridSpan w:val="3"/>
            <w:shd w:val="clear" w:color="auto" w:fill="FFFFFF"/>
          </w:tcPr>
          <w:p w14:paraId="037D12ED"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704BCDDC"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Art. 23</w:t>
            </w:r>
            <w:r w:rsidRPr="005D6998">
              <w:rPr>
                <w:rFonts w:ascii="Times New Roman" w:hAnsi="Times New Roman"/>
                <w:vertAlign w:val="superscript"/>
              </w:rPr>
              <w:t>5</w:t>
            </w:r>
            <w:r w:rsidRPr="005D6998">
              <w:rPr>
                <w:rFonts w:ascii="Times New Roman" w:hAnsi="Times New Roman"/>
              </w:rPr>
              <w:t xml:space="preserve"> alin. (3) a fost instituită pentru asigurarea transpunerii art. 34 alin. (2) din Directiva 2013/36/UE pentru cazul în care R. Moldova are </w:t>
            </w:r>
            <w:r w:rsidRPr="005D6998">
              <w:rPr>
                <w:rFonts w:ascii="Times New Roman" w:hAnsi="Times New Roman"/>
                <w:b/>
                <w:bCs/>
              </w:rPr>
              <w:t xml:space="preserve">calitate de stat </w:t>
            </w:r>
            <w:r w:rsidRPr="005D6998">
              <w:rPr>
                <w:rFonts w:ascii="Times New Roman" w:hAnsi="Times New Roman"/>
                <w:b/>
                <w:bCs/>
              </w:rPr>
              <w:lastRenderedPageBreak/>
              <w:t>membru</w:t>
            </w:r>
            <w:r w:rsidRPr="005D6998">
              <w:rPr>
                <w:rFonts w:ascii="Times New Roman" w:hAnsi="Times New Roman"/>
              </w:rPr>
              <w:t xml:space="preserve"> </w:t>
            </w:r>
            <w:r w:rsidRPr="005D6998">
              <w:rPr>
                <w:rFonts w:ascii="Times New Roman" w:hAnsi="Times New Roman"/>
                <w:b/>
                <w:bCs/>
              </w:rPr>
              <w:t>gazdă.</w:t>
            </w:r>
            <w:r w:rsidRPr="005D6998">
              <w:rPr>
                <w:rFonts w:ascii="Times New Roman" w:hAnsi="Times New Roman"/>
              </w:rPr>
              <w:t xml:space="preserve"> Respectiv</w:t>
            </w:r>
            <w:r w:rsidRPr="005D6998">
              <w:rPr>
                <w:rFonts w:ascii="Times New Roman" w:hAnsi="Times New Roman"/>
                <w:lang w:val="ro-MD"/>
              </w:rPr>
              <w:t>, în situația în care instituția financiară nu mai beneficiază de regimul prevăzut la prezentul articol, activitățile desfășurate de aceasta în Republica Moldova urmează a fi supuse cerințelor prevăzute de cadrul normativ național aplicabil activității respective din Republica Moldova.</w:t>
            </w:r>
          </w:p>
          <w:p w14:paraId="272560DE" w14:textId="77777777" w:rsidR="008E7C06" w:rsidRPr="005D6998" w:rsidRDefault="008E7C06" w:rsidP="00A46332">
            <w:pPr>
              <w:spacing w:after="0" w:line="240" w:lineRule="auto"/>
              <w:jc w:val="both"/>
              <w:rPr>
                <w:rFonts w:ascii="Times New Roman" w:hAnsi="Times New Roman"/>
                <w:lang w:val="ro-MD"/>
              </w:rPr>
            </w:pPr>
          </w:p>
          <w:p w14:paraId="6001E682"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Pentru claritate, textul „cerințele aplicabile activității desfășurate prevăzute de actele normative relevante” se completează cu cuvintele „</w:t>
            </w:r>
            <w:r w:rsidRPr="005D6998">
              <w:rPr>
                <w:rFonts w:ascii="Times New Roman" w:hAnsi="Times New Roman"/>
              </w:rPr>
              <w:t>din legislația națională a Republicii Moldova</w:t>
            </w:r>
            <w:r w:rsidRPr="005D6998">
              <w:rPr>
                <w:rFonts w:ascii="Times New Roman" w:hAnsi="Times New Roman"/>
                <w:lang w:val="ro-MD"/>
              </w:rPr>
              <w:t>”, pentru a reflecta obligația de supunere a activităților desfășurate în statul gazdă legislației naționale a acestuia, astfel cum prevede art. 34 alin. (2) din Directiva 2013/36/UE.</w:t>
            </w:r>
          </w:p>
        </w:tc>
      </w:tr>
      <w:tr w:rsidR="008E7C06" w:rsidRPr="005D6998" w14:paraId="73784089" w14:textId="77777777" w:rsidTr="00651F58">
        <w:trPr>
          <w:gridAfter w:val="2"/>
          <w:wAfter w:w="153" w:type="dxa"/>
          <w:trHeight w:val="105"/>
        </w:trPr>
        <w:tc>
          <w:tcPr>
            <w:tcW w:w="899" w:type="dxa"/>
            <w:gridSpan w:val="3"/>
            <w:shd w:val="clear" w:color="auto" w:fill="FFFFFF"/>
          </w:tcPr>
          <w:p w14:paraId="2886490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2AB9B2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23</w:t>
            </w:r>
            <w:r w:rsidRPr="005D6998">
              <w:rPr>
                <w:rFonts w:ascii="Times New Roman" w:hAnsi="Times New Roman"/>
              </w:rPr>
              <w:t>. La titlul II capitolul 3 va avea următorul cuprins:</w:t>
            </w:r>
          </w:p>
          <w:p w14:paraId="4C6C27AB" w14:textId="77777777" w:rsidR="008E7C06" w:rsidRPr="005D6998" w:rsidRDefault="008E7C06" w:rsidP="00A46332">
            <w:pPr>
              <w:pStyle w:val="a7"/>
              <w:tabs>
                <w:tab w:val="left" w:pos="426"/>
              </w:tabs>
              <w:spacing w:after="0" w:line="240" w:lineRule="auto"/>
              <w:ind w:left="0"/>
              <w:jc w:val="both"/>
              <w:rPr>
                <w:rFonts w:ascii="Times New Roman" w:hAnsi="Times New Roman"/>
                <w:b/>
              </w:rPr>
            </w:pPr>
            <w:r w:rsidRPr="005D6998">
              <w:rPr>
                <w:rFonts w:ascii="Times New Roman" w:hAnsi="Times New Roman"/>
              </w:rPr>
              <w:t xml:space="preserve"> „</w:t>
            </w:r>
            <w:r w:rsidRPr="005D6998">
              <w:rPr>
                <w:rFonts w:ascii="Times New Roman" w:hAnsi="Times New Roman"/>
                <w:b/>
              </w:rPr>
              <w:t>Capitolul 3</w:t>
            </w:r>
          </w:p>
          <w:p w14:paraId="6C3AB8AA"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b/>
              </w:rPr>
              <w:t>REGIMUL</w:t>
            </w:r>
            <w:r w:rsidRPr="005D6998">
              <w:rPr>
                <w:rFonts w:ascii="Times New Roman" w:hAnsi="Times New Roman"/>
                <w:b/>
                <w:bCs/>
              </w:rPr>
              <w:t xml:space="preserve"> SUCURSALELOR  DIN STATE TERȚE ȘI RELAȚIILE CU STATE TERȚE</w:t>
            </w:r>
          </w:p>
          <w:p w14:paraId="23CB4107"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 xml:space="preserve">Secţiunea 1. Cerințe de autorizare pentru sucursalele din state terțe </w:t>
            </w:r>
          </w:p>
          <w:p w14:paraId="478A7957" w14:textId="77777777" w:rsidR="008E7C06" w:rsidRPr="005D6998" w:rsidRDefault="008E7C06" w:rsidP="00A46332">
            <w:pPr>
              <w:spacing w:after="0" w:line="240" w:lineRule="auto"/>
              <w:jc w:val="both"/>
              <w:rPr>
                <w:rFonts w:ascii="Times New Roman" w:hAnsi="Times New Roman"/>
                <w:b/>
                <w:bCs/>
              </w:rPr>
            </w:pPr>
          </w:p>
          <w:p w14:paraId="265DE99B"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b/>
              </w:rPr>
              <w:t>Articolul 24.</w:t>
            </w:r>
            <w:r w:rsidRPr="005D6998">
              <w:rPr>
                <w:rFonts w:ascii="Times New Roman" w:hAnsi="Times New Roman"/>
              </w:rPr>
              <w:t xml:space="preserve"> Condiții de desfășurare a activității sucursalelor dintr-un stat terț</w:t>
            </w:r>
          </w:p>
          <w:p w14:paraId="7BD7A17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 Întreprinderile înființate într-un stat terț, astfel cum sunt menționate la art.</w:t>
            </w:r>
            <w:r w:rsidRPr="005D6998">
              <w:rPr>
                <w:rFonts w:ascii="Times New Roman" w:hAnsi="Times New Roman"/>
                <w:b/>
                <w:bCs/>
              </w:rPr>
              <w:t xml:space="preserve"> </w:t>
            </w:r>
            <w:r w:rsidRPr="005D6998">
              <w:rPr>
                <w:rFonts w:ascii="Times New Roman" w:hAnsi="Times New Roman"/>
              </w:rPr>
              <w:t xml:space="preserve">24 alin. (8)-(9), pot desfășura sau continua activitățile prevăzute la art. 27 alin. (1) pe teritoriul Republicii Moldova numai prin intermediul unei sucursale autorizate de Banca Națională a Moldovei conform prezentului capitol. </w:t>
            </w:r>
          </w:p>
          <w:p w14:paraId="1A5A6159" w14:textId="77777777" w:rsidR="008E7C06" w:rsidRPr="005D6998" w:rsidRDefault="008E7C06" w:rsidP="00A46332">
            <w:pPr>
              <w:spacing w:after="0" w:line="240" w:lineRule="auto"/>
              <w:jc w:val="both"/>
              <w:rPr>
                <w:rFonts w:ascii="Times New Roman" w:hAnsi="Times New Roman"/>
                <w:lang w:val="it-CH"/>
              </w:rPr>
            </w:pPr>
            <w:r w:rsidRPr="005D6998">
              <w:rPr>
                <w:rFonts w:ascii="Times New Roman" w:hAnsi="Times New Roman"/>
                <w:lang w:val="it-CH"/>
              </w:rPr>
              <w:t>[…]</w:t>
            </w:r>
          </w:p>
          <w:p w14:paraId="1855446A" w14:textId="77777777" w:rsidR="008E7C06" w:rsidRPr="005D6998" w:rsidRDefault="008E7C06" w:rsidP="00A46332">
            <w:pPr>
              <w:tabs>
                <w:tab w:val="left" w:pos="426"/>
              </w:tabs>
              <w:spacing w:after="0" w:line="240" w:lineRule="auto"/>
              <w:jc w:val="both"/>
              <w:rPr>
                <w:rFonts w:ascii="Times New Roman" w:hAnsi="Times New Roman"/>
                <w:b/>
                <w:bCs/>
              </w:rPr>
            </w:pPr>
          </w:p>
        </w:tc>
        <w:tc>
          <w:tcPr>
            <w:tcW w:w="1418" w:type="dxa"/>
            <w:gridSpan w:val="2"/>
            <w:shd w:val="clear" w:color="auto" w:fill="FFFFFF"/>
          </w:tcPr>
          <w:p w14:paraId="1A2E4903"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CB3BBE6"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63C4F28" w14:textId="77777777" w:rsidR="008E7C06" w:rsidRPr="005D6998" w:rsidRDefault="008E7C06" w:rsidP="00A46332">
            <w:pPr>
              <w:pStyle w:val="Default"/>
              <w:jc w:val="both"/>
              <w:rPr>
                <w:sz w:val="22"/>
                <w:szCs w:val="22"/>
              </w:rPr>
            </w:pPr>
            <w:r w:rsidRPr="005D6998">
              <w:rPr>
                <w:sz w:val="22"/>
                <w:szCs w:val="22"/>
              </w:rPr>
              <w:t xml:space="preserve">La pct. 23, </w:t>
            </w:r>
            <w:r w:rsidRPr="005D6998">
              <w:rPr>
                <w:sz w:val="22"/>
                <w:szCs w:val="22"/>
                <w:lang w:val="ro-RO"/>
              </w:rPr>
              <w:t>î</w:t>
            </w:r>
            <w:r w:rsidRPr="005D6998">
              <w:rPr>
                <w:sz w:val="22"/>
                <w:szCs w:val="22"/>
              </w:rPr>
              <w:t xml:space="preserve">n redacția propusă pentru </w:t>
            </w:r>
            <w:r w:rsidRPr="005D6998">
              <w:rPr>
                <w:b/>
                <w:bCs/>
                <w:sz w:val="22"/>
                <w:szCs w:val="22"/>
              </w:rPr>
              <w:t>art. 24</w:t>
            </w:r>
            <w:r w:rsidRPr="005D6998">
              <w:rPr>
                <w:sz w:val="22"/>
                <w:szCs w:val="22"/>
              </w:rPr>
              <w:t xml:space="preserve">: </w:t>
            </w:r>
          </w:p>
          <w:p w14:paraId="22B57AE3" w14:textId="77777777" w:rsidR="008E7C06" w:rsidRPr="005D6998" w:rsidRDefault="008E7C06" w:rsidP="00A46332">
            <w:pPr>
              <w:pStyle w:val="Default"/>
              <w:jc w:val="both"/>
              <w:rPr>
                <w:sz w:val="22"/>
                <w:szCs w:val="22"/>
              </w:rPr>
            </w:pPr>
            <w:r w:rsidRPr="005D6998">
              <w:rPr>
                <w:sz w:val="22"/>
                <w:szCs w:val="22"/>
              </w:rPr>
              <w:t xml:space="preserve">- la alin. (1), textul „art. 24 alin. (8)-(9)” se va substitui cu textul „alin. (8) și (9)”, întru respectarea art. 55 alin. (4) al Legii nr. 100/2017; </w:t>
            </w:r>
          </w:p>
          <w:p w14:paraId="273829A3" w14:textId="77777777" w:rsidR="008E7C06" w:rsidRPr="005D6998" w:rsidRDefault="008E7C06" w:rsidP="00A46332">
            <w:pPr>
              <w:pStyle w:val="Default"/>
              <w:jc w:val="both"/>
              <w:rPr>
                <w:sz w:val="22"/>
                <w:szCs w:val="22"/>
              </w:rPr>
            </w:pPr>
          </w:p>
        </w:tc>
        <w:tc>
          <w:tcPr>
            <w:tcW w:w="4960" w:type="dxa"/>
            <w:gridSpan w:val="3"/>
            <w:shd w:val="clear" w:color="auto" w:fill="FFFFFF"/>
          </w:tcPr>
          <w:p w14:paraId="30A21D8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56533FD9" w14:textId="77777777" w:rsidR="008E7C06" w:rsidRPr="005D6998" w:rsidRDefault="008E7C06" w:rsidP="00A46332">
            <w:pPr>
              <w:spacing w:after="0" w:line="240" w:lineRule="auto"/>
              <w:jc w:val="both"/>
              <w:rPr>
                <w:rFonts w:ascii="Times New Roman" w:hAnsi="Times New Roman"/>
                <w:lang w:val="en-US"/>
              </w:rPr>
            </w:pPr>
            <w:r w:rsidRPr="005D6998">
              <w:rPr>
                <w:rFonts w:ascii="Times New Roman" w:hAnsi="Times New Roman"/>
              </w:rPr>
              <w:t xml:space="preserve">Sintagma </w:t>
            </w:r>
            <w:r w:rsidRPr="005D6998">
              <w:rPr>
                <w:rFonts w:ascii="Times New Roman" w:hAnsi="Times New Roman"/>
                <w:lang w:val="en-US"/>
              </w:rPr>
              <w:t>“art. 24” din textul “art. 24 alin. (8)-(9)” se exclude.</w:t>
            </w:r>
          </w:p>
          <w:p w14:paraId="52C53B14" w14:textId="77777777" w:rsidR="008E7C06" w:rsidRPr="005D6998" w:rsidRDefault="008E7C06" w:rsidP="00A46332">
            <w:pPr>
              <w:spacing w:after="0" w:line="240" w:lineRule="auto"/>
              <w:jc w:val="both"/>
              <w:rPr>
                <w:rFonts w:ascii="Times New Roman" w:hAnsi="Times New Roman"/>
                <w:b/>
                <w:bCs/>
                <w:lang w:val="en-US"/>
              </w:rPr>
            </w:pPr>
          </w:p>
        </w:tc>
      </w:tr>
      <w:tr w:rsidR="008E7C06" w:rsidRPr="005D6998" w14:paraId="529CF1B9" w14:textId="77777777" w:rsidTr="00651F58">
        <w:trPr>
          <w:gridAfter w:val="2"/>
          <w:wAfter w:w="153" w:type="dxa"/>
          <w:trHeight w:val="105"/>
        </w:trPr>
        <w:tc>
          <w:tcPr>
            <w:tcW w:w="899" w:type="dxa"/>
            <w:gridSpan w:val="3"/>
            <w:shd w:val="clear" w:color="auto" w:fill="FFFFFF"/>
          </w:tcPr>
          <w:p w14:paraId="6750B28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DDE523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p w14:paraId="7503F78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(8) În sensul prezentei legi, sucursala dintr-un stat terț reprezintă sucursala deschisă în Republica Moldova de către:</w:t>
            </w:r>
          </w:p>
          <w:p w14:paraId="343B7B5D"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a) o întreprindere care își are sediul central într-un stat terț, în scopul desfășurării oricăreia dintre activitățile </w:t>
            </w:r>
            <w:r w:rsidRPr="005D6998">
              <w:rPr>
                <w:rFonts w:ascii="Times New Roman" w:hAnsi="Times New Roman"/>
                <w:b/>
                <w:bCs/>
              </w:rPr>
              <w:t>menționate la alin. (1);</w:t>
            </w:r>
            <w:r w:rsidRPr="005D6998">
              <w:rPr>
                <w:rFonts w:ascii="Times New Roman" w:hAnsi="Times New Roman"/>
              </w:rPr>
              <w:t xml:space="preserve"> sau </w:t>
            </w:r>
          </w:p>
          <w:p w14:paraId="68F874BA"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b) o instituție de credit care își are sediul central într-un stat terț. </w:t>
            </w:r>
          </w:p>
          <w:p w14:paraId="1EA2EA8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w:t>
            </w:r>
          </w:p>
        </w:tc>
        <w:tc>
          <w:tcPr>
            <w:tcW w:w="1418" w:type="dxa"/>
            <w:gridSpan w:val="2"/>
            <w:shd w:val="clear" w:color="auto" w:fill="FFFFFF"/>
          </w:tcPr>
          <w:p w14:paraId="6B0BE02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1A44C2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570B6A22" w14:textId="77777777" w:rsidR="008E7C06" w:rsidRPr="005D6998" w:rsidRDefault="008E7C06" w:rsidP="00A46332">
            <w:pPr>
              <w:pStyle w:val="Default"/>
              <w:jc w:val="both"/>
              <w:rPr>
                <w:sz w:val="22"/>
                <w:szCs w:val="22"/>
              </w:rPr>
            </w:pPr>
            <w:r w:rsidRPr="005D6998">
              <w:rPr>
                <w:sz w:val="22"/>
                <w:szCs w:val="22"/>
              </w:rPr>
              <w:t>- se va analiza oportunitatea includerii dispozițiilor alin. (8) în dispozițiile art. 3 „Noțiuni” din legea supusă modificării.</w:t>
            </w:r>
          </w:p>
          <w:p w14:paraId="6BF389FE" w14:textId="77777777" w:rsidR="008E7C06" w:rsidRPr="005D6998" w:rsidRDefault="008E7C06" w:rsidP="00A46332">
            <w:pPr>
              <w:pStyle w:val="Default"/>
              <w:jc w:val="both"/>
              <w:rPr>
                <w:sz w:val="22"/>
                <w:szCs w:val="22"/>
              </w:rPr>
            </w:pPr>
          </w:p>
          <w:p w14:paraId="7901C7D6" w14:textId="77777777" w:rsidR="008E7C06" w:rsidRPr="005D6998" w:rsidRDefault="008E7C06" w:rsidP="00A46332">
            <w:pPr>
              <w:pStyle w:val="Default"/>
              <w:jc w:val="both"/>
              <w:rPr>
                <w:color w:val="auto"/>
                <w:sz w:val="22"/>
                <w:szCs w:val="22"/>
              </w:rPr>
            </w:pPr>
            <w:r w:rsidRPr="005D6998">
              <w:rPr>
                <w:sz w:val="22"/>
                <w:szCs w:val="22"/>
              </w:rPr>
              <w:t xml:space="preserve">Subsecvent, aferent sintagmei „menționate la alin. (1)” utilizată în dispoziția lit. a), aceasta se va revizui, având în vedere faptul că, potrivit art. 55 alin. (3) al Legii nr. 100/2017, nu se admite trimiterea la o altă normă de </w:t>
            </w:r>
            <w:r w:rsidRPr="005D6998">
              <w:rPr>
                <w:color w:val="auto"/>
                <w:sz w:val="22"/>
                <w:szCs w:val="22"/>
              </w:rPr>
              <w:t xml:space="preserve">trimitere. Astfel, sesizăm că dispoziția propusă la alin. (1) al art. 24, la care se face referire, face trimitere ea însăși la art. 27 alin. (1) din </w:t>
            </w:r>
            <w:r w:rsidRPr="005D6998">
              <w:rPr>
                <w:i/>
                <w:iCs/>
                <w:color w:val="auto"/>
                <w:sz w:val="22"/>
                <w:szCs w:val="22"/>
              </w:rPr>
              <w:t>Legea nr. 202/2017</w:t>
            </w:r>
            <w:r w:rsidRPr="005D6998">
              <w:rPr>
                <w:color w:val="auto"/>
                <w:sz w:val="22"/>
                <w:szCs w:val="22"/>
              </w:rPr>
              <w:t xml:space="preserve">. </w:t>
            </w:r>
          </w:p>
          <w:p w14:paraId="545C529A" w14:textId="77777777" w:rsidR="008E7C06" w:rsidRPr="005D6998" w:rsidRDefault="008E7C06" w:rsidP="00A46332">
            <w:pPr>
              <w:pStyle w:val="Default"/>
              <w:jc w:val="both"/>
              <w:rPr>
                <w:sz w:val="22"/>
                <w:szCs w:val="22"/>
              </w:rPr>
            </w:pPr>
          </w:p>
          <w:p w14:paraId="74D9D381" w14:textId="77777777" w:rsidR="008E7C06" w:rsidRPr="005D6998" w:rsidRDefault="008E7C06" w:rsidP="00A46332">
            <w:pPr>
              <w:pStyle w:val="Default"/>
              <w:jc w:val="both"/>
              <w:rPr>
                <w:sz w:val="22"/>
                <w:szCs w:val="22"/>
              </w:rPr>
            </w:pPr>
          </w:p>
          <w:p w14:paraId="6393FBD7" w14:textId="77777777" w:rsidR="008E7C06" w:rsidRPr="005D6998" w:rsidRDefault="008E7C06" w:rsidP="00A46332">
            <w:pPr>
              <w:pStyle w:val="Default"/>
              <w:jc w:val="both"/>
              <w:rPr>
                <w:color w:val="auto"/>
                <w:sz w:val="22"/>
                <w:szCs w:val="22"/>
              </w:rPr>
            </w:pPr>
          </w:p>
          <w:p w14:paraId="3F314A3C" w14:textId="77777777" w:rsidR="008E7C06" w:rsidRPr="005D6998" w:rsidRDefault="008E7C06" w:rsidP="00A46332">
            <w:pPr>
              <w:pStyle w:val="Default"/>
              <w:jc w:val="both"/>
              <w:rPr>
                <w:sz w:val="22"/>
                <w:szCs w:val="22"/>
              </w:rPr>
            </w:pPr>
          </w:p>
        </w:tc>
        <w:tc>
          <w:tcPr>
            <w:tcW w:w="4960" w:type="dxa"/>
            <w:gridSpan w:val="3"/>
            <w:shd w:val="clear" w:color="auto" w:fill="FFFFFF"/>
          </w:tcPr>
          <w:p w14:paraId="60F9C58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691C7F5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Nu se consideră oportună includerea dispozițiilor alin. (8) în art. 3 „Noțiuni”, întrucât norma nu are doar  caracter definitoriu, ci stabilește și categoriile de entități din state terțe care intră sub incidența regimului juridic aplicabil sucursalelor din state terțe. </w:t>
            </w:r>
          </w:p>
          <w:p w14:paraId="054D697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Respectiv, menținerea acesteia în cadrul art. 24 care asigură delimitarea expresă a sferei de aplicare a regimului menționat și corespunde structurii și scopului dispozițiilor transpuse din Directiva 2013/36/UE (art. 47 alin. (3)).</w:t>
            </w:r>
          </w:p>
          <w:p w14:paraId="05D40407" w14:textId="77777777" w:rsidR="008E7C06" w:rsidRPr="005D6998" w:rsidRDefault="008E7C06" w:rsidP="00A46332">
            <w:pPr>
              <w:spacing w:after="0" w:line="240" w:lineRule="auto"/>
              <w:jc w:val="both"/>
              <w:rPr>
                <w:rFonts w:ascii="Times New Roman" w:hAnsi="Times New Roman"/>
              </w:rPr>
            </w:pPr>
          </w:p>
          <w:p w14:paraId="31AB357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Lit. a) de la alin. (8) a art. 24 se redactează după cum urmează:</w:t>
            </w:r>
          </w:p>
          <w:p w14:paraId="102E130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 o întreprindere care își are sediul central într-un stat terț, în scopul desfășurării oricăreia dintre activitățile menționate la art. 27 alin. (1); sau”.</w:t>
            </w:r>
          </w:p>
        </w:tc>
      </w:tr>
      <w:tr w:rsidR="008E7C06" w:rsidRPr="005D6998" w14:paraId="43A3AE24" w14:textId="77777777" w:rsidTr="00651F58">
        <w:trPr>
          <w:gridAfter w:val="2"/>
          <w:wAfter w:w="153" w:type="dxa"/>
          <w:trHeight w:val="105"/>
        </w:trPr>
        <w:tc>
          <w:tcPr>
            <w:tcW w:w="899" w:type="dxa"/>
            <w:gridSpan w:val="3"/>
            <w:shd w:val="clear" w:color="auto" w:fill="FFFFFF"/>
          </w:tcPr>
          <w:p w14:paraId="69F21B8C"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817C5CB"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b/>
                <w:bCs/>
              </w:rPr>
              <w:t xml:space="preserve">Articolul 25. </w:t>
            </w:r>
            <w:r w:rsidRPr="005D6998">
              <w:rPr>
                <w:rFonts w:ascii="Times New Roman" w:hAnsi="Times New Roman"/>
              </w:rPr>
              <w:t>Condiții minime de autorizare a sucursalelor din state terțe</w:t>
            </w:r>
          </w:p>
          <w:p w14:paraId="130BC0DC" w14:textId="77777777" w:rsidR="008E7C06" w:rsidRPr="005D6998" w:rsidRDefault="008E7C06" w:rsidP="00A46332">
            <w:pPr>
              <w:spacing w:after="0" w:line="240" w:lineRule="auto"/>
              <w:jc w:val="both"/>
              <w:rPr>
                <w:rFonts w:ascii="Times New Roman" w:hAnsi="Times New Roman"/>
                <w:i/>
              </w:rPr>
            </w:pPr>
            <w:r w:rsidRPr="005D6998">
              <w:rPr>
                <w:rFonts w:ascii="Times New Roman" w:hAnsi="Times New Roman"/>
              </w:rPr>
              <w:t>[...]</w:t>
            </w:r>
          </w:p>
          <w:p w14:paraId="44F26FAB"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(2) Pentru eliberarea autorizării sucursalelor din state terțe se depune la Banca Naţională a Moldovei, în modul stabilit de prezenta lege și actele normative emise în aplicarea acesteia, o cerere scrisă, la care se anexează următoarele documente și informații:</w:t>
            </w:r>
          </w:p>
          <w:p w14:paraId="23B2D25B"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1E3CC1BB"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c) orice alte informaţii şi documente prevăzute în actele normative ale Băncii Naţionale a Moldovei.</w:t>
            </w:r>
          </w:p>
        </w:tc>
        <w:tc>
          <w:tcPr>
            <w:tcW w:w="1418" w:type="dxa"/>
            <w:gridSpan w:val="2"/>
            <w:shd w:val="clear" w:color="auto" w:fill="FFFFFF"/>
          </w:tcPr>
          <w:p w14:paraId="1BE0E02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D03FB02"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CC1301A" w14:textId="77777777" w:rsidR="008E7C06" w:rsidRPr="005D6998" w:rsidRDefault="008E7C06" w:rsidP="00A46332">
            <w:pPr>
              <w:pStyle w:val="Default"/>
              <w:jc w:val="both"/>
              <w:rPr>
                <w:color w:val="auto"/>
                <w:sz w:val="22"/>
                <w:szCs w:val="22"/>
              </w:rPr>
            </w:pPr>
            <w:r w:rsidRPr="005D6998">
              <w:rPr>
                <w:color w:val="auto"/>
                <w:sz w:val="22"/>
                <w:szCs w:val="22"/>
              </w:rPr>
              <w:t xml:space="preserve">În redacția </w:t>
            </w:r>
            <w:r w:rsidRPr="005D6998">
              <w:rPr>
                <w:b/>
                <w:bCs/>
                <w:color w:val="auto"/>
                <w:sz w:val="22"/>
                <w:szCs w:val="22"/>
              </w:rPr>
              <w:t>art. 25:</w:t>
            </w:r>
            <w:r w:rsidRPr="005D6998">
              <w:rPr>
                <w:color w:val="auto"/>
                <w:sz w:val="22"/>
                <w:szCs w:val="22"/>
              </w:rPr>
              <w:t xml:space="preserve"> </w:t>
            </w:r>
          </w:p>
          <w:p w14:paraId="5A5F2E02" w14:textId="77777777" w:rsidR="008E7C06" w:rsidRPr="005D6998" w:rsidRDefault="008E7C06" w:rsidP="00A46332">
            <w:pPr>
              <w:pStyle w:val="Default"/>
              <w:jc w:val="both"/>
              <w:rPr>
                <w:color w:val="auto"/>
                <w:sz w:val="22"/>
                <w:szCs w:val="22"/>
              </w:rPr>
            </w:pPr>
            <w:r w:rsidRPr="005D6998">
              <w:rPr>
                <w:color w:val="auto"/>
                <w:sz w:val="22"/>
                <w:szCs w:val="22"/>
              </w:rPr>
              <w:t xml:space="preserve">- la alin. (2), dispoziția lit. c) este prea generală, fiind incerte actele normative ale BNM la care se face referire. Respectiv, se va indica cel puțin obiectul de reglementare al actului normativ emis de Banca Națională a Moldovei, care cuprinde documentele și informațiile necesar a fi prezentate pentru eliberarea autorizării sucursalelor din state terțe (observație similară valabilă și pentru pct. 54, cu referire la redacția art. 58 alin. (5)); </w:t>
            </w:r>
          </w:p>
          <w:p w14:paraId="1074F765" w14:textId="77777777" w:rsidR="008E7C06" w:rsidRPr="005D6998" w:rsidRDefault="008E7C06" w:rsidP="00A46332">
            <w:pPr>
              <w:pStyle w:val="Default"/>
              <w:jc w:val="both"/>
              <w:rPr>
                <w:color w:val="auto"/>
                <w:sz w:val="22"/>
                <w:szCs w:val="22"/>
              </w:rPr>
            </w:pPr>
          </w:p>
        </w:tc>
        <w:tc>
          <w:tcPr>
            <w:tcW w:w="4960" w:type="dxa"/>
            <w:gridSpan w:val="3"/>
            <w:shd w:val="clear" w:color="auto" w:fill="FFFFFF"/>
          </w:tcPr>
          <w:p w14:paraId="72438A0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2413DC95"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Pentru o mai bună claritate și în stilul terminologiei utilizate pe parcursul legii, redacția lit. c) de la alin. (2) a art. 25 și art. 58 alin. (5) se completează cu mențiunea „emise în aplicarea prezentei legi”.</w:t>
            </w:r>
          </w:p>
          <w:p w14:paraId="2901FB19" w14:textId="77777777" w:rsidR="008E7C06" w:rsidRPr="005D6998" w:rsidRDefault="008E7C06" w:rsidP="00A46332">
            <w:pPr>
              <w:spacing w:after="0" w:line="240" w:lineRule="auto"/>
              <w:jc w:val="both"/>
              <w:rPr>
                <w:rFonts w:ascii="Times New Roman" w:hAnsi="Times New Roman"/>
                <w:lang w:val="ro-MD"/>
              </w:rPr>
            </w:pPr>
          </w:p>
          <w:p w14:paraId="4C0AC60C"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Informațiile și documentele necesare pentru autorizarea sucursalelor din state terțe urmează a fi detaliate în actele normative ale BNM, prin alinierea cadrului național la </w:t>
            </w:r>
            <w:hyperlink r:id="rId18" w:history="1">
              <w:r w:rsidRPr="005D6998">
                <w:rPr>
                  <w:rStyle w:val="afb"/>
                  <w:rFonts w:ascii="Times New Roman" w:hAnsi="Times New Roman"/>
                  <w:lang w:val="ro-MD"/>
                </w:rPr>
                <w:t>Ghidurile ABE</w:t>
              </w:r>
            </w:hyperlink>
            <w:r w:rsidRPr="005D6998">
              <w:rPr>
                <w:rFonts w:ascii="Times New Roman" w:hAnsi="Times New Roman"/>
                <w:lang w:val="ro-MD"/>
              </w:rPr>
              <w:t xml:space="preserve"> elaborate în temeiul art. 48c alin. (8) din Directiva 2013/36/UE.</w:t>
            </w:r>
          </w:p>
          <w:p w14:paraId="545C9DA3"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Ghidurile ABE menționate stabilesc informațiile care trebuie prezentate la solicitarea autorizării, inclusiv procedura și formularele aferente. Prin urmare, stabilirea acestor elemente la nivelul actului normativ al BNM permite asigurarea unei transpuneri și aplicări coerente, fără necesitatea enumerării acestora în lege.</w:t>
            </w:r>
          </w:p>
          <w:p w14:paraId="001869E9"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Soluția este în concordanță cu abordarea deja utilizată în Legea nr. 202/2017, în care documentele și informațiile suplimentare necesare procedurilor de </w:t>
            </w:r>
            <w:r w:rsidRPr="005D6998">
              <w:rPr>
                <w:rFonts w:ascii="Times New Roman" w:hAnsi="Times New Roman"/>
                <w:lang w:val="ro-MD"/>
              </w:rPr>
              <w:lastRenderedPageBreak/>
              <w:t>autorizare sunt detaliate prin actele normative ale BNM.</w:t>
            </w:r>
          </w:p>
        </w:tc>
      </w:tr>
      <w:tr w:rsidR="008E7C06" w:rsidRPr="005D6998" w14:paraId="53D84091" w14:textId="77777777" w:rsidTr="00651F58">
        <w:trPr>
          <w:gridAfter w:val="2"/>
          <w:wAfter w:w="153" w:type="dxa"/>
          <w:trHeight w:val="105"/>
        </w:trPr>
        <w:tc>
          <w:tcPr>
            <w:tcW w:w="899" w:type="dxa"/>
            <w:gridSpan w:val="3"/>
            <w:shd w:val="clear" w:color="auto" w:fill="FFFFFF"/>
          </w:tcPr>
          <w:p w14:paraId="795C7225"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A93DF7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(3) Banca Națională a Moldovei eliberează autorizația prevăzută la alin. (1) sucursalei dintr-un stat terț numai în cazul în care, sunt îndeplinite, cel puțin, următoarele condiții: </w:t>
            </w:r>
          </w:p>
          <w:p w14:paraId="45F0B2F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3E0EACA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d) autorizația prevede că sucursala dintr-un stat terț poate desfășura activitățile autorizate numai în statul membru în care este stabilită și interzice în mod expres sucursalei din statul terț să ofere sau să desfășoare activitățile respective în alte state membre, la nivel transfrontalier, cu excepția operațiunilor de finanțare din interiorul grupului încheiate cu alte sucursale ale aceleiași întreprinderi principale dintr-o stat terț și a operațiunilor efectuate pe bază de solicitare inversă a serviciilor în conformitate cu art. 24; </w:t>
            </w:r>
          </w:p>
          <w:p w14:paraId="54029DB2" w14:textId="77777777" w:rsidR="008E7C06" w:rsidRPr="005D6998" w:rsidRDefault="008E7C06" w:rsidP="00A46332">
            <w:pPr>
              <w:spacing w:after="0" w:line="240" w:lineRule="auto"/>
              <w:jc w:val="both"/>
              <w:rPr>
                <w:rFonts w:ascii="Times New Roman" w:hAnsi="Times New Roman"/>
              </w:rPr>
            </w:pPr>
          </w:p>
          <w:p w14:paraId="03688864" w14:textId="77777777" w:rsidR="008E7C06" w:rsidRPr="005D6998" w:rsidRDefault="008E7C06" w:rsidP="00A46332">
            <w:pPr>
              <w:spacing w:after="0" w:line="240" w:lineRule="auto"/>
              <w:jc w:val="both"/>
              <w:rPr>
                <w:rFonts w:ascii="Times New Roman" w:hAnsi="Times New Roman"/>
              </w:rPr>
            </w:pPr>
          </w:p>
          <w:p w14:paraId="5C4505D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5EFD2A8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1560DDC"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4D5E71F6" w14:textId="77777777" w:rsidR="008E7C06" w:rsidRPr="005D6998" w:rsidRDefault="008E7C06" w:rsidP="00A46332">
            <w:pPr>
              <w:pStyle w:val="Default"/>
              <w:jc w:val="both"/>
              <w:rPr>
                <w:color w:val="auto"/>
                <w:sz w:val="22"/>
                <w:szCs w:val="22"/>
              </w:rPr>
            </w:pPr>
            <w:r w:rsidRPr="005D6998">
              <w:rPr>
                <w:color w:val="auto"/>
                <w:sz w:val="22"/>
                <w:szCs w:val="22"/>
              </w:rPr>
              <w:t xml:space="preserve">- alin. (3) se recomandă a fi completat cu textul „al Titlului III”; </w:t>
            </w:r>
          </w:p>
          <w:p w14:paraId="3B46B752" w14:textId="77777777" w:rsidR="008E7C06" w:rsidRPr="005D6998" w:rsidRDefault="008E7C06" w:rsidP="00A46332">
            <w:pPr>
              <w:pStyle w:val="Default"/>
              <w:jc w:val="both"/>
              <w:rPr>
                <w:color w:val="auto"/>
                <w:sz w:val="22"/>
                <w:szCs w:val="22"/>
              </w:rPr>
            </w:pPr>
          </w:p>
          <w:p w14:paraId="22F38D2C" w14:textId="77777777" w:rsidR="008E7C06" w:rsidRPr="005D6998" w:rsidRDefault="008E7C06" w:rsidP="00A46332">
            <w:pPr>
              <w:pStyle w:val="Default"/>
              <w:jc w:val="both"/>
              <w:rPr>
                <w:color w:val="auto"/>
                <w:sz w:val="22"/>
                <w:szCs w:val="22"/>
              </w:rPr>
            </w:pPr>
            <w:r w:rsidRPr="005D6998">
              <w:rPr>
                <w:color w:val="auto"/>
                <w:sz w:val="22"/>
                <w:szCs w:val="22"/>
              </w:rPr>
              <w:t xml:space="preserve">- în redacția alin. (3) lit. d), se va revedea formularea „pe bază de solicitare inversă a serviciilor în conformitate cu art. 24”, întrucât art. 24 nu prevede nemijlocit acest fapt sau nu utilizează o asemenea terminologie. În context, norma se va reformula, după caz, se va face trimitere la alineatul concret din art. 24 la care se face referire. </w:t>
            </w:r>
          </w:p>
          <w:p w14:paraId="747B964A" w14:textId="77777777" w:rsidR="008E7C06" w:rsidRPr="005D6998" w:rsidRDefault="008E7C06" w:rsidP="00A46332">
            <w:pPr>
              <w:pStyle w:val="Default"/>
              <w:jc w:val="both"/>
              <w:rPr>
                <w:color w:val="auto"/>
                <w:sz w:val="22"/>
                <w:szCs w:val="22"/>
              </w:rPr>
            </w:pPr>
          </w:p>
        </w:tc>
        <w:tc>
          <w:tcPr>
            <w:tcW w:w="4960" w:type="dxa"/>
            <w:gridSpan w:val="3"/>
            <w:shd w:val="clear" w:color="auto" w:fill="FFFFFF"/>
          </w:tcPr>
          <w:p w14:paraId="444195C2"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231B1D8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Lit. a) din alin. (3) al art. 25 se completează conform propunerii:</w:t>
            </w:r>
          </w:p>
          <w:p w14:paraId="62479229" w14:textId="77777777" w:rsidR="008E7C06" w:rsidRPr="005D6998" w:rsidRDefault="008E7C06" w:rsidP="00A46332">
            <w:pPr>
              <w:spacing w:after="0" w:line="240" w:lineRule="auto"/>
              <w:ind w:firstLine="708"/>
              <w:jc w:val="both"/>
              <w:rPr>
                <w:rFonts w:ascii="Times New Roman" w:hAnsi="Times New Roman"/>
                <w:lang w:val="it-CH"/>
              </w:rPr>
            </w:pPr>
            <w:r w:rsidRPr="005D6998">
              <w:rPr>
                <w:rFonts w:ascii="Times New Roman" w:hAnsi="Times New Roman"/>
                <w:lang w:val="it-CH"/>
              </w:rPr>
              <w:t>“</w:t>
            </w:r>
            <w:r w:rsidRPr="005D6998">
              <w:rPr>
                <w:rFonts w:ascii="Times New Roman" w:hAnsi="Times New Roman"/>
              </w:rPr>
              <w:t>a) sucursala dintr-un stat terț îndeplinește cerințele minime de reglementare prevăzute în Capitolul 6</w:t>
            </w:r>
            <w:r w:rsidRPr="005D6998">
              <w:rPr>
                <w:rFonts w:ascii="Times New Roman" w:hAnsi="Times New Roman"/>
                <w:vertAlign w:val="superscript"/>
              </w:rPr>
              <w:t>1</w:t>
            </w:r>
            <w:r w:rsidRPr="005D6998">
              <w:rPr>
                <w:rFonts w:ascii="Times New Roman" w:hAnsi="Times New Roman"/>
              </w:rPr>
              <w:t xml:space="preserve"> </w:t>
            </w:r>
            <w:r w:rsidRPr="005D6998">
              <w:rPr>
                <w:rFonts w:ascii="Times New Roman" w:hAnsi="Times New Roman"/>
                <w:b/>
                <w:bCs/>
              </w:rPr>
              <w:t>al Titlului III</w:t>
            </w:r>
            <w:r w:rsidRPr="005D6998">
              <w:rPr>
                <w:rFonts w:ascii="Times New Roman" w:hAnsi="Times New Roman"/>
              </w:rPr>
              <w:t>;</w:t>
            </w:r>
            <w:r w:rsidRPr="005D6998">
              <w:rPr>
                <w:rFonts w:ascii="Times New Roman" w:hAnsi="Times New Roman"/>
                <w:lang w:val="it-CH"/>
              </w:rPr>
              <w:t>”</w:t>
            </w:r>
          </w:p>
          <w:p w14:paraId="6EBF26DA" w14:textId="77777777" w:rsidR="008E7C06" w:rsidRPr="005D6998" w:rsidRDefault="008E7C06" w:rsidP="00A46332">
            <w:pPr>
              <w:spacing w:after="0" w:line="240" w:lineRule="auto"/>
              <w:ind w:firstLine="708"/>
              <w:jc w:val="both"/>
              <w:rPr>
                <w:rFonts w:ascii="Times New Roman" w:hAnsi="Times New Roman"/>
                <w:lang w:val="it-CH"/>
              </w:rPr>
            </w:pPr>
          </w:p>
          <w:p w14:paraId="364271F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Norma de la alin. (3) lit. d) transpune art. 48c alin. (4) lit. d) din Directiva 2013/36/UE (modificată prin CRD VI), care prevede în mod expres excepția pentru operațiunile efectuate pe baza solicitării inverse a serviciilor. </w:t>
            </w:r>
          </w:p>
          <w:p w14:paraId="2E1B7C8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Mecanismul respectiv este reglementat prin art. 24 în cadrul proiectului.</w:t>
            </w:r>
          </w:p>
          <w:p w14:paraId="6F8538C8" w14:textId="77777777" w:rsidR="008E7C06" w:rsidRPr="005D6998" w:rsidRDefault="008E7C06" w:rsidP="00A46332">
            <w:pPr>
              <w:spacing w:after="0" w:line="240" w:lineRule="auto"/>
              <w:jc w:val="both"/>
              <w:rPr>
                <w:rFonts w:ascii="Times New Roman" w:hAnsi="Times New Roman"/>
              </w:rPr>
            </w:pPr>
          </w:p>
          <w:p w14:paraId="64E0468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Indicarea unui anumit alineat al art. 24 nu este oportună, întrucât regimul solicitării inverse a serviciilor rezultă din coroborarea mai multor alineate ale acestui articol (alin. (2) lit. a), alin. (3)–(6)) care stabilesc atât condițiile aplicării acestui regim, cât și limitele și efectele acestuia, iar nu dintr-o dispoziție izolată. </w:t>
            </w:r>
          </w:p>
          <w:p w14:paraId="0AFE2B8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Prin urmare, trimiterea la întreg art. 24 se consideră ca fiind justificată, asigurându-se, astfel, corelarea cu regimul aplicabil solicitării inverse a serviciilor, fără a exista goluri la momentul aplicării.</w:t>
            </w:r>
          </w:p>
        </w:tc>
      </w:tr>
      <w:tr w:rsidR="008E7C06" w:rsidRPr="005D6998" w14:paraId="35513F10" w14:textId="77777777" w:rsidTr="00651F58">
        <w:trPr>
          <w:gridAfter w:val="2"/>
          <w:wAfter w:w="153" w:type="dxa"/>
          <w:trHeight w:val="105"/>
        </w:trPr>
        <w:tc>
          <w:tcPr>
            <w:tcW w:w="899" w:type="dxa"/>
            <w:gridSpan w:val="3"/>
            <w:shd w:val="clear" w:color="auto" w:fill="FFFFFF"/>
          </w:tcPr>
          <w:p w14:paraId="2A31DDC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6170D96" w14:textId="77777777" w:rsidR="008E7C06" w:rsidRPr="005D6998" w:rsidRDefault="008E7C06" w:rsidP="00A46332">
            <w:pPr>
              <w:spacing w:after="0" w:line="240" w:lineRule="auto"/>
              <w:jc w:val="both"/>
              <w:rPr>
                <w:rFonts w:ascii="Times New Roman" w:hAnsi="Times New Roman"/>
                <w:b/>
              </w:rPr>
            </w:pPr>
            <w:r w:rsidRPr="005D6998">
              <w:rPr>
                <w:rFonts w:ascii="Times New Roman" w:hAnsi="Times New Roman"/>
              </w:rPr>
              <w:t>[...]</w:t>
            </w:r>
          </w:p>
          <w:p w14:paraId="4D7126F5"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b/>
              </w:rPr>
              <w:t>Articolul 27.</w:t>
            </w:r>
            <w:r w:rsidRPr="005D6998">
              <w:rPr>
                <w:rFonts w:ascii="Times New Roman" w:hAnsi="Times New Roman"/>
                <w:b/>
                <w:bCs/>
              </w:rPr>
              <w:t xml:space="preserve"> </w:t>
            </w:r>
            <w:r w:rsidRPr="005D6998">
              <w:rPr>
                <w:rFonts w:ascii="Times New Roman" w:hAnsi="Times New Roman"/>
              </w:rPr>
              <w:t xml:space="preserve">Cerințe de desfășurare a activităților sucursalelor din state terțe </w:t>
            </w:r>
          </w:p>
          <w:p w14:paraId="08F05B5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07EC3C3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(3) În cazul în care o întreprindere stabilită într-un stat terț desfășoară activități și prestează servicii prevăzute la art. 9 din Legea privind pieţele instrumentelor </w:t>
            </w:r>
            <w:r w:rsidRPr="005D6998">
              <w:rPr>
                <w:rFonts w:ascii="Times New Roman" w:hAnsi="Times New Roman"/>
              </w:rPr>
              <w:lastRenderedPageBreak/>
              <w:t xml:space="preserve">financiare și activitățile de investiții și servicii auxiliare, cum ar fi atragerea de depozite conexe sau acordarea de credite ori împrumuturi al căror scop este de a furniza servicii în temeiul legii respective, întreprinderea respectivă face obiectul alin. (1). </w:t>
            </w:r>
          </w:p>
          <w:p w14:paraId="0CCF0B9C" w14:textId="77777777" w:rsidR="008E7C06" w:rsidRPr="005D6998" w:rsidRDefault="008E7C06" w:rsidP="00A46332">
            <w:pPr>
              <w:spacing w:after="0" w:line="240" w:lineRule="auto"/>
              <w:ind w:firstLine="708"/>
              <w:jc w:val="both"/>
              <w:rPr>
                <w:rFonts w:ascii="Times New Roman" w:hAnsi="Times New Roman"/>
                <w:i/>
              </w:rPr>
            </w:pPr>
            <w:r w:rsidRPr="005D6998">
              <w:rPr>
                <w:rFonts w:ascii="Times New Roman" w:hAnsi="Times New Roman"/>
              </w:rPr>
              <w:t>[...]</w:t>
            </w:r>
          </w:p>
          <w:p w14:paraId="7DFD1C4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(6) Prevederile art. 35 din prezenta lege se aplică în mod corespunzător modificărilor în situaţia sucursalelor din state terțe.</w:t>
            </w:r>
          </w:p>
          <w:p w14:paraId="72331AB2"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(7) Sucursala dintr-un stat terț participă la formarea mijloacelor Fondului de garantare a depozitelor în sistemul bancar conform Legii nr. 160/2023 privind garantarea depozitelor în instituții de credit.</w:t>
            </w:r>
          </w:p>
          <w:p w14:paraId="2D941A5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25C4842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F0EBD9B"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38CE3A8" w14:textId="77777777" w:rsidR="008E7C06" w:rsidRPr="005D6998" w:rsidRDefault="008E7C06" w:rsidP="00A46332">
            <w:pPr>
              <w:pStyle w:val="Default"/>
              <w:jc w:val="both"/>
              <w:rPr>
                <w:color w:val="auto"/>
                <w:sz w:val="22"/>
                <w:szCs w:val="22"/>
              </w:rPr>
            </w:pPr>
            <w:r w:rsidRPr="005D6998">
              <w:rPr>
                <w:color w:val="auto"/>
                <w:sz w:val="22"/>
                <w:szCs w:val="22"/>
              </w:rPr>
              <w:t xml:space="preserve">La </w:t>
            </w:r>
            <w:r w:rsidRPr="005D6998">
              <w:rPr>
                <w:b/>
                <w:bCs/>
                <w:color w:val="auto"/>
                <w:sz w:val="22"/>
                <w:szCs w:val="22"/>
              </w:rPr>
              <w:t>art. 27</w:t>
            </w:r>
            <w:r w:rsidRPr="005D6998">
              <w:rPr>
                <w:color w:val="auto"/>
                <w:sz w:val="22"/>
                <w:szCs w:val="22"/>
              </w:rPr>
              <w:t xml:space="preserve">: </w:t>
            </w:r>
          </w:p>
          <w:p w14:paraId="7F06AA13" w14:textId="77777777" w:rsidR="008E7C06" w:rsidRPr="005D6998" w:rsidRDefault="008E7C06" w:rsidP="00A46332">
            <w:pPr>
              <w:pStyle w:val="Default"/>
              <w:jc w:val="both"/>
              <w:rPr>
                <w:color w:val="auto"/>
                <w:sz w:val="22"/>
                <w:szCs w:val="22"/>
              </w:rPr>
            </w:pPr>
            <w:r w:rsidRPr="005D6998">
              <w:rPr>
                <w:color w:val="auto"/>
                <w:sz w:val="22"/>
                <w:szCs w:val="22"/>
              </w:rPr>
              <w:t xml:space="preserve">- se va analiza suplimentar dispoziția alin. (3), în vederea corespunderii acesteia cu norma de transpunere (a se vedea art. 47 din Directiva 2013/36/UE); </w:t>
            </w:r>
          </w:p>
          <w:p w14:paraId="3DB79975" w14:textId="77777777" w:rsidR="008E7C06" w:rsidRPr="005D6998" w:rsidRDefault="008E7C06" w:rsidP="00A46332">
            <w:pPr>
              <w:pStyle w:val="Default"/>
              <w:jc w:val="both"/>
              <w:rPr>
                <w:color w:val="auto"/>
                <w:sz w:val="22"/>
                <w:szCs w:val="22"/>
              </w:rPr>
            </w:pPr>
            <w:r w:rsidRPr="005D6998">
              <w:rPr>
                <w:color w:val="auto"/>
                <w:sz w:val="22"/>
                <w:szCs w:val="22"/>
              </w:rPr>
              <w:t xml:space="preserve">- în redacția alin. (6), cuvintele „din prezenta lege” se vor exclude, întru respectarea art. 55 alin. (4) al Legii nr. 100/2017 (observație valabilă în tot textul proiectului, inclusiv pentru cuvintele „din prezentul articol”); </w:t>
            </w:r>
          </w:p>
          <w:p w14:paraId="4786EF67" w14:textId="77777777" w:rsidR="008E7C06" w:rsidRPr="005D6998" w:rsidRDefault="008E7C06" w:rsidP="00A46332">
            <w:pPr>
              <w:pStyle w:val="Default"/>
              <w:jc w:val="both"/>
              <w:rPr>
                <w:color w:val="auto"/>
                <w:sz w:val="22"/>
                <w:szCs w:val="22"/>
              </w:rPr>
            </w:pPr>
          </w:p>
          <w:p w14:paraId="1E9B0A5A" w14:textId="77777777" w:rsidR="008E7C06" w:rsidRPr="005D6998" w:rsidRDefault="008E7C06" w:rsidP="00A46332">
            <w:pPr>
              <w:pStyle w:val="Default"/>
              <w:jc w:val="both"/>
              <w:rPr>
                <w:color w:val="auto"/>
                <w:sz w:val="22"/>
                <w:szCs w:val="22"/>
              </w:rPr>
            </w:pPr>
            <w:r w:rsidRPr="005D6998">
              <w:rPr>
                <w:color w:val="auto"/>
                <w:sz w:val="22"/>
                <w:szCs w:val="22"/>
              </w:rPr>
              <w:t xml:space="preserve">- referitor la alin. (7), unde se face trimitere la Legea nr. 160/2023, menționăm că legea în redacția în vigoare are următoarea denumire: „Lege nr. 160/2023 cu privire la garantarea depozitelor în bănci”. </w:t>
            </w:r>
          </w:p>
          <w:p w14:paraId="3CE8E08F" w14:textId="77777777" w:rsidR="008E7C06" w:rsidRPr="005D6998" w:rsidRDefault="008E7C06" w:rsidP="00A46332">
            <w:pPr>
              <w:pStyle w:val="Default"/>
              <w:jc w:val="both"/>
              <w:rPr>
                <w:color w:val="auto"/>
                <w:sz w:val="22"/>
                <w:szCs w:val="22"/>
              </w:rPr>
            </w:pPr>
          </w:p>
        </w:tc>
        <w:tc>
          <w:tcPr>
            <w:tcW w:w="4960" w:type="dxa"/>
            <w:gridSpan w:val="3"/>
            <w:shd w:val="clear" w:color="auto" w:fill="FFFFFF"/>
          </w:tcPr>
          <w:p w14:paraId="4CFB9AD3"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6B6F786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(3) redactat după cum urmează:</w:t>
            </w:r>
          </w:p>
          <w:p w14:paraId="2E6BDD6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“(3) În cazul în care o întreprindere stabilită într-un stat terț desfășoară activități și prestează servicii prevăzute la art. 9 din Legea nr. 181/2026 și servicii auxiliare, cum ar fi atragerea de depozite conexe sau acordarea de credite ori împrumuturi al căror scop este de a furniza servicii în temeiul legii respective, întreprinderea respectivă </w:t>
            </w:r>
            <w:r w:rsidRPr="005D6998">
              <w:rPr>
                <w:rFonts w:ascii="Times New Roman" w:hAnsi="Times New Roman"/>
                <w:b/>
                <w:bCs/>
              </w:rPr>
              <w:t>nu face obiectul alin. (1).</w:t>
            </w:r>
            <w:r w:rsidRPr="005D6998">
              <w:rPr>
                <w:rFonts w:ascii="Times New Roman" w:hAnsi="Times New Roman"/>
              </w:rPr>
              <w:t xml:space="preserve"> ”.</w:t>
            </w:r>
          </w:p>
          <w:p w14:paraId="7B191F7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alin. (6), cuvintele „din prezenta lege” se exclud.</w:t>
            </w:r>
          </w:p>
          <w:p w14:paraId="0DD905C7" w14:textId="77777777" w:rsidR="008E7C06" w:rsidRPr="005D6998" w:rsidRDefault="008E7C06" w:rsidP="00A46332">
            <w:pPr>
              <w:spacing w:after="0" w:line="240" w:lineRule="auto"/>
              <w:jc w:val="both"/>
              <w:rPr>
                <w:rFonts w:ascii="Times New Roman" w:hAnsi="Times New Roman"/>
              </w:rPr>
            </w:pPr>
          </w:p>
          <w:p w14:paraId="59BF6C59" w14:textId="77777777" w:rsidR="008E7C06" w:rsidRPr="005D6998" w:rsidRDefault="008E7C06" w:rsidP="00A46332">
            <w:pPr>
              <w:pStyle w:val="Default"/>
              <w:jc w:val="both"/>
              <w:rPr>
                <w:rFonts w:eastAsia="Times New Roman"/>
                <w:color w:val="auto"/>
                <w:sz w:val="22"/>
                <w:szCs w:val="22"/>
                <w:lang w:val="ro-RO" w:eastAsia="ru-RU"/>
                <w14:ligatures w14:val="none"/>
              </w:rPr>
            </w:pPr>
            <w:r w:rsidRPr="005D6998">
              <w:rPr>
                <w:rFonts w:eastAsia="Times New Roman"/>
                <w:color w:val="auto"/>
                <w:sz w:val="22"/>
                <w:szCs w:val="22"/>
                <w:lang w:val="ro-RO" w:eastAsia="ru-RU"/>
                <w14:ligatures w14:val="none"/>
              </w:rPr>
              <w:t xml:space="preserve">La alin. (7), redactat „Lege nr. 160/2023 cu privire la garantarea depozitelor în bănci”. </w:t>
            </w:r>
          </w:p>
          <w:p w14:paraId="1FAC6FFF" w14:textId="77777777" w:rsidR="008E7C06" w:rsidRPr="005D6998" w:rsidRDefault="008E7C06" w:rsidP="00A46332">
            <w:pPr>
              <w:spacing w:after="0" w:line="240" w:lineRule="auto"/>
              <w:jc w:val="both"/>
              <w:rPr>
                <w:rFonts w:ascii="Times New Roman" w:hAnsi="Times New Roman"/>
                <w:lang w:val="ro-MD"/>
              </w:rPr>
            </w:pPr>
          </w:p>
        </w:tc>
      </w:tr>
      <w:tr w:rsidR="008E7C06" w:rsidRPr="005D6998" w14:paraId="5C8FEDB5" w14:textId="77777777" w:rsidTr="00651F58">
        <w:trPr>
          <w:gridAfter w:val="2"/>
          <w:wAfter w:w="153" w:type="dxa"/>
          <w:trHeight w:val="105"/>
        </w:trPr>
        <w:tc>
          <w:tcPr>
            <w:tcW w:w="899" w:type="dxa"/>
            <w:gridSpan w:val="3"/>
            <w:shd w:val="clear" w:color="auto" w:fill="FFFFFF"/>
          </w:tcPr>
          <w:p w14:paraId="08ED0FD9"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985B2C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rPr>
              <w:t>Articolul 29</w:t>
            </w:r>
            <w:r w:rsidRPr="005D6998">
              <w:rPr>
                <w:rFonts w:ascii="Times New Roman" w:hAnsi="Times New Roman"/>
                <w:b/>
                <w:bCs/>
              </w:rPr>
              <w:t>.</w:t>
            </w:r>
            <w:r w:rsidRPr="005D6998">
              <w:rPr>
                <w:rFonts w:ascii="Times New Roman" w:hAnsi="Times New Roman"/>
              </w:rPr>
              <w:t xml:space="preserve"> Refuzul acordării autorizației sucursalei sau retragerea autorizației sucursalei dintr-un stat terț</w:t>
            </w:r>
          </w:p>
          <w:p w14:paraId="69293A70"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 Banca Naţională a Moldovei poate retrage autorizația acordată unei sucursale dintr-un stat  terț în una dintre următoarele situații:</w:t>
            </w:r>
          </w:p>
          <w:p w14:paraId="6DB3BDF7"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238BA06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g) există motive rezonabile de a suspecta că se săvârșește sau s-a săvârșit o faptă sau o tentativă de spălare de bani ori de finanțare a terorismului în sensul Legii nr. 308/2017 în legătură cu sucursala dintr-un stat terț, cu întreprinderea sa principală sau cu grupul din care face parte aceasta sau că există un risc crescut de săvârșire a faptei sau a tentativei de spălare a banilor ori de </w:t>
            </w:r>
            <w:r w:rsidRPr="005D6998">
              <w:rPr>
                <w:rFonts w:ascii="Times New Roman" w:hAnsi="Times New Roman"/>
              </w:rPr>
              <w:lastRenderedPageBreak/>
              <w:t>finanțare a terorismului în legătură cu sucursala dintr-un stat terț, cu întreprinderea sa principală sau cu grupul din care face parte aceasta.</w:t>
            </w:r>
            <w:r w:rsidRPr="005D6998">
              <w:rPr>
                <w:rFonts w:ascii="Times New Roman" w:hAnsi="Times New Roman"/>
                <w:b/>
                <w:bCs/>
              </w:rPr>
              <w:t xml:space="preserve"> </w:t>
            </w:r>
          </w:p>
          <w:p w14:paraId="3E96141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p w14:paraId="1E8DB3C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(3) În scopul evaluării îndeplinirii condiției prevăzute la alin. (1) lit. g), Banca Națională a Moldovei consultă Serviciul Prevenirea şi Combaterea Spălării Banilor.</w:t>
            </w:r>
            <w:r w:rsidRPr="005D6998">
              <w:rPr>
                <w:rFonts w:ascii="Times New Roman" w:hAnsi="Times New Roman"/>
                <w:b/>
                <w:bCs/>
              </w:rPr>
              <w:t xml:space="preserve"> </w:t>
            </w:r>
          </w:p>
          <w:p w14:paraId="3D370268" w14:textId="77777777" w:rsidR="008E7C06" w:rsidRPr="005D6998" w:rsidRDefault="008E7C06" w:rsidP="00A46332">
            <w:pPr>
              <w:spacing w:after="0" w:line="240" w:lineRule="auto"/>
              <w:jc w:val="both"/>
              <w:rPr>
                <w:rFonts w:ascii="Times New Roman" w:hAnsi="Times New Roman"/>
                <w:b/>
              </w:rPr>
            </w:pPr>
          </w:p>
        </w:tc>
        <w:tc>
          <w:tcPr>
            <w:tcW w:w="1418" w:type="dxa"/>
            <w:gridSpan w:val="2"/>
            <w:shd w:val="clear" w:color="auto" w:fill="FFFFFF"/>
          </w:tcPr>
          <w:p w14:paraId="02642833"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766ECE4"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29AC1CC" w14:textId="77777777" w:rsidR="008E7C06" w:rsidRPr="005D6998" w:rsidRDefault="008E7C06" w:rsidP="00A46332">
            <w:pPr>
              <w:pStyle w:val="Default"/>
              <w:jc w:val="both"/>
              <w:rPr>
                <w:color w:val="auto"/>
                <w:sz w:val="22"/>
                <w:szCs w:val="22"/>
              </w:rPr>
            </w:pPr>
            <w:r w:rsidRPr="005D6998">
              <w:rPr>
                <w:color w:val="auto"/>
                <w:sz w:val="22"/>
                <w:szCs w:val="22"/>
              </w:rPr>
              <w:t xml:space="preserve">La art. 29: </w:t>
            </w:r>
          </w:p>
          <w:p w14:paraId="260966DC" w14:textId="77777777" w:rsidR="008E7C06" w:rsidRPr="005D6998" w:rsidRDefault="008E7C06" w:rsidP="00A46332">
            <w:pPr>
              <w:pStyle w:val="Default"/>
              <w:jc w:val="both"/>
              <w:rPr>
                <w:color w:val="auto"/>
                <w:sz w:val="22"/>
                <w:szCs w:val="22"/>
              </w:rPr>
            </w:pPr>
            <w:r w:rsidRPr="005D6998">
              <w:rPr>
                <w:color w:val="auto"/>
                <w:sz w:val="22"/>
                <w:szCs w:val="22"/>
              </w:rPr>
              <w:t xml:space="preserve">- în redacția alin. (1) lit. g), textul „Legii nr. 308/2017” se va completa cu textul „cu privire la prevenirea și combaterea spălării banilor și finanțării terorismului (în continuare – Legea nr. 308/2017)”; </w:t>
            </w:r>
          </w:p>
          <w:p w14:paraId="51BBBECB" w14:textId="77777777" w:rsidR="008E7C06" w:rsidRPr="005D6998" w:rsidRDefault="008E7C06" w:rsidP="00A46332">
            <w:pPr>
              <w:pStyle w:val="Default"/>
              <w:jc w:val="both"/>
              <w:rPr>
                <w:color w:val="auto"/>
                <w:sz w:val="22"/>
                <w:szCs w:val="22"/>
              </w:rPr>
            </w:pPr>
          </w:p>
          <w:p w14:paraId="2A93466B" w14:textId="77777777" w:rsidR="008E7C06" w:rsidRPr="005D6998" w:rsidRDefault="008E7C06" w:rsidP="00A46332">
            <w:pPr>
              <w:pStyle w:val="Default"/>
              <w:jc w:val="both"/>
              <w:rPr>
                <w:color w:val="auto"/>
                <w:sz w:val="22"/>
                <w:szCs w:val="22"/>
              </w:rPr>
            </w:pPr>
            <w:r w:rsidRPr="005D6998">
              <w:rPr>
                <w:color w:val="auto"/>
                <w:sz w:val="22"/>
                <w:szCs w:val="22"/>
              </w:rPr>
              <w:t xml:space="preserve">- dispozițiile alin. (3) se recomandă a fi expuse anterior dispozițiilor alin. (2). Totodată, cuvintele „În scopul evaluării” se recomandă a fi substituite cu cuvintele „La evaluarea”. </w:t>
            </w:r>
          </w:p>
          <w:p w14:paraId="6F013416" w14:textId="77777777" w:rsidR="008E7C06" w:rsidRPr="005D6998" w:rsidRDefault="008E7C06" w:rsidP="00A46332">
            <w:pPr>
              <w:pStyle w:val="Default"/>
              <w:jc w:val="both"/>
              <w:rPr>
                <w:color w:val="auto"/>
                <w:sz w:val="22"/>
                <w:szCs w:val="22"/>
              </w:rPr>
            </w:pPr>
          </w:p>
        </w:tc>
        <w:tc>
          <w:tcPr>
            <w:tcW w:w="4960" w:type="dxa"/>
            <w:gridSpan w:val="3"/>
            <w:shd w:val="clear" w:color="auto" w:fill="FFFFFF"/>
          </w:tcPr>
          <w:p w14:paraId="1C381932"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 xml:space="preserve">Se acceptă. </w:t>
            </w:r>
          </w:p>
          <w:p w14:paraId="2F2B478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(1) lit. g), textul „Legii nr. 308/2017” se completează cu textul „cu privire la prevenirea și combaterea spălării banilor și finanțării terorismului (în continuare – Legea nr. 308/2017).</w:t>
            </w:r>
          </w:p>
          <w:p w14:paraId="2A6451B3" w14:textId="77777777" w:rsidR="008E7C06" w:rsidRPr="005D6998" w:rsidRDefault="008E7C06" w:rsidP="00A46332">
            <w:pPr>
              <w:spacing w:after="0" w:line="240" w:lineRule="auto"/>
              <w:jc w:val="both"/>
              <w:rPr>
                <w:rFonts w:ascii="Times New Roman" w:hAnsi="Times New Roman"/>
              </w:rPr>
            </w:pPr>
          </w:p>
          <w:p w14:paraId="659F0E53" w14:textId="77777777" w:rsidR="008E7C06" w:rsidRPr="005D6998" w:rsidRDefault="008E7C06" w:rsidP="00A46332">
            <w:pPr>
              <w:spacing w:after="0" w:line="240" w:lineRule="auto"/>
              <w:jc w:val="both"/>
              <w:rPr>
                <w:rFonts w:ascii="Times New Roman" w:hAnsi="Times New Roman"/>
              </w:rPr>
            </w:pPr>
          </w:p>
          <w:p w14:paraId="21F57F3D" w14:textId="77777777" w:rsidR="008E7C06" w:rsidRPr="005D6998" w:rsidRDefault="008E7C06" w:rsidP="00A46332">
            <w:pPr>
              <w:pStyle w:val="Default"/>
              <w:jc w:val="both"/>
              <w:rPr>
                <w:color w:val="auto"/>
                <w:sz w:val="22"/>
                <w:szCs w:val="22"/>
              </w:rPr>
            </w:pPr>
            <w:r w:rsidRPr="005D6998">
              <w:rPr>
                <w:sz w:val="22"/>
                <w:szCs w:val="22"/>
              </w:rPr>
              <w:t xml:space="preserve">Alin. (3) se mută la alin. (2) iar </w:t>
            </w:r>
            <w:r w:rsidRPr="005D6998">
              <w:rPr>
                <w:color w:val="auto"/>
                <w:sz w:val="22"/>
                <w:szCs w:val="22"/>
              </w:rPr>
              <w:t xml:space="preserve">„În scopul evaluării” se substituie cu cuvintele „La evaluarea”. </w:t>
            </w:r>
          </w:p>
          <w:p w14:paraId="621F0F04" w14:textId="77777777" w:rsidR="008E7C06" w:rsidRPr="005D6998" w:rsidRDefault="008E7C06" w:rsidP="00A46332">
            <w:pPr>
              <w:spacing w:after="0" w:line="240" w:lineRule="auto"/>
              <w:jc w:val="both"/>
              <w:rPr>
                <w:rFonts w:ascii="Times New Roman" w:hAnsi="Times New Roman"/>
              </w:rPr>
            </w:pPr>
          </w:p>
        </w:tc>
      </w:tr>
      <w:tr w:rsidR="008E7C06" w:rsidRPr="005D6998" w14:paraId="730E33AE" w14:textId="77777777" w:rsidTr="00651F58">
        <w:trPr>
          <w:gridAfter w:val="2"/>
          <w:wAfter w:w="153" w:type="dxa"/>
          <w:trHeight w:val="105"/>
        </w:trPr>
        <w:tc>
          <w:tcPr>
            <w:tcW w:w="899" w:type="dxa"/>
            <w:gridSpan w:val="3"/>
            <w:shd w:val="clear" w:color="auto" w:fill="FFFFFF"/>
          </w:tcPr>
          <w:p w14:paraId="189F301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E05AFF0"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b/>
                <w:bCs/>
              </w:rPr>
              <w:t xml:space="preserve">Secţiunea 2. Cerințe privind sucursalele din state terțe care au o importanță sistemică </w:t>
            </w:r>
          </w:p>
          <w:p w14:paraId="2B3B5724" w14:textId="77777777" w:rsidR="008E7C06" w:rsidRPr="005D6998" w:rsidRDefault="008E7C06" w:rsidP="00A46332">
            <w:pPr>
              <w:spacing w:after="0" w:line="240" w:lineRule="auto"/>
              <w:jc w:val="both"/>
              <w:rPr>
                <w:rFonts w:ascii="Times New Roman" w:hAnsi="Times New Roman"/>
                <w:b/>
                <w:bCs/>
              </w:rPr>
            </w:pPr>
          </w:p>
          <w:p w14:paraId="1E8AC87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b/>
                <w:bCs/>
              </w:rPr>
              <w:t xml:space="preserve">Articolul 31. </w:t>
            </w:r>
            <w:r w:rsidRPr="005D6998">
              <w:rPr>
                <w:rFonts w:ascii="Times New Roman" w:hAnsi="Times New Roman"/>
              </w:rPr>
              <w:t>Cerința de autorizare privind sucursalele din state terțe care au o importanță sistemică</w:t>
            </w:r>
          </w:p>
          <w:p w14:paraId="4D391C2D"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(1) Banca Națională a Moldovei poate impune unei sucursale dintr-un stat terț să solicite  eliberarea autorizației ca instituție de credit, în condițiile prevăzute la Titlul II capitolul 2 cel puțin în următoarele cazuri: </w:t>
            </w:r>
          </w:p>
          <w:p w14:paraId="22FAC4DD"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095F15F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b) sucursala dintr-un stat terț îndeplinește criteriile de importanță sistemică prevăzute de actele normative ale Băncii Naționale a Moldovei sau este evaluată ca având importanță sistemică în conformitate cu articolul 31</w:t>
            </w:r>
            <w:r w:rsidRPr="005D6998">
              <w:rPr>
                <w:rFonts w:ascii="Times New Roman" w:hAnsi="Times New Roman"/>
                <w:vertAlign w:val="superscript"/>
              </w:rPr>
              <w:t>1</w:t>
            </w:r>
            <w:r w:rsidRPr="005D6998">
              <w:rPr>
                <w:rFonts w:ascii="Times New Roman" w:hAnsi="Times New Roman"/>
              </w:rPr>
              <w:t xml:space="preserve"> și prezintă riscuri semnificative pentru stabilitatea financiară în UE sau în Republica Moldova; sau </w:t>
            </w:r>
          </w:p>
          <w:p w14:paraId="1FD9BF9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7F97625C"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DA55C34"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BCF2F99" w14:textId="77777777" w:rsidR="008E7C06" w:rsidRPr="005D6998" w:rsidRDefault="008E7C06" w:rsidP="00A46332">
            <w:pPr>
              <w:pStyle w:val="Default"/>
              <w:jc w:val="both"/>
              <w:rPr>
                <w:color w:val="auto"/>
                <w:sz w:val="22"/>
                <w:szCs w:val="22"/>
              </w:rPr>
            </w:pPr>
            <w:r w:rsidRPr="005D6998">
              <w:rPr>
                <w:color w:val="auto"/>
                <w:sz w:val="22"/>
                <w:szCs w:val="22"/>
              </w:rPr>
              <w:t xml:space="preserve">La art. 31: </w:t>
            </w:r>
          </w:p>
          <w:p w14:paraId="5661F266" w14:textId="77777777" w:rsidR="008E7C06" w:rsidRPr="005D6998" w:rsidRDefault="008E7C06" w:rsidP="00A46332">
            <w:pPr>
              <w:pStyle w:val="Default"/>
              <w:jc w:val="both"/>
              <w:rPr>
                <w:color w:val="auto"/>
                <w:sz w:val="22"/>
                <w:szCs w:val="22"/>
              </w:rPr>
            </w:pPr>
            <w:r w:rsidRPr="005D6998">
              <w:rPr>
                <w:color w:val="auto"/>
                <w:sz w:val="22"/>
                <w:szCs w:val="22"/>
              </w:rPr>
              <w:t xml:space="preserve">- din dispoziția alin. (1), textul „Titlul II” se propune a fi exclus, întru respectarea art. 55 alin. (4) al Legii nr. 100/2017; </w:t>
            </w:r>
          </w:p>
          <w:p w14:paraId="069D099A" w14:textId="77777777" w:rsidR="008E7C06" w:rsidRPr="005D6998" w:rsidRDefault="008E7C06" w:rsidP="00A46332">
            <w:pPr>
              <w:pStyle w:val="Default"/>
              <w:jc w:val="both"/>
              <w:rPr>
                <w:sz w:val="22"/>
                <w:szCs w:val="22"/>
              </w:rPr>
            </w:pPr>
            <w:r w:rsidRPr="005D6998">
              <w:rPr>
                <w:color w:val="auto"/>
                <w:sz w:val="22"/>
                <w:szCs w:val="22"/>
              </w:rPr>
              <w:t>- în redacția alin. (1) lit. b), cuvintele „actele normative ale Băncii Naționale a Moldovei” se vor detalia, în vederea indicării obiectului de reglementare concret al actului normativ ce va fi emis de BNM (observație valabilă și pentru pct. 25, cu referire la redacția art. 32</w:t>
            </w:r>
            <w:r w:rsidRPr="005D6998">
              <w:rPr>
                <w:color w:val="auto"/>
                <w:sz w:val="22"/>
                <w:szCs w:val="22"/>
                <w:vertAlign w:val="superscript"/>
              </w:rPr>
              <w:t>1</w:t>
            </w:r>
            <w:r w:rsidRPr="005D6998">
              <w:rPr>
                <w:color w:val="auto"/>
                <w:sz w:val="22"/>
                <w:szCs w:val="22"/>
              </w:rPr>
              <w:t xml:space="preserve"> alin. (2); pct. 32, cu referire la redacția art. 38</w:t>
            </w:r>
            <w:r w:rsidRPr="005D6998">
              <w:rPr>
                <w:color w:val="auto"/>
                <w:sz w:val="22"/>
                <w:szCs w:val="22"/>
                <w:vertAlign w:val="superscript"/>
              </w:rPr>
              <w:t>3</w:t>
            </w:r>
            <w:r w:rsidRPr="005D6998">
              <w:rPr>
                <w:color w:val="auto"/>
                <w:sz w:val="22"/>
                <w:szCs w:val="22"/>
              </w:rPr>
              <w:t xml:space="preserve"> alin. (3); pct. 33, cu referire la redacția art. 39 alin. (1</w:t>
            </w:r>
            <w:r w:rsidRPr="005D6998">
              <w:rPr>
                <w:color w:val="auto"/>
                <w:sz w:val="22"/>
                <w:szCs w:val="22"/>
                <w:vertAlign w:val="superscript"/>
              </w:rPr>
              <w:t>1</w:t>
            </w:r>
            <w:r w:rsidRPr="005D6998">
              <w:rPr>
                <w:color w:val="auto"/>
                <w:sz w:val="22"/>
                <w:szCs w:val="22"/>
              </w:rPr>
              <w:t>) lit. b) al Legii nr. 202/2017, ș.a.).</w:t>
            </w:r>
          </w:p>
        </w:tc>
        <w:tc>
          <w:tcPr>
            <w:tcW w:w="4960" w:type="dxa"/>
            <w:gridSpan w:val="3"/>
            <w:shd w:val="clear" w:color="auto" w:fill="FFFFFF"/>
          </w:tcPr>
          <w:p w14:paraId="5186048E"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1D698A7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alin. (1), textul „Titlul II” se exclude.</w:t>
            </w:r>
          </w:p>
          <w:p w14:paraId="74F29B26" w14:textId="77777777" w:rsidR="008E7C06" w:rsidRPr="005D6998" w:rsidRDefault="008E7C06" w:rsidP="00A46332">
            <w:pPr>
              <w:spacing w:after="0" w:line="240" w:lineRule="auto"/>
              <w:jc w:val="both"/>
              <w:rPr>
                <w:rFonts w:ascii="Times New Roman" w:hAnsi="Times New Roman"/>
              </w:rPr>
            </w:pPr>
          </w:p>
          <w:p w14:paraId="1A36F46C"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Pentru o mai bună claritate și în stilul terminologiei utilizate pe parcursul legii, redacția lit. b) de la alin. (1) a art. 31, alin. (2) al art. 32</w:t>
            </w:r>
            <w:r w:rsidRPr="005D6998">
              <w:rPr>
                <w:rFonts w:ascii="Times New Roman" w:hAnsi="Times New Roman"/>
                <w:vertAlign w:val="superscript"/>
                <w:lang w:val="ro-MD"/>
              </w:rPr>
              <w:t>1</w:t>
            </w:r>
            <w:r w:rsidRPr="005D6998">
              <w:rPr>
                <w:rFonts w:ascii="Times New Roman" w:hAnsi="Times New Roman"/>
                <w:lang w:val="ro-MD"/>
              </w:rPr>
              <w:t>, alin. (3) al art. 38</w:t>
            </w:r>
            <w:r w:rsidRPr="005D6998">
              <w:rPr>
                <w:rFonts w:ascii="Times New Roman" w:hAnsi="Times New Roman"/>
                <w:vertAlign w:val="superscript"/>
                <w:lang w:val="ro-MD"/>
              </w:rPr>
              <w:t>3</w:t>
            </w:r>
            <w:r w:rsidRPr="005D6998">
              <w:rPr>
                <w:rFonts w:ascii="Times New Roman" w:hAnsi="Times New Roman"/>
                <w:lang w:val="ro-MD"/>
              </w:rPr>
              <w:t xml:space="preserve">, </w:t>
            </w:r>
            <w:r w:rsidRPr="005D6998">
              <w:rPr>
                <w:rFonts w:ascii="Times New Roman" w:hAnsi="Times New Roman"/>
              </w:rPr>
              <w:t>art. 39 alin. (1</w:t>
            </w:r>
            <w:r w:rsidRPr="005D6998">
              <w:rPr>
                <w:rFonts w:ascii="Times New Roman" w:hAnsi="Times New Roman"/>
                <w:vertAlign w:val="superscript"/>
              </w:rPr>
              <w:t>1</w:t>
            </w:r>
            <w:r w:rsidRPr="005D6998">
              <w:rPr>
                <w:rFonts w:ascii="Times New Roman" w:hAnsi="Times New Roman"/>
              </w:rPr>
              <w:t xml:space="preserve">) lit. b) </w:t>
            </w:r>
            <w:r w:rsidRPr="005D6998">
              <w:rPr>
                <w:rFonts w:ascii="Times New Roman" w:hAnsi="Times New Roman"/>
                <w:lang w:val="ro-MD"/>
              </w:rPr>
              <w:t>se completează cu mențiunea „emise în aplicarea prezentei legi”.</w:t>
            </w:r>
          </w:p>
          <w:p w14:paraId="494B9133" w14:textId="77777777" w:rsidR="008E7C06" w:rsidRPr="005D6998" w:rsidRDefault="008E7C06" w:rsidP="00A46332">
            <w:pPr>
              <w:spacing w:after="0" w:line="240" w:lineRule="auto"/>
              <w:jc w:val="both"/>
              <w:rPr>
                <w:rFonts w:ascii="Times New Roman" w:hAnsi="Times New Roman"/>
              </w:rPr>
            </w:pPr>
          </w:p>
        </w:tc>
      </w:tr>
      <w:tr w:rsidR="008E7C06" w:rsidRPr="005D6998" w14:paraId="0EDBAB2C" w14:textId="77777777" w:rsidTr="00651F58">
        <w:trPr>
          <w:gridAfter w:val="2"/>
          <w:wAfter w:w="153" w:type="dxa"/>
          <w:trHeight w:val="105"/>
        </w:trPr>
        <w:tc>
          <w:tcPr>
            <w:tcW w:w="899" w:type="dxa"/>
            <w:gridSpan w:val="3"/>
            <w:shd w:val="clear" w:color="auto" w:fill="FFFFFF"/>
          </w:tcPr>
          <w:p w14:paraId="02E19878"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3A2E99E"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24</w:t>
            </w:r>
            <w:r w:rsidRPr="005D6998">
              <w:rPr>
                <w:rFonts w:ascii="Times New Roman" w:hAnsi="Times New Roman"/>
              </w:rPr>
              <w:t xml:space="preserve">. Articolul 32, </w:t>
            </w:r>
          </w:p>
          <w:p w14:paraId="3BE92AD1"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lastRenderedPageBreak/>
              <w:t>la alineatul (2) ultima propoziție se exclude;</w:t>
            </w:r>
          </w:p>
          <w:p w14:paraId="7B1C6B4A"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la alineatul (3), cuvântul „ , reprezentanței” se exclude;  </w:t>
            </w:r>
          </w:p>
          <w:p w14:paraId="0C4CEE25"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la alineatul (4), cuvintele „ , reprezentanței” și „sau reprezentanței” se exclud; </w:t>
            </w:r>
          </w:p>
          <w:p w14:paraId="7E58C972"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la alineatul (8), textul „ a reprezentanței, despre” se exclude.</w:t>
            </w:r>
          </w:p>
          <w:p w14:paraId="2F35099C"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20BE6E6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49F33B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A9112A9" w14:textId="77777777" w:rsidR="008E7C06" w:rsidRPr="005D6998" w:rsidRDefault="008E7C06" w:rsidP="00A46332">
            <w:pPr>
              <w:pStyle w:val="Default"/>
              <w:jc w:val="both"/>
              <w:rPr>
                <w:sz w:val="22"/>
                <w:szCs w:val="22"/>
              </w:rPr>
            </w:pPr>
            <w:r w:rsidRPr="005D6998">
              <w:rPr>
                <w:sz w:val="22"/>
                <w:szCs w:val="22"/>
              </w:rPr>
              <w:t xml:space="preserve">La pct. 24: </w:t>
            </w:r>
          </w:p>
          <w:p w14:paraId="1A85A2EE" w14:textId="77777777" w:rsidR="008E7C06" w:rsidRPr="005D6998" w:rsidRDefault="008E7C06" w:rsidP="00A46332">
            <w:pPr>
              <w:pStyle w:val="Default"/>
              <w:jc w:val="both"/>
              <w:rPr>
                <w:sz w:val="22"/>
                <w:szCs w:val="22"/>
              </w:rPr>
            </w:pPr>
            <w:r w:rsidRPr="005D6998">
              <w:rPr>
                <w:sz w:val="22"/>
                <w:szCs w:val="22"/>
              </w:rPr>
              <w:lastRenderedPageBreak/>
              <w:t xml:space="preserve">Potrivit modificărilor propuse la art. 32 se atestă excluderea selectivă a referinței la „reprezentanțe” din textul acestui articol. Totodată, se observă că din alte articole </w:t>
            </w:r>
            <w:r w:rsidRPr="005D6998">
              <w:rPr>
                <w:color w:val="auto"/>
                <w:sz w:val="22"/>
                <w:szCs w:val="22"/>
              </w:rPr>
              <w:t>(precum art. 6 și 21) din lege unde erau incluse mențiuni referitoare la reprezentanțele băncilor, au fost excluse. Astfel, în măsura în care intenția autorului este de a exclude orice dispoziție din lege aferentă deschiderii de către băncile din alte state a reprezentanțelor pe teritoriul Republicii Moldova, dispozițiile de modificare a art. 32 ar trebui să prevadă și alte excluderi de cuvinte, și anume, cuvintele „și reprezentanțe” din denumirea articolului, precum și textul „ , precum și reprezentanța” din dispoziția alin. (3) al art. 32.</w:t>
            </w:r>
          </w:p>
        </w:tc>
        <w:tc>
          <w:tcPr>
            <w:tcW w:w="4960" w:type="dxa"/>
            <w:gridSpan w:val="3"/>
            <w:shd w:val="clear" w:color="auto" w:fill="FFFFFF"/>
          </w:tcPr>
          <w:p w14:paraId="13C84D8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06529E9E"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lastRenderedPageBreak/>
              <w:t>Pct. 24 se completează cu următoarele:</w:t>
            </w:r>
          </w:p>
          <w:p w14:paraId="2A9BC8D3"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“în denumire, textul „și reprezentanțe” se exclude;</w:t>
            </w:r>
          </w:p>
          <w:p w14:paraId="35740DAF"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403DD3E8"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la alineatul (3), cuvântul „ , reprezentanței”, precum și textul „respectiv, reprezentanţa” se exclude;”.</w:t>
            </w:r>
          </w:p>
          <w:p w14:paraId="1EF74340" w14:textId="77777777" w:rsidR="008E7C06" w:rsidRPr="005D6998" w:rsidRDefault="008E7C06" w:rsidP="00A46332">
            <w:pPr>
              <w:spacing w:after="0" w:line="240" w:lineRule="auto"/>
              <w:jc w:val="both"/>
              <w:rPr>
                <w:rFonts w:ascii="Times New Roman" w:hAnsi="Times New Roman"/>
              </w:rPr>
            </w:pPr>
          </w:p>
        </w:tc>
      </w:tr>
      <w:tr w:rsidR="008E7C06" w:rsidRPr="005D6998" w14:paraId="7C4726BD" w14:textId="77777777" w:rsidTr="00651F58">
        <w:trPr>
          <w:gridAfter w:val="2"/>
          <w:wAfter w:w="153" w:type="dxa"/>
          <w:trHeight w:val="105"/>
        </w:trPr>
        <w:tc>
          <w:tcPr>
            <w:tcW w:w="899" w:type="dxa"/>
            <w:gridSpan w:val="3"/>
            <w:shd w:val="clear" w:color="auto" w:fill="FFFFFF"/>
          </w:tcPr>
          <w:p w14:paraId="1C425DF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91AF823"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25</w:t>
            </w:r>
            <w:r w:rsidRPr="005D6998">
              <w:rPr>
                <w:rFonts w:ascii="Times New Roman" w:hAnsi="Times New Roman"/>
              </w:rPr>
              <w:t xml:space="preserve">. Se completează cu </w:t>
            </w:r>
            <w:r w:rsidRPr="005D6998">
              <w:rPr>
                <w:rFonts w:ascii="Times New Roman" w:hAnsi="Times New Roman"/>
                <w:b/>
                <w:bCs/>
              </w:rPr>
              <w:t>articolul 32</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 xml:space="preserve">și </w:t>
            </w:r>
            <w:bookmarkStart w:id="22" w:name="_Hlk215557715"/>
            <w:r w:rsidRPr="005D6998">
              <w:rPr>
                <w:rFonts w:ascii="Times New Roman" w:hAnsi="Times New Roman"/>
                <w:b/>
                <w:bCs/>
              </w:rPr>
              <w:t>articolul 32</w:t>
            </w:r>
            <w:r w:rsidRPr="005D6998">
              <w:rPr>
                <w:rFonts w:ascii="Times New Roman" w:hAnsi="Times New Roman"/>
                <w:b/>
                <w:bCs/>
                <w:vertAlign w:val="superscript"/>
              </w:rPr>
              <w:t>2</w:t>
            </w:r>
            <w:r w:rsidRPr="005D6998">
              <w:rPr>
                <w:rFonts w:ascii="Times New Roman" w:hAnsi="Times New Roman"/>
              </w:rPr>
              <w:t xml:space="preserve"> cu următorul cuprins:</w:t>
            </w:r>
          </w:p>
          <w:p w14:paraId="5AAE2DC8"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w:t>
            </w:r>
            <w:r w:rsidRPr="005D6998">
              <w:rPr>
                <w:rFonts w:ascii="Times New Roman" w:hAnsi="Times New Roman"/>
                <w:b/>
                <w:bCs/>
              </w:rPr>
              <w:t>Articolul 32</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Deschiderea de sucursale și prestarea de servicii în mod direct pe teritoriul altor state membre</w:t>
            </w:r>
          </w:p>
          <w:bookmarkEnd w:id="22"/>
          <w:p w14:paraId="671F2E0A"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 </w:t>
            </w:r>
          </w:p>
          <w:p w14:paraId="3236346A"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B25F86">
              <w:rPr>
                <w:rFonts w:ascii="Times New Roman" w:hAnsi="Times New Roman"/>
              </w:rPr>
              <w:t>7</w:t>
            </w:r>
            <w:r w:rsidRPr="005D6998">
              <w:rPr>
                <w:rFonts w:ascii="Times New Roman" w:hAnsi="Times New Roman"/>
              </w:rPr>
              <w:t xml:space="preserve">) Orice intenţie de modificare a informaţiilor prevăzute la alin. (2) lit. b)-d), se notifică în scris Băncii Naţionale a Moldovei și autorității competente din statul membru gazdă de către instituţia de credit în cauză, cu cel puţin o lună înainte de data la care modificarea urmează să fie efectuată. În cazul în care Banca Națională a Moldovei nu are obiecții cu privire continuarea activității sucursalei, urmare modificărilor informațiilor conform </w:t>
            </w:r>
            <w:r w:rsidRPr="005D6998">
              <w:rPr>
                <w:rFonts w:ascii="Times New Roman" w:hAnsi="Times New Roman"/>
              </w:rPr>
              <w:lastRenderedPageBreak/>
              <w:t xml:space="preserve">prezentului alineat, aceasta comunică instituţiei de credit decizia sa. </w:t>
            </w:r>
          </w:p>
          <w:p w14:paraId="648586DF"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B25F86">
              <w:rPr>
                <w:rFonts w:ascii="Times New Roman" w:hAnsi="Times New Roman"/>
              </w:rPr>
              <w:t>8</w:t>
            </w:r>
            <w:r w:rsidRPr="005D6998">
              <w:rPr>
                <w:rFonts w:ascii="Times New Roman" w:hAnsi="Times New Roman"/>
              </w:rPr>
              <w:t>) Banca Națională a Moldovei informează, în cel mai scurt timp posibil, autoritățile competente din statul membru gazdă pe teritoriul căreia instituția de credit, persoană juridică din Republica Moldova, își desfășoară activitatea prin intermediul unei sucursale sau prin prestarea de servicii în mod direct despre retragerea autorizației instituției de credit respective.</w:t>
            </w:r>
          </w:p>
          <w:p w14:paraId="7193F3F9"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w:t>
            </w:r>
            <w:r w:rsidRPr="005D6998" w:rsidDel="00B25F86">
              <w:rPr>
                <w:rFonts w:ascii="Times New Roman" w:hAnsi="Times New Roman"/>
              </w:rPr>
              <w:t>9</w:t>
            </w:r>
            <w:r w:rsidRPr="005D6998">
              <w:rPr>
                <w:rFonts w:ascii="Times New Roman" w:hAnsi="Times New Roman"/>
              </w:rPr>
              <w:t>) Banca Națională a Moldovei informează Comisia Europeană și Autoritatea Bancară Europeană cu privire la numărul și tipul cazurilor în care aceasta s-a opus înființării de către o instituţie de credit, persoană juridică din Republica Moldova, a unei sucursale într-un alt stat membru sau continuării desfăşurării activităţii unei astfel de sucursale.</w:t>
            </w:r>
          </w:p>
          <w:p w14:paraId="540384ED"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260F607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6F4DCC5"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AC65119" w14:textId="77777777" w:rsidR="008E7C06" w:rsidRPr="005D6998" w:rsidRDefault="008E7C06" w:rsidP="00A46332">
            <w:pPr>
              <w:pStyle w:val="Default"/>
              <w:jc w:val="both"/>
              <w:rPr>
                <w:sz w:val="22"/>
                <w:szCs w:val="22"/>
              </w:rPr>
            </w:pPr>
            <w:r w:rsidRPr="005D6998">
              <w:rPr>
                <w:sz w:val="22"/>
                <w:szCs w:val="22"/>
              </w:rPr>
              <w:t xml:space="preserve">La pct. 25: </w:t>
            </w:r>
          </w:p>
          <w:p w14:paraId="55221CA0" w14:textId="77777777" w:rsidR="008E7C06" w:rsidRPr="005D6998" w:rsidRDefault="008E7C06" w:rsidP="00A46332">
            <w:pPr>
              <w:pStyle w:val="Default"/>
              <w:jc w:val="both"/>
              <w:rPr>
                <w:sz w:val="22"/>
                <w:szCs w:val="22"/>
              </w:rPr>
            </w:pPr>
            <w:r w:rsidRPr="005D6998">
              <w:rPr>
                <w:sz w:val="22"/>
                <w:szCs w:val="22"/>
              </w:rPr>
              <w:t>În redacția art. 32</w:t>
            </w:r>
            <w:r w:rsidRPr="005D6998">
              <w:rPr>
                <w:sz w:val="22"/>
                <w:szCs w:val="22"/>
                <w:vertAlign w:val="superscript"/>
              </w:rPr>
              <w:t>1</w:t>
            </w:r>
            <w:r w:rsidRPr="005D6998">
              <w:rPr>
                <w:sz w:val="22"/>
                <w:szCs w:val="22"/>
              </w:rPr>
              <w:t xml:space="preserve"> alin. (7), considerăm necesar a indica în ce termen Banca Națională a Moldovei comunică instituției de credit decizia sa, în cazul în care Banca Națională a Moldovei nu are obiecții cu privire continuarea activității sucursalei, ca urmare a modificărilor informațiilor prevăzute la alin. (2) lit. b)-d) al aceluiași articol. </w:t>
            </w:r>
          </w:p>
          <w:p w14:paraId="18B0F960" w14:textId="77777777" w:rsidR="008E7C06" w:rsidRPr="005D6998" w:rsidRDefault="008E7C06" w:rsidP="00A46332">
            <w:pPr>
              <w:pStyle w:val="Default"/>
              <w:jc w:val="both"/>
              <w:rPr>
                <w:sz w:val="22"/>
                <w:szCs w:val="22"/>
              </w:rPr>
            </w:pPr>
          </w:p>
          <w:p w14:paraId="585B83C8" w14:textId="77777777" w:rsidR="008E7C06" w:rsidRPr="005D6998" w:rsidRDefault="008E7C06" w:rsidP="00A46332">
            <w:pPr>
              <w:pStyle w:val="Default"/>
              <w:jc w:val="both"/>
              <w:rPr>
                <w:sz w:val="22"/>
                <w:szCs w:val="22"/>
              </w:rPr>
            </w:pPr>
            <w:r w:rsidRPr="005D6998">
              <w:rPr>
                <w:sz w:val="22"/>
                <w:szCs w:val="22"/>
              </w:rPr>
              <w:t>În redacția art. 32</w:t>
            </w:r>
            <w:r w:rsidRPr="005D6998">
              <w:rPr>
                <w:sz w:val="22"/>
                <w:szCs w:val="22"/>
                <w:vertAlign w:val="superscript"/>
              </w:rPr>
              <w:t>1</w:t>
            </w:r>
            <w:r w:rsidRPr="005D6998">
              <w:rPr>
                <w:sz w:val="22"/>
                <w:szCs w:val="22"/>
              </w:rPr>
              <w:t xml:space="preserve"> alin. (8), recomandăm a fi detaliate cuvintele „în cel mai scurt timp posibil”, prin completarea acestora cu formularea „dar nu mai mult de...(se va indica termenul concret) de la (se va indica momentul începerii curgerii termenului)”.</w:t>
            </w:r>
          </w:p>
          <w:p w14:paraId="49DB7A6E" w14:textId="77777777" w:rsidR="008E7C06" w:rsidRPr="005D6998" w:rsidRDefault="008E7C06" w:rsidP="00A46332">
            <w:pPr>
              <w:pStyle w:val="Default"/>
              <w:jc w:val="both"/>
              <w:rPr>
                <w:sz w:val="22"/>
                <w:szCs w:val="22"/>
              </w:rPr>
            </w:pPr>
            <w:r w:rsidRPr="005D6998">
              <w:rPr>
                <w:sz w:val="22"/>
                <w:szCs w:val="22"/>
              </w:rPr>
              <w:t xml:space="preserve"> </w:t>
            </w:r>
          </w:p>
          <w:p w14:paraId="03F4A196" w14:textId="77777777" w:rsidR="008E7C06" w:rsidRPr="005D6998" w:rsidRDefault="008E7C06" w:rsidP="00A46332">
            <w:pPr>
              <w:pStyle w:val="Default"/>
              <w:jc w:val="both"/>
              <w:rPr>
                <w:sz w:val="22"/>
                <w:szCs w:val="22"/>
              </w:rPr>
            </w:pPr>
            <w:r w:rsidRPr="005D6998">
              <w:rPr>
                <w:sz w:val="22"/>
                <w:szCs w:val="22"/>
              </w:rPr>
              <w:t>În redacția art. 32</w:t>
            </w:r>
            <w:r w:rsidRPr="005D6998">
              <w:rPr>
                <w:sz w:val="22"/>
                <w:szCs w:val="22"/>
                <w:vertAlign w:val="superscript"/>
              </w:rPr>
              <w:t>1</w:t>
            </w:r>
            <w:r w:rsidRPr="005D6998">
              <w:rPr>
                <w:sz w:val="22"/>
                <w:szCs w:val="22"/>
              </w:rPr>
              <w:t xml:space="preserve"> alin. (9), cuvintele „tipul cazurilor” sunt ambigue, nefiind clar la ce categorii de cazuri se face referire. Totodată, </w:t>
            </w:r>
            <w:r w:rsidRPr="005D6998">
              <w:rPr>
                <w:sz w:val="22"/>
                <w:szCs w:val="22"/>
              </w:rPr>
              <w:lastRenderedPageBreak/>
              <w:t>cuvintele „s-a opus înființării de către o instituție de credit” se vor revedea, întru utilizarea unei terminologii adecvate. Or, alin. (1) al aceluiași articol operează cu termenul „deschiderea sucursalelor”.</w:t>
            </w:r>
          </w:p>
        </w:tc>
        <w:tc>
          <w:tcPr>
            <w:tcW w:w="4960" w:type="dxa"/>
            <w:gridSpan w:val="3"/>
            <w:shd w:val="clear" w:color="auto" w:fill="FFFFFF"/>
          </w:tcPr>
          <w:p w14:paraId="5AE79FE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02ED50E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(7) și (8) redactate după cum urmează:</w:t>
            </w:r>
          </w:p>
          <w:p w14:paraId="6545A9C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lang w:val="it-CH"/>
              </w:rPr>
              <w:t>“</w:t>
            </w:r>
            <w:r w:rsidRPr="005D6998">
              <w:rPr>
                <w:rFonts w:ascii="Times New Roman" w:hAnsi="Times New Roman"/>
                <w:lang w:val="ro-MD"/>
              </w:rPr>
              <w:t>(</w:t>
            </w:r>
            <w:r w:rsidRPr="005D6998" w:rsidDel="00B25F86">
              <w:rPr>
                <w:rFonts w:ascii="Times New Roman" w:hAnsi="Times New Roman"/>
                <w:lang w:val="ro-MD"/>
              </w:rPr>
              <w:t>7</w:t>
            </w:r>
            <w:r w:rsidRPr="005D6998">
              <w:rPr>
                <w:rFonts w:ascii="Times New Roman" w:hAnsi="Times New Roman"/>
                <w:lang w:val="ro-MD"/>
              </w:rPr>
              <w:t>) Orice intenţie de modificare a informaţiilor prevăzute la alin. (2) lit. b)-d)</w:t>
            </w:r>
            <w:r w:rsidRPr="005D6998">
              <w:rPr>
                <w:rFonts w:ascii="Times New Roman" w:hAnsi="Times New Roman"/>
              </w:rPr>
              <w:t xml:space="preserve"> </w:t>
            </w:r>
            <w:r w:rsidRPr="005D6998">
              <w:rPr>
                <w:rFonts w:ascii="Times New Roman" w:hAnsi="Times New Roman"/>
                <w:b/>
                <w:bCs/>
              </w:rPr>
              <w:t>care are loc ulterior transmiterii notificării conform alin. (2) sau (3)</w:t>
            </w:r>
            <w:r w:rsidRPr="005D6998">
              <w:rPr>
                <w:rFonts w:ascii="Times New Roman" w:hAnsi="Times New Roman"/>
                <w:lang w:val="ro-MD"/>
              </w:rPr>
              <w:t>, se notifică în scris Băncii Naţionale a Moldovei și autorității competente din statul membru gazdă de către instituţia de credit în cauză, cu cel puţin o lună înainte de data la care modificarea urmează să fie efectuată. În cazul în care Banca Națională a Moldovei nu are obiecții cu privire continuarea activității sucursalei, urmare modificărilor informațiilor conform prezentului alineat, aceasta comunică instituţiei de credit decizia sa</w:t>
            </w:r>
            <w:r w:rsidRPr="005D6998">
              <w:rPr>
                <w:rFonts w:ascii="Times New Roman" w:hAnsi="Times New Roman"/>
                <w:b/>
                <w:bCs/>
              </w:rPr>
              <w:t xml:space="preserve"> privind existența sau inexistența motivelor potrivit alin. (4), respectiv alin. (5) nu mai târziu de 2 zile lucrătoare de la data emiterii deciziei</w:t>
            </w:r>
            <w:r w:rsidRPr="005D6998">
              <w:rPr>
                <w:rFonts w:ascii="Times New Roman" w:hAnsi="Times New Roman"/>
                <w:lang w:val="ro-MD"/>
              </w:rPr>
              <w:t>.</w:t>
            </w:r>
            <w:r w:rsidRPr="005D6998">
              <w:rPr>
                <w:rFonts w:ascii="Times New Roman" w:hAnsi="Times New Roman"/>
              </w:rPr>
              <w:t>”.</w:t>
            </w:r>
            <w:r w:rsidRPr="005D6998">
              <w:rPr>
                <w:rFonts w:ascii="Times New Roman" w:hAnsi="Times New Roman"/>
                <w:lang w:val="ro-MD"/>
              </w:rPr>
              <w:t>(</w:t>
            </w:r>
            <w:r w:rsidRPr="005D6998" w:rsidDel="00B25F86">
              <w:rPr>
                <w:rFonts w:ascii="Times New Roman" w:hAnsi="Times New Roman"/>
                <w:lang w:val="ro-MD"/>
              </w:rPr>
              <w:t>8</w:t>
            </w:r>
            <w:r w:rsidRPr="005D6998">
              <w:rPr>
                <w:rFonts w:ascii="Times New Roman" w:hAnsi="Times New Roman"/>
                <w:lang w:val="ro-MD"/>
              </w:rPr>
              <w:t xml:space="preserve">) Banca Națională a Moldovei informează, în cel mai scurt timp posibil, </w:t>
            </w:r>
            <w:r w:rsidRPr="005D6998">
              <w:rPr>
                <w:rFonts w:ascii="Times New Roman" w:hAnsi="Times New Roman"/>
                <w:b/>
                <w:bCs/>
                <w:lang w:val="ro-MD"/>
              </w:rPr>
              <w:t>dar nu mai t</w:t>
            </w:r>
            <w:r w:rsidRPr="005D6998">
              <w:rPr>
                <w:rFonts w:ascii="Times New Roman" w:hAnsi="Times New Roman"/>
                <w:b/>
                <w:bCs/>
              </w:rPr>
              <w:t>â</w:t>
            </w:r>
            <w:r w:rsidRPr="005D6998">
              <w:rPr>
                <w:rFonts w:ascii="Times New Roman" w:hAnsi="Times New Roman"/>
                <w:b/>
                <w:bCs/>
                <w:lang w:val="ro-MD"/>
              </w:rPr>
              <w:t xml:space="preserve">rziu de 2 zile lucrătoare de la data retragerii autorizației, </w:t>
            </w:r>
            <w:r w:rsidRPr="005D6998">
              <w:rPr>
                <w:rFonts w:ascii="Times New Roman" w:hAnsi="Times New Roman"/>
                <w:lang w:val="ro-MD"/>
              </w:rPr>
              <w:t xml:space="preserve">autoritățile competente din statul membru gazdă pe teritoriul căreia instituția de credit, </w:t>
            </w:r>
            <w:r w:rsidRPr="005D6998">
              <w:rPr>
                <w:rFonts w:ascii="Times New Roman" w:hAnsi="Times New Roman"/>
                <w:lang w:val="ro-MD"/>
              </w:rPr>
              <w:lastRenderedPageBreak/>
              <w:t>persoană juridică din Republica Moldova, își desfășoară activitatea prin intermediul unei sucursale sau prin prestarea de servicii în mod direct despre retragerea autorizației instituției de credit respective.</w:t>
            </w:r>
            <w:r w:rsidRPr="005D6998">
              <w:rPr>
                <w:rFonts w:ascii="Times New Roman" w:hAnsi="Times New Roman"/>
              </w:rPr>
              <w:t>”</w:t>
            </w:r>
          </w:p>
          <w:p w14:paraId="3C8EF470" w14:textId="77777777" w:rsidR="008E7C06" w:rsidRPr="005D6998" w:rsidRDefault="008E7C06" w:rsidP="00A46332">
            <w:pPr>
              <w:spacing w:after="0" w:line="240" w:lineRule="auto"/>
              <w:jc w:val="both"/>
              <w:rPr>
                <w:rFonts w:ascii="Times New Roman" w:hAnsi="Times New Roman"/>
                <w:b/>
                <w:bCs/>
              </w:rPr>
            </w:pPr>
          </w:p>
          <w:p w14:paraId="53443F8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Se redactează – „s-a opus deschiderii de către o instituție de credit”.</w:t>
            </w:r>
          </w:p>
        </w:tc>
      </w:tr>
      <w:tr w:rsidR="008E7C06" w:rsidRPr="005D6998" w14:paraId="0B8846CF" w14:textId="77777777" w:rsidTr="00651F58">
        <w:trPr>
          <w:gridAfter w:val="2"/>
          <w:wAfter w:w="153" w:type="dxa"/>
          <w:trHeight w:val="105"/>
        </w:trPr>
        <w:tc>
          <w:tcPr>
            <w:tcW w:w="899" w:type="dxa"/>
            <w:gridSpan w:val="3"/>
            <w:shd w:val="clear" w:color="auto" w:fill="FFFFFF"/>
          </w:tcPr>
          <w:p w14:paraId="50A6200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027F162"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26</w:t>
            </w:r>
            <w:r w:rsidRPr="005D6998">
              <w:rPr>
                <w:rFonts w:ascii="Times New Roman" w:hAnsi="Times New Roman"/>
              </w:rPr>
              <w:t>. Articolul 33:</w:t>
            </w:r>
          </w:p>
          <w:p w14:paraId="6763F698"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t>la alineatul (1), cuvintele „alt stat” se substituie cu cuvintele „stat terț” iar cuvintele „statul gazdă” se substituie cu cuvintele „statul terț”;</w:t>
            </w:r>
          </w:p>
          <w:p w14:paraId="00F815B1"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t>la alineatul (2), cuvintele „alt stat” se substituie cu cuvintele „stat terț”;</w:t>
            </w:r>
          </w:p>
          <w:p w14:paraId="4864CD11"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t>la alineatul (3), cuvintele „alt stat” se substituie cu cuvintele „stat terț”;</w:t>
            </w:r>
          </w:p>
          <w:p w14:paraId="5E1BCDA2"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la alin.(5), cuvintele „altui stat” se substituie cu cuvintele „unui stat terț”, iar cuvintele „statul gazdă” se substituie cu cuvintele „statul terț”.</w:t>
            </w:r>
          </w:p>
          <w:p w14:paraId="6BAC9797"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lastRenderedPageBreak/>
              <w:t>la alin.(6), cuvintele „statul gazdă” se substituie cu cuvintele „statul terț”, iar după cuvintele „acelui stat” se introduce cuvântul „terț”.</w:t>
            </w:r>
          </w:p>
        </w:tc>
        <w:tc>
          <w:tcPr>
            <w:tcW w:w="1418" w:type="dxa"/>
            <w:gridSpan w:val="2"/>
            <w:shd w:val="clear" w:color="auto" w:fill="FFFFFF"/>
          </w:tcPr>
          <w:p w14:paraId="5740709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E2C510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52E7E1E" w14:textId="77777777" w:rsidR="008E7C06" w:rsidRPr="005D6998" w:rsidRDefault="008E7C06" w:rsidP="00A46332">
            <w:pPr>
              <w:pStyle w:val="Default"/>
              <w:jc w:val="both"/>
              <w:rPr>
                <w:sz w:val="22"/>
                <w:szCs w:val="22"/>
              </w:rPr>
            </w:pPr>
            <w:r w:rsidRPr="005D6998">
              <w:rPr>
                <w:sz w:val="22"/>
                <w:szCs w:val="22"/>
              </w:rPr>
              <w:t xml:space="preserve">La pct. 26: </w:t>
            </w:r>
          </w:p>
          <w:p w14:paraId="43A944A7" w14:textId="77777777" w:rsidR="008E7C06" w:rsidRPr="005D6998" w:rsidRDefault="008E7C06" w:rsidP="00A46332">
            <w:pPr>
              <w:pStyle w:val="Default"/>
              <w:jc w:val="both"/>
              <w:rPr>
                <w:sz w:val="22"/>
                <w:szCs w:val="22"/>
              </w:rPr>
            </w:pPr>
            <w:r w:rsidRPr="005D6998">
              <w:rPr>
                <w:sz w:val="22"/>
                <w:szCs w:val="22"/>
              </w:rPr>
              <w:t xml:space="preserve">Normele se vor reformula și generaliza, în vederea expunerii că, în denumire și tot textul art. 33, cuvintele „alt stat” se substituie cu cuvintele „stat terț”. De asemenea, în tot textul articolului cuvintele „statul gazdă” se substituie cu cuvintele „statul terț”. Pe lângă cele indicate se vor indica suplimentar și dispozițiile de modificare propuse la alin. (5), aferent substituirii cuvintelor „altui stat” cu cuvintele „unui stat terț”, precum și dispoziția de modificare a alin. (6), care </w:t>
            </w:r>
            <w:r w:rsidRPr="005D6998">
              <w:rPr>
                <w:sz w:val="22"/>
                <w:szCs w:val="22"/>
              </w:rPr>
              <w:lastRenderedPageBreak/>
              <w:t>prevede completarea cuvintelor „acelui stat” cu cuvântul „terț”.</w:t>
            </w:r>
          </w:p>
        </w:tc>
        <w:tc>
          <w:tcPr>
            <w:tcW w:w="4960" w:type="dxa"/>
            <w:gridSpan w:val="3"/>
            <w:shd w:val="clear" w:color="auto" w:fill="FFFFFF"/>
          </w:tcPr>
          <w:p w14:paraId="4FBB88E4" w14:textId="77777777" w:rsidR="008E7C06" w:rsidRPr="005D6998" w:rsidRDefault="008E7C06" w:rsidP="00A46332">
            <w:pPr>
              <w:spacing w:after="0" w:line="240" w:lineRule="auto"/>
              <w:jc w:val="both"/>
              <w:rPr>
                <w:rFonts w:ascii="Times New Roman" w:eastAsiaTheme="minorHAnsi" w:hAnsi="Times New Roman"/>
                <w:b/>
                <w:bCs/>
                <w:color w:val="000000"/>
                <w:lang w:val="ro-MD" w:eastAsia="en-US"/>
                <w14:ligatures w14:val="standardContextual"/>
              </w:rPr>
            </w:pPr>
            <w:r w:rsidRPr="005D6998">
              <w:rPr>
                <w:rFonts w:ascii="Times New Roman" w:eastAsiaTheme="minorHAnsi" w:hAnsi="Times New Roman"/>
                <w:b/>
                <w:bCs/>
                <w:color w:val="000000"/>
                <w:lang w:val="ro-MD" w:eastAsia="en-US"/>
                <w14:ligatures w14:val="standardContextual"/>
              </w:rPr>
              <w:lastRenderedPageBreak/>
              <w:t>Se acceptă.</w:t>
            </w:r>
          </w:p>
          <w:p w14:paraId="687F84F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Se redactează după cum urmează:</w:t>
            </w:r>
          </w:p>
          <w:p w14:paraId="7F1C03E3"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r w:rsidRPr="005D6998">
              <w:rPr>
                <w:rFonts w:ascii="Times New Roman" w:hAnsi="Times New Roman"/>
              </w:rPr>
              <w:tab/>
              <w:t>în denumire și tot textul articolului, cuvintele „alt stat” se substituie cu cuvintele „stat terț” iar cuvintele „statul gazdă” se substituie cu cuvintele „statul terț”;</w:t>
            </w:r>
          </w:p>
          <w:p w14:paraId="70CE22B5"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t>la alineatul (5), cuvintele „altui stat” se substituie cu cuvintele „unui stat terț”;</w:t>
            </w:r>
            <w:r w:rsidRPr="005D6998">
              <w:rPr>
                <w:rFonts w:ascii="Times New Roman" w:hAnsi="Times New Roman"/>
              </w:rPr>
              <w:tab/>
            </w:r>
          </w:p>
          <w:p w14:paraId="2F1674B6"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t xml:space="preserve">la alineatul (6), după cuvintele „acelui stat” se completează cu cuvântul „terț” </w:t>
            </w:r>
            <w:r w:rsidRPr="005D6998">
              <w:rPr>
                <w:rFonts w:ascii="Times New Roman" w:hAnsi="Times New Roman"/>
                <w:lang w:val="it-CH"/>
              </w:rPr>
              <w:t>”.</w:t>
            </w:r>
          </w:p>
        </w:tc>
      </w:tr>
      <w:tr w:rsidR="008E7C06" w:rsidRPr="005D6998" w14:paraId="6760EDCA" w14:textId="77777777" w:rsidTr="00651F58">
        <w:trPr>
          <w:gridAfter w:val="2"/>
          <w:wAfter w:w="153" w:type="dxa"/>
          <w:trHeight w:val="105"/>
        </w:trPr>
        <w:tc>
          <w:tcPr>
            <w:tcW w:w="899" w:type="dxa"/>
            <w:gridSpan w:val="3"/>
            <w:shd w:val="clear" w:color="auto" w:fill="FFFFFF"/>
          </w:tcPr>
          <w:p w14:paraId="06111AC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93C8115"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27</w:t>
            </w:r>
            <w:r w:rsidRPr="005D6998">
              <w:rPr>
                <w:rFonts w:ascii="Times New Roman" w:hAnsi="Times New Roman"/>
              </w:rPr>
              <w:t>. Articolul 34 va avea următorul cuprins:</w:t>
            </w:r>
          </w:p>
          <w:p w14:paraId="0130DF1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Pr>
                <w:rFonts w:ascii="Times New Roman" w:hAnsi="Times New Roman"/>
                <w:b/>
                <w:bCs/>
              </w:rPr>
              <w:t>Articolul 34.</w:t>
            </w:r>
            <w:r w:rsidRPr="005D6998">
              <w:rPr>
                <w:rFonts w:ascii="Times New Roman" w:hAnsi="Times New Roman"/>
              </w:rPr>
              <w:t xml:space="preserve"> Fuziunea sau dezmembrarea</w:t>
            </w:r>
          </w:p>
          <w:p w14:paraId="4AEB54B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p w14:paraId="411EB94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 xml:space="preserve">(10) Prin derogare de la alin. (9), în cazul în care în operațiunea propusă sunt implicate numai părți interesate financiare din cadrul aceluiași grup, Banca Națională a Moldovei realizează evaluarea prevăzută la alin. (15) în termen de 60 de zile lucrătoare de la data confirmării scrise de primire a notificării și de la primirea tuturor documentelor anexate la notificare astfel cum sunt menționate la alin. (23) (în sensul prezentului articol denumit în continuare „termenul de evaluare”). Banca Națională a Moldovei comunică părților interesate financiare data de expirare a termenului de evaluare în momentul transmiterii confirmării de primire a notificării. </w:t>
            </w:r>
            <w:r w:rsidRPr="005D6998">
              <w:rPr>
                <w:rFonts w:ascii="Times New Roman" w:hAnsi="Times New Roman"/>
                <w:b/>
                <w:bCs/>
              </w:rPr>
              <w:t xml:space="preserve"> </w:t>
            </w:r>
          </w:p>
          <w:p w14:paraId="52B64C8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p w14:paraId="36A1D2C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(14) Fuziunea sau dezmembrarea se înregistrează de către Agenţia Servicii Publice numai după obţinerea de către instituția de credit, după caz, societatea financiară holding sau societatea financiară holding mixtă care face obiectul art. 116</w:t>
            </w:r>
            <w:r w:rsidRPr="005D6998">
              <w:rPr>
                <w:rFonts w:ascii="Times New Roman" w:hAnsi="Times New Roman"/>
                <w:vertAlign w:val="superscript"/>
              </w:rPr>
              <w:t>1</w:t>
            </w:r>
            <w:r w:rsidRPr="005D6998">
              <w:rPr>
                <w:rFonts w:ascii="Times New Roman" w:hAnsi="Times New Roman"/>
              </w:rPr>
              <w:t xml:space="preserve"> alin. (1)-(2) respectivă a  avizului pozitiv din partea Băncii Naţionale a Moldovei potrivit alin. (17).</w:t>
            </w:r>
          </w:p>
          <w:p w14:paraId="79209F1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lastRenderedPageBreak/>
              <w:t>(15) La evaluarea unei notificări privind operaţiunile propuse, pentru a asigura soliditatea profilului prudențial al părților interesate financiare după finalizarea operațiunii propuse și, în special, pentru a aborda riscurile la care părțile interesate financiare sunt sau ar putea fi expuse în cursul operațiunii propuse și riscurile la care ar putea fi expusă entitatea rezultată din operațiunea propusă, Banca Națională a Moldovei ia în vedere, fără a fi limitative, următoarele criterii:</w:t>
            </w:r>
          </w:p>
          <w:p w14:paraId="73844464"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p w14:paraId="3440A717"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c) dacă entitatea rezultată din operațiunea propusă va putea respecta și continua să respecte cerințele prudențiale prevăzute de prezenta lege și actele normative emise în aplicarea acesteia și, după caz, de Legea nr. 250/2016 cu privire la supravegherea suplimentară a instituțiilor de credit, asigurătorilor/reasigurătorilor şi a firmelor de investiții care aparţin unui conglomerat financiar și cele referitoare la activitatea emitenților de monedă electronică conform Legii nr. 114/2012;</w:t>
            </w:r>
          </w:p>
        </w:tc>
        <w:tc>
          <w:tcPr>
            <w:tcW w:w="1418" w:type="dxa"/>
            <w:gridSpan w:val="2"/>
            <w:shd w:val="clear" w:color="auto" w:fill="FFFFFF"/>
          </w:tcPr>
          <w:p w14:paraId="2F56F373"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5C6514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429DE9A" w14:textId="77777777" w:rsidR="008E7C06" w:rsidRPr="005D6998" w:rsidRDefault="008E7C06" w:rsidP="00A46332">
            <w:pPr>
              <w:pStyle w:val="Default"/>
              <w:jc w:val="both"/>
              <w:rPr>
                <w:sz w:val="22"/>
                <w:szCs w:val="22"/>
              </w:rPr>
            </w:pPr>
            <w:r w:rsidRPr="005D6998">
              <w:rPr>
                <w:sz w:val="22"/>
                <w:szCs w:val="22"/>
              </w:rPr>
              <w:t>La pct. 27:</w:t>
            </w:r>
          </w:p>
          <w:p w14:paraId="254D7571" w14:textId="77777777" w:rsidR="008E7C06" w:rsidRPr="005D6998" w:rsidRDefault="008E7C06" w:rsidP="00A46332">
            <w:pPr>
              <w:pStyle w:val="Default"/>
              <w:jc w:val="both"/>
              <w:rPr>
                <w:sz w:val="22"/>
                <w:szCs w:val="22"/>
              </w:rPr>
            </w:pPr>
            <w:r w:rsidRPr="005D6998">
              <w:rPr>
                <w:sz w:val="22"/>
                <w:szCs w:val="22"/>
              </w:rPr>
              <w:t>În redacția propusă pentru art. 34, dispozițiile alin. (10) se vor expune din alineat.</w:t>
            </w:r>
          </w:p>
          <w:p w14:paraId="279F2C12" w14:textId="77777777" w:rsidR="008E7C06" w:rsidRPr="005D6998" w:rsidRDefault="008E7C06" w:rsidP="00A46332">
            <w:pPr>
              <w:pStyle w:val="Default"/>
              <w:jc w:val="both"/>
              <w:rPr>
                <w:sz w:val="22"/>
                <w:szCs w:val="22"/>
              </w:rPr>
            </w:pPr>
          </w:p>
          <w:p w14:paraId="206A74F9" w14:textId="77777777" w:rsidR="008E7C06" w:rsidRPr="005D6998" w:rsidRDefault="008E7C06" w:rsidP="00A46332">
            <w:pPr>
              <w:pStyle w:val="Default"/>
              <w:jc w:val="both"/>
              <w:rPr>
                <w:sz w:val="22"/>
                <w:szCs w:val="22"/>
              </w:rPr>
            </w:pPr>
            <w:r w:rsidRPr="005D6998">
              <w:rPr>
                <w:sz w:val="22"/>
                <w:szCs w:val="22"/>
              </w:rPr>
              <w:t>La alin. (14), textul „instituția de credit, după caz, societatea financiară holding sau societatea financiară holding mixtă care face obiectul art. 116</w:t>
            </w:r>
            <w:r w:rsidRPr="005D6998">
              <w:rPr>
                <w:sz w:val="22"/>
                <w:szCs w:val="22"/>
                <w:vertAlign w:val="superscript"/>
              </w:rPr>
              <w:t>1</w:t>
            </w:r>
            <w:r w:rsidRPr="005D6998">
              <w:rPr>
                <w:sz w:val="22"/>
                <w:szCs w:val="22"/>
              </w:rPr>
              <w:t xml:space="preserve"> alin. (1)-(2)” se va substitui cu cuvintele „părțile interesate financiare”, în corespundere cu prescurtarea stabilită în redacția alin. (4) al art. 34 (observație valabilă și pentru pct. 28, aferent redacției propuse la art. 34</w:t>
            </w:r>
            <w:r w:rsidRPr="005D6998">
              <w:rPr>
                <w:sz w:val="22"/>
                <w:szCs w:val="22"/>
                <w:vertAlign w:val="superscript"/>
              </w:rPr>
              <w:t>1</w:t>
            </w:r>
            <w:r w:rsidRPr="005D6998">
              <w:rPr>
                <w:sz w:val="22"/>
                <w:szCs w:val="22"/>
              </w:rPr>
              <w:t>).</w:t>
            </w:r>
          </w:p>
          <w:p w14:paraId="2F164468" w14:textId="77777777" w:rsidR="008E7C06" w:rsidRPr="005D6998" w:rsidRDefault="008E7C06" w:rsidP="00A46332">
            <w:pPr>
              <w:pStyle w:val="Default"/>
              <w:jc w:val="both"/>
              <w:rPr>
                <w:sz w:val="22"/>
                <w:szCs w:val="22"/>
              </w:rPr>
            </w:pPr>
          </w:p>
          <w:p w14:paraId="044B1C5B" w14:textId="77777777" w:rsidR="008E7C06" w:rsidRPr="005D6998" w:rsidRDefault="008E7C06" w:rsidP="00A46332">
            <w:pPr>
              <w:pStyle w:val="Default"/>
              <w:jc w:val="both"/>
              <w:rPr>
                <w:color w:val="auto"/>
                <w:sz w:val="22"/>
                <w:szCs w:val="22"/>
              </w:rPr>
            </w:pPr>
            <w:r w:rsidRPr="005D6998">
              <w:rPr>
                <w:sz w:val="22"/>
                <w:szCs w:val="22"/>
              </w:rPr>
              <w:t xml:space="preserve">Referitor la alin. (15) lit. c), unde se face trimitere la Legea nr. 250/2016, menționăm că legea în redacția în vigoare are următoarea denumire: „Legea nr. 250/2017 cu privire la supravegherea suplimentară a băncilor, asigurătorilor/reasigurătorilor şi a societăților de investiții care aparțin unui conglomerat financiar”. Totodată, după referința la această lege se va completa cu textul „(în continuare – Legea nr. 250/2017)”, întrucât în textul legii se regăsesc mai multe </w:t>
            </w:r>
            <w:r w:rsidRPr="005D6998">
              <w:rPr>
                <w:color w:val="auto"/>
                <w:sz w:val="22"/>
                <w:szCs w:val="22"/>
              </w:rPr>
              <w:t>trimiteri la acest act normativ. Tot la această literă, textul „Legii nr. 114/2012” se va completa cu cuvintele „cu privire la serviciile de plată şi moneda electronică”.</w:t>
            </w:r>
          </w:p>
          <w:p w14:paraId="508B88FA" w14:textId="77777777" w:rsidR="008E7C06" w:rsidRPr="005D6998" w:rsidRDefault="008E7C06" w:rsidP="00A46332">
            <w:pPr>
              <w:pStyle w:val="Default"/>
              <w:jc w:val="both"/>
              <w:rPr>
                <w:color w:val="auto"/>
                <w:sz w:val="22"/>
                <w:szCs w:val="22"/>
              </w:rPr>
            </w:pPr>
          </w:p>
          <w:p w14:paraId="1412C853" w14:textId="77777777" w:rsidR="008E7C06" w:rsidRPr="005D6998" w:rsidRDefault="008E7C06" w:rsidP="00A46332">
            <w:pPr>
              <w:pStyle w:val="Default"/>
              <w:jc w:val="both"/>
              <w:rPr>
                <w:sz w:val="22"/>
                <w:szCs w:val="22"/>
              </w:rPr>
            </w:pPr>
          </w:p>
        </w:tc>
        <w:tc>
          <w:tcPr>
            <w:tcW w:w="4960" w:type="dxa"/>
            <w:gridSpan w:val="3"/>
            <w:shd w:val="clear" w:color="auto" w:fill="FFFFFF"/>
          </w:tcPr>
          <w:p w14:paraId="2F9BC20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056FC1B8" w14:textId="77777777" w:rsidR="008E7C06" w:rsidRPr="005D6998" w:rsidRDefault="008E7C06" w:rsidP="00A46332">
            <w:pPr>
              <w:spacing w:after="0" w:line="240" w:lineRule="auto"/>
              <w:jc w:val="both"/>
              <w:rPr>
                <w:rFonts w:ascii="Times New Roman" w:hAnsi="Times New Roman"/>
                <w:b/>
                <w:bCs/>
              </w:rPr>
            </w:pPr>
          </w:p>
          <w:p w14:paraId="2B675948" w14:textId="77777777" w:rsidR="008E7C06" w:rsidRPr="005D6998" w:rsidRDefault="008E7C06" w:rsidP="00A46332">
            <w:pPr>
              <w:pStyle w:val="Default"/>
              <w:jc w:val="both"/>
              <w:rPr>
                <w:sz w:val="22"/>
                <w:szCs w:val="22"/>
              </w:rPr>
            </w:pPr>
            <w:r w:rsidRPr="005D6998">
              <w:rPr>
                <w:sz w:val="22"/>
                <w:szCs w:val="22"/>
              </w:rPr>
              <w:t>Alin. (10) al art. 34  se expune din alineat.</w:t>
            </w:r>
          </w:p>
          <w:p w14:paraId="36D8E3CB" w14:textId="77777777" w:rsidR="008E7C06" w:rsidRPr="005D6998" w:rsidRDefault="008E7C06" w:rsidP="00A46332">
            <w:pPr>
              <w:pStyle w:val="Default"/>
              <w:jc w:val="both"/>
              <w:rPr>
                <w:sz w:val="22"/>
                <w:szCs w:val="22"/>
              </w:rPr>
            </w:pPr>
          </w:p>
          <w:p w14:paraId="39A7A4E9" w14:textId="77777777" w:rsidR="008E7C06" w:rsidRPr="005D6998" w:rsidRDefault="008E7C06" w:rsidP="00A46332">
            <w:pPr>
              <w:pStyle w:val="Default"/>
              <w:jc w:val="both"/>
              <w:rPr>
                <w:sz w:val="22"/>
                <w:szCs w:val="22"/>
              </w:rPr>
            </w:pPr>
          </w:p>
          <w:p w14:paraId="6F6E4107" w14:textId="77777777" w:rsidR="008E7C06" w:rsidRPr="005D6998" w:rsidRDefault="008E7C06" w:rsidP="00A46332">
            <w:pPr>
              <w:pStyle w:val="Default"/>
              <w:jc w:val="both"/>
              <w:rPr>
                <w:sz w:val="22"/>
                <w:szCs w:val="22"/>
              </w:rPr>
            </w:pPr>
            <w:r w:rsidRPr="005D6998">
              <w:rPr>
                <w:sz w:val="22"/>
                <w:szCs w:val="22"/>
              </w:rPr>
              <w:t>Alin. (14) al art. 34 și alin. (1) al art. 34</w:t>
            </w:r>
            <w:r w:rsidRPr="005D6998">
              <w:rPr>
                <w:sz w:val="22"/>
                <w:szCs w:val="22"/>
                <w:vertAlign w:val="superscript"/>
              </w:rPr>
              <w:t>1</w:t>
            </w:r>
            <w:r w:rsidRPr="005D6998">
              <w:rPr>
                <w:sz w:val="22"/>
                <w:szCs w:val="22"/>
              </w:rPr>
              <w:t xml:space="preserve"> redactat, conform propunerii de substituire cu textul “</w:t>
            </w:r>
            <w:r w:rsidRPr="005D6998">
              <w:rPr>
                <w:sz w:val="22"/>
                <w:szCs w:val="22"/>
                <w:lang w:val="ro-RO"/>
              </w:rPr>
              <w:t>părțile financiare interesate</w:t>
            </w:r>
            <w:r w:rsidRPr="005D6998">
              <w:rPr>
                <w:sz w:val="22"/>
                <w:szCs w:val="22"/>
              </w:rPr>
              <w:t>”.</w:t>
            </w:r>
          </w:p>
          <w:p w14:paraId="73C1A732" w14:textId="77777777" w:rsidR="008E7C06" w:rsidRPr="005D6998" w:rsidRDefault="008E7C06" w:rsidP="00A46332">
            <w:pPr>
              <w:pStyle w:val="Default"/>
              <w:jc w:val="both"/>
              <w:rPr>
                <w:sz w:val="22"/>
                <w:szCs w:val="22"/>
              </w:rPr>
            </w:pPr>
          </w:p>
          <w:p w14:paraId="67381A87" w14:textId="77777777" w:rsidR="008E7C06" w:rsidRPr="005D6998" w:rsidRDefault="008E7C06" w:rsidP="00A46332">
            <w:pPr>
              <w:pStyle w:val="Default"/>
              <w:jc w:val="both"/>
              <w:rPr>
                <w:sz w:val="22"/>
                <w:szCs w:val="22"/>
              </w:rPr>
            </w:pPr>
          </w:p>
          <w:p w14:paraId="6E5EA680" w14:textId="77777777" w:rsidR="008E7C06" w:rsidRPr="005D6998" w:rsidRDefault="008E7C06" w:rsidP="00A46332">
            <w:pPr>
              <w:pStyle w:val="Default"/>
              <w:jc w:val="both"/>
              <w:rPr>
                <w:sz w:val="22"/>
                <w:szCs w:val="22"/>
              </w:rPr>
            </w:pPr>
          </w:p>
          <w:p w14:paraId="40266733" w14:textId="77777777" w:rsidR="008E7C06" w:rsidRPr="005D6998" w:rsidRDefault="008E7C06" w:rsidP="00A46332">
            <w:pPr>
              <w:pStyle w:val="Default"/>
              <w:jc w:val="both"/>
              <w:rPr>
                <w:sz w:val="22"/>
                <w:szCs w:val="22"/>
              </w:rPr>
            </w:pPr>
          </w:p>
          <w:p w14:paraId="1C51DC2E" w14:textId="77777777" w:rsidR="008E7C06" w:rsidRPr="005D6998" w:rsidRDefault="008E7C06" w:rsidP="00A46332">
            <w:pPr>
              <w:pStyle w:val="Default"/>
              <w:jc w:val="both"/>
              <w:rPr>
                <w:sz w:val="22"/>
                <w:szCs w:val="22"/>
              </w:rPr>
            </w:pPr>
          </w:p>
          <w:p w14:paraId="0B78A396" w14:textId="77777777" w:rsidR="008E7C06" w:rsidRPr="005D6998" w:rsidRDefault="008E7C06" w:rsidP="00A46332">
            <w:pPr>
              <w:pStyle w:val="Default"/>
              <w:jc w:val="both"/>
              <w:rPr>
                <w:sz w:val="22"/>
                <w:szCs w:val="22"/>
              </w:rPr>
            </w:pPr>
          </w:p>
          <w:p w14:paraId="2E2860EC" w14:textId="77777777" w:rsidR="008E7C06" w:rsidRPr="005D6998" w:rsidRDefault="008E7C06" w:rsidP="00A46332">
            <w:pPr>
              <w:pStyle w:val="Default"/>
              <w:jc w:val="both"/>
              <w:rPr>
                <w:sz w:val="22"/>
                <w:szCs w:val="22"/>
              </w:rPr>
            </w:pPr>
          </w:p>
          <w:p w14:paraId="5E1B16BF" w14:textId="77777777" w:rsidR="008E7C06" w:rsidRPr="005D6998" w:rsidRDefault="008E7C06" w:rsidP="00A46332">
            <w:pPr>
              <w:pStyle w:val="Default"/>
              <w:jc w:val="both"/>
              <w:rPr>
                <w:sz w:val="22"/>
                <w:szCs w:val="22"/>
                <w:lang w:val="en-US"/>
              </w:rPr>
            </w:pPr>
            <w:r w:rsidRPr="005D6998">
              <w:rPr>
                <w:sz w:val="22"/>
                <w:szCs w:val="22"/>
              </w:rPr>
              <w:t>Alin. (15) lit. c) al art. 34 redactat conform propunerii.</w:t>
            </w:r>
          </w:p>
          <w:p w14:paraId="5044957F" w14:textId="77777777" w:rsidR="008E7C06" w:rsidRPr="005D6998" w:rsidRDefault="008E7C06" w:rsidP="00A46332">
            <w:pPr>
              <w:pStyle w:val="Default"/>
              <w:jc w:val="both"/>
              <w:rPr>
                <w:sz w:val="22"/>
                <w:szCs w:val="22"/>
                <w:lang w:val="en-US"/>
              </w:rPr>
            </w:pPr>
          </w:p>
          <w:p w14:paraId="7228097E" w14:textId="77777777" w:rsidR="008E7C06" w:rsidRPr="005D6998" w:rsidRDefault="008E7C06" w:rsidP="00A46332">
            <w:pPr>
              <w:pStyle w:val="Default"/>
              <w:jc w:val="both"/>
              <w:rPr>
                <w:sz w:val="22"/>
                <w:szCs w:val="22"/>
              </w:rPr>
            </w:pPr>
          </w:p>
          <w:p w14:paraId="0501173F" w14:textId="77777777" w:rsidR="008E7C06" w:rsidRPr="005D6998" w:rsidRDefault="008E7C06" w:rsidP="00A46332">
            <w:pPr>
              <w:pStyle w:val="Default"/>
              <w:jc w:val="both"/>
              <w:rPr>
                <w:sz w:val="22"/>
                <w:szCs w:val="22"/>
              </w:rPr>
            </w:pPr>
          </w:p>
          <w:p w14:paraId="15E571BA" w14:textId="77777777" w:rsidR="008E7C06" w:rsidRPr="005D6998" w:rsidRDefault="008E7C06" w:rsidP="00A46332">
            <w:pPr>
              <w:pStyle w:val="Default"/>
              <w:jc w:val="both"/>
              <w:rPr>
                <w:sz w:val="22"/>
                <w:szCs w:val="22"/>
              </w:rPr>
            </w:pPr>
          </w:p>
          <w:p w14:paraId="1E48BBFF" w14:textId="77777777" w:rsidR="008E7C06" w:rsidRPr="005D6998" w:rsidRDefault="008E7C06" w:rsidP="00A46332">
            <w:pPr>
              <w:spacing w:after="0" w:line="240" w:lineRule="auto"/>
              <w:jc w:val="both"/>
              <w:rPr>
                <w:rFonts w:ascii="Times New Roman" w:hAnsi="Times New Roman"/>
                <w:b/>
                <w:bCs/>
                <w:lang w:val="ro-MD"/>
              </w:rPr>
            </w:pPr>
          </w:p>
        </w:tc>
      </w:tr>
      <w:tr w:rsidR="008E7C06" w:rsidRPr="005D6998" w14:paraId="4A76F366" w14:textId="77777777" w:rsidTr="00651F58">
        <w:trPr>
          <w:gridAfter w:val="2"/>
          <w:wAfter w:w="153" w:type="dxa"/>
          <w:trHeight w:val="105"/>
        </w:trPr>
        <w:tc>
          <w:tcPr>
            <w:tcW w:w="899" w:type="dxa"/>
            <w:gridSpan w:val="3"/>
            <w:shd w:val="clear" w:color="auto" w:fill="FFFFFF"/>
          </w:tcPr>
          <w:p w14:paraId="0C8F5B8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2B69777" w14:textId="77777777" w:rsidR="008E7C06" w:rsidRPr="005D6998" w:rsidRDefault="008E7C06" w:rsidP="00A46332">
            <w:pPr>
              <w:spacing w:after="0" w:line="240" w:lineRule="auto"/>
              <w:ind w:firstLine="708"/>
              <w:jc w:val="both"/>
              <w:rPr>
                <w:rFonts w:ascii="Times New Roman" w:hAnsi="Times New Roman"/>
                <w:i/>
              </w:rPr>
            </w:pPr>
            <w:r w:rsidRPr="005D6998">
              <w:rPr>
                <w:rFonts w:ascii="Times New Roman" w:hAnsi="Times New Roman"/>
              </w:rPr>
              <w:t>[...]</w:t>
            </w:r>
          </w:p>
          <w:p w14:paraId="61DD992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(16) În scopul evaluării criteriului prevăzut la alin. (15) lit. e) Banca Națională a Moldovei, în calitate de autoritate competentă, consultă, în realizarea verificărilor sale, organul cu funcții de supraveghere a părților financiare interesate în conformitate cu Legea nr. </w:t>
            </w:r>
            <w:r w:rsidRPr="005D6998">
              <w:rPr>
                <w:rFonts w:ascii="Times New Roman" w:hAnsi="Times New Roman"/>
              </w:rPr>
              <w:lastRenderedPageBreak/>
              <w:t>308/2017 sau în conformitate cu dispozițiile legale adoptate de alte state membre pentru transpunerea Directivei (UE) 2015/849, după  caz.</w:t>
            </w:r>
            <w:r w:rsidRPr="005D6998">
              <w:rPr>
                <w:rFonts w:ascii="Times New Roman" w:hAnsi="Times New Roman"/>
                <w:b/>
                <w:bCs/>
              </w:rPr>
              <w:t xml:space="preserve">  </w:t>
            </w:r>
          </w:p>
        </w:tc>
        <w:tc>
          <w:tcPr>
            <w:tcW w:w="1418" w:type="dxa"/>
            <w:gridSpan w:val="2"/>
            <w:shd w:val="clear" w:color="auto" w:fill="FFFFFF"/>
          </w:tcPr>
          <w:p w14:paraId="0D486C3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E6C6308"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F1FF6B6" w14:textId="77777777" w:rsidR="008E7C06" w:rsidRPr="005D6998" w:rsidRDefault="008E7C06" w:rsidP="00A46332">
            <w:pPr>
              <w:pStyle w:val="Default"/>
              <w:jc w:val="both"/>
              <w:rPr>
                <w:color w:val="auto"/>
                <w:sz w:val="22"/>
                <w:szCs w:val="22"/>
              </w:rPr>
            </w:pPr>
            <w:r w:rsidRPr="005D6998">
              <w:rPr>
                <w:color w:val="auto"/>
                <w:sz w:val="22"/>
                <w:szCs w:val="22"/>
              </w:rPr>
              <w:t xml:space="preserve">În redacția alin. (16), se vor revedea cuvintele „organul cu funcții de supraveghere a părților financiare interesate în conformitate cu Legea nr. 308/2017”, întru identificarea concretă a entității cu funcții de supraveghere la care se face referire sau utilizarea terminologiei utilizate în Legea nr. 308/2017 cu privire la prevenirea și combaterea spălării banilor și </w:t>
            </w:r>
            <w:r w:rsidRPr="005D6998">
              <w:rPr>
                <w:color w:val="auto"/>
                <w:sz w:val="22"/>
                <w:szCs w:val="22"/>
              </w:rPr>
              <w:lastRenderedPageBreak/>
              <w:t>finanțării terorismului, aferente referinței la organele cu funcții de supraveghere (observație valabilă în tot textul proiectului).</w:t>
            </w:r>
          </w:p>
          <w:p w14:paraId="58485E8F" w14:textId="77777777" w:rsidR="008E7C06" w:rsidRPr="005D6998" w:rsidRDefault="008E7C06" w:rsidP="00A46332">
            <w:pPr>
              <w:pStyle w:val="Default"/>
              <w:jc w:val="both"/>
              <w:rPr>
                <w:color w:val="auto"/>
                <w:sz w:val="22"/>
                <w:szCs w:val="22"/>
              </w:rPr>
            </w:pPr>
          </w:p>
          <w:p w14:paraId="6B6087DC" w14:textId="77777777" w:rsidR="008E7C06" w:rsidRPr="005D6998" w:rsidRDefault="008E7C06" w:rsidP="00A46332">
            <w:pPr>
              <w:pStyle w:val="Default"/>
              <w:jc w:val="both"/>
              <w:rPr>
                <w:sz w:val="22"/>
                <w:szCs w:val="22"/>
              </w:rPr>
            </w:pPr>
          </w:p>
        </w:tc>
        <w:tc>
          <w:tcPr>
            <w:tcW w:w="4960" w:type="dxa"/>
            <w:gridSpan w:val="3"/>
            <w:shd w:val="clear" w:color="auto" w:fill="FFFFFF"/>
          </w:tcPr>
          <w:p w14:paraId="7149030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Nu se acceptă.</w:t>
            </w:r>
          </w:p>
          <w:p w14:paraId="1906D494"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S</w:t>
            </w:r>
            <w:r w:rsidRPr="005D6998">
              <w:rPr>
                <w:rFonts w:ascii="Times New Roman" w:hAnsi="Times New Roman"/>
                <w:lang w:val="ro-MD"/>
              </w:rPr>
              <w:t>intagma „organul cu funcții de supraveghere a părților financiare interesate în conformitate cu Legea nr. 308/2017” este utilizată în scopul asigurării unei formulări generale pentru a acoperi diferitele categorii de entități raportoare și, implicit, diferitele organe cu funcții de supraveghere competente în temeiul Legii nr. 308/2017.</w:t>
            </w:r>
          </w:p>
          <w:p w14:paraId="3615F6ED" w14:textId="77777777" w:rsidR="008E7C06" w:rsidRPr="005D6998" w:rsidRDefault="008E7C06" w:rsidP="00A46332">
            <w:pPr>
              <w:spacing w:after="0" w:line="240" w:lineRule="auto"/>
              <w:jc w:val="both"/>
              <w:rPr>
                <w:rFonts w:ascii="Times New Roman" w:hAnsi="Times New Roman"/>
                <w:lang w:val="ro-MD"/>
              </w:rPr>
            </w:pPr>
          </w:p>
          <w:p w14:paraId="03AEAEAE"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lastRenderedPageBreak/>
              <w:t>Această abordare corespunde art. 23 alin. (1) lit. e) din Directiva 2013/36/UE, care prevede consultarea, în cadrul verificărilor, a autorităților responsabile de supravegherea în conformitate cu Directiva (UE) 2015/849, fără a arăta o anumită autoritate.</w:t>
            </w:r>
          </w:p>
          <w:p w14:paraId="5F6FEEC0" w14:textId="77777777" w:rsidR="008E7C06" w:rsidRPr="005D6998" w:rsidRDefault="008E7C06" w:rsidP="00A46332">
            <w:pPr>
              <w:spacing w:after="0" w:line="240" w:lineRule="auto"/>
              <w:jc w:val="both"/>
              <w:rPr>
                <w:rFonts w:ascii="Times New Roman" w:hAnsi="Times New Roman"/>
                <w:lang w:val="ro-MD"/>
              </w:rPr>
            </w:pPr>
          </w:p>
          <w:p w14:paraId="642715A9"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Totodată, indicarea unei anumite autorități în textul alin. (16) ar putea restrânge nejustificat domeniul de aplicare al normei, întrucât competența de supraveghere în domeniul prevenirii și combaterii spălării banilor și finanțării terorismului este determinată în funcție de categoria entității raportoare. În acest sens, Legea nr. 308/2017 instituie mai multe organe cu funcții de supraveghere pe domeniul AML, inclusiv BNM.</w:t>
            </w:r>
          </w:p>
        </w:tc>
      </w:tr>
      <w:tr w:rsidR="008E7C06" w:rsidRPr="005D6998" w14:paraId="6212E376" w14:textId="77777777" w:rsidTr="00651F58">
        <w:trPr>
          <w:gridAfter w:val="2"/>
          <w:wAfter w:w="153" w:type="dxa"/>
          <w:trHeight w:val="105"/>
        </w:trPr>
        <w:tc>
          <w:tcPr>
            <w:tcW w:w="899" w:type="dxa"/>
            <w:gridSpan w:val="3"/>
            <w:shd w:val="clear" w:color="auto" w:fill="FFFFFF"/>
          </w:tcPr>
          <w:p w14:paraId="5064655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68FEFC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(17) În termen de două zile lucrătoare de la finalizarea evaluării sale, Banca Națională a Moldovei emite în scris un aviz pozitiv sau negativ motivat și îl transmite părților interesate financiare. În cazul în care în cadrul operațiunii propuse sunt implicate numai părți interesate financiare din cadrul aceluiași grup, iar Banca Națională a Moldovei nu se opune în scris operațiunii propuse în cursul termenului de evaluare, se consideră că avizul este pozitiv. Operațiunea propusă nu se finalizează înainte ca Banca Națională a Moldovei să fi emis un aviz pozitiv. </w:t>
            </w:r>
          </w:p>
          <w:p w14:paraId="4AED8758" w14:textId="77777777" w:rsidR="008E7C06" w:rsidRPr="005D6998" w:rsidRDefault="008E7C06" w:rsidP="00A46332">
            <w:pPr>
              <w:spacing w:after="0" w:line="240" w:lineRule="auto"/>
              <w:jc w:val="both"/>
              <w:rPr>
                <w:rFonts w:ascii="Times New Roman" w:hAnsi="Times New Roman"/>
                <w:i/>
              </w:rPr>
            </w:pPr>
            <w:r w:rsidRPr="005D6998">
              <w:rPr>
                <w:rFonts w:ascii="Times New Roman" w:hAnsi="Times New Roman"/>
                <w:b/>
                <w:bCs/>
              </w:rPr>
              <w:t>[...]</w:t>
            </w:r>
          </w:p>
        </w:tc>
        <w:tc>
          <w:tcPr>
            <w:tcW w:w="1418" w:type="dxa"/>
            <w:gridSpan w:val="2"/>
            <w:shd w:val="clear" w:color="auto" w:fill="FFFFFF"/>
          </w:tcPr>
          <w:p w14:paraId="156E18B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BB69426"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65E38B7" w14:textId="77777777" w:rsidR="008E7C06" w:rsidRPr="005D6998" w:rsidRDefault="008E7C06" w:rsidP="00A46332">
            <w:pPr>
              <w:pStyle w:val="Default"/>
              <w:jc w:val="both"/>
              <w:rPr>
                <w:color w:val="auto"/>
                <w:sz w:val="22"/>
                <w:szCs w:val="22"/>
              </w:rPr>
            </w:pPr>
            <w:r w:rsidRPr="005D6998">
              <w:rPr>
                <w:color w:val="auto"/>
                <w:sz w:val="22"/>
                <w:szCs w:val="22"/>
                <w:lang w:val="ro-RO"/>
              </w:rPr>
              <w:t>Î</w:t>
            </w:r>
            <w:r w:rsidRPr="005D6998">
              <w:rPr>
                <w:color w:val="auto"/>
                <w:sz w:val="22"/>
                <w:szCs w:val="22"/>
              </w:rPr>
              <w:t>n redacția enunțului al doilea din alin. (17), pentru precizie și claritate, considerăm oportun a indica referința la elementul structural din articolul 34 care stabilește termenul de evaluare, în cazul în care în cadrul operațiunii propuse sunt implicate numai părți interesate financiare din cadrul aceluiași grup.</w:t>
            </w:r>
          </w:p>
          <w:p w14:paraId="47B2A630" w14:textId="77777777" w:rsidR="008E7C06" w:rsidRPr="005D6998" w:rsidRDefault="008E7C06" w:rsidP="00A46332">
            <w:pPr>
              <w:pStyle w:val="Default"/>
              <w:jc w:val="both"/>
              <w:rPr>
                <w:color w:val="auto"/>
                <w:sz w:val="22"/>
                <w:szCs w:val="22"/>
              </w:rPr>
            </w:pPr>
          </w:p>
          <w:p w14:paraId="2B9E53E2" w14:textId="77777777" w:rsidR="008E7C06" w:rsidRPr="005D6998" w:rsidRDefault="008E7C06" w:rsidP="00A46332">
            <w:pPr>
              <w:pStyle w:val="Default"/>
              <w:jc w:val="both"/>
              <w:rPr>
                <w:color w:val="auto"/>
                <w:sz w:val="22"/>
                <w:szCs w:val="22"/>
              </w:rPr>
            </w:pPr>
          </w:p>
        </w:tc>
        <w:tc>
          <w:tcPr>
            <w:tcW w:w="4960" w:type="dxa"/>
            <w:gridSpan w:val="3"/>
            <w:shd w:val="clear" w:color="auto" w:fill="FFFFFF"/>
          </w:tcPr>
          <w:p w14:paraId="7404D3C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783D487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Enunțul al doilea din alin. (17), după cuvintele </w:t>
            </w:r>
            <w:r w:rsidRPr="005D6998">
              <w:rPr>
                <w:rFonts w:ascii="Times New Roman" w:hAnsi="Times New Roman"/>
                <w:lang w:val="it-CH"/>
              </w:rPr>
              <w:t>“</w:t>
            </w:r>
            <w:r w:rsidRPr="005D6998">
              <w:rPr>
                <w:rFonts w:ascii="Times New Roman" w:hAnsi="Times New Roman"/>
              </w:rPr>
              <w:t>cursul termenului de evaluare” se completează cu textul ”prevăzut la alin. (10)”.</w:t>
            </w:r>
          </w:p>
        </w:tc>
      </w:tr>
      <w:tr w:rsidR="008E7C06" w:rsidRPr="005D6998" w14:paraId="0BA0FD30" w14:textId="77777777" w:rsidTr="00651F58">
        <w:trPr>
          <w:gridAfter w:val="2"/>
          <w:wAfter w:w="153" w:type="dxa"/>
          <w:trHeight w:val="105"/>
        </w:trPr>
        <w:tc>
          <w:tcPr>
            <w:tcW w:w="899" w:type="dxa"/>
            <w:gridSpan w:val="3"/>
            <w:shd w:val="clear" w:color="auto" w:fill="FFFFFF"/>
          </w:tcPr>
          <w:p w14:paraId="09AD100B"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F4D383B"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(26) Banca Națională a Moldovei dispune măsurile prevăzute de prezenta lege față de părțile interesate financiare, dacă acestea nu notifică în prealabil operațiunea propusă, în conformitate cu alin. (4) </w:t>
            </w:r>
            <w:r w:rsidRPr="005D6998">
              <w:rPr>
                <w:rFonts w:ascii="Times New Roman" w:hAnsi="Times New Roman"/>
              </w:rPr>
              <w:lastRenderedPageBreak/>
              <w:t>sau au efectuat operațiunea propusă, astfel cum este prevăzut la alineatul respectiv, în lipsa unui aviz pozitiv prealabil emis de Banca Națională a Moldovei.</w:t>
            </w:r>
          </w:p>
        </w:tc>
        <w:tc>
          <w:tcPr>
            <w:tcW w:w="1418" w:type="dxa"/>
            <w:gridSpan w:val="2"/>
            <w:shd w:val="clear" w:color="auto" w:fill="FFFFFF"/>
          </w:tcPr>
          <w:p w14:paraId="60731F26"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B7EEE57"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F8A4AE9" w14:textId="77777777" w:rsidR="008E7C06" w:rsidRPr="005D6998" w:rsidRDefault="008E7C06" w:rsidP="00A46332">
            <w:pPr>
              <w:pStyle w:val="Default"/>
              <w:jc w:val="both"/>
              <w:rPr>
                <w:color w:val="auto"/>
                <w:sz w:val="22"/>
                <w:szCs w:val="22"/>
                <w:lang w:val="ro-RO"/>
              </w:rPr>
            </w:pPr>
            <w:r w:rsidRPr="005D6998">
              <w:rPr>
                <w:color w:val="auto"/>
                <w:sz w:val="22"/>
                <w:szCs w:val="22"/>
              </w:rPr>
              <w:t xml:space="preserve">În redacția alin. (26), cuvintele „dispune măsurile prevăzute de prezenta lege” sunt lipsite de previzibilitate, motiv pentru care se vor reformula, după caz, se va indica elementul structural din Legea nr. 202/2017 la care se face referire (observație valabilă și </w:t>
            </w:r>
            <w:r w:rsidRPr="005D6998">
              <w:rPr>
                <w:color w:val="auto"/>
                <w:sz w:val="22"/>
                <w:szCs w:val="22"/>
              </w:rPr>
              <w:lastRenderedPageBreak/>
              <w:t>pentru pct. 28, cu referire la redacția propusă la art. 34</w:t>
            </w:r>
            <w:r w:rsidRPr="005D6998">
              <w:rPr>
                <w:color w:val="auto"/>
                <w:sz w:val="22"/>
                <w:szCs w:val="22"/>
                <w:vertAlign w:val="superscript"/>
              </w:rPr>
              <w:t>1</w:t>
            </w:r>
            <w:r w:rsidRPr="005D6998">
              <w:rPr>
                <w:color w:val="auto"/>
                <w:sz w:val="22"/>
                <w:szCs w:val="22"/>
              </w:rPr>
              <w:t xml:space="preserve"> alin. (7)).</w:t>
            </w:r>
          </w:p>
        </w:tc>
        <w:tc>
          <w:tcPr>
            <w:tcW w:w="4960" w:type="dxa"/>
            <w:gridSpan w:val="3"/>
            <w:shd w:val="clear" w:color="auto" w:fill="FFFFFF"/>
          </w:tcPr>
          <w:p w14:paraId="4768952D"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122FB29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Textul “dispune măsurile prevăzute de prezenta lege” din alin. (26) și alin. (7) a art. 34</w:t>
            </w:r>
            <w:r w:rsidRPr="005D6998">
              <w:rPr>
                <w:rFonts w:ascii="Times New Roman" w:hAnsi="Times New Roman"/>
                <w:vertAlign w:val="superscript"/>
              </w:rPr>
              <w:t>1</w:t>
            </w:r>
            <w:r w:rsidRPr="005D6998">
              <w:rPr>
                <w:rFonts w:ascii="Times New Roman" w:hAnsi="Times New Roman"/>
              </w:rPr>
              <w:t xml:space="preserve"> substituit cu textul “aplică sancţiunile, penalitățile cu titlu cominatoriu şi măsurile sancţionatorii prevăzute la art.141”.</w:t>
            </w:r>
          </w:p>
          <w:p w14:paraId="4AE3437D" w14:textId="77777777" w:rsidR="008E7C06" w:rsidRPr="005D6998" w:rsidRDefault="008E7C06" w:rsidP="00A46332">
            <w:pPr>
              <w:spacing w:after="0" w:line="240" w:lineRule="auto"/>
              <w:jc w:val="both"/>
              <w:rPr>
                <w:rFonts w:ascii="Times New Roman" w:hAnsi="Times New Roman"/>
              </w:rPr>
            </w:pPr>
          </w:p>
        </w:tc>
      </w:tr>
      <w:tr w:rsidR="008E7C06" w:rsidRPr="005D6998" w14:paraId="19E749A7" w14:textId="77777777" w:rsidTr="00651F58">
        <w:trPr>
          <w:gridAfter w:val="2"/>
          <w:wAfter w:w="153" w:type="dxa"/>
          <w:trHeight w:val="105"/>
        </w:trPr>
        <w:tc>
          <w:tcPr>
            <w:tcW w:w="899" w:type="dxa"/>
            <w:gridSpan w:val="3"/>
            <w:shd w:val="clear" w:color="auto" w:fill="FFFFFF"/>
          </w:tcPr>
          <w:p w14:paraId="3A1DC7B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382C66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28</w:t>
            </w:r>
            <w:r w:rsidRPr="005D6998">
              <w:rPr>
                <w:rFonts w:ascii="Times New Roman" w:hAnsi="Times New Roman"/>
              </w:rPr>
              <w:t>. se completează cu un articol nou 34</w:t>
            </w:r>
            <w:r w:rsidRPr="005D6998">
              <w:rPr>
                <w:rFonts w:ascii="Times New Roman" w:hAnsi="Times New Roman"/>
                <w:vertAlign w:val="superscript"/>
              </w:rPr>
              <w:t>1</w:t>
            </w:r>
            <w:r w:rsidRPr="005D6998">
              <w:rPr>
                <w:rFonts w:ascii="Times New Roman" w:hAnsi="Times New Roman"/>
              </w:rPr>
              <w:t xml:space="preserve"> cu următorul cuprins:</w:t>
            </w:r>
          </w:p>
          <w:p w14:paraId="6B02A6A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Pr>
                <w:rFonts w:ascii="Times New Roman" w:hAnsi="Times New Roman"/>
                <w:b/>
                <w:bCs/>
              </w:rPr>
              <w:t>Articolul 34</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Notificarea transferurilor semnificative de active și pasive și sancțiuni</w:t>
            </w:r>
          </w:p>
          <w:p w14:paraId="5FC11057"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 Instituțiile de credit, precum și societățile financiare holding și societățile financiare holding mixte care fac obiectul art. 116</w:t>
            </w:r>
            <w:r w:rsidRPr="005D6998">
              <w:rPr>
                <w:rFonts w:ascii="Times New Roman" w:hAnsi="Times New Roman"/>
                <w:vertAlign w:val="superscript"/>
              </w:rPr>
              <w:t>1</w:t>
            </w:r>
            <w:r w:rsidRPr="005D6998">
              <w:rPr>
                <w:rFonts w:ascii="Times New Roman" w:hAnsi="Times New Roman"/>
              </w:rPr>
              <w:t xml:space="preserve"> alin. (1)-(2) notifică în scris, în prealabil, Banca Națională a Moldovei în conformitate cu actele normative emise în aplicarea prezentei legi cu privire la orice transfer semnificativ de active sau pasive pe care îl execută fie printr-o vânzare, fie prin orice alt tip de operațiune (în sensul prezentului capitol, în continuare „operațiunea propusă”). Prevederile art. 34 alin. (17)-(19) se aplică în mod corespunzător.</w:t>
            </w:r>
            <w:r w:rsidRPr="005D6998">
              <w:rPr>
                <w:rFonts w:ascii="Times New Roman" w:hAnsi="Times New Roman"/>
                <w:b/>
                <w:bCs/>
              </w:rPr>
              <w:t xml:space="preserve"> </w:t>
            </w:r>
          </w:p>
          <w:p w14:paraId="0C9CBD3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 xml:space="preserve">[...] </w:t>
            </w:r>
          </w:p>
          <w:p w14:paraId="74129D4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 xml:space="preserve">(4) În sensul alin. (1), se consideră că operațiunea propusă este semnificativă pentru o entitate atunci când este egală cu cel puțin 10% din activele sau datoriile totale ale acesteia, cu excepția situației în care operațiunea propusă se execută între entități din cadrul aceluiași grup, caz în care se consideră că operațiunea propusă este semnificativă pentru o entitate atunci când este egală cu cel puțin 15% din </w:t>
            </w:r>
            <w:r w:rsidRPr="005D6998">
              <w:rPr>
                <w:rFonts w:ascii="Times New Roman" w:hAnsi="Times New Roman"/>
              </w:rPr>
              <w:lastRenderedPageBreak/>
              <w:t>activele sau pasivele totale ale acesteia. În cazul societăților financiare holding mamă și societățile financiare holding mixte mamă menționate la alineatul (1), procentele se aplică pe baza situației lor consolidate.</w:t>
            </w:r>
            <w:r w:rsidRPr="005D6998">
              <w:rPr>
                <w:rFonts w:ascii="Times New Roman" w:hAnsi="Times New Roman"/>
                <w:i/>
                <w:iCs/>
              </w:rPr>
              <w:t xml:space="preserve"> </w:t>
            </w:r>
          </w:p>
        </w:tc>
        <w:tc>
          <w:tcPr>
            <w:tcW w:w="1418" w:type="dxa"/>
            <w:gridSpan w:val="2"/>
            <w:shd w:val="clear" w:color="auto" w:fill="FFFFFF"/>
          </w:tcPr>
          <w:p w14:paraId="0928612C"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D248742"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D65EA9C" w14:textId="77777777" w:rsidR="008E7C06" w:rsidRPr="005D6998" w:rsidRDefault="008E7C06" w:rsidP="00A46332">
            <w:pPr>
              <w:pStyle w:val="Default"/>
              <w:jc w:val="both"/>
              <w:rPr>
                <w:sz w:val="22"/>
                <w:szCs w:val="22"/>
              </w:rPr>
            </w:pPr>
            <w:r w:rsidRPr="005D6998">
              <w:rPr>
                <w:sz w:val="22"/>
                <w:szCs w:val="22"/>
              </w:rPr>
              <w:t xml:space="preserve">La pct. 28: </w:t>
            </w:r>
          </w:p>
          <w:p w14:paraId="39E6316C" w14:textId="77777777" w:rsidR="008E7C06" w:rsidRPr="005D6998" w:rsidRDefault="008E7C06" w:rsidP="00A46332">
            <w:pPr>
              <w:pStyle w:val="Default"/>
              <w:jc w:val="both"/>
              <w:rPr>
                <w:sz w:val="22"/>
                <w:szCs w:val="22"/>
              </w:rPr>
            </w:pPr>
            <w:r w:rsidRPr="005D6998">
              <w:rPr>
                <w:sz w:val="22"/>
                <w:szCs w:val="22"/>
              </w:rPr>
              <w:t xml:space="preserve">În dispoziția introductivă, cuvintele „un articol nou” se vor substitui cu cuvântul „articolul”. </w:t>
            </w:r>
          </w:p>
          <w:p w14:paraId="4F02D267" w14:textId="77777777" w:rsidR="008E7C06" w:rsidRPr="005D6998" w:rsidRDefault="008E7C06" w:rsidP="00A46332">
            <w:pPr>
              <w:pStyle w:val="Default"/>
              <w:jc w:val="both"/>
              <w:rPr>
                <w:sz w:val="22"/>
                <w:szCs w:val="22"/>
              </w:rPr>
            </w:pPr>
            <w:r w:rsidRPr="005D6998">
              <w:rPr>
                <w:sz w:val="22"/>
                <w:szCs w:val="22"/>
              </w:rPr>
              <w:t>Din redacția propusă pentru art. 34</w:t>
            </w:r>
            <w:r w:rsidRPr="005D6998">
              <w:rPr>
                <w:sz w:val="22"/>
                <w:szCs w:val="22"/>
                <w:vertAlign w:val="superscript"/>
              </w:rPr>
              <w:t>1</w:t>
            </w:r>
            <w:r w:rsidRPr="005D6998">
              <w:rPr>
                <w:sz w:val="22"/>
                <w:szCs w:val="22"/>
              </w:rPr>
              <w:t xml:space="preserve"> alin. (1), cuvintele „în sensul prezentului capitol” se va substitui cu cuvintele „în sensul prezentului articol”, pentru a nu crea confuzie și contradicții cu dispozițiile propuse la art. 34 alin. (4). Aceeași rectificare se va realiza și în redacția ultimului articol menționat (art. 34 alin. (4)).</w:t>
            </w:r>
          </w:p>
          <w:p w14:paraId="3A4E8EE9" w14:textId="77777777" w:rsidR="008E7C06" w:rsidRPr="005D6998" w:rsidRDefault="008E7C06" w:rsidP="00A46332">
            <w:pPr>
              <w:pStyle w:val="Default"/>
              <w:jc w:val="both"/>
              <w:rPr>
                <w:sz w:val="22"/>
                <w:szCs w:val="22"/>
              </w:rPr>
            </w:pPr>
            <w:r w:rsidRPr="005D6998">
              <w:rPr>
                <w:sz w:val="22"/>
                <w:szCs w:val="22"/>
              </w:rPr>
              <w:t xml:space="preserve"> În caz contrar, din ambele articole se va exclude această mențiune, utilizând în textul articolelor incidente termenii deplini. </w:t>
            </w:r>
          </w:p>
          <w:p w14:paraId="72CD6426" w14:textId="77777777" w:rsidR="008E7C06" w:rsidRPr="005D6998" w:rsidRDefault="008E7C06" w:rsidP="00A46332">
            <w:pPr>
              <w:pStyle w:val="Default"/>
              <w:jc w:val="both"/>
              <w:rPr>
                <w:sz w:val="22"/>
                <w:szCs w:val="22"/>
              </w:rPr>
            </w:pPr>
          </w:p>
          <w:p w14:paraId="4C87E809" w14:textId="77777777" w:rsidR="008E7C06" w:rsidRPr="005D6998" w:rsidRDefault="008E7C06" w:rsidP="00A46332">
            <w:pPr>
              <w:pStyle w:val="Default"/>
              <w:jc w:val="both"/>
              <w:rPr>
                <w:sz w:val="22"/>
                <w:szCs w:val="22"/>
              </w:rPr>
            </w:pPr>
          </w:p>
        </w:tc>
        <w:tc>
          <w:tcPr>
            <w:tcW w:w="4960" w:type="dxa"/>
            <w:gridSpan w:val="3"/>
            <w:shd w:val="clear" w:color="auto" w:fill="FFFFFF"/>
          </w:tcPr>
          <w:p w14:paraId="14DD803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08C2A0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Cuvintele „un articol nou” se substituie cu cuvântul „articolul”.</w:t>
            </w:r>
          </w:p>
          <w:p w14:paraId="6C36026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Cuvintele „în sensul prezentului capitol” substituit cu cuvintele „în sensul prezentului articol”.</w:t>
            </w:r>
          </w:p>
          <w:p w14:paraId="6F07D0EF" w14:textId="77777777" w:rsidR="008E7C06" w:rsidRPr="005D6998" w:rsidRDefault="008E7C06" w:rsidP="00A46332">
            <w:pPr>
              <w:spacing w:after="0" w:line="240" w:lineRule="auto"/>
              <w:jc w:val="both"/>
              <w:rPr>
                <w:rFonts w:ascii="Times New Roman" w:hAnsi="Times New Roman"/>
                <w:b/>
                <w:bCs/>
              </w:rPr>
            </w:pPr>
          </w:p>
        </w:tc>
      </w:tr>
      <w:tr w:rsidR="008E7C06" w:rsidRPr="005D6998" w14:paraId="35A23A93" w14:textId="77777777" w:rsidTr="00651F58">
        <w:trPr>
          <w:gridAfter w:val="2"/>
          <w:wAfter w:w="153" w:type="dxa"/>
          <w:trHeight w:val="105"/>
        </w:trPr>
        <w:tc>
          <w:tcPr>
            <w:tcW w:w="899" w:type="dxa"/>
            <w:gridSpan w:val="3"/>
            <w:shd w:val="clear" w:color="auto" w:fill="FFFFFF"/>
          </w:tcPr>
          <w:p w14:paraId="590143A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08CB85B"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(5) La calcularea procentelor menționate la alin. (4) nu se iau în considerare următoarele: </w:t>
            </w:r>
          </w:p>
          <w:p w14:paraId="5189435D"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b/>
                <w:bCs/>
              </w:rPr>
              <w:t xml:space="preserve">[...] </w:t>
            </w:r>
          </w:p>
          <w:p w14:paraId="19EA2B7E"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b) transferurile de active în scopul includerii într-un portofoliu de acoperire, astfel cum este definit în legislația privind supravegherea publică a obligațiunilor garantate;</w:t>
            </w:r>
          </w:p>
          <w:p w14:paraId="4793390B"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b/>
                <w:bCs/>
              </w:rPr>
              <w:t xml:space="preserve">[...] </w:t>
            </w:r>
          </w:p>
          <w:p w14:paraId="760044A4"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d) transferurile de active sau de pasive în contextul utilizării instrumentelor, competențelor și mecanismelor de rezoluție prevăzute de Legea nr. 232/2016 privind redresarea şi rezoluţia instituțiilor de credit.</w:t>
            </w:r>
          </w:p>
        </w:tc>
        <w:tc>
          <w:tcPr>
            <w:tcW w:w="1418" w:type="dxa"/>
            <w:gridSpan w:val="2"/>
            <w:shd w:val="clear" w:color="auto" w:fill="FFFFFF"/>
          </w:tcPr>
          <w:p w14:paraId="03564C2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0B34DE8"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9C06E70" w14:textId="77777777" w:rsidR="008E7C06" w:rsidRPr="005D6998" w:rsidRDefault="008E7C06" w:rsidP="00A46332">
            <w:pPr>
              <w:pStyle w:val="Default"/>
              <w:jc w:val="both"/>
              <w:rPr>
                <w:sz w:val="22"/>
                <w:szCs w:val="22"/>
              </w:rPr>
            </w:pPr>
            <w:r w:rsidRPr="005D6998">
              <w:rPr>
                <w:sz w:val="22"/>
                <w:szCs w:val="22"/>
              </w:rPr>
              <w:t xml:space="preserve">În redacția alin. (5) lit. b), se va indica actul normativ concret în care este stabilită noțiunea „transferurile de active în scopul includerii unui portofoliu de acoperire”. </w:t>
            </w:r>
          </w:p>
          <w:p w14:paraId="06597829" w14:textId="77777777" w:rsidR="008E7C06" w:rsidRPr="005D6998" w:rsidRDefault="008E7C06" w:rsidP="00A46332">
            <w:pPr>
              <w:pStyle w:val="Default"/>
              <w:jc w:val="both"/>
              <w:rPr>
                <w:sz w:val="22"/>
                <w:szCs w:val="22"/>
              </w:rPr>
            </w:pPr>
          </w:p>
          <w:p w14:paraId="31637C96" w14:textId="77777777" w:rsidR="008E7C06" w:rsidRPr="005D6998" w:rsidRDefault="008E7C06" w:rsidP="00A46332">
            <w:pPr>
              <w:pStyle w:val="Default"/>
              <w:jc w:val="both"/>
              <w:rPr>
                <w:sz w:val="22"/>
                <w:szCs w:val="22"/>
              </w:rPr>
            </w:pPr>
            <w:r w:rsidRPr="005D6998">
              <w:rPr>
                <w:sz w:val="22"/>
                <w:szCs w:val="22"/>
              </w:rPr>
              <w:t>În redacția alin. (5) lit. d), unde se face trimitere la Legea nr. 232/2016, menționăm că legea în redacția în vigoare are următoarea denumire: „Legea nr. 232/2016 privind redresarea și rezoluția băncilor” (similar se va revedea și pct. 37, cu referire la redacția art. 43 alin. (1)). În context, la definitivarea proiectului se va lua în considerare acest aspect.</w:t>
            </w:r>
          </w:p>
        </w:tc>
        <w:tc>
          <w:tcPr>
            <w:tcW w:w="4960" w:type="dxa"/>
            <w:gridSpan w:val="3"/>
            <w:shd w:val="clear" w:color="auto" w:fill="FFFFFF"/>
          </w:tcPr>
          <w:p w14:paraId="50AF491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6F9456A4" w14:textId="4302C58C"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(5) lit. d) transpune art. 27</w:t>
            </w:r>
            <w:r w:rsidR="006A1E0C" w:rsidRPr="005D6998">
              <w:rPr>
                <w:rFonts w:ascii="Times New Roman" w:hAnsi="Times New Roman"/>
              </w:rPr>
              <w:t xml:space="preserve"> </w:t>
            </w:r>
            <w:r w:rsidRPr="005D6998">
              <w:rPr>
                <w:rFonts w:ascii="Times New Roman" w:hAnsi="Times New Roman"/>
              </w:rPr>
              <w:t>alin. (2) din Directiva 2013/36/UE.</w:t>
            </w:r>
          </w:p>
          <w:p w14:paraId="28CCB68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La momentul actual, </w:t>
            </w:r>
            <w:hyperlink r:id="rId19" w:history="1">
              <w:r w:rsidRPr="005D6998">
                <w:rPr>
                  <w:rStyle w:val="afb"/>
                  <w:rFonts w:ascii="Times New Roman" w:hAnsi="Times New Roman"/>
                </w:rPr>
                <w:t>proiectul de lege (</w:t>
              </w:r>
              <w:r w:rsidRPr="005D6998">
                <w:rPr>
                  <w:rStyle w:val="afb"/>
                  <w:rFonts w:ascii="Times New Roman" w:hAnsi="Times New Roman"/>
                  <w:i/>
                  <w:iCs/>
                </w:rPr>
                <w:t>Nr. unic Cancelaria de Stat: 771/MF/BNM/2026</w:t>
              </w:r>
              <w:r w:rsidRPr="005D6998">
                <w:rPr>
                  <w:rStyle w:val="afb"/>
                  <w:rFonts w:ascii="Times New Roman" w:hAnsi="Times New Roman"/>
                </w:rPr>
                <w:t>)</w:t>
              </w:r>
            </w:hyperlink>
            <w:r w:rsidRPr="005D6998">
              <w:rPr>
                <w:rFonts w:ascii="Times New Roman" w:hAnsi="Times New Roman"/>
              </w:rPr>
              <w:t xml:space="preserve"> care transpune în legislația națională Directiva (UE) 2019/2162 a Parlamentului European și a Consiliului din 27 noiembrie 2019 privind emisiunea de obligațiuni garantate și supravegherea publică a obligațiunilor garantate la care se face trimitere în prevederea corespunzătoare din Directiva 2013/36/UE nu este definitivat, acesta fiind la etapa ulterioară procesului de consultare publică, respectiv, se face o referință generală care să permită identificarea ulterioară a legii avute în vedere.</w:t>
            </w:r>
          </w:p>
          <w:p w14:paraId="5082667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Referința La Legea nr. 232/2016 din alin. (5) lit. d) a fost substituită cu denumirea legii prescurtată – Legea nr. 232/2016. Totodată, la noțiunea de autoritate de rezoluție din cadrul art. 3 a fost redactată pe lung cu mențiunea corespunzătoare a denumirii prescurtate. după cum urmează – “Legea nr. 232/2016 privind redresarea și rezoluția băncilor (în continuare Legea nr. 232/2016)”.</w:t>
            </w:r>
          </w:p>
        </w:tc>
      </w:tr>
      <w:tr w:rsidR="008E7C06" w:rsidRPr="005D6998" w14:paraId="6DFF5DB5" w14:textId="77777777" w:rsidTr="00651F58">
        <w:trPr>
          <w:gridAfter w:val="2"/>
          <w:wAfter w:w="153" w:type="dxa"/>
          <w:trHeight w:val="105"/>
        </w:trPr>
        <w:tc>
          <w:tcPr>
            <w:tcW w:w="899" w:type="dxa"/>
            <w:gridSpan w:val="3"/>
            <w:shd w:val="clear" w:color="auto" w:fill="FFFFFF"/>
          </w:tcPr>
          <w:p w14:paraId="2BADF49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B8D20DE"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b/>
                <w:bCs/>
              </w:rPr>
              <w:t>29</w:t>
            </w:r>
            <w:r w:rsidRPr="005D6998">
              <w:rPr>
                <w:rFonts w:ascii="Times New Roman" w:hAnsi="Times New Roman"/>
              </w:rPr>
              <w:t>. Articolul 36:</w:t>
            </w:r>
          </w:p>
          <w:p w14:paraId="0032C097"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b/>
                <w:bCs/>
              </w:rPr>
              <w:t xml:space="preserve">[...] </w:t>
            </w:r>
            <w:r w:rsidRPr="005D6998">
              <w:rPr>
                <w:rFonts w:ascii="Times New Roman" w:hAnsi="Times New Roman"/>
              </w:rPr>
              <w:t>la alineatul (5), cuvântul „extinderii” se substituie cu cuvântul „amplorii”.</w:t>
            </w:r>
          </w:p>
        </w:tc>
        <w:tc>
          <w:tcPr>
            <w:tcW w:w="1418" w:type="dxa"/>
            <w:gridSpan w:val="2"/>
            <w:shd w:val="clear" w:color="auto" w:fill="FFFFFF"/>
          </w:tcPr>
          <w:p w14:paraId="36130F76"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444FAF6"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55C701B" w14:textId="77777777" w:rsidR="008E7C06" w:rsidRPr="005D6998" w:rsidRDefault="008E7C06" w:rsidP="00A46332">
            <w:pPr>
              <w:pStyle w:val="Default"/>
              <w:jc w:val="both"/>
              <w:rPr>
                <w:sz w:val="22"/>
                <w:szCs w:val="22"/>
              </w:rPr>
            </w:pPr>
            <w:r w:rsidRPr="005D6998">
              <w:rPr>
                <w:sz w:val="22"/>
                <w:szCs w:val="22"/>
              </w:rPr>
              <w:t xml:space="preserve">La pct. 29, aferent substituirii cuvântului „extinderii” cu cuvântul „amplorii”, propuse la art. 36 alin. (5), precum și substituirilor propuse în alte articole, prevăzute la pct. 39, 66, 78 și 125, se consideră oportun să se prevadă în art. III o normă generală, care ar stabili, ca în tot textul legii, cuvântul „extinderea”, la orice formă gramaticală, se </w:t>
            </w:r>
            <w:r w:rsidRPr="005D6998">
              <w:rPr>
                <w:sz w:val="22"/>
                <w:szCs w:val="22"/>
              </w:rPr>
              <w:lastRenderedPageBreak/>
              <w:t>substituie cu cuvântul „amploarea”, la forma gramaticală corespunzătoare.</w:t>
            </w:r>
          </w:p>
        </w:tc>
        <w:tc>
          <w:tcPr>
            <w:tcW w:w="4960" w:type="dxa"/>
            <w:gridSpan w:val="3"/>
            <w:shd w:val="clear" w:color="auto" w:fill="FFFFFF"/>
          </w:tcPr>
          <w:p w14:paraId="36459340"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Nu se acceptă.</w:t>
            </w:r>
          </w:p>
          <w:p w14:paraId="262ED71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Pentru asigurarea preciziei și clarității reglementării, substituirea urmează a fi operată punctual, prin indicarea expresă a dispozițiilor vizate.</w:t>
            </w:r>
          </w:p>
        </w:tc>
      </w:tr>
      <w:tr w:rsidR="008E7C06" w:rsidRPr="005D6998" w14:paraId="56094B83" w14:textId="77777777" w:rsidTr="00651F58">
        <w:trPr>
          <w:gridAfter w:val="2"/>
          <w:wAfter w:w="153" w:type="dxa"/>
          <w:trHeight w:val="105"/>
        </w:trPr>
        <w:tc>
          <w:tcPr>
            <w:tcW w:w="899" w:type="dxa"/>
            <w:gridSpan w:val="3"/>
            <w:shd w:val="clear" w:color="auto" w:fill="FFFFFF"/>
          </w:tcPr>
          <w:p w14:paraId="78BAD15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1FE596A"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33</w:t>
            </w:r>
            <w:r w:rsidRPr="005D6998">
              <w:rPr>
                <w:rFonts w:ascii="Times New Roman" w:hAnsi="Times New Roman"/>
              </w:rPr>
              <w:t xml:space="preserve">. Articolul 39, </w:t>
            </w:r>
          </w:p>
          <w:p w14:paraId="05B90AC2"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r>
            <w:r w:rsidRPr="005D6998">
              <w:rPr>
                <w:rFonts w:ascii="Times New Roman" w:hAnsi="Times New Roman"/>
              </w:rPr>
              <w:tab/>
              <w:t xml:space="preserve">alineatul (1), </w:t>
            </w:r>
          </w:p>
          <w:p w14:paraId="26DE6063"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r>
            <w:r w:rsidRPr="005D6998">
              <w:rPr>
                <w:rFonts w:ascii="Times New Roman" w:hAnsi="Times New Roman"/>
              </w:rPr>
              <w:tab/>
              <w:t>textul „de remunerare pentru membrii organului executiv şi pentru persoanele care deţin funcţii-cheie în cadrul băncii, precum şi pentru orice alt angajat ce primeşte o remuneraţie totală care îl plasează în aceeaşi categorie de remuneraţie cu cea a membrilor organului executiv şi a persoanelor care deţin funcţii-cheie” se substituie cu textul “</w:t>
            </w:r>
            <w:r w:rsidRPr="005D6998">
              <w:rPr>
                <w:rFonts w:ascii="Times New Roman" w:hAnsi="Times New Roman"/>
                <w:lang w:eastAsia="ro-MD"/>
              </w:rPr>
              <w:t>privind remunerarea totală, inclusiv salariile şi beneficiile discreţionare de tipul pensiilor, pentru categoriile de personal ale căror activități profesionale au un impact semnificativ asupra profilului de risc al instituției de credit (</w:t>
            </w:r>
            <w:r w:rsidRPr="005D6998">
              <w:rPr>
                <w:rFonts w:ascii="Times New Roman" w:hAnsi="Times New Roman"/>
                <w:i/>
                <w:iCs/>
                <w:lang w:eastAsia="ro-MD"/>
              </w:rPr>
              <w:t>în continuare</w:t>
            </w:r>
            <w:r w:rsidRPr="005D6998">
              <w:rPr>
                <w:rFonts w:ascii="Times New Roman" w:hAnsi="Times New Roman"/>
                <w:lang w:eastAsia="ro-MD"/>
              </w:rPr>
              <w:t xml:space="preserve"> membrii personalului identificat)</w:t>
            </w:r>
            <w:r w:rsidRPr="005D6998">
              <w:rPr>
                <w:rFonts w:ascii="Times New Roman" w:hAnsi="Times New Roman"/>
              </w:rPr>
              <w:t>”;</w:t>
            </w:r>
          </w:p>
          <w:p w14:paraId="3C247A60"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r>
            <w:r w:rsidRPr="005D6998">
              <w:rPr>
                <w:rFonts w:ascii="Times New Roman" w:hAnsi="Times New Roman"/>
              </w:rPr>
              <w:tab/>
              <w:t>[…]</w:t>
            </w:r>
          </w:p>
          <w:p w14:paraId="5E77887E"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 xml:space="preserve">la litera d), cuvântul </w:t>
            </w:r>
            <w:r w:rsidRPr="005D6998">
              <w:rPr>
                <w:rFonts w:ascii="Times New Roman" w:hAnsi="Times New Roman"/>
              </w:rPr>
              <w:t>„</w:t>
            </w:r>
            <w:r w:rsidRPr="005D6998">
              <w:rPr>
                <w:rFonts w:ascii="Times New Roman" w:hAnsi="Times New Roman"/>
                <w:lang w:eastAsia="ro-MD"/>
              </w:rPr>
              <w:t xml:space="preserve">angajații” se substituie cu cuvântul “salariații”, după cuvântul „control” se completează cu cuvântul </w:t>
            </w:r>
            <w:r w:rsidRPr="005D6998">
              <w:rPr>
                <w:rFonts w:ascii="Times New Roman" w:hAnsi="Times New Roman"/>
              </w:rPr>
              <w:t>„</w:t>
            </w:r>
            <w:r w:rsidRPr="005D6998">
              <w:rPr>
                <w:rFonts w:ascii="Times New Roman" w:hAnsi="Times New Roman"/>
                <w:lang w:eastAsia="ro-MD"/>
              </w:rPr>
              <w:t xml:space="preserve">intern”, iar cuvântul </w:t>
            </w:r>
            <w:r w:rsidRPr="005D6998">
              <w:rPr>
                <w:rFonts w:ascii="Times New Roman" w:hAnsi="Times New Roman"/>
              </w:rPr>
              <w:t>„</w:t>
            </w:r>
            <w:r w:rsidRPr="005D6998">
              <w:rPr>
                <w:rFonts w:ascii="Times New Roman" w:hAnsi="Times New Roman"/>
                <w:lang w:eastAsia="ro-MD"/>
              </w:rPr>
              <w:t xml:space="preserve">unităților” se substituie cu cuvântul </w:t>
            </w:r>
            <w:r w:rsidRPr="005D6998">
              <w:rPr>
                <w:rFonts w:ascii="Times New Roman" w:hAnsi="Times New Roman"/>
              </w:rPr>
              <w:t>„</w:t>
            </w:r>
            <w:r w:rsidRPr="005D6998">
              <w:rPr>
                <w:rFonts w:ascii="Times New Roman" w:hAnsi="Times New Roman"/>
                <w:lang w:eastAsia="ro-MD"/>
              </w:rPr>
              <w:t>sectoarelor”;</w:t>
            </w:r>
          </w:p>
          <w:p w14:paraId="2ABC3EE3"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w:t>
            </w:r>
          </w:p>
          <w:p w14:paraId="12C560A3"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 xml:space="preserve">la litera f), cuvântul </w:t>
            </w:r>
            <w:r w:rsidRPr="005D6998">
              <w:rPr>
                <w:rFonts w:ascii="Times New Roman" w:hAnsi="Times New Roman"/>
              </w:rPr>
              <w:t>„</w:t>
            </w:r>
            <w:r w:rsidRPr="005D6998">
              <w:rPr>
                <w:rFonts w:ascii="Times New Roman" w:hAnsi="Times New Roman"/>
                <w:lang w:eastAsia="ro-MD"/>
              </w:rPr>
              <w:t xml:space="preserve">angajatului” se substituie cu cuvântul </w:t>
            </w:r>
            <w:r w:rsidRPr="005D6998">
              <w:rPr>
                <w:rFonts w:ascii="Times New Roman" w:hAnsi="Times New Roman"/>
              </w:rPr>
              <w:t>„</w:t>
            </w:r>
            <w:r w:rsidRPr="005D6998">
              <w:rPr>
                <w:rFonts w:ascii="Times New Roman" w:hAnsi="Times New Roman"/>
                <w:lang w:eastAsia="ro-MD"/>
              </w:rPr>
              <w:t>salariatului”;</w:t>
            </w:r>
          </w:p>
          <w:p w14:paraId="3918FC58"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 xml:space="preserve">la litera h), cuvântul </w:t>
            </w:r>
            <w:r w:rsidRPr="005D6998">
              <w:rPr>
                <w:rFonts w:ascii="Times New Roman" w:hAnsi="Times New Roman"/>
              </w:rPr>
              <w:t>„</w:t>
            </w:r>
            <w:r w:rsidRPr="005D6998">
              <w:rPr>
                <w:rFonts w:ascii="Times New Roman" w:hAnsi="Times New Roman"/>
                <w:lang w:eastAsia="ro-MD"/>
              </w:rPr>
              <w:t xml:space="preserve">angajat” se substituie cu cuvântul </w:t>
            </w:r>
            <w:r w:rsidRPr="005D6998">
              <w:rPr>
                <w:rFonts w:ascii="Times New Roman" w:hAnsi="Times New Roman"/>
              </w:rPr>
              <w:t>„</w:t>
            </w:r>
            <w:r w:rsidRPr="005D6998">
              <w:rPr>
                <w:rFonts w:ascii="Times New Roman" w:hAnsi="Times New Roman"/>
                <w:lang w:eastAsia="ro-MD"/>
              </w:rPr>
              <w:t>salariat”;</w:t>
            </w:r>
          </w:p>
          <w:p w14:paraId="0E959F7A"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se completează cu alineatul (1</w:t>
            </w:r>
            <w:r w:rsidRPr="005D6998">
              <w:rPr>
                <w:rFonts w:ascii="Times New Roman" w:hAnsi="Times New Roman"/>
                <w:vertAlign w:val="superscript"/>
                <w:lang w:eastAsia="ro-MD"/>
              </w:rPr>
              <w:t>1</w:t>
            </w:r>
            <w:r w:rsidRPr="005D6998">
              <w:rPr>
                <w:rFonts w:ascii="Times New Roman" w:hAnsi="Times New Roman"/>
                <w:lang w:eastAsia="ro-MD"/>
              </w:rPr>
              <w:t>) și alineatul (1</w:t>
            </w:r>
            <w:r w:rsidRPr="005D6998">
              <w:rPr>
                <w:rFonts w:ascii="Times New Roman" w:hAnsi="Times New Roman"/>
                <w:vertAlign w:val="superscript"/>
                <w:lang w:eastAsia="ro-MD"/>
              </w:rPr>
              <w:t>2</w:t>
            </w:r>
            <w:r w:rsidRPr="005D6998">
              <w:rPr>
                <w:rFonts w:ascii="Times New Roman" w:hAnsi="Times New Roman"/>
                <w:lang w:eastAsia="ro-MD"/>
              </w:rPr>
              <w:t>) cu următorul cuprins:</w:t>
            </w:r>
          </w:p>
          <w:p w14:paraId="1D13C731"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rPr>
              <w:lastRenderedPageBreak/>
              <w:t>„</w:t>
            </w:r>
            <w:r w:rsidRPr="005D6998">
              <w:rPr>
                <w:rFonts w:ascii="Times New Roman" w:hAnsi="Times New Roman"/>
                <w:lang w:eastAsia="ro-MD"/>
              </w:rPr>
              <w:t>(1</w:t>
            </w:r>
            <w:r w:rsidRPr="005D6998">
              <w:rPr>
                <w:rFonts w:ascii="Times New Roman" w:hAnsi="Times New Roman"/>
                <w:vertAlign w:val="superscript"/>
                <w:lang w:eastAsia="ro-MD"/>
              </w:rPr>
              <w:t>1</w:t>
            </w:r>
            <w:r w:rsidRPr="005D6998">
              <w:rPr>
                <w:rFonts w:ascii="Times New Roman" w:hAnsi="Times New Roman"/>
                <w:lang w:eastAsia="ro-MD"/>
              </w:rPr>
              <w:t>) În sensul alin.(1), categoriile de personal ale căror activități profesionale au un impact semnificativ asupra profilului de risc al instituției de credit includ cel puțin:</w:t>
            </w:r>
          </w:p>
          <w:p w14:paraId="1ACD5B4D"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lang w:eastAsia="ro-MD"/>
              </w:rPr>
              <w:t>[...]</w:t>
            </w:r>
            <w:r w:rsidRPr="005D6998" w:rsidDel="00987452">
              <w:rPr>
                <w:rFonts w:ascii="Times New Roman" w:hAnsi="Times New Roman"/>
                <w:lang w:eastAsia="ro-MD"/>
              </w:rPr>
              <w:t xml:space="preserve"> </w:t>
            </w:r>
          </w:p>
          <w:p w14:paraId="53344ACD"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lang w:eastAsia="ro-MD"/>
              </w:rPr>
              <w:t>c) membrii personalului îndreptățiți la remunerații totale semnificative în perioada de gestiune precedentă, cu îndeplinirea următoarelor condiții:</w:t>
            </w:r>
            <w:r w:rsidRPr="005D6998">
              <w:rPr>
                <w:rFonts w:ascii="Times New Roman" w:hAnsi="Times New Roman"/>
                <w:b/>
                <w:bCs/>
                <w:lang w:eastAsia="ro-MD"/>
              </w:rPr>
              <w:t xml:space="preserve"> </w:t>
            </w:r>
          </w:p>
          <w:p w14:paraId="18266C4C"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lang w:eastAsia="ro-MD"/>
              </w:rPr>
              <w:t xml:space="preserve">i) remunerația totală a membrului personalului este egală cu echivalentul în lei moldovenești a cel puțin 500.000 euro și este cel puțin egală cu remunerația medie acordată membrilor organului de conducere; </w:t>
            </w:r>
          </w:p>
          <w:p w14:paraId="15156093" w14:textId="77777777" w:rsidR="008E7C06" w:rsidRPr="005D6998" w:rsidRDefault="008E7C06" w:rsidP="00A46332">
            <w:pPr>
              <w:spacing w:after="0" w:line="240" w:lineRule="auto"/>
              <w:ind w:firstLine="708"/>
              <w:jc w:val="both"/>
              <w:rPr>
                <w:rFonts w:ascii="Times New Roman" w:hAnsi="Times New Roman"/>
                <w:b/>
                <w:lang w:eastAsia="ro-MD"/>
              </w:rPr>
            </w:pPr>
            <w:r w:rsidRPr="005D6998">
              <w:rPr>
                <w:rFonts w:ascii="Times New Roman" w:hAnsi="Times New Roman"/>
                <w:lang w:eastAsia="ro-MD"/>
              </w:rPr>
              <w:t xml:space="preserve">ii) membrul personalului își desfășoară activitatea profesională într-o unitate operațională importantă, iar activitatea are, prin natura sa, un impact semnificativ asupra profilului de risc al unității operaționale în cauză. </w:t>
            </w:r>
            <w:r w:rsidRPr="005D6998">
              <w:rPr>
                <w:rFonts w:ascii="Times New Roman" w:hAnsi="Times New Roman"/>
                <w:i/>
                <w:iCs/>
                <w:lang w:eastAsia="ro-MD"/>
              </w:rPr>
              <w:t xml:space="preserve"> </w:t>
            </w:r>
          </w:p>
          <w:p w14:paraId="7026AD62"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(1</w:t>
            </w:r>
            <w:r w:rsidRPr="005D6998">
              <w:rPr>
                <w:rFonts w:ascii="Times New Roman" w:hAnsi="Times New Roman"/>
                <w:vertAlign w:val="superscript"/>
                <w:lang w:eastAsia="ro-MD"/>
              </w:rPr>
              <w:t>2</w:t>
            </w:r>
            <w:r w:rsidRPr="005D6998">
              <w:rPr>
                <w:rFonts w:ascii="Times New Roman" w:hAnsi="Times New Roman"/>
                <w:lang w:eastAsia="ro-MD"/>
              </w:rPr>
              <w:t>) Banca Națională a Moldovei stabilește în actele sale normative criteriile de identificare a membrilor personalului identificat și altor categorii de personal ale căror activități profesionale exercită asupra profilului de risc al instituției de credit un impact la fel de semnificativ ca cel al persoanelor prevăzute la alin. (1</w:t>
            </w:r>
            <w:r w:rsidRPr="005D6998">
              <w:rPr>
                <w:rFonts w:ascii="Times New Roman" w:hAnsi="Times New Roman"/>
                <w:vertAlign w:val="superscript"/>
                <w:lang w:eastAsia="ro-MD"/>
              </w:rPr>
              <w:t>1</w:t>
            </w:r>
            <w:r w:rsidRPr="005D6998">
              <w:rPr>
                <w:rFonts w:ascii="Times New Roman" w:hAnsi="Times New Roman"/>
                <w:lang w:eastAsia="ro-MD"/>
              </w:rPr>
              <w:t>), condițiile pentru aplicarea acestor criterii, inclusiv cazurile în care este necesară aprobarea prealabilă a Băncii Naționale a Moldovei.”;</w:t>
            </w:r>
          </w:p>
          <w:p w14:paraId="16D67B78" w14:textId="77777777" w:rsidR="008E7C06" w:rsidRPr="005D6998" w:rsidRDefault="008E7C06" w:rsidP="00A46332">
            <w:pPr>
              <w:tabs>
                <w:tab w:val="left" w:pos="426"/>
              </w:tabs>
              <w:spacing w:after="0" w:line="240" w:lineRule="auto"/>
              <w:jc w:val="both"/>
              <w:rPr>
                <w:rFonts w:ascii="Times New Roman" w:hAnsi="Times New Roman"/>
                <w:b/>
                <w:bCs/>
              </w:rPr>
            </w:pPr>
          </w:p>
        </w:tc>
        <w:tc>
          <w:tcPr>
            <w:tcW w:w="1418" w:type="dxa"/>
            <w:gridSpan w:val="2"/>
            <w:shd w:val="clear" w:color="auto" w:fill="FFFFFF"/>
          </w:tcPr>
          <w:p w14:paraId="3D4B6F9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2054BF4"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03F7D6B" w14:textId="77777777" w:rsidR="008E7C06" w:rsidRPr="005D6998" w:rsidRDefault="008E7C06" w:rsidP="00A46332">
            <w:pPr>
              <w:pStyle w:val="Default"/>
              <w:jc w:val="both"/>
              <w:rPr>
                <w:sz w:val="22"/>
                <w:szCs w:val="22"/>
              </w:rPr>
            </w:pPr>
            <w:r w:rsidRPr="005D6998">
              <w:rPr>
                <w:sz w:val="22"/>
                <w:szCs w:val="22"/>
              </w:rPr>
              <w:t>La pct. 33:</w:t>
            </w:r>
          </w:p>
          <w:p w14:paraId="4EBB7166" w14:textId="77777777" w:rsidR="008E7C06" w:rsidRPr="005D6998" w:rsidRDefault="008E7C06" w:rsidP="00A46332">
            <w:pPr>
              <w:pStyle w:val="Default"/>
              <w:jc w:val="both"/>
              <w:rPr>
                <w:color w:val="auto"/>
                <w:sz w:val="22"/>
                <w:szCs w:val="22"/>
              </w:rPr>
            </w:pPr>
            <w:r w:rsidRPr="005D6998">
              <w:rPr>
                <w:sz w:val="22"/>
                <w:szCs w:val="22"/>
              </w:rPr>
              <w:t xml:space="preserve">Având în vedere că cuvântul „angajat” se substituie cu cuvântul „salariat” nu numai la acest articol, ci și în alte articole din lege, se va analiza oportunitatea includerii unei dispoziții generale, care va prevedea că în tot textul legii, cuvântul „angajat”, la </w:t>
            </w:r>
            <w:r w:rsidRPr="005D6998">
              <w:rPr>
                <w:color w:val="auto"/>
                <w:sz w:val="22"/>
                <w:szCs w:val="22"/>
              </w:rPr>
              <w:t xml:space="preserve">orice formă gramaticală, se substituie cu cuvântul „salariat”, la forma gramaticală corespunzătoare. </w:t>
            </w:r>
          </w:p>
          <w:p w14:paraId="07FA35E4" w14:textId="77777777" w:rsidR="008E7C06" w:rsidRPr="005D6998" w:rsidRDefault="008E7C06" w:rsidP="00A46332">
            <w:pPr>
              <w:pStyle w:val="Default"/>
              <w:jc w:val="both"/>
              <w:rPr>
                <w:color w:val="auto"/>
                <w:sz w:val="22"/>
                <w:szCs w:val="22"/>
              </w:rPr>
            </w:pPr>
          </w:p>
          <w:p w14:paraId="24F22B85" w14:textId="77777777" w:rsidR="008E7C06" w:rsidRPr="005D6998" w:rsidRDefault="008E7C06" w:rsidP="00A46332">
            <w:pPr>
              <w:pStyle w:val="Default"/>
              <w:jc w:val="both"/>
              <w:rPr>
                <w:color w:val="auto"/>
                <w:sz w:val="22"/>
                <w:szCs w:val="22"/>
              </w:rPr>
            </w:pPr>
            <w:r w:rsidRPr="005D6998">
              <w:rPr>
                <w:color w:val="auto"/>
                <w:sz w:val="22"/>
                <w:szCs w:val="22"/>
              </w:rPr>
              <w:t>În dispoziția introductivă a alin. (1</w:t>
            </w:r>
            <w:r w:rsidRPr="005D6998">
              <w:rPr>
                <w:color w:val="auto"/>
                <w:sz w:val="22"/>
                <w:szCs w:val="22"/>
                <w:vertAlign w:val="superscript"/>
              </w:rPr>
              <w:t>1</w:t>
            </w:r>
            <w:r w:rsidRPr="005D6998">
              <w:rPr>
                <w:color w:val="auto"/>
                <w:sz w:val="22"/>
                <w:szCs w:val="22"/>
              </w:rPr>
              <w:t xml:space="preserve">) al art. 39, cuvintele „categoriile de personal ale căror activități profesionale au un impact semnificativ asupra profilului de risc al instituției de credit” se vor substitui cu cuvintele „membrii personalului calificat”, în vederea utilizării prescurtării stabilite în redacția propusă la art. 39 alin. (1). </w:t>
            </w:r>
          </w:p>
          <w:p w14:paraId="797C4FED" w14:textId="77777777" w:rsidR="008E7C06" w:rsidRPr="005D6998" w:rsidRDefault="008E7C06" w:rsidP="00A46332">
            <w:pPr>
              <w:pStyle w:val="Default"/>
              <w:jc w:val="both"/>
              <w:rPr>
                <w:color w:val="auto"/>
                <w:sz w:val="22"/>
                <w:szCs w:val="22"/>
              </w:rPr>
            </w:pPr>
          </w:p>
          <w:p w14:paraId="3113234C" w14:textId="77777777" w:rsidR="008E7C06" w:rsidRPr="005D6998" w:rsidRDefault="008E7C06" w:rsidP="00A46332">
            <w:pPr>
              <w:pStyle w:val="Default"/>
              <w:jc w:val="both"/>
              <w:rPr>
                <w:color w:val="auto"/>
                <w:sz w:val="22"/>
                <w:szCs w:val="22"/>
              </w:rPr>
            </w:pPr>
            <w:r w:rsidRPr="005D6998">
              <w:rPr>
                <w:color w:val="auto"/>
                <w:sz w:val="22"/>
                <w:szCs w:val="22"/>
              </w:rPr>
              <w:t>Referitor la diviziunile alin. (1</w:t>
            </w:r>
            <w:r w:rsidRPr="005D6998">
              <w:rPr>
                <w:color w:val="auto"/>
                <w:sz w:val="22"/>
                <w:szCs w:val="22"/>
                <w:vertAlign w:val="superscript"/>
              </w:rPr>
              <w:t>1</w:t>
            </w:r>
            <w:r w:rsidRPr="005D6998">
              <w:rPr>
                <w:color w:val="auto"/>
                <w:sz w:val="22"/>
                <w:szCs w:val="22"/>
              </w:rPr>
              <w:t xml:space="preserve">), în special a lit. c), acestea necesită a fi însemnate conform dispozițiilor art. 51 alin. (6) al Legii nr. 100/2017. Potrivit acestora, alineatul poate fi divizat în litere, care sunt însemnate succesiv cu litere latine mici, urmate de o paranteză. În cazul unei structuri complexe a actului normativ, alineatul poate fi divizat mai întâi în puncte însemnate cu numere ordinare, exprimate prin cifre arabe, urmate de o paranteză. La rândul lor, punctele pot fi divizate în litere, însemnate succesiv cu litere latine mici, urmate de o paranteză (observație valabilă și pentru alte cazuri similare din proiect). </w:t>
            </w:r>
          </w:p>
          <w:p w14:paraId="463DD92D" w14:textId="77777777" w:rsidR="008E7C06" w:rsidRPr="005D6998" w:rsidRDefault="008E7C06" w:rsidP="00A46332">
            <w:pPr>
              <w:pStyle w:val="Default"/>
              <w:jc w:val="both"/>
              <w:rPr>
                <w:color w:val="auto"/>
                <w:sz w:val="22"/>
                <w:szCs w:val="22"/>
              </w:rPr>
            </w:pPr>
          </w:p>
          <w:p w14:paraId="4DC16086" w14:textId="77777777" w:rsidR="008E7C06" w:rsidRPr="005D6998" w:rsidRDefault="008E7C06" w:rsidP="00A46332">
            <w:pPr>
              <w:pStyle w:val="Default"/>
              <w:jc w:val="both"/>
              <w:rPr>
                <w:color w:val="auto"/>
                <w:sz w:val="22"/>
                <w:szCs w:val="22"/>
              </w:rPr>
            </w:pPr>
            <w:r w:rsidRPr="005D6998">
              <w:rPr>
                <w:color w:val="auto"/>
                <w:sz w:val="22"/>
                <w:szCs w:val="22"/>
              </w:rPr>
              <w:lastRenderedPageBreak/>
              <w:t>Aferent normei prevăzute la alin. (1</w:t>
            </w:r>
            <w:r w:rsidRPr="005D6998">
              <w:rPr>
                <w:color w:val="auto"/>
                <w:sz w:val="22"/>
                <w:szCs w:val="22"/>
                <w:vertAlign w:val="superscript"/>
              </w:rPr>
              <w:t>1</w:t>
            </w:r>
            <w:r w:rsidRPr="005D6998">
              <w:rPr>
                <w:color w:val="auto"/>
                <w:sz w:val="22"/>
                <w:szCs w:val="22"/>
              </w:rPr>
              <w:t xml:space="preserve">) lit. i) al art. 39, se vor revizui cuvintele „remunerația totală”, întrucât nu este clar dacă se referă la remunerația anuală sau altă perioadă pentru care se va calcula remunerația membrului personalului ale căror activități profesionale au un impact semnificativ asupra portofoliului de risc al instituției de credit. </w:t>
            </w:r>
          </w:p>
          <w:p w14:paraId="0EA0D1F8" w14:textId="77777777" w:rsidR="008E7C06" w:rsidRPr="005D6998" w:rsidRDefault="008E7C06" w:rsidP="00A46332">
            <w:pPr>
              <w:pStyle w:val="Default"/>
              <w:jc w:val="both"/>
              <w:rPr>
                <w:sz w:val="22"/>
                <w:szCs w:val="22"/>
              </w:rPr>
            </w:pPr>
          </w:p>
        </w:tc>
        <w:tc>
          <w:tcPr>
            <w:tcW w:w="4960" w:type="dxa"/>
            <w:gridSpan w:val="3"/>
            <w:shd w:val="clear" w:color="auto" w:fill="FFFFFF"/>
          </w:tcPr>
          <w:p w14:paraId="4AA3D00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0970EB4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Pentru asigurarea preciziei și clarității reglementării, substituirea cuvântului „angajat” cu cuvântul “salariat” urmează a fi operată punctual, prin indicarea expresă a dispozițiilor vizate.</w:t>
            </w:r>
          </w:p>
          <w:p w14:paraId="4BFE9586" w14:textId="77777777" w:rsidR="008E7C06" w:rsidRPr="005D6998" w:rsidRDefault="008E7C06" w:rsidP="00A46332">
            <w:pPr>
              <w:spacing w:after="0" w:line="240" w:lineRule="auto"/>
              <w:jc w:val="both"/>
              <w:rPr>
                <w:rFonts w:ascii="Times New Roman" w:hAnsi="Times New Roman"/>
                <w:b/>
                <w:bCs/>
              </w:rPr>
            </w:pPr>
          </w:p>
          <w:p w14:paraId="00BB1F4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În dispoziția introductivă a alin. (1</w:t>
            </w:r>
            <w:r w:rsidRPr="005D6998">
              <w:rPr>
                <w:rFonts w:ascii="Times New Roman" w:hAnsi="Times New Roman"/>
                <w:vertAlign w:val="superscript"/>
              </w:rPr>
              <w:t>1</w:t>
            </w:r>
            <w:r w:rsidRPr="005D6998">
              <w:rPr>
                <w:rFonts w:ascii="Times New Roman" w:hAnsi="Times New Roman"/>
              </w:rPr>
              <w:t>) al art. 39, cuvintele „categoriile de personal ale căror activități profesionale au un impact semnificativ asupra profilului de risc al instituției de credit” se substituie cu cuvintele „membrii personalului identificat”, termen utilizat în actele europene de profil aplicabile instituțiilor de credit.</w:t>
            </w:r>
          </w:p>
          <w:p w14:paraId="25AAD7D5" w14:textId="77777777" w:rsidR="008E7C06" w:rsidRPr="005D6998" w:rsidRDefault="008E7C06" w:rsidP="00A46332">
            <w:pPr>
              <w:spacing w:after="0" w:line="240" w:lineRule="auto"/>
              <w:jc w:val="both"/>
              <w:rPr>
                <w:rFonts w:ascii="Times New Roman" w:hAnsi="Times New Roman"/>
                <w:b/>
                <w:bCs/>
              </w:rPr>
            </w:pPr>
          </w:p>
          <w:p w14:paraId="2626CA5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(1</w:t>
            </w:r>
            <w:r w:rsidRPr="005D6998">
              <w:rPr>
                <w:rFonts w:ascii="Times New Roman" w:hAnsi="Times New Roman"/>
                <w:vertAlign w:val="superscript"/>
              </w:rPr>
              <w:t>1</w:t>
            </w:r>
            <w:r w:rsidRPr="005D6998">
              <w:rPr>
                <w:rFonts w:ascii="Times New Roman" w:hAnsi="Times New Roman"/>
              </w:rPr>
              <w:t>) va avea următorul cuprins:</w:t>
            </w:r>
          </w:p>
          <w:p w14:paraId="392D4748"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rPr>
              <w:t>„</w:t>
            </w:r>
            <w:r w:rsidRPr="005D6998">
              <w:rPr>
                <w:rFonts w:ascii="Times New Roman" w:hAnsi="Times New Roman"/>
                <w:lang w:eastAsia="ro-MD"/>
              </w:rPr>
              <w:t>(1</w:t>
            </w:r>
            <w:r w:rsidRPr="005D6998">
              <w:rPr>
                <w:rFonts w:ascii="Times New Roman" w:hAnsi="Times New Roman"/>
                <w:vertAlign w:val="superscript"/>
                <w:lang w:eastAsia="ro-MD"/>
              </w:rPr>
              <w:t>1</w:t>
            </w:r>
            <w:r w:rsidRPr="005D6998">
              <w:rPr>
                <w:rFonts w:ascii="Times New Roman" w:hAnsi="Times New Roman"/>
                <w:lang w:eastAsia="ro-MD"/>
              </w:rPr>
              <w:t>) În sensul alin.(1), membrii personalului identificat includ cel puțin:</w:t>
            </w:r>
          </w:p>
          <w:p w14:paraId="191464EC"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b/>
                <w:bCs/>
                <w:lang w:eastAsia="ro-MD"/>
              </w:rPr>
              <w:t>1)</w:t>
            </w:r>
            <w:r w:rsidRPr="005D6998">
              <w:rPr>
                <w:rFonts w:ascii="Times New Roman" w:hAnsi="Times New Roman"/>
                <w:lang w:eastAsia="ro-MD"/>
              </w:rPr>
              <w:t xml:space="preserve"> toți membrii consiliului, ai organului executiv și </w:t>
            </w:r>
            <w:r w:rsidRPr="005D6998">
              <w:rPr>
                <w:rFonts w:ascii="Times New Roman" w:hAnsi="Times New Roman"/>
              </w:rPr>
              <w:t xml:space="preserve">persoanele care reprezintă </w:t>
            </w:r>
            <w:r w:rsidRPr="005D6998">
              <w:rPr>
                <w:rFonts w:ascii="Times New Roman" w:hAnsi="Times New Roman"/>
                <w:lang w:eastAsia="ro-MD"/>
              </w:rPr>
              <w:t xml:space="preserve">conducerea superioară; </w:t>
            </w:r>
          </w:p>
          <w:p w14:paraId="3E705FBE"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b/>
                <w:bCs/>
                <w:lang w:eastAsia="ro-MD"/>
              </w:rPr>
              <w:t>2)</w:t>
            </w:r>
            <w:r w:rsidRPr="005D6998">
              <w:rPr>
                <w:rFonts w:ascii="Times New Roman" w:hAnsi="Times New Roman"/>
                <w:lang w:eastAsia="ro-MD"/>
              </w:rPr>
              <w:t xml:space="preserve"> persoane cu funcții-cheie, inclusiv membrii personalului cu responsabilități de conducere a funcțiilor de control intern sau a unităților operaționale importante ale instituției de credit, astfel cum sunt definite în actele normative ale Băncii Naționale a Moldovei emise în aplicarea prezentei legi; </w:t>
            </w:r>
          </w:p>
          <w:p w14:paraId="7815C3BA"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b/>
                <w:bCs/>
                <w:lang w:eastAsia="ro-MD"/>
              </w:rPr>
              <w:t>3)</w:t>
            </w:r>
            <w:r w:rsidRPr="005D6998">
              <w:rPr>
                <w:rFonts w:ascii="Times New Roman" w:hAnsi="Times New Roman"/>
                <w:lang w:eastAsia="ro-MD"/>
              </w:rPr>
              <w:t xml:space="preserve"> membrii personalului îndreptățiți la remunerații totale semnificative în perioada de gestiune precedentă, cu îndeplinirea următoarelor condiții:</w:t>
            </w:r>
            <w:r w:rsidRPr="005D6998">
              <w:rPr>
                <w:rFonts w:ascii="Times New Roman" w:hAnsi="Times New Roman"/>
                <w:b/>
                <w:bCs/>
                <w:lang w:eastAsia="ro-MD"/>
              </w:rPr>
              <w:t xml:space="preserve"> </w:t>
            </w:r>
          </w:p>
          <w:p w14:paraId="7602B040"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lang w:eastAsia="ro-MD"/>
              </w:rPr>
              <w:t xml:space="preserve">a) remunerația membrului personalului este egală cu echivalentul în lei moldovenești a cel puțin 500.000 euro și este cel puțin egală cu remunerația medie acordată membrilor organului de conducere; </w:t>
            </w:r>
          </w:p>
          <w:p w14:paraId="603086DA"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lang w:eastAsia="ro-MD"/>
              </w:rPr>
              <w:t xml:space="preserve">b) membrul personalului își desfășoară activitatea profesională într-o unitate operațională </w:t>
            </w:r>
            <w:r w:rsidRPr="005D6998">
              <w:rPr>
                <w:rFonts w:ascii="Times New Roman" w:hAnsi="Times New Roman"/>
                <w:lang w:eastAsia="ro-MD"/>
              </w:rPr>
              <w:lastRenderedPageBreak/>
              <w:t xml:space="preserve">importantă, iar activitatea are, prin natura sa, un impact semnificativ asupra profilului de risc al unității operaționale în cauză. </w:t>
            </w:r>
            <w:r w:rsidRPr="005D6998">
              <w:rPr>
                <w:rFonts w:ascii="Times New Roman" w:hAnsi="Times New Roman"/>
                <w:i/>
                <w:iCs/>
                <w:lang w:eastAsia="ro-MD"/>
              </w:rPr>
              <w:t xml:space="preserve"> </w:t>
            </w:r>
            <w:r w:rsidRPr="005D6998">
              <w:rPr>
                <w:rFonts w:ascii="Times New Roman" w:hAnsi="Times New Roman"/>
              </w:rPr>
              <w:t xml:space="preserve"> </w:t>
            </w:r>
          </w:p>
          <w:p w14:paraId="114B1BB3" w14:textId="0F0E533E" w:rsidR="008E7C06" w:rsidRPr="005D6998" w:rsidRDefault="008E7C06" w:rsidP="00A46332">
            <w:pPr>
              <w:spacing w:after="0" w:line="240" w:lineRule="auto"/>
              <w:jc w:val="both"/>
              <w:rPr>
                <w:rFonts w:ascii="Times New Roman" w:hAnsi="Times New Roman"/>
              </w:rPr>
            </w:pPr>
          </w:p>
          <w:p w14:paraId="09726923" w14:textId="0C9783D4" w:rsidR="008E7C06" w:rsidRPr="005D6998" w:rsidRDefault="008E7C06" w:rsidP="00A46332">
            <w:pPr>
              <w:spacing w:after="0" w:line="240" w:lineRule="auto"/>
              <w:jc w:val="both"/>
              <w:rPr>
                <w:rFonts w:ascii="Times New Roman" w:hAnsi="Times New Roman"/>
                <w:b/>
                <w:bCs/>
                <w:lang w:val="ro-MD"/>
              </w:rPr>
            </w:pPr>
            <w:r w:rsidRPr="005D6998">
              <w:rPr>
                <w:rFonts w:ascii="Times New Roman" w:hAnsi="Times New Roman"/>
                <w:lang w:val="ro-MD"/>
              </w:rPr>
              <w:t>Cuvântul „totală” se exclude, pentru a evita eventualele neclarități privind perioada de referință pentru calcularea remunerației și pentru a asigura claritatea normei, conform limbajului utilizat în Directivă.</w:t>
            </w:r>
          </w:p>
          <w:p w14:paraId="053825A8" w14:textId="77777777" w:rsidR="008E7C06" w:rsidRPr="005D6998" w:rsidRDefault="008E7C06" w:rsidP="00A46332">
            <w:pPr>
              <w:spacing w:after="0" w:line="240" w:lineRule="auto"/>
              <w:jc w:val="both"/>
              <w:rPr>
                <w:rFonts w:ascii="Times New Roman" w:hAnsi="Times New Roman"/>
                <w:b/>
                <w:bCs/>
              </w:rPr>
            </w:pPr>
          </w:p>
        </w:tc>
      </w:tr>
      <w:tr w:rsidR="008E7C06" w:rsidRPr="005D6998" w14:paraId="4DA5092B" w14:textId="77777777" w:rsidTr="00651F58">
        <w:trPr>
          <w:gridAfter w:val="2"/>
          <w:wAfter w:w="153" w:type="dxa"/>
          <w:trHeight w:val="105"/>
        </w:trPr>
        <w:tc>
          <w:tcPr>
            <w:tcW w:w="899" w:type="dxa"/>
            <w:gridSpan w:val="3"/>
            <w:shd w:val="clear" w:color="auto" w:fill="FFFFFF"/>
          </w:tcPr>
          <w:p w14:paraId="3DA2C43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84F6EB1"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t>alineatul (2),</w:t>
            </w:r>
          </w:p>
          <w:p w14:paraId="0A5652EC"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w:t>
            </w:r>
            <w:r w:rsidRPr="005D6998">
              <w:rPr>
                <w:rFonts w:ascii="Times New Roman" w:hAnsi="Times New Roman"/>
                <w:lang w:eastAsia="ro-MD"/>
              </w:rPr>
              <w:tab/>
            </w:r>
          </w:p>
          <w:p w14:paraId="2CB7DA50"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lang w:eastAsia="ro-MD"/>
              </w:rPr>
              <w:tab/>
              <w:t xml:space="preserve">la litera g), cuvântul </w:t>
            </w:r>
            <w:r w:rsidRPr="005D6998">
              <w:rPr>
                <w:rFonts w:ascii="Times New Roman" w:hAnsi="Times New Roman"/>
              </w:rPr>
              <w:t>„</w:t>
            </w:r>
            <w:r w:rsidRPr="005D6998">
              <w:rPr>
                <w:rFonts w:ascii="Times New Roman" w:hAnsi="Times New Roman"/>
                <w:lang w:eastAsia="ro-MD"/>
              </w:rPr>
              <w:t xml:space="preserve">băncii” se substituie cu textul </w:t>
            </w:r>
            <w:r w:rsidRPr="005D6998">
              <w:rPr>
                <w:rFonts w:ascii="Times New Roman" w:hAnsi="Times New Roman"/>
              </w:rPr>
              <w:t>„</w:t>
            </w:r>
            <w:r w:rsidRPr="005D6998">
              <w:rPr>
                <w:rFonts w:ascii="Times New Roman" w:hAnsi="Times New Roman"/>
                <w:lang w:eastAsia="ro-MD"/>
              </w:rPr>
              <w:t xml:space="preserve">, inclusiv mecanismele privind reținerea, amânarea, performanța și acordurile de tip </w:t>
            </w:r>
            <w:r w:rsidRPr="005D6998">
              <w:rPr>
                <w:rFonts w:ascii="Times New Roman" w:hAnsi="Times New Roman"/>
              </w:rPr>
              <w:t>„</w:t>
            </w:r>
            <w:r w:rsidRPr="005D6998">
              <w:rPr>
                <w:rFonts w:ascii="Times New Roman" w:hAnsi="Times New Roman"/>
                <w:lang w:eastAsia="ro-MD"/>
              </w:rPr>
              <w:t>clawback””;</w:t>
            </w:r>
            <w:r w:rsidRPr="005D6998">
              <w:rPr>
                <w:rFonts w:ascii="Times New Roman" w:hAnsi="Times New Roman"/>
              </w:rPr>
              <w:t xml:space="preserve"> </w:t>
            </w:r>
          </w:p>
          <w:p w14:paraId="243EF9D8"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litera k) va avea următorul cuprins:</w:t>
            </w:r>
          </w:p>
          <w:p w14:paraId="1F039196" w14:textId="77777777" w:rsidR="008E7C06" w:rsidRPr="005D6998" w:rsidRDefault="008E7C06" w:rsidP="00A46332">
            <w:pPr>
              <w:spacing w:after="0" w:line="240" w:lineRule="auto"/>
              <w:ind w:firstLine="709"/>
              <w:jc w:val="both"/>
              <w:rPr>
                <w:rFonts w:ascii="Times New Roman" w:hAnsi="Times New Roman"/>
                <w:lang w:eastAsia="ro-MD"/>
              </w:rPr>
            </w:pPr>
            <w:r w:rsidRPr="005D6998">
              <w:rPr>
                <w:rFonts w:ascii="Times New Roman" w:hAnsi="Times New Roman"/>
              </w:rPr>
              <w:t>„</w:t>
            </w:r>
            <w:r w:rsidRPr="005D6998">
              <w:rPr>
                <w:rFonts w:ascii="Times New Roman" w:hAnsi="Times New Roman"/>
                <w:lang w:eastAsia="ro-MD"/>
              </w:rPr>
              <w:t>k) membrilor personalului identificat le este plătită remuneraţia variabilă, inclusiv partea remunerației amânată sau aceştia intră în drepturile aferente remuneraţiei variabile doar dacă remuneraţia în cauză poate fi susţinută în conformitate cu situaţia financiară a instituției de credit în ansamblu şi dacă poate fi justificată în baza performanţei instituției de credit, a unității în care se desfăşoară activitatea şi a salariatului în cauză. În cazul în care situația financiară a instituției de credit se deteriorează considerabil, instituția de credit trebuie să reducă volumul remunerației variabile totale, ținând cont atât de remunerația curentă, cât și de reducerile plăților aferente sumelor câștigate anterior, inclusiv prin acorduri de tip „malus ” sau de tip „clawback ””;</w:t>
            </w:r>
            <w:r w:rsidRPr="005D6998">
              <w:rPr>
                <w:rFonts w:ascii="Times New Roman" w:hAnsi="Times New Roman"/>
              </w:rPr>
              <w:t xml:space="preserve"> </w:t>
            </w:r>
            <w:r w:rsidRPr="005D6998">
              <w:rPr>
                <w:rFonts w:ascii="Times New Roman" w:hAnsi="Times New Roman"/>
                <w:lang w:eastAsia="ro-MD"/>
              </w:rPr>
              <w:t>[...]</w:t>
            </w:r>
            <w:r w:rsidRPr="005D6998" w:rsidDel="00987452">
              <w:rPr>
                <w:rFonts w:ascii="Times New Roman" w:hAnsi="Times New Roman"/>
                <w:lang w:eastAsia="ro-MD"/>
              </w:rPr>
              <w:t xml:space="preserve"> </w:t>
            </w:r>
          </w:p>
        </w:tc>
        <w:tc>
          <w:tcPr>
            <w:tcW w:w="1418" w:type="dxa"/>
            <w:gridSpan w:val="2"/>
            <w:shd w:val="clear" w:color="auto" w:fill="FFFFFF"/>
          </w:tcPr>
          <w:p w14:paraId="66F4F13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DD6E75B"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8766B1F" w14:textId="77777777" w:rsidR="008E7C06" w:rsidRPr="005D6998" w:rsidRDefault="008E7C06" w:rsidP="00A46332">
            <w:pPr>
              <w:pStyle w:val="Default"/>
              <w:jc w:val="both"/>
              <w:rPr>
                <w:color w:val="auto"/>
                <w:sz w:val="22"/>
                <w:szCs w:val="22"/>
              </w:rPr>
            </w:pPr>
            <w:r w:rsidRPr="005D6998">
              <w:rPr>
                <w:color w:val="auto"/>
                <w:sz w:val="22"/>
                <w:szCs w:val="22"/>
              </w:rPr>
              <w:t xml:space="preserve">În dispozițiile de modificare a alin. (2) lit. g) și k) a art. 39, se va revedea textul „acordurile de tip „malus” sau de tip „clawback”, întru asigurarea respectării art. 54 alin. (1) lit. e) al Legii nr. 100/2017. </w:t>
            </w:r>
          </w:p>
          <w:p w14:paraId="11F84EAB" w14:textId="77777777" w:rsidR="008E7C06" w:rsidRPr="005D6998" w:rsidRDefault="008E7C06" w:rsidP="00A46332">
            <w:pPr>
              <w:pStyle w:val="Default"/>
              <w:jc w:val="both"/>
              <w:rPr>
                <w:color w:val="auto"/>
                <w:sz w:val="22"/>
                <w:szCs w:val="22"/>
              </w:rPr>
            </w:pPr>
          </w:p>
          <w:p w14:paraId="7DEEB7C1" w14:textId="77777777" w:rsidR="008E7C06" w:rsidRPr="005D6998" w:rsidRDefault="008E7C06" w:rsidP="00A46332">
            <w:pPr>
              <w:pStyle w:val="Default"/>
              <w:jc w:val="both"/>
              <w:rPr>
                <w:color w:val="auto"/>
                <w:sz w:val="22"/>
                <w:szCs w:val="22"/>
              </w:rPr>
            </w:pPr>
            <w:r w:rsidRPr="005D6998">
              <w:rPr>
                <w:color w:val="auto"/>
                <w:sz w:val="22"/>
                <w:szCs w:val="22"/>
              </w:rPr>
              <w:t xml:space="preserve">Potrivit acestuia, în cazul în care se impune folosirea unor termeni şi expresii din alte limbi, se indică, după caz, corespondentul acestora în limba română. </w:t>
            </w:r>
          </w:p>
          <w:p w14:paraId="4A0C6BD0" w14:textId="77777777" w:rsidR="008E7C06" w:rsidRPr="005D6998" w:rsidRDefault="008E7C06" w:rsidP="00A46332">
            <w:pPr>
              <w:pStyle w:val="Default"/>
              <w:jc w:val="both"/>
              <w:rPr>
                <w:color w:val="auto"/>
                <w:sz w:val="22"/>
                <w:szCs w:val="22"/>
              </w:rPr>
            </w:pPr>
          </w:p>
        </w:tc>
        <w:tc>
          <w:tcPr>
            <w:tcW w:w="4960" w:type="dxa"/>
            <w:gridSpan w:val="3"/>
            <w:shd w:val="clear" w:color="auto" w:fill="FFFFFF"/>
          </w:tcPr>
          <w:p w14:paraId="5990D869" w14:textId="77777777" w:rsidR="008E7C06" w:rsidRPr="005D6998" w:rsidRDefault="008E7C06" w:rsidP="00A46332">
            <w:pPr>
              <w:spacing w:line="240" w:lineRule="auto"/>
              <w:jc w:val="both"/>
              <w:rPr>
                <w:rFonts w:ascii="Times New Roman" w:hAnsi="Times New Roman"/>
                <w:b/>
              </w:rPr>
            </w:pPr>
            <w:r w:rsidRPr="005D6998">
              <w:rPr>
                <w:rFonts w:ascii="Times New Roman" w:hAnsi="Times New Roman"/>
                <w:b/>
                <w:lang w:val="ro-MD"/>
              </w:rPr>
              <w:t>Nu se accept</w:t>
            </w:r>
            <w:r w:rsidRPr="005D6998">
              <w:rPr>
                <w:rFonts w:ascii="Times New Roman" w:hAnsi="Times New Roman"/>
                <w:b/>
              </w:rPr>
              <w:t>ă.</w:t>
            </w:r>
          </w:p>
          <w:p w14:paraId="24CB29C9" w14:textId="77777777" w:rsidR="008E7C06" w:rsidRPr="005D6998" w:rsidRDefault="008E7C06" w:rsidP="00A46332">
            <w:pPr>
              <w:spacing w:line="240" w:lineRule="auto"/>
              <w:jc w:val="both"/>
              <w:rPr>
                <w:rFonts w:ascii="Times New Roman" w:hAnsi="Times New Roman"/>
                <w:bCs/>
                <w:lang w:val="ro-MD"/>
              </w:rPr>
            </w:pPr>
            <w:r w:rsidRPr="005D6998">
              <w:rPr>
                <w:rFonts w:ascii="Times New Roman" w:hAnsi="Times New Roman"/>
                <w:bCs/>
                <w:lang w:val="ro-MD"/>
              </w:rPr>
              <w:t xml:space="preserve">Noțiunile „acord de tip </w:t>
            </w:r>
            <w:r w:rsidRPr="005D6998">
              <w:rPr>
                <w:rFonts w:ascii="Times New Roman" w:hAnsi="Times New Roman"/>
                <w:bCs/>
                <w:i/>
                <w:iCs/>
                <w:lang w:val="ro-MD"/>
              </w:rPr>
              <w:t>clawback</w:t>
            </w:r>
            <w:r w:rsidRPr="005D6998">
              <w:rPr>
                <w:rFonts w:ascii="Times New Roman" w:hAnsi="Times New Roman"/>
                <w:bCs/>
                <w:lang w:val="ro-MD"/>
              </w:rPr>
              <w:t xml:space="preserve">” și „acord de tip </w:t>
            </w:r>
            <w:r w:rsidRPr="005D6998">
              <w:rPr>
                <w:rFonts w:ascii="Times New Roman" w:hAnsi="Times New Roman"/>
                <w:bCs/>
                <w:i/>
                <w:iCs/>
                <w:lang w:val="ro-MD"/>
              </w:rPr>
              <w:t>malus</w:t>
            </w:r>
            <w:r w:rsidRPr="005D6998">
              <w:rPr>
                <w:rFonts w:ascii="Times New Roman" w:hAnsi="Times New Roman"/>
                <w:bCs/>
                <w:lang w:val="ro-MD"/>
              </w:rPr>
              <w:t>” reprezintă termeni consacrați în cadrul de reglementare al Uniunii Europene, fiind utilizați în Ghidul ABE privind politicile solide de remunerare (EBA/GL/2021/04). În conformitate cu art. 54 alin. (1) lit. c) din Legea nr. 100/2017, terminologia utilizată în proiect trebuie să corespundă celei utilizate în legislația Uniunii Europene.</w:t>
            </w:r>
          </w:p>
          <w:p w14:paraId="210EBE3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Cs/>
              </w:rPr>
              <w:t>Totodată, în sensul art. 54 alin. (1) lit. e) din aceeași lege, pentru noțiunile respective nu există un corespondent consacrat în limba română. În acest context, prin proiectul HCE al BNM privind modificarea Regulamentului privind cadrul de administrare a activității băncilor, aprobat prin HCE al BNM nr. 322/2018, se propune definirea expresă a conținutului acestor noțiuni.</w:t>
            </w:r>
          </w:p>
        </w:tc>
      </w:tr>
      <w:tr w:rsidR="008E7C06" w:rsidRPr="005D6998" w14:paraId="1674A84A" w14:textId="77777777" w:rsidTr="00651F58">
        <w:trPr>
          <w:gridAfter w:val="2"/>
          <w:wAfter w:w="153" w:type="dxa"/>
          <w:trHeight w:val="105"/>
        </w:trPr>
        <w:tc>
          <w:tcPr>
            <w:tcW w:w="899" w:type="dxa"/>
            <w:gridSpan w:val="3"/>
            <w:shd w:val="clear" w:color="auto" w:fill="FFFFFF"/>
          </w:tcPr>
          <w:p w14:paraId="4F5D9CB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5533B54"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w:t>
            </w:r>
            <w:r w:rsidRPr="005D6998">
              <w:rPr>
                <w:rFonts w:ascii="Times New Roman" w:hAnsi="Times New Roman"/>
                <w:lang w:eastAsia="ro-MD"/>
              </w:rPr>
              <w:tab/>
            </w:r>
            <w:r w:rsidRPr="005D6998">
              <w:rPr>
                <w:rFonts w:ascii="Times New Roman" w:hAnsi="Times New Roman"/>
                <w:lang w:eastAsia="ro-MD"/>
              </w:rPr>
              <w:tab/>
            </w:r>
            <w:r w:rsidRPr="005D6998" w:rsidDel="00987452">
              <w:rPr>
                <w:rFonts w:ascii="Times New Roman" w:hAnsi="Times New Roman"/>
                <w:lang w:eastAsia="ro-MD"/>
              </w:rPr>
              <w:t xml:space="preserve"> </w:t>
            </w:r>
          </w:p>
          <w:p w14:paraId="7517ED97" w14:textId="77777777" w:rsidR="008E7C06" w:rsidRPr="005D6998" w:rsidRDefault="008E7C06" w:rsidP="00A46332">
            <w:pPr>
              <w:spacing w:after="0" w:line="240" w:lineRule="auto"/>
              <w:ind w:firstLine="709"/>
              <w:jc w:val="both"/>
              <w:rPr>
                <w:rFonts w:ascii="Times New Roman" w:hAnsi="Times New Roman"/>
                <w:lang w:eastAsia="ro-MD"/>
              </w:rPr>
            </w:pPr>
            <w:r w:rsidRPr="005D6998">
              <w:rPr>
                <w:rFonts w:ascii="Times New Roman" w:hAnsi="Times New Roman"/>
                <w:lang w:eastAsia="ro-MD"/>
              </w:rPr>
              <w:t xml:space="preserve">o)  până la 100% din remunerația variabilă totală face obiectul acordurilor de tip </w:t>
            </w:r>
            <w:r w:rsidRPr="005D6998">
              <w:rPr>
                <w:rFonts w:ascii="Times New Roman" w:hAnsi="Times New Roman"/>
              </w:rPr>
              <w:t>„</w:t>
            </w:r>
            <w:r w:rsidRPr="005D6998">
              <w:rPr>
                <w:rFonts w:ascii="Times New Roman" w:hAnsi="Times New Roman"/>
                <w:lang w:eastAsia="ro-MD"/>
              </w:rPr>
              <w:t xml:space="preserve">malus” sau de tip „clawback”. Instituția de credit stabilește criterii specifice în politica sa de remunerare pentru aplicarea acestor acorduri, care trebuie să acopere în </w:t>
            </w:r>
            <w:r w:rsidRPr="005D6998">
              <w:rPr>
                <w:rFonts w:ascii="Times New Roman" w:hAnsi="Times New Roman"/>
                <w:lang w:eastAsia="ro-MD"/>
              </w:rPr>
              <w:lastRenderedPageBreak/>
              <w:t>special situațiile în care membrii personalului identificat:</w:t>
            </w:r>
          </w:p>
          <w:p w14:paraId="32029F29" w14:textId="77777777" w:rsidR="008E7C06" w:rsidRPr="005D6998" w:rsidRDefault="008E7C06" w:rsidP="00A46332">
            <w:pPr>
              <w:spacing w:after="0" w:line="240" w:lineRule="auto"/>
              <w:ind w:firstLine="709"/>
              <w:jc w:val="both"/>
              <w:rPr>
                <w:rFonts w:ascii="Times New Roman" w:hAnsi="Times New Roman"/>
                <w:lang w:eastAsia="ro-MD"/>
              </w:rPr>
            </w:pPr>
            <w:r w:rsidRPr="005D6998">
              <w:rPr>
                <w:rFonts w:ascii="Times New Roman" w:hAnsi="Times New Roman"/>
                <w:lang w:eastAsia="ro-MD"/>
              </w:rPr>
              <w:t>(i) au participat la o conduită care a avut ca rezultat înregistrarea de pierderi semnificative pentru instituția de credit  sau au fost responsabili de o astfel de conduită;</w:t>
            </w:r>
          </w:p>
          <w:p w14:paraId="29A0B18D" w14:textId="77777777" w:rsidR="008E7C06" w:rsidRPr="005D6998" w:rsidRDefault="008E7C06" w:rsidP="00A46332">
            <w:pPr>
              <w:spacing w:after="0" w:line="240" w:lineRule="auto"/>
              <w:ind w:firstLine="709"/>
              <w:jc w:val="both"/>
              <w:rPr>
                <w:rFonts w:ascii="Times New Roman" w:hAnsi="Times New Roman"/>
                <w:b/>
                <w:lang w:eastAsia="ro-MD"/>
              </w:rPr>
            </w:pPr>
            <w:r w:rsidRPr="005D6998">
              <w:rPr>
                <w:rFonts w:ascii="Times New Roman" w:hAnsi="Times New Roman"/>
                <w:lang w:eastAsia="ro-MD"/>
              </w:rPr>
              <w:t xml:space="preserve">(ii) nu a respectat standardele corespunzătoare de aptitudini și comportament adecvat. </w:t>
            </w:r>
          </w:p>
          <w:p w14:paraId="14C836E8" w14:textId="77777777" w:rsidR="008E7C06" w:rsidRPr="005D6998" w:rsidRDefault="008E7C06" w:rsidP="00A46332">
            <w:pPr>
              <w:pStyle w:val="a7"/>
              <w:tabs>
                <w:tab w:val="left" w:pos="426"/>
              </w:tabs>
              <w:spacing w:after="0" w:line="240" w:lineRule="auto"/>
              <w:ind w:left="0"/>
              <w:jc w:val="both"/>
              <w:rPr>
                <w:rFonts w:ascii="Times New Roman" w:hAnsi="Times New Roman"/>
                <w:lang w:val="it-CH" w:eastAsia="ro-MD"/>
              </w:rPr>
            </w:pPr>
            <w:r w:rsidRPr="005D6998">
              <w:rPr>
                <w:rFonts w:ascii="Times New Roman" w:hAnsi="Times New Roman"/>
                <w:lang w:eastAsia="ro-MD"/>
              </w:rPr>
              <w:tab/>
            </w:r>
            <w:r w:rsidRPr="005D6998">
              <w:rPr>
                <w:rFonts w:ascii="Times New Roman" w:hAnsi="Times New Roman"/>
                <w:lang w:eastAsia="ro-MD"/>
              </w:rPr>
              <w:tab/>
            </w:r>
            <w:r w:rsidRPr="005D6998">
              <w:rPr>
                <w:rFonts w:ascii="Times New Roman" w:hAnsi="Times New Roman"/>
                <w:lang w:val="it-CH" w:eastAsia="ro-MD"/>
              </w:rPr>
              <w:t>[…]</w:t>
            </w:r>
          </w:p>
        </w:tc>
        <w:tc>
          <w:tcPr>
            <w:tcW w:w="1418" w:type="dxa"/>
            <w:gridSpan w:val="2"/>
            <w:shd w:val="clear" w:color="auto" w:fill="FFFFFF"/>
          </w:tcPr>
          <w:p w14:paraId="5FEF1D19"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33C3879"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84F657A" w14:textId="77777777" w:rsidR="008E7C06" w:rsidRPr="005D6998" w:rsidRDefault="008E7C06" w:rsidP="00A46332">
            <w:pPr>
              <w:pStyle w:val="Default"/>
              <w:jc w:val="both"/>
              <w:rPr>
                <w:color w:val="auto"/>
                <w:sz w:val="22"/>
                <w:szCs w:val="22"/>
              </w:rPr>
            </w:pPr>
            <w:r w:rsidRPr="005D6998">
              <w:rPr>
                <w:color w:val="auto"/>
                <w:sz w:val="22"/>
                <w:szCs w:val="22"/>
              </w:rPr>
              <w:t xml:space="preserve">În redacția propusă la alin. (2) lit. o) a art. 39, cuvintele „nu a respectat standardele corespunzătoare de aptitudini și comportament adecvat” sunt prea generale, nefiind indicat în ce act sunt stabilite aceste standarde de aptitudini și comportament adecvat. În lipsa acestor precizări norma este </w:t>
            </w:r>
            <w:r w:rsidRPr="005D6998">
              <w:rPr>
                <w:color w:val="auto"/>
                <w:sz w:val="22"/>
                <w:szCs w:val="22"/>
              </w:rPr>
              <w:lastRenderedPageBreak/>
              <w:t xml:space="preserve">lipsită de claritate, susceptibilă de aplicări neuniforme. </w:t>
            </w:r>
          </w:p>
          <w:p w14:paraId="48F4EC56" w14:textId="77777777" w:rsidR="008E7C06" w:rsidRPr="005D6998" w:rsidRDefault="008E7C06" w:rsidP="00A46332">
            <w:pPr>
              <w:pStyle w:val="Default"/>
              <w:jc w:val="both"/>
              <w:rPr>
                <w:color w:val="auto"/>
                <w:sz w:val="22"/>
                <w:szCs w:val="22"/>
              </w:rPr>
            </w:pPr>
          </w:p>
        </w:tc>
        <w:tc>
          <w:tcPr>
            <w:tcW w:w="4960" w:type="dxa"/>
            <w:gridSpan w:val="3"/>
            <w:shd w:val="clear" w:color="auto" w:fill="FFFFFF"/>
          </w:tcPr>
          <w:p w14:paraId="771B721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Nu se acceptă.</w:t>
            </w:r>
          </w:p>
          <w:p w14:paraId="72F5985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“Standarde corespunzătoare de aptitudini și comportament adecvat” nu presupune neapărat existența unui act normativ distinct în care să fie consacrate </w:t>
            </w:r>
            <w:r w:rsidRPr="005D6998">
              <w:rPr>
                <w:rFonts w:ascii="Times New Roman" w:hAnsi="Times New Roman"/>
                <w:b/>
                <w:bCs/>
              </w:rPr>
              <w:t>exhaustiv</w:t>
            </w:r>
            <w:r w:rsidRPr="005D6998">
              <w:rPr>
                <w:rFonts w:ascii="Times New Roman" w:hAnsi="Times New Roman"/>
              </w:rPr>
              <w:t xml:space="preserve"> aceste standarde. </w:t>
            </w:r>
          </w:p>
          <w:p w14:paraId="52E1A79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Cerințele privind aptitudinile, competența și conduita persoanelor din cadrul instituțiilor de credit </w:t>
            </w:r>
            <w:r w:rsidRPr="005D6998">
              <w:rPr>
                <w:rFonts w:ascii="Times New Roman" w:hAnsi="Times New Roman"/>
                <w:b/>
                <w:bCs/>
              </w:rPr>
              <w:t>rezultă</w:t>
            </w:r>
            <w:r w:rsidRPr="005D6998">
              <w:rPr>
                <w:rFonts w:ascii="Times New Roman" w:hAnsi="Times New Roman"/>
              </w:rPr>
              <w:t xml:space="preserve"> din ansamblul cadrului normativ aplicabil. De </w:t>
            </w:r>
            <w:r w:rsidRPr="005D6998">
              <w:rPr>
                <w:rFonts w:ascii="Times New Roman" w:hAnsi="Times New Roman"/>
              </w:rPr>
              <w:lastRenderedPageBreak/>
              <w:t>exemplu, art. 43 din Legea nr. 202/2017 stabilește deja cerința ca persoanele relevante să dispună de „cunoștințe, aptitudini și experiență adecvate” și să își desfășoare activitatea în conformitate cu regulile unei practici bancare prudente și sănătoase.</w:t>
            </w:r>
          </w:p>
          <w:p w14:paraId="35E7BE1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Indicarea unui anumit act normativ în cuprinsul art. 39 alin. (2) lit. o) nu este considerată oportună și ar putea restrânge în mod nejustificat sfera standardelor relevante de evaluare, care nu se rezumă la cerințele stabilite prin acte normative ale BNM.</w:t>
            </w:r>
          </w:p>
        </w:tc>
      </w:tr>
      <w:tr w:rsidR="008E7C06" w:rsidRPr="005D6998" w14:paraId="36BAD8A3" w14:textId="77777777" w:rsidTr="00651F58">
        <w:trPr>
          <w:gridAfter w:val="2"/>
          <w:wAfter w:w="153" w:type="dxa"/>
          <w:trHeight w:val="105"/>
        </w:trPr>
        <w:tc>
          <w:tcPr>
            <w:tcW w:w="899" w:type="dxa"/>
            <w:gridSpan w:val="3"/>
            <w:shd w:val="clear" w:color="auto" w:fill="FFFFFF"/>
          </w:tcPr>
          <w:p w14:paraId="1468E53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72F4482"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t>se completează cu alineatele (2</w:t>
            </w:r>
            <w:r w:rsidRPr="005D6998">
              <w:rPr>
                <w:rFonts w:ascii="Times New Roman" w:hAnsi="Times New Roman"/>
                <w:vertAlign w:val="superscript"/>
                <w:lang w:eastAsia="ro-MD"/>
              </w:rPr>
              <w:t>1</w:t>
            </w:r>
            <w:r w:rsidRPr="005D6998">
              <w:rPr>
                <w:rFonts w:ascii="Times New Roman" w:hAnsi="Times New Roman"/>
                <w:lang w:eastAsia="ro-MD"/>
              </w:rPr>
              <w:t>) și (2</w:t>
            </w:r>
            <w:r w:rsidRPr="005D6998">
              <w:rPr>
                <w:rFonts w:ascii="Times New Roman" w:hAnsi="Times New Roman"/>
                <w:vertAlign w:val="superscript"/>
                <w:lang w:eastAsia="ro-MD"/>
              </w:rPr>
              <w:t>2</w:t>
            </w:r>
            <w:r w:rsidRPr="005D6998">
              <w:rPr>
                <w:rFonts w:ascii="Times New Roman" w:hAnsi="Times New Roman"/>
                <w:lang w:eastAsia="ro-MD"/>
              </w:rPr>
              <w:t>)  cu următorul cuprins:</w:t>
            </w:r>
          </w:p>
          <w:p w14:paraId="0B63DF8F"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rPr>
              <w:t>„</w:t>
            </w:r>
            <w:r w:rsidRPr="005D6998">
              <w:rPr>
                <w:rFonts w:ascii="Times New Roman" w:hAnsi="Times New Roman"/>
                <w:lang w:eastAsia="ro-MD"/>
              </w:rPr>
              <w:t>[...]</w:t>
            </w:r>
            <w:r w:rsidRPr="005D6998" w:rsidDel="001B038F">
              <w:rPr>
                <w:rFonts w:ascii="Times New Roman" w:hAnsi="Times New Roman"/>
                <w:lang w:eastAsia="ro-MD"/>
              </w:rPr>
              <w:t xml:space="preserve"> </w:t>
            </w:r>
          </w:p>
          <w:p w14:paraId="11842A7F"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lang w:eastAsia="ro-MD"/>
              </w:rPr>
              <w:t>(2</w:t>
            </w:r>
            <w:r w:rsidRPr="005D6998">
              <w:rPr>
                <w:rFonts w:ascii="Times New Roman" w:hAnsi="Times New Roman"/>
                <w:vertAlign w:val="superscript"/>
                <w:lang w:eastAsia="ro-MD"/>
              </w:rPr>
              <w:t>2</w:t>
            </w:r>
            <w:r w:rsidRPr="005D6998">
              <w:rPr>
                <w:rFonts w:ascii="Times New Roman" w:hAnsi="Times New Roman"/>
                <w:lang w:eastAsia="ro-MD"/>
              </w:rPr>
              <w:t>) Instituțiile de credit care beneficiază de sprijin financiar public extraordinar, trebuie să respecte următoarele principii, pe lângă cele prevăzute de alin. (1) și (2):</w:t>
            </w:r>
          </w:p>
          <w:p w14:paraId="165F10CC"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lang w:eastAsia="ro-MD"/>
              </w:rPr>
              <w:t>a) remunerația variabilă trebuie să fie limitată în mod strict ca procent din veniturile nete atunci când aceasta nu este corelată cu menținerea unei baze solide de capital și încetarea în timp util a sprijinului financiar public extraordinar;</w:t>
            </w:r>
          </w:p>
          <w:p w14:paraId="58142099" w14:textId="77777777" w:rsidR="008E7C06" w:rsidRPr="005D6998" w:rsidRDefault="008E7C06" w:rsidP="00A46332">
            <w:pPr>
              <w:spacing w:after="0" w:line="240" w:lineRule="auto"/>
              <w:ind w:firstLine="708"/>
              <w:jc w:val="both"/>
              <w:rPr>
                <w:rFonts w:ascii="Times New Roman" w:hAnsi="Times New Roman"/>
                <w:lang w:eastAsia="ro-MD"/>
              </w:rPr>
            </w:pPr>
            <w:r w:rsidRPr="005D6998">
              <w:rPr>
                <w:rFonts w:ascii="Times New Roman" w:hAnsi="Times New Roman"/>
                <w:lang w:eastAsia="ro-MD"/>
              </w:rPr>
              <w:t xml:space="preserve">b) remuneraţia trebuie să fie restructurată într-un mod conform cu administrarea viabilă a riscurilor și creșterea viabilă pe termen lung, inclusiv, după caz, stabilirea de limite pentru remunerarea membrilor organului de conducere al instituţiei de credit; </w:t>
            </w:r>
          </w:p>
          <w:p w14:paraId="17337A28"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 xml:space="preserve">c) membrilor organului de conducere al instituţiei de credit nu le este plătită nicio remuneraţie variabilă, decât în </w:t>
            </w:r>
            <w:r w:rsidRPr="005D6998">
              <w:rPr>
                <w:rFonts w:ascii="Times New Roman" w:hAnsi="Times New Roman"/>
                <w:lang w:eastAsia="ro-MD"/>
              </w:rPr>
              <w:lastRenderedPageBreak/>
              <w:t>cazul în care acest lucru este justificat.”.</w:t>
            </w:r>
          </w:p>
        </w:tc>
        <w:tc>
          <w:tcPr>
            <w:tcW w:w="1418" w:type="dxa"/>
            <w:gridSpan w:val="2"/>
            <w:shd w:val="clear" w:color="auto" w:fill="FFFFFF"/>
          </w:tcPr>
          <w:p w14:paraId="2CE20B9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6E2E555"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984F366" w14:textId="77777777" w:rsidR="008E7C06" w:rsidRPr="005D6998" w:rsidRDefault="008E7C06" w:rsidP="00A46332">
            <w:pPr>
              <w:pStyle w:val="Default"/>
              <w:jc w:val="both"/>
              <w:rPr>
                <w:color w:val="auto"/>
                <w:sz w:val="22"/>
                <w:szCs w:val="22"/>
              </w:rPr>
            </w:pPr>
            <w:r w:rsidRPr="005D6998">
              <w:rPr>
                <w:color w:val="auto"/>
                <w:sz w:val="22"/>
                <w:szCs w:val="22"/>
              </w:rPr>
              <w:t>Aferent completării art. 39 cu alin. (2</w:t>
            </w:r>
            <w:r w:rsidRPr="005D6998">
              <w:rPr>
                <w:color w:val="auto"/>
                <w:sz w:val="22"/>
                <w:szCs w:val="22"/>
                <w:vertAlign w:val="superscript"/>
              </w:rPr>
              <w:t>2</w:t>
            </w:r>
            <w:r w:rsidRPr="005D6998">
              <w:rPr>
                <w:color w:val="auto"/>
                <w:sz w:val="22"/>
                <w:szCs w:val="22"/>
              </w:rPr>
              <w:t xml:space="preserve">), se va analiza necesitatea includerii referinței la acest alineat în redacția alin. (3) al art. 39. </w:t>
            </w:r>
          </w:p>
          <w:p w14:paraId="7C7A8444" w14:textId="77777777" w:rsidR="008E7C06" w:rsidRPr="005D6998" w:rsidRDefault="008E7C06" w:rsidP="00A46332">
            <w:pPr>
              <w:pStyle w:val="Default"/>
              <w:jc w:val="both"/>
              <w:rPr>
                <w:color w:val="auto"/>
                <w:sz w:val="22"/>
                <w:szCs w:val="22"/>
              </w:rPr>
            </w:pPr>
          </w:p>
        </w:tc>
        <w:tc>
          <w:tcPr>
            <w:tcW w:w="4960" w:type="dxa"/>
            <w:gridSpan w:val="3"/>
            <w:shd w:val="clear" w:color="auto" w:fill="FFFFFF"/>
          </w:tcPr>
          <w:p w14:paraId="03311A6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0DCF3C2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Alin. (3) al art. 39 prevede în mod expres competența BNM de a stabili, prin actele normative emise în aplicarea legii, cerințele privind politica de remunerare a unei bănci, ținând cont inclusiv de principiile de remunerare aplicabile băncilor care beneficiază de sprijin financiar public extraordinar. </w:t>
            </w:r>
          </w:p>
          <w:p w14:paraId="6242C63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Pe de altă parte, alin. (2</w:t>
            </w:r>
            <w:r w:rsidRPr="005D6998">
              <w:rPr>
                <w:rFonts w:ascii="Times New Roman" w:hAnsi="Times New Roman"/>
                <w:vertAlign w:val="superscript"/>
              </w:rPr>
              <w:t>2</w:t>
            </w:r>
            <w:r w:rsidRPr="005D6998">
              <w:rPr>
                <w:rFonts w:ascii="Times New Roman" w:hAnsi="Times New Roman"/>
              </w:rPr>
              <w:t>) detaliază principiile aplicabile instituțiilor de credit beneficiare de sprijin financiar public extraordinar, fără însă să modifice competența BNM prevăzută la alin. (3) cerințele privind politica de remunerare.</w:t>
            </w:r>
          </w:p>
        </w:tc>
      </w:tr>
      <w:tr w:rsidR="008E7C06" w:rsidRPr="005D6998" w14:paraId="234F2A20" w14:textId="77777777" w:rsidTr="00651F58">
        <w:trPr>
          <w:gridAfter w:val="2"/>
          <w:wAfter w:w="153" w:type="dxa"/>
          <w:trHeight w:val="105"/>
        </w:trPr>
        <w:tc>
          <w:tcPr>
            <w:tcW w:w="899" w:type="dxa"/>
            <w:gridSpan w:val="3"/>
            <w:shd w:val="clear" w:color="auto" w:fill="FFFFFF"/>
          </w:tcPr>
          <w:p w14:paraId="3915C8F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3CABCB1"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r>
            <w:r w:rsidRPr="005D6998">
              <w:rPr>
                <w:rFonts w:ascii="Times New Roman" w:hAnsi="Times New Roman"/>
                <w:lang w:eastAsia="ro-MD"/>
              </w:rPr>
              <w:tab/>
              <w:t>[...]</w:t>
            </w:r>
            <w:r w:rsidRPr="005D6998">
              <w:rPr>
                <w:rFonts w:ascii="Times New Roman" w:hAnsi="Times New Roman"/>
                <w:lang w:eastAsia="ro-MD"/>
              </w:rPr>
              <w:tab/>
            </w:r>
            <w:r w:rsidRPr="005D6998">
              <w:rPr>
                <w:rFonts w:ascii="Times New Roman" w:hAnsi="Times New Roman"/>
                <w:lang w:eastAsia="ro-MD"/>
              </w:rPr>
              <w:tab/>
            </w:r>
          </w:p>
          <w:p w14:paraId="63B57E6F"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 xml:space="preserve">la alineatul (4), </w:t>
            </w:r>
          </w:p>
          <w:p w14:paraId="44C041A4"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 xml:space="preserve">textul </w:t>
            </w:r>
            <w:r w:rsidRPr="005D6998">
              <w:rPr>
                <w:rFonts w:ascii="Times New Roman" w:hAnsi="Times New Roman"/>
              </w:rPr>
              <w:t>„</w:t>
            </w:r>
            <w:r w:rsidRPr="005D6998">
              <w:rPr>
                <w:rFonts w:ascii="Times New Roman" w:hAnsi="Times New Roman"/>
                <w:lang w:eastAsia="ro-MD"/>
              </w:rPr>
              <w:t xml:space="preserve">remunerate cu cel puţin 1 milion de lei într-o perioadă de gestiune,” se substituie cu textul </w:t>
            </w:r>
            <w:r w:rsidRPr="005D6998">
              <w:rPr>
                <w:rFonts w:ascii="Times New Roman" w:hAnsi="Times New Roman"/>
              </w:rPr>
              <w:t>„</w:t>
            </w:r>
            <w:r w:rsidRPr="005D6998">
              <w:rPr>
                <w:rFonts w:ascii="Times New Roman" w:hAnsi="Times New Roman"/>
                <w:lang w:eastAsia="ro-MD"/>
              </w:rPr>
              <w:t xml:space="preserve">sunt remunerate cu echivalentul în lei moldovenești a cel puţin 1 milion de  euro într-o perioadă de gestiune, defalcate pe intervale valorice echivalente în lei moldovenești a 1 milion euro,”; </w:t>
            </w:r>
          </w:p>
          <w:p w14:paraId="1EA2F7D6"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la final se completează cu textul “Banca Națională a Moldovei comunică aceste informații Autorității Bancare Europene.”;</w:t>
            </w:r>
          </w:p>
          <w:p w14:paraId="6D0A9C9D"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p>
          <w:p w14:paraId="4B272500"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 xml:space="preserve">la alineatul (5), </w:t>
            </w:r>
          </w:p>
          <w:p w14:paraId="37C3557B"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 xml:space="preserve">după cuvintele </w:t>
            </w:r>
            <w:r w:rsidRPr="005D6998">
              <w:rPr>
                <w:rFonts w:ascii="Times New Roman" w:hAnsi="Times New Roman"/>
              </w:rPr>
              <w:t>„</w:t>
            </w:r>
            <w:r w:rsidRPr="005D6998">
              <w:rPr>
                <w:rFonts w:ascii="Times New Roman" w:hAnsi="Times New Roman"/>
                <w:lang w:eastAsia="ro-MD"/>
              </w:rPr>
              <w:t xml:space="preserve">Băncii Națioanle a Moldovei” se completează cu textul </w:t>
            </w:r>
            <w:r w:rsidRPr="005D6998">
              <w:rPr>
                <w:rFonts w:ascii="Times New Roman" w:hAnsi="Times New Roman"/>
              </w:rPr>
              <w:t xml:space="preserve">„ </w:t>
            </w:r>
            <w:r w:rsidRPr="005D6998">
              <w:rPr>
                <w:rFonts w:ascii="Times New Roman" w:hAnsi="Times New Roman"/>
                <w:lang w:eastAsia="ro-MD"/>
              </w:rPr>
              <w:t>, precum și informațiile furnizate de către instituții de credit privind diferențele de remunerație între membrii personalului de gen masculin și membrii personalului de gen feminin”;</w:t>
            </w:r>
          </w:p>
          <w:p w14:paraId="5BB31969"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 xml:space="preserve">se completează cu textul </w:t>
            </w:r>
            <w:r w:rsidRPr="005D6998">
              <w:rPr>
                <w:rFonts w:ascii="Times New Roman" w:hAnsi="Times New Roman"/>
              </w:rPr>
              <w:t>„</w:t>
            </w:r>
            <w:r w:rsidRPr="005D6998">
              <w:rPr>
                <w:rFonts w:ascii="Times New Roman" w:hAnsi="Times New Roman"/>
                <w:lang w:eastAsia="ro-MD"/>
              </w:rPr>
              <w:t>Banca Națională a Moldovei comunică aceste informații Autorității Bancare Europene”;</w:t>
            </w:r>
          </w:p>
          <w:p w14:paraId="00E2C729" w14:textId="77777777" w:rsidR="008E7C06" w:rsidRPr="005D6998" w:rsidRDefault="008E7C06" w:rsidP="00A46332">
            <w:pPr>
              <w:pStyle w:val="a7"/>
              <w:tabs>
                <w:tab w:val="left" w:pos="426"/>
              </w:tabs>
              <w:spacing w:after="0" w:line="240" w:lineRule="auto"/>
              <w:ind w:left="0"/>
              <w:jc w:val="both"/>
              <w:rPr>
                <w:rFonts w:ascii="Times New Roman" w:hAnsi="Times New Roman"/>
                <w:lang w:eastAsia="ro-MD"/>
              </w:rPr>
            </w:pPr>
            <w:r w:rsidRPr="005D6998">
              <w:rPr>
                <w:rFonts w:ascii="Times New Roman" w:hAnsi="Times New Roman"/>
                <w:lang w:eastAsia="ro-MD"/>
              </w:rPr>
              <w:tab/>
            </w:r>
            <w:r w:rsidRPr="005D6998">
              <w:rPr>
                <w:rFonts w:ascii="Times New Roman" w:hAnsi="Times New Roman"/>
                <w:lang w:eastAsia="ro-MD"/>
              </w:rPr>
              <w:tab/>
              <w:t>[...]</w:t>
            </w:r>
          </w:p>
        </w:tc>
        <w:tc>
          <w:tcPr>
            <w:tcW w:w="1418" w:type="dxa"/>
            <w:gridSpan w:val="2"/>
            <w:shd w:val="clear" w:color="auto" w:fill="FFFFFF"/>
          </w:tcPr>
          <w:p w14:paraId="16FF269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5785F9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5F94A44" w14:textId="77777777" w:rsidR="008E7C06" w:rsidRPr="005D6998" w:rsidRDefault="008E7C06" w:rsidP="00A46332">
            <w:pPr>
              <w:pStyle w:val="Default"/>
              <w:jc w:val="both"/>
              <w:rPr>
                <w:color w:val="auto"/>
                <w:sz w:val="22"/>
                <w:szCs w:val="22"/>
              </w:rPr>
            </w:pPr>
            <w:r w:rsidRPr="005D6998">
              <w:rPr>
                <w:color w:val="auto"/>
                <w:sz w:val="22"/>
                <w:szCs w:val="22"/>
              </w:rPr>
              <w:t>În dispozițiile de modificare a alin. (4) din art. 39, cuvintele „în final” se vor exclude, ca fiind inutile. Or, potrivit regulilor de tehnică legislativă, completarea unui text sau alineat, fără a specifica ordinea în care se inserează cuvintele, semnifică, conform regulii generale de tehnică legislativă, completarea textului la sfârșitul acestuia (observație valabilă în tot textul proiectului, inclusiv pentru dispozițiile care stabilesc indicarea ultimului cuvânt/îmbinări de cuvinte din dispoziție pentru a arăta completarea acesteia cu anumite cuvinte/cu un anumit text – a se vedea de ex. pct. 95, în partea ce vizează completarea art. 112 alin. (2) lit. a) și modificarea propusă la alin. (9)).</w:t>
            </w:r>
          </w:p>
          <w:p w14:paraId="47A2D949" w14:textId="77777777" w:rsidR="008E7C06" w:rsidRPr="005D6998" w:rsidRDefault="008E7C06" w:rsidP="00A46332">
            <w:pPr>
              <w:pStyle w:val="Default"/>
              <w:jc w:val="both"/>
              <w:rPr>
                <w:color w:val="auto"/>
                <w:sz w:val="22"/>
                <w:szCs w:val="22"/>
              </w:rPr>
            </w:pPr>
          </w:p>
          <w:p w14:paraId="4D76A367" w14:textId="77777777" w:rsidR="008E7C06" w:rsidRPr="005D6998" w:rsidRDefault="008E7C06" w:rsidP="00A46332">
            <w:pPr>
              <w:pStyle w:val="Default"/>
              <w:jc w:val="both"/>
              <w:rPr>
                <w:sz w:val="22"/>
                <w:szCs w:val="22"/>
              </w:rPr>
            </w:pPr>
            <w:r w:rsidRPr="005D6998">
              <w:rPr>
                <w:color w:val="auto"/>
                <w:sz w:val="22"/>
                <w:szCs w:val="22"/>
              </w:rPr>
              <w:t>În altă ordine de idei, se va analiza necesitatea expunerii integrale a alin. (4) în redacție nouă, având în vedere multiplele modificări propuse (sugestie valabilă și pentru dispoziția de modificare a alin. (5) al aceluiași articol).</w:t>
            </w:r>
          </w:p>
        </w:tc>
        <w:tc>
          <w:tcPr>
            <w:tcW w:w="4960" w:type="dxa"/>
            <w:gridSpan w:val="3"/>
            <w:shd w:val="clear" w:color="auto" w:fill="FFFFFF"/>
          </w:tcPr>
          <w:p w14:paraId="5B67971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301CEE35" w14:textId="77777777" w:rsidR="008E7C06" w:rsidRPr="005D6998" w:rsidRDefault="008E7C06" w:rsidP="00A46332">
            <w:pPr>
              <w:spacing w:after="0" w:line="240" w:lineRule="auto"/>
              <w:jc w:val="both"/>
              <w:rPr>
                <w:rFonts w:ascii="Times New Roman" w:hAnsi="Times New Roman"/>
                <w:lang w:val="pt-BR"/>
              </w:rPr>
            </w:pPr>
            <w:r w:rsidRPr="005D6998">
              <w:rPr>
                <w:rFonts w:ascii="Times New Roman" w:hAnsi="Times New Roman"/>
              </w:rPr>
              <w:t xml:space="preserve">Cuvintele </w:t>
            </w:r>
            <w:r w:rsidRPr="005D6998">
              <w:rPr>
                <w:rFonts w:ascii="Times New Roman" w:hAnsi="Times New Roman"/>
                <w:lang w:val="ro-MD"/>
              </w:rPr>
              <w:t xml:space="preserve">“la final” se exclud din pct. 33 – modificare alin. (4) a art. 39, pct. 35 – modificarea art. 41 alin. (3) lit. c), pct. 120 – modificarea art. 136 alin. </w:t>
            </w:r>
            <w:r w:rsidRPr="005D6998">
              <w:rPr>
                <w:rFonts w:ascii="Times New Roman" w:hAnsi="Times New Roman"/>
                <w:lang w:val="pt-BR"/>
              </w:rPr>
              <w:t>(1) lit. b).</w:t>
            </w:r>
          </w:p>
          <w:p w14:paraId="60EB2358" w14:textId="77777777" w:rsidR="008E7C06" w:rsidRPr="005D6998" w:rsidRDefault="008E7C06" w:rsidP="00A46332">
            <w:pPr>
              <w:spacing w:after="0" w:line="240" w:lineRule="auto"/>
              <w:jc w:val="both"/>
              <w:rPr>
                <w:rFonts w:ascii="Times New Roman" w:hAnsi="Times New Roman"/>
                <w:lang w:val="pt-BR"/>
              </w:rPr>
            </w:pPr>
          </w:p>
          <w:p w14:paraId="37B7DAB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pt-BR"/>
              </w:rPr>
              <w:t xml:space="preserve">Nu se consideră oportună expunerea integrală a alin. </w:t>
            </w:r>
            <w:r w:rsidRPr="005D6998">
              <w:rPr>
                <w:rFonts w:ascii="Times New Roman" w:hAnsi="Times New Roman"/>
                <w:lang w:val="ro-MD"/>
              </w:rPr>
              <w:t xml:space="preserve">(4) din art. 39 în redacție nouă, având în vedere natura </w:t>
            </w:r>
            <w:r w:rsidRPr="005D6998">
              <w:rPr>
                <w:rFonts w:ascii="Times New Roman" w:hAnsi="Times New Roman"/>
              </w:rPr>
              <w:t>modificărilor (nu au caracter de modificare substanțială a prevederii).</w:t>
            </w:r>
          </w:p>
        </w:tc>
      </w:tr>
      <w:tr w:rsidR="008E7C06" w:rsidRPr="005D6998" w14:paraId="03CA73EC" w14:textId="77777777" w:rsidTr="00651F58">
        <w:trPr>
          <w:gridAfter w:val="2"/>
          <w:wAfter w:w="153" w:type="dxa"/>
          <w:trHeight w:val="105"/>
        </w:trPr>
        <w:tc>
          <w:tcPr>
            <w:tcW w:w="899" w:type="dxa"/>
            <w:gridSpan w:val="3"/>
            <w:shd w:val="clear" w:color="auto" w:fill="FFFFFF"/>
          </w:tcPr>
          <w:p w14:paraId="2F0FE09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F271DCE"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35</w:t>
            </w:r>
            <w:r w:rsidRPr="005D6998">
              <w:rPr>
                <w:rFonts w:ascii="Times New Roman" w:hAnsi="Times New Roman"/>
              </w:rPr>
              <w:t xml:space="preserve">. Articolul 41, </w:t>
            </w:r>
          </w:p>
          <w:p w14:paraId="6AAF165D"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r>
            <w:r w:rsidRPr="005D6998">
              <w:rPr>
                <w:rFonts w:ascii="Times New Roman" w:hAnsi="Times New Roman"/>
              </w:rPr>
              <w:tab/>
              <w:t xml:space="preserve">alineatul (3), </w:t>
            </w:r>
            <w:r w:rsidRPr="005D6998">
              <w:rPr>
                <w:rFonts w:ascii="Times New Roman" w:hAnsi="Times New Roman"/>
              </w:rPr>
              <w:tab/>
            </w:r>
          </w:p>
          <w:p w14:paraId="59F9E645"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r w:rsidRPr="005D6998">
              <w:rPr>
                <w:rFonts w:ascii="Times New Roman" w:hAnsi="Times New Roman"/>
              </w:rPr>
              <w:tab/>
            </w:r>
            <w:r w:rsidRPr="005D6998">
              <w:rPr>
                <w:rFonts w:ascii="Times New Roman" w:hAnsi="Times New Roman"/>
              </w:rPr>
              <w:tab/>
            </w:r>
          </w:p>
          <w:p w14:paraId="6303C1E7"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literele  i</w:t>
            </w:r>
            <w:r w:rsidRPr="005D6998">
              <w:rPr>
                <w:rFonts w:ascii="Times New Roman" w:hAnsi="Times New Roman"/>
                <w:vertAlign w:val="superscript"/>
              </w:rPr>
              <w:t>1</w:t>
            </w:r>
            <w:r w:rsidRPr="005D6998">
              <w:rPr>
                <w:rFonts w:ascii="Times New Roman" w:hAnsi="Times New Roman"/>
              </w:rPr>
              <w:t>)– i</w:t>
            </w:r>
            <w:r w:rsidRPr="005D6998">
              <w:rPr>
                <w:rFonts w:ascii="Times New Roman" w:hAnsi="Times New Roman"/>
                <w:vertAlign w:val="superscript"/>
              </w:rPr>
              <w:t>3</w:t>
            </w:r>
            <w:r w:rsidRPr="005D6998">
              <w:rPr>
                <w:rFonts w:ascii="Times New Roman" w:hAnsi="Times New Roman"/>
              </w:rPr>
              <w:t>) cu următorul cuprins:</w:t>
            </w:r>
          </w:p>
          <w:p w14:paraId="223296C8"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r w:rsidRPr="005D6998">
              <w:rPr>
                <w:rFonts w:ascii="Times New Roman" w:hAnsi="Times New Roman"/>
              </w:rPr>
              <w:tab/>
            </w:r>
            <w:r w:rsidRPr="005D6998">
              <w:rPr>
                <w:rFonts w:ascii="Times New Roman" w:hAnsi="Times New Roman"/>
              </w:rPr>
              <w:tab/>
            </w:r>
          </w:p>
          <w:p w14:paraId="09CF44A9"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lastRenderedPageBreak/>
              <w:t>i</w:t>
            </w:r>
            <w:r w:rsidRPr="005D6998">
              <w:rPr>
                <w:rFonts w:ascii="Times New Roman" w:hAnsi="Times New Roman"/>
                <w:vertAlign w:val="superscript"/>
              </w:rPr>
              <w:t>3</w:t>
            </w:r>
            <w:r w:rsidRPr="005D6998">
              <w:rPr>
                <w:rFonts w:ascii="Times New Roman" w:hAnsi="Times New Roman"/>
              </w:rPr>
              <w:t>) aprobă planuri specifice și obiective cuantificabile în conformitate cu</w:t>
            </w:r>
            <w:r w:rsidRPr="005D6998" w:rsidDel="00395A58">
              <w:rPr>
                <w:rFonts w:ascii="Times New Roman" w:hAnsi="Times New Roman"/>
              </w:rPr>
              <w:t xml:space="preserve"> </w:t>
            </w:r>
            <w:r w:rsidRPr="005D6998">
              <w:rPr>
                <w:rFonts w:ascii="Times New Roman" w:hAnsi="Times New Roman"/>
              </w:rPr>
              <w:t>actele normative care se referă la contrapărțile centrale pentru a monitoriza și a aborda riscul de concentrare rezultat din expunerile faţă de contrapărţile centrale care oferă servicii de importanţă sistemică semnificativă pentru UE sau pentru unul ori mai multe dintre statele membre;”;</w:t>
            </w:r>
          </w:p>
          <w:p w14:paraId="6F89BE3D" w14:textId="77777777" w:rsidR="008E7C06" w:rsidRPr="005D6998" w:rsidRDefault="008E7C06" w:rsidP="00A46332">
            <w:pPr>
              <w:pStyle w:val="a7"/>
              <w:tabs>
                <w:tab w:val="left" w:pos="426"/>
              </w:tabs>
              <w:spacing w:after="0" w:line="240" w:lineRule="auto"/>
              <w:jc w:val="both"/>
              <w:rPr>
                <w:rFonts w:ascii="Times New Roman" w:hAnsi="Times New Roman"/>
              </w:rPr>
            </w:pPr>
            <w:r w:rsidRPr="005D6998">
              <w:rPr>
                <w:rFonts w:ascii="Times New Roman" w:hAnsi="Times New Roman"/>
              </w:rPr>
              <w:tab/>
            </w:r>
            <w:r w:rsidRPr="005D6998">
              <w:rPr>
                <w:rFonts w:ascii="Times New Roman" w:hAnsi="Times New Roman"/>
              </w:rPr>
              <w:tab/>
            </w:r>
          </w:p>
          <w:p w14:paraId="125428DE"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r w:rsidRPr="005D6998">
              <w:rPr>
                <w:rFonts w:ascii="Times New Roman" w:hAnsi="Times New Roman"/>
              </w:rPr>
              <w:tab/>
            </w:r>
            <w:r w:rsidRPr="005D6998">
              <w:rPr>
                <w:rFonts w:ascii="Times New Roman" w:hAnsi="Times New Roman"/>
              </w:rPr>
              <w:tab/>
              <w:t>se completează cu alineatul (8) cu următorul cuprins;</w:t>
            </w:r>
          </w:p>
          <w:p w14:paraId="41B0861E"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r>
            <w:r w:rsidRPr="005D6998">
              <w:rPr>
                <w:rFonts w:ascii="Times New Roman" w:hAnsi="Times New Roman"/>
              </w:rPr>
              <w:tab/>
              <w:t>„(8) În aplicarea alin. (3) lit. i</w:t>
            </w:r>
            <w:r w:rsidRPr="005D6998">
              <w:rPr>
                <w:rFonts w:ascii="Times New Roman" w:hAnsi="Times New Roman"/>
                <w:vertAlign w:val="superscript"/>
              </w:rPr>
              <w:t>2</w:t>
            </w:r>
            <w:r w:rsidRPr="005D6998">
              <w:rPr>
                <w:rFonts w:ascii="Times New Roman" w:hAnsi="Times New Roman"/>
              </w:rPr>
              <w:t>), ţinând cont de principiul proporţionalităţii, în cazul instituțiilor mici și de complexitate redusă, Banca Națională a Moldovei poate acorda o derogare sau o procedură simplificată cu privire la planurile specifice aferente monitorizării riscurilor de mediu, sociale și guvernanță, astfel cum este prevăzut în actele normative emise în aplicarea prezentei legi.”.</w:t>
            </w:r>
          </w:p>
        </w:tc>
        <w:tc>
          <w:tcPr>
            <w:tcW w:w="1418" w:type="dxa"/>
            <w:gridSpan w:val="2"/>
            <w:shd w:val="clear" w:color="auto" w:fill="FFFFFF"/>
          </w:tcPr>
          <w:p w14:paraId="2C1612F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5E1DD40"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4F1CC73" w14:textId="77777777" w:rsidR="008E7C06" w:rsidRPr="005D6998" w:rsidRDefault="008E7C06" w:rsidP="00A46332">
            <w:pPr>
              <w:pStyle w:val="Default"/>
              <w:jc w:val="both"/>
              <w:rPr>
                <w:sz w:val="22"/>
                <w:szCs w:val="22"/>
              </w:rPr>
            </w:pPr>
            <w:r w:rsidRPr="005D6998">
              <w:rPr>
                <w:sz w:val="22"/>
                <w:szCs w:val="22"/>
              </w:rPr>
              <w:t xml:space="preserve">La pct. 35: </w:t>
            </w:r>
          </w:p>
          <w:p w14:paraId="6B3D1657" w14:textId="77777777" w:rsidR="008E7C06" w:rsidRPr="005D6998" w:rsidRDefault="008E7C06" w:rsidP="00A46332">
            <w:pPr>
              <w:pStyle w:val="Default"/>
              <w:jc w:val="both"/>
              <w:rPr>
                <w:sz w:val="22"/>
                <w:szCs w:val="22"/>
              </w:rPr>
            </w:pPr>
            <w:r w:rsidRPr="005D6998">
              <w:rPr>
                <w:sz w:val="22"/>
                <w:szCs w:val="22"/>
              </w:rPr>
              <w:t>În redacția propusă pentru art. 41 alin. (3) lit. i</w:t>
            </w:r>
            <w:r w:rsidRPr="005D6998">
              <w:rPr>
                <w:sz w:val="22"/>
                <w:szCs w:val="22"/>
                <w:vertAlign w:val="superscript"/>
              </w:rPr>
              <w:t>3</w:t>
            </w:r>
            <w:r w:rsidRPr="005D6998">
              <w:rPr>
                <w:sz w:val="22"/>
                <w:szCs w:val="22"/>
              </w:rPr>
              <w:t xml:space="preserve">), cu referire la formularea „în conformitate cu actele normative care se referă la contrapărțile centrale” se va indica </w:t>
            </w:r>
            <w:r w:rsidRPr="005D6998">
              <w:rPr>
                <w:sz w:val="22"/>
                <w:szCs w:val="22"/>
              </w:rPr>
              <w:lastRenderedPageBreak/>
              <w:t>autoritatea emitentă a actului normativ și obiectul de reglementare concret al acestuia.</w:t>
            </w:r>
          </w:p>
          <w:p w14:paraId="218EFB26" w14:textId="77777777" w:rsidR="008E7C06" w:rsidRPr="005D6998" w:rsidRDefault="008E7C06" w:rsidP="00A46332">
            <w:pPr>
              <w:pStyle w:val="Default"/>
              <w:jc w:val="both"/>
              <w:rPr>
                <w:sz w:val="22"/>
                <w:szCs w:val="22"/>
              </w:rPr>
            </w:pPr>
            <w:r w:rsidRPr="005D6998">
              <w:rPr>
                <w:sz w:val="22"/>
                <w:szCs w:val="22"/>
              </w:rPr>
              <w:t xml:space="preserve"> </w:t>
            </w:r>
          </w:p>
          <w:p w14:paraId="054597E2" w14:textId="77777777" w:rsidR="008E7C06" w:rsidRPr="005D6998" w:rsidRDefault="008E7C06" w:rsidP="00A46332">
            <w:pPr>
              <w:pStyle w:val="Default"/>
              <w:jc w:val="both"/>
              <w:rPr>
                <w:sz w:val="22"/>
                <w:szCs w:val="22"/>
              </w:rPr>
            </w:pPr>
            <w:r w:rsidRPr="005D6998">
              <w:rPr>
                <w:sz w:val="22"/>
                <w:szCs w:val="22"/>
              </w:rPr>
              <w:t>Redacția prevăzută în alin. (8) al art. 41 recomandăm a fi expusă imediat după alin. (3), prin completarea art. 41 cu alin. (3</w:t>
            </w:r>
            <w:r w:rsidRPr="005D6998">
              <w:rPr>
                <w:sz w:val="22"/>
                <w:szCs w:val="22"/>
                <w:vertAlign w:val="superscript"/>
              </w:rPr>
              <w:t>1</w:t>
            </w:r>
            <w:r w:rsidRPr="005D6998">
              <w:rPr>
                <w:sz w:val="22"/>
                <w:szCs w:val="22"/>
              </w:rPr>
              <w:t>), întru asigurarea expunerii în succesiune logică a reglementărilor.</w:t>
            </w:r>
          </w:p>
        </w:tc>
        <w:tc>
          <w:tcPr>
            <w:tcW w:w="4960" w:type="dxa"/>
            <w:gridSpan w:val="3"/>
            <w:shd w:val="clear" w:color="auto" w:fill="FFFFFF"/>
          </w:tcPr>
          <w:p w14:paraId="59E0599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0EDAFC2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Norma propusă transpune art. 76 alin. (2) teza a doua din Directiva 2013/36/UE, care face trimitere la Regulamentul (UE) nr. 648/2012 în ceea ce privește contrapărțile centrale.</w:t>
            </w:r>
          </w:p>
          <w:p w14:paraId="02086AB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 xml:space="preserve">La momentul actual, proiectul de lege care aliniază legislația națională cu Regulamentul (UE) nr. 648/2012 privind instrumentele financiare derivate extrabursiere, contrapărțile centrale și registrele centrale de tranzacții nu este definitivat, respectiv, se face o referință generală care să permită identificarea ulterioară a actului normativ avut în vedere, în cadrul căruia se va defini termenul de „contraparte centrală”. </w:t>
            </w:r>
          </w:p>
          <w:p w14:paraId="17F3B73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Pentru claritate, se redactează textul “actele normative care se referă la contrapărțile centrale” după cum urmează: “legislația privind instrumentele financiare derivate extrabursiere, contrapărțile centrale și registrele centrale de tranzacții”.</w:t>
            </w:r>
          </w:p>
          <w:p w14:paraId="7BC7A72B" w14:textId="77777777" w:rsidR="008E7C06" w:rsidRPr="005D6998" w:rsidRDefault="008E7C06" w:rsidP="00A46332">
            <w:pPr>
              <w:spacing w:after="0" w:line="240" w:lineRule="auto"/>
              <w:jc w:val="both"/>
              <w:rPr>
                <w:rFonts w:ascii="Times New Roman" w:hAnsi="Times New Roman"/>
              </w:rPr>
            </w:pPr>
          </w:p>
          <w:p w14:paraId="356521B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(8) al art. 41 a expus imediat după alin. (3)  - alin. (3</w:t>
            </w:r>
            <w:r w:rsidRPr="005D6998">
              <w:rPr>
                <w:rFonts w:ascii="Times New Roman" w:hAnsi="Times New Roman"/>
                <w:vertAlign w:val="superscript"/>
              </w:rPr>
              <w:t>1</w:t>
            </w:r>
            <w:r w:rsidRPr="005D6998">
              <w:rPr>
                <w:rFonts w:ascii="Times New Roman" w:hAnsi="Times New Roman"/>
              </w:rPr>
              <w:t>) cu aceeași redacție.</w:t>
            </w:r>
          </w:p>
        </w:tc>
      </w:tr>
      <w:tr w:rsidR="008E7C06" w:rsidRPr="005D6998" w14:paraId="25C75724" w14:textId="77777777" w:rsidTr="00651F58">
        <w:trPr>
          <w:gridAfter w:val="2"/>
          <w:wAfter w:w="153" w:type="dxa"/>
          <w:trHeight w:val="105"/>
        </w:trPr>
        <w:tc>
          <w:tcPr>
            <w:tcW w:w="899" w:type="dxa"/>
            <w:gridSpan w:val="3"/>
            <w:shd w:val="clear" w:color="auto" w:fill="FFFFFF"/>
          </w:tcPr>
          <w:p w14:paraId="08CDD870"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BF500E6"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37</w:t>
            </w:r>
            <w:r w:rsidRPr="005D6998">
              <w:rPr>
                <w:rFonts w:ascii="Times New Roman" w:hAnsi="Times New Roman"/>
              </w:rPr>
              <w:t>. Articolul 43 va avea următorul cuprins:</w:t>
            </w:r>
          </w:p>
          <w:p w14:paraId="61306AF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 </w:t>
            </w:r>
            <w:r w:rsidRPr="005D6998">
              <w:rPr>
                <w:rFonts w:ascii="Times New Roman" w:hAnsi="Times New Roman"/>
              </w:rPr>
              <w:tab/>
              <w:t>„</w:t>
            </w:r>
            <w:r w:rsidRPr="005D6998">
              <w:rPr>
                <w:rFonts w:ascii="Times New Roman" w:hAnsi="Times New Roman"/>
                <w:b/>
                <w:bCs/>
              </w:rPr>
              <w:t>Articolul 43.</w:t>
            </w:r>
            <w:r w:rsidRPr="005D6998">
              <w:rPr>
                <w:rFonts w:ascii="Times New Roman" w:hAnsi="Times New Roman"/>
              </w:rPr>
              <w:t xml:space="preserve"> Membrii organului de conducere, conducerea superioară și evaluarea adecvării</w:t>
            </w:r>
          </w:p>
          <w:p w14:paraId="19839544" w14:textId="77777777" w:rsidR="008E7C06" w:rsidRPr="005D6998" w:rsidRDefault="008E7C06" w:rsidP="00A46332">
            <w:pPr>
              <w:spacing w:after="0" w:line="240" w:lineRule="auto"/>
              <w:ind w:firstLine="708"/>
              <w:jc w:val="both"/>
              <w:rPr>
                <w:rFonts w:ascii="Times New Roman" w:hAnsi="Times New Roman"/>
                <w:i/>
              </w:rPr>
            </w:pPr>
            <w:r w:rsidRPr="005D6998">
              <w:rPr>
                <w:rFonts w:ascii="Times New Roman" w:hAnsi="Times New Roman"/>
              </w:rPr>
              <w:t>(1) Instituțiile de credit și societățile financiare holding și societățile financiare holding mixte cărora li s-a acordat aprobarea în conformitate cu art. 116</w:t>
            </w:r>
            <w:r w:rsidRPr="005D6998">
              <w:rPr>
                <w:rFonts w:ascii="Times New Roman" w:hAnsi="Times New Roman"/>
                <w:vertAlign w:val="superscript"/>
              </w:rPr>
              <w:t>1</w:t>
            </w:r>
            <w:r w:rsidRPr="005D6998">
              <w:rPr>
                <w:rFonts w:ascii="Times New Roman" w:hAnsi="Times New Roman"/>
              </w:rPr>
              <w:t xml:space="preserve"> alin. (1) și (2), (denumite în continuare “entitățile”) au responsabilitatea principală de a se asigura că membrii organului de </w:t>
            </w:r>
            <w:r w:rsidRPr="005D6998">
              <w:rPr>
                <w:rFonts w:ascii="Times New Roman" w:hAnsi="Times New Roman"/>
              </w:rPr>
              <w:lastRenderedPageBreak/>
              <w:t xml:space="preserve">conducere sau persoanele care reprezintă </w:t>
            </w:r>
            <w:r w:rsidRPr="005D6998">
              <w:rPr>
                <w:rFonts w:ascii="Times New Roman" w:hAnsi="Times New Roman"/>
                <w:lang w:eastAsia="ro-MD"/>
              </w:rPr>
              <w:t>conducerea superioară</w:t>
            </w:r>
            <w:r w:rsidRPr="005D6998">
              <w:rPr>
                <w:rFonts w:ascii="Times New Roman" w:hAnsi="Times New Roman"/>
              </w:rPr>
              <w:t xml:space="preserve"> dispun, în orice moment de o reputație suficient de bună, acționează cu onestitate, integritate și pe baza unei gândiri independente, posedă suficiente cunoștințe, aptitudini și experiență pentru a-și exercita atribuțiile și îndeplinesc criteriile și cerințele prevăzute la art. 43</w:t>
            </w:r>
            <w:r w:rsidRPr="005D6998">
              <w:rPr>
                <w:rFonts w:ascii="Times New Roman" w:hAnsi="Times New Roman"/>
                <w:vertAlign w:val="superscript"/>
              </w:rPr>
              <w:t>1</w:t>
            </w:r>
            <w:r w:rsidRPr="005D6998">
              <w:rPr>
                <w:rFonts w:ascii="Times New Roman" w:hAnsi="Times New Roman"/>
              </w:rPr>
              <w:t>, cu excepția administratorilor temporari numiți de Banca Națională a Moldovei în temeiul art. 46 din Legea nr. 232/2016 privind redresarea și rezoluția instituțiilor de credit și a administratorilor speciali numiți de Banca Națională a Moldovei în temeiul art. 66 din legea menționată. Absența unei condamnări penale sau a unei urmăriri penale în curs pentru o infracțiune nu este suficientă în sine pentru a îndeplini cerința de a avea o bună reputație și de a acționa cu onestitate și integritate.</w:t>
            </w:r>
            <w:r w:rsidRPr="005D6998">
              <w:rPr>
                <w:rFonts w:ascii="Times New Roman" w:hAnsi="Times New Roman"/>
                <w:i/>
                <w:iCs/>
              </w:rPr>
              <w:t xml:space="preserve"> </w:t>
            </w:r>
          </w:p>
          <w:p w14:paraId="680212E3" w14:textId="77777777" w:rsidR="008E7C06" w:rsidRPr="005D6998" w:rsidRDefault="008E7C06" w:rsidP="00A46332">
            <w:pPr>
              <w:tabs>
                <w:tab w:val="left" w:pos="426"/>
              </w:tabs>
              <w:spacing w:after="0" w:line="240" w:lineRule="auto"/>
              <w:jc w:val="both"/>
              <w:rPr>
                <w:rFonts w:ascii="Times New Roman" w:hAnsi="Times New Roman"/>
                <w:b/>
                <w:bCs/>
              </w:rPr>
            </w:pPr>
          </w:p>
        </w:tc>
        <w:tc>
          <w:tcPr>
            <w:tcW w:w="1418" w:type="dxa"/>
            <w:gridSpan w:val="2"/>
            <w:shd w:val="clear" w:color="auto" w:fill="FFFFFF"/>
          </w:tcPr>
          <w:p w14:paraId="329B8FB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4E545FC"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ABA9A9B" w14:textId="77777777" w:rsidR="008E7C06" w:rsidRPr="005D6998" w:rsidRDefault="008E7C06" w:rsidP="00A46332">
            <w:pPr>
              <w:pStyle w:val="Default"/>
              <w:jc w:val="both"/>
              <w:rPr>
                <w:sz w:val="22"/>
                <w:szCs w:val="22"/>
              </w:rPr>
            </w:pPr>
            <w:r w:rsidRPr="005D6998">
              <w:rPr>
                <w:sz w:val="22"/>
                <w:szCs w:val="22"/>
              </w:rPr>
              <w:t xml:space="preserve">La pct. 37: </w:t>
            </w:r>
          </w:p>
          <w:p w14:paraId="23C9FFC8" w14:textId="77777777" w:rsidR="008E7C06" w:rsidRPr="005D6998" w:rsidRDefault="008E7C06" w:rsidP="00A46332">
            <w:pPr>
              <w:pStyle w:val="Default"/>
              <w:jc w:val="both"/>
              <w:rPr>
                <w:sz w:val="22"/>
                <w:szCs w:val="22"/>
              </w:rPr>
            </w:pPr>
            <w:r w:rsidRPr="005D6998">
              <w:rPr>
                <w:sz w:val="22"/>
                <w:szCs w:val="22"/>
              </w:rPr>
              <w:t>Din redacția propusă pentru art. 43 alin. (1) se va analiza suplimentar identificarea prescurtării „(denumite în continuare „entitățile”)”, și utilizarea acesteia în continuare atunci când se face referire la „instituțiile de credit și societățile financiare holding și societățile financiare holding mixte cărora li s-a acordat aprobarea în conformitate cu art. 116</w:t>
            </w:r>
            <w:r w:rsidRPr="005D6998">
              <w:rPr>
                <w:sz w:val="22"/>
                <w:szCs w:val="22"/>
                <w:vertAlign w:val="superscript"/>
              </w:rPr>
              <w:t>1</w:t>
            </w:r>
            <w:r w:rsidRPr="005D6998">
              <w:rPr>
                <w:sz w:val="22"/>
                <w:szCs w:val="22"/>
              </w:rPr>
              <w:t xml:space="preserve"> alin. (1) și (2)”. Or, acest termen este mult prea generic, iar în textul Legii nr. 202/2017 poate avea mai multe conotații decât cele identificate în art. </w:t>
            </w:r>
            <w:r w:rsidRPr="005D6998">
              <w:rPr>
                <w:sz w:val="22"/>
                <w:szCs w:val="22"/>
              </w:rPr>
              <w:lastRenderedPageBreak/>
              <w:t xml:space="preserve">43 alin. (1). Astfel, pentru a nu crea confuzii în interpretare, se recomandă excluderea acestei prescurtări și utilizarea pe parcursul textului proiectului de lege cu termenii deplini. </w:t>
            </w:r>
          </w:p>
          <w:p w14:paraId="17665C79" w14:textId="77777777" w:rsidR="008E7C06" w:rsidRPr="005D6998" w:rsidRDefault="008E7C06" w:rsidP="00A46332">
            <w:pPr>
              <w:pStyle w:val="Default"/>
              <w:jc w:val="both"/>
              <w:rPr>
                <w:sz w:val="22"/>
                <w:szCs w:val="22"/>
              </w:rPr>
            </w:pPr>
          </w:p>
        </w:tc>
        <w:tc>
          <w:tcPr>
            <w:tcW w:w="4960" w:type="dxa"/>
            <w:gridSpan w:val="3"/>
            <w:shd w:val="clear" w:color="auto" w:fill="FFFFFF"/>
          </w:tcPr>
          <w:p w14:paraId="4CF6460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Nu se acceptă.</w:t>
            </w:r>
          </w:p>
          <w:p w14:paraId="1EE8691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Utilizarea termenului „entitățile” este justificată de necesitatea evitării repetării unei sintagme extinse, acesta fiind definit expres în alin. (1) prin indicarea exhaustivă a subiecților vizați. </w:t>
            </w:r>
          </w:p>
          <w:p w14:paraId="55151B5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Totodată, norma prevăzută la art. 43 alin. (1) transpune art. 91 alin. (1) din Directiva 2013/36/UE, astfel cum a fost modificată prin CRD VI, iar utilizarea unei denumiri abreviate contribuie la asigurarea clarității și conciziei textului.</w:t>
            </w:r>
          </w:p>
        </w:tc>
      </w:tr>
      <w:tr w:rsidR="008E7C06" w:rsidRPr="005D6998" w14:paraId="579C9CDE" w14:textId="77777777" w:rsidTr="00651F58">
        <w:trPr>
          <w:gridAfter w:val="2"/>
          <w:wAfter w:w="153" w:type="dxa"/>
          <w:trHeight w:val="105"/>
        </w:trPr>
        <w:tc>
          <w:tcPr>
            <w:tcW w:w="899" w:type="dxa"/>
            <w:gridSpan w:val="3"/>
            <w:shd w:val="clear" w:color="auto" w:fill="FFFFFF"/>
          </w:tcPr>
          <w:p w14:paraId="6B66B4D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E33FE0F" w14:textId="77777777" w:rsidR="008E7C06" w:rsidRPr="005D6998" w:rsidRDefault="008E7C06" w:rsidP="00A46332">
            <w:pPr>
              <w:spacing w:after="0" w:line="240" w:lineRule="auto"/>
              <w:jc w:val="both"/>
              <w:rPr>
                <w:rFonts w:ascii="Times New Roman" w:hAnsi="Times New Roman"/>
                <w:i/>
              </w:rPr>
            </w:pPr>
            <w:r w:rsidRPr="005D6998">
              <w:rPr>
                <w:rFonts w:ascii="Times New Roman" w:hAnsi="Times New Roman"/>
              </w:rPr>
              <w:t>[...]</w:t>
            </w:r>
            <w:r w:rsidRPr="005D6998" w:rsidDel="00433E73">
              <w:rPr>
                <w:rFonts w:ascii="Times New Roman" w:hAnsi="Times New Roman"/>
              </w:rPr>
              <w:t xml:space="preserve"> </w:t>
            </w:r>
            <w:r w:rsidRPr="005D6998">
              <w:rPr>
                <w:rFonts w:ascii="Times New Roman" w:hAnsi="Times New Roman"/>
              </w:rPr>
              <w:t>(5) Fiecare dintre persoanele prevăzute la alin. (1), precum și persoanele menționate la alin. (7) trebuie să fie aprobate de Banca Naţională a Moldovei înainte de începerea exercitării responsabilităţilor sau, după numirea în funcţie, Banca Naţională a Moldovei să fie notificată conform art. 119 alin. (2), în condițiile stabilite de actele normative emise în aplicarea prezentei legi.</w:t>
            </w:r>
            <w:r w:rsidRPr="005D6998">
              <w:rPr>
                <w:rFonts w:ascii="Times New Roman" w:hAnsi="Times New Roman"/>
                <w:b/>
                <w:bCs/>
              </w:rPr>
              <w:t xml:space="preserve"> </w:t>
            </w:r>
            <w:r w:rsidRPr="005D6998">
              <w:rPr>
                <w:rFonts w:ascii="Times New Roman" w:hAnsi="Times New Roman"/>
              </w:rPr>
              <w:t xml:space="preserve">Termenul de finalizare a procedurii de soluţionare a cererii de aprobare a persoanelor </w:t>
            </w:r>
            <w:r w:rsidRPr="005D6998">
              <w:rPr>
                <w:rFonts w:ascii="Times New Roman" w:hAnsi="Times New Roman"/>
              </w:rPr>
              <w:lastRenderedPageBreak/>
              <w:t>prevăzute la alin. (1) este de 45 de zile lucrătoare, calculat de la data depunerii cererii respective însoţite de toate documentele care trebuie prezentate Băncii Naţionale a Moldovei. Dacă este necesară o examinare suplimentară sau este nevoie de mai mult timp pentru prelucrarea informaţiilor şi documentelor, termenul prevăzut de prezentul alineat poate fi prelungit cu cel mult 30 de zile lucrătoare, cu notificarea entității, Banca Naţională a Moldovei va urmări în permanenţă respectarea de către persoanele prevăzute la alin. (1) a condiţiilor de aprobare.</w:t>
            </w:r>
            <w:r w:rsidRPr="005D6998">
              <w:rPr>
                <w:rFonts w:ascii="Times New Roman" w:hAnsi="Times New Roman"/>
                <w:b/>
                <w:bCs/>
              </w:rPr>
              <w:t xml:space="preserve"> </w:t>
            </w:r>
          </w:p>
          <w:p w14:paraId="0BA66596" w14:textId="77777777" w:rsidR="008E7C06" w:rsidRPr="005D6998" w:rsidRDefault="008E7C06" w:rsidP="00A46332">
            <w:pPr>
              <w:spacing w:after="0" w:line="240" w:lineRule="auto"/>
              <w:jc w:val="both"/>
              <w:rPr>
                <w:rFonts w:ascii="Times New Roman" w:hAnsi="Times New Roman"/>
              </w:rPr>
            </w:pPr>
          </w:p>
        </w:tc>
        <w:tc>
          <w:tcPr>
            <w:tcW w:w="1418" w:type="dxa"/>
            <w:gridSpan w:val="2"/>
            <w:shd w:val="clear" w:color="auto" w:fill="FFFFFF"/>
          </w:tcPr>
          <w:p w14:paraId="0993E0B2"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91FBECB"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1E73914" w14:textId="77777777" w:rsidR="008E7C06" w:rsidRPr="005D6998" w:rsidRDefault="008E7C06" w:rsidP="00A46332">
            <w:pPr>
              <w:pStyle w:val="Default"/>
              <w:jc w:val="both"/>
              <w:rPr>
                <w:sz w:val="22"/>
                <w:szCs w:val="22"/>
              </w:rPr>
            </w:pPr>
            <w:r w:rsidRPr="005D6998">
              <w:rPr>
                <w:sz w:val="22"/>
                <w:szCs w:val="22"/>
              </w:rPr>
              <w:t xml:space="preserve">Din redacția propusă pentru art. 43 alin. (5), textul „Banca Națională a Moldovei va urmări în permanență respectarea de către persoanele prevăzute la alin. (1) a condițiilor de aprobare” se va expune într-un enunț distinct. </w:t>
            </w:r>
          </w:p>
          <w:p w14:paraId="3E858B1C" w14:textId="77777777" w:rsidR="008E7C06" w:rsidRPr="005D6998" w:rsidRDefault="008E7C06" w:rsidP="00A46332">
            <w:pPr>
              <w:pStyle w:val="Default"/>
              <w:jc w:val="both"/>
              <w:rPr>
                <w:sz w:val="22"/>
                <w:szCs w:val="22"/>
              </w:rPr>
            </w:pPr>
          </w:p>
          <w:p w14:paraId="243678A8" w14:textId="77777777" w:rsidR="008E7C06" w:rsidRPr="005D6998" w:rsidRDefault="008E7C06" w:rsidP="00A46332">
            <w:pPr>
              <w:pStyle w:val="Default"/>
              <w:jc w:val="both"/>
              <w:rPr>
                <w:sz w:val="22"/>
                <w:szCs w:val="22"/>
              </w:rPr>
            </w:pPr>
            <w:r w:rsidRPr="005D6998">
              <w:rPr>
                <w:sz w:val="22"/>
                <w:szCs w:val="22"/>
              </w:rPr>
              <w:t xml:space="preserve">Totodată, sintagma „va urmări în permanență” se recomandă a fi detaliată, în vederea stabilirii mecanismului de verificare a persoanelor prevăzute la alin. (1) și periodicitatea verificării. Or, cuvintele „în permanență” ar putea însemna verificarea </w:t>
            </w:r>
            <w:r w:rsidRPr="005D6998">
              <w:rPr>
                <w:sz w:val="22"/>
                <w:szCs w:val="22"/>
              </w:rPr>
              <w:lastRenderedPageBreak/>
              <w:t>cel puțin în fiecare zi a condițiilor de aprobare de către persoanele prevăzute la alin. (1), ceea ce se consideră a fi inutil și excesiv (observație valabilă și pentru pct. 40, cu referire la redacția art. 44</w:t>
            </w:r>
            <w:r w:rsidRPr="005D6998">
              <w:rPr>
                <w:sz w:val="22"/>
                <w:szCs w:val="22"/>
                <w:vertAlign w:val="superscript"/>
              </w:rPr>
              <w:t>1</w:t>
            </w:r>
            <w:r w:rsidRPr="005D6998">
              <w:rPr>
                <w:sz w:val="22"/>
                <w:szCs w:val="22"/>
              </w:rPr>
              <w:t xml:space="preserve"> alin. (7)). </w:t>
            </w:r>
          </w:p>
          <w:p w14:paraId="58BF8372" w14:textId="77777777" w:rsidR="008E7C06" w:rsidRPr="005D6998" w:rsidRDefault="008E7C06" w:rsidP="00A46332">
            <w:pPr>
              <w:pStyle w:val="Default"/>
              <w:jc w:val="both"/>
              <w:rPr>
                <w:sz w:val="22"/>
                <w:szCs w:val="22"/>
              </w:rPr>
            </w:pPr>
          </w:p>
        </w:tc>
        <w:tc>
          <w:tcPr>
            <w:tcW w:w="4960" w:type="dxa"/>
            <w:gridSpan w:val="3"/>
            <w:shd w:val="clear" w:color="auto" w:fill="FFFFFF"/>
          </w:tcPr>
          <w:p w14:paraId="4622920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374888FB" w14:textId="77777777" w:rsidR="008E7C06" w:rsidRPr="005D6998" w:rsidRDefault="008E7C06" w:rsidP="00A46332">
            <w:pPr>
              <w:pStyle w:val="Default"/>
              <w:jc w:val="both"/>
              <w:rPr>
                <w:sz w:val="22"/>
                <w:szCs w:val="22"/>
              </w:rPr>
            </w:pPr>
            <w:r w:rsidRPr="005D6998">
              <w:rPr>
                <w:sz w:val="22"/>
                <w:szCs w:val="22"/>
              </w:rPr>
              <w:t xml:space="preserve">Textul „Banca Națională a Moldovei va urmări în permanență respectarea de către persoanele prevăzute la alin. (1) a condițiilor de aprobare” se expune într-un enunț distinct. </w:t>
            </w:r>
          </w:p>
          <w:p w14:paraId="74BBE3BD" w14:textId="77777777" w:rsidR="008E7C06" w:rsidRPr="005D6998" w:rsidRDefault="008E7C06" w:rsidP="00A46332">
            <w:pPr>
              <w:pStyle w:val="Default"/>
              <w:jc w:val="both"/>
              <w:rPr>
                <w:sz w:val="22"/>
                <w:szCs w:val="22"/>
              </w:rPr>
            </w:pPr>
          </w:p>
          <w:p w14:paraId="671CD2B4" w14:textId="77777777" w:rsidR="008E7C06" w:rsidRPr="005D6998" w:rsidRDefault="008E7C06" w:rsidP="00A46332">
            <w:pPr>
              <w:pStyle w:val="Default"/>
              <w:jc w:val="both"/>
              <w:rPr>
                <w:sz w:val="22"/>
                <w:szCs w:val="22"/>
                <w:lang w:val="ro-RO"/>
              </w:rPr>
            </w:pPr>
            <w:r w:rsidRPr="005D6998">
              <w:rPr>
                <w:sz w:val="22"/>
                <w:szCs w:val="22"/>
                <w:lang w:val="ro-RO"/>
              </w:rPr>
              <w:t>Sintagma „va urmări în permanență” transpune cerința prevăzută de art. 91 din Directiva 2013/36/UE, astfel cum a fost modificată prin CRD VI dar și în versiunea anterioară a acestia, și exprimă caracterul continuu al obligației de monitorizare a respectării condițiilor de aprobare („în orice moment</w:t>
            </w:r>
            <w:r w:rsidRPr="005D6998">
              <w:rPr>
                <w:sz w:val="22"/>
                <w:szCs w:val="22"/>
              </w:rPr>
              <w:t>”</w:t>
            </w:r>
            <w:r w:rsidRPr="005D6998">
              <w:rPr>
                <w:sz w:val="22"/>
                <w:szCs w:val="22"/>
                <w:lang w:val="ro-RO"/>
              </w:rPr>
              <w:t xml:space="preserve">). </w:t>
            </w:r>
          </w:p>
          <w:p w14:paraId="57CC25C5" w14:textId="77777777" w:rsidR="008E7C06" w:rsidRPr="005D6998" w:rsidRDefault="008E7C06" w:rsidP="00A46332">
            <w:pPr>
              <w:pStyle w:val="Default"/>
              <w:jc w:val="both"/>
              <w:rPr>
                <w:sz w:val="22"/>
                <w:szCs w:val="22"/>
              </w:rPr>
            </w:pPr>
            <w:r w:rsidRPr="005D6998">
              <w:rPr>
                <w:sz w:val="22"/>
                <w:szCs w:val="22"/>
                <w:lang w:val="ro-RO"/>
              </w:rPr>
              <w:lastRenderedPageBreak/>
              <w:t>Se menționează că, utilizarea sintagmei „în permanență” este deja proprie cadrului normativ național, inclusiv Legii nr. 202/2017, care instituie obligația respectării continue a condițiilor aplicabile. Prin urmare, aceasta nu presupune efectuarea unei verificări zilnice, ci exercitarea continuă a funcției de monitorizare în cadrul activității de supraveghere desfășurate de BNM.</w:t>
            </w:r>
          </w:p>
          <w:p w14:paraId="4DD1E35D" w14:textId="77777777" w:rsidR="008E7C06" w:rsidRPr="005D6998" w:rsidRDefault="008E7C06" w:rsidP="00A46332">
            <w:pPr>
              <w:pStyle w:val="Default"/>
              <w:jc w:val="both"/>
              <w:rPr>
                <w:sz w:val="22"/>
                <w:szCs w:val="22"/>
              </w:rPr>
            </w:pPr>
          </w:p>
          <w:p w14:paraId="080C36BD" w14:textId="77777777" w:rsidR="008E7C06" w:rsidRPr="005D6998" w:rsidRDefault="008E7C06" w:rsidP="00A46332">
            <w:pPr>
              <w:spacing w:after="0" w:line="240" w:lineRule="auto"/>
              <w:jc w:val="both"/>
              <w:rPr>
                <w:rFonts w:ascii="Times New Roman" w:hAnsi="Times New Roman"/>
                <w:b/>
                <w:bCs/>
                <w:lang w:val="ro-MD"/>
              </w:rPr>
            </w:pPr>
          </w:p>
        </w:tc>
      </w:tr>
      <w:tr w:rsidR="008E7C06" w:rsidRPr="005D6998" w14:paraId="45D6D3EF" w14:textId="77777777" w:rsidTr="00651F58">
        <w:trPr>
          <w:gridAfter w:val="2"/>
          <w:wAfter w:w="153" w:type="dxa"/>
          <w:trHeight w:val="105"/>
        </w:trPr>
        <w:tc>
          <w:tcPr>
            <w:tcW w:w="899" w:type="dxa"/>
            <w:gridSpan w:val="3"/>
            <w:shd w:val="clear" w:color="auto" w:fill="FFFFFF"/>
          </w:tcPr>
          <w:p w14:paraId="2E3AD0E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16E23F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i/>
              </w:rPr>
              <w:t>[...]</w:t>
            </w:r>
            <w:r w:rsidRPr="005D6998" w:rsidDel="00433E73">
              <w:rPr>
                <w:rFonts w:ascii="Times New Roman" w:hAnsi="Times New Roman"/>
                <w:i/>
              </w:rPr>
              <w:t xml:space="preserve"> </w:t>
            </w:r>
          </w:p>
          <w:p w14:paraId="1966649E"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(7) În cazul în care următoarele entități au intenția clară de a numi un membru al organului executiv ori o funcţie executivă similară sau președintele Consiliului ori o funcție neexecutivă similară trebuie să solicite aprobarea prealabilă a Băncii Naționale a Moldovei sau, după caz, să notifice Banca Națională a Moldovei conform art. 119 alin. (2), în condițiile prevăzute de actele normative ale Băncii Naționale a Moldovei, cel târziu cu 90 de zile lucrătoare înainte ca membrii potențiali să preia funcția:</w:t>
            </w:r>
          </w:p>
          <w:p w14:paraId="082EC97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a) instituțiile de credit - mamă din UE care se califică drept instituții mari; </w:t>
            </w:r>
          </w:p>
          <w:p w14:paraId="05F4437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b) instituțiile de credit - mamă dintr-un stat membru care se califică drept instituții mari, cu excepția </w:t>
            </w:r>
            <w:r w:rsidRPr="005D6998">
              <w:rPr>
                <w:rFonts w:ascii="Times New Roman" w:hAnsi="Times New Roman"/>
              </w:rPr>
              <w:lastRenderedPageBreak/>
              <w:t xml:space="preserve">cazului în care sunt afiliate unui organism central; </w:t>
            </w:r>
          </w:p>
          <w:p w14:paraId="06CDB0AF"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c) organismele centrale care se califică drept instituții mari sau care supraveghează instituții mari afiliate lor; </w:t>
            </w:r>
          </w:p>
          <w:p w14:paraId="1BFFEBBD"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d) instituțiile de credit de sine stătătoare din UE care se califică drept instituții mari; </w:t>
            </w:r>
          </w:p>
          <w:p w14:paraId="4403740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e) filialele mari;</w:t>
            </w:r>
          </w:p>
          <w:p w14:paraId="5387C7A6"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f) societățile financiare holding-mamă dintr-un stat membru, societățile financiare holding mixte mamă dintr-un stat membru, societățile financiare holding-mamă din UE și societățile financiare holding mixte mamă din UE care au instituții mari în cadrul grupului lor, cu excepția celor care intră sub incidența art. 116</w:t>
            </w:r>
            <w:r w:rsidRPr="005D6998">
              <w:rPr>
                <w:rFonts w:ascii="Times New Roman" w:hAnsi="Times New Roman"/>
                <w:vertAlign w:val="superscript"/>
              </w:rPr>
              <w:t>1</w:t>
            </w:r>
            <w:r w:rsidRPr="005D6998">
              <w:rPr>
                <w:rFonts w:ascii="Times New Roman" w:hAnsi="Times New Roman"/>
              </w:rPr>
              <w:t xml:space="preserve"> alin. (7). </w:t>
            </w:r>
          </w:p>
        </w:tc>
        <w:tc>
          <w:tcPr>
            <w:tcW w:w="1418" w:type="dxa"/>
            <w:gridSpan w:val="2"/>
            <w:shd w:val="clear" w:color="auto" w:fill="FFFFFF"/>
          </w:tcPr>
          <w:p w14:paraId="1B031C99"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16CE5A2"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9B25FB4" w14:textId="77777777" w:rsidR="008E7C06" w:rsidRPr="005D6998" w:rsidRDefault="008E7C06" w:rsidP="00A46332">
            <w:pPr>
              <w:pStyle w:val="Default"/>
              <w:jc w:val="both"/>
              <w:rPr>
                <w:sz w:val="22"/>
                <w:szCs w:val="22"/>
              </w:rPr>
            </w:pPr>
            <w:r w:rsidRPr="005D6998">
              <w:rPr>
                <w:sz w:val="22"/>
                <w:szCs w:val="22"/>
              </w:rPr>
              <w:t xml:space="preserve">În redacția propusă pentru art. 43 alin. (7) se vor reformula cuvintele „de a numi un membru al organului executiv ori o funcție executivă similară sau președintele Consiliului ori o funcție neexecutivă similară”, întrucât nu este clar identificat cercul de persoane pentru care se va aplica norma, în partea ce vizează cuvintele „funcție executivă similară” sau cuvintele „funcție neexecutivă similară”. </w:t>
            </w:r>
          </w:p>
          <w:p w14:paraId="3B0E4CCA" w14:textId="77777777" w:rsidR="008E7C06" w:rsidRPr="005D6998" w:rsidRDefault="008E7C06" w:rsidP="00A46332">
            <w:pPr>
              <w:pStyle w:val="Default"/>
              <w:jc w:val="both"/>
              <w:rPr>
                <w:sz w:val="22"/>
                <w:szCs w:val="22"/>
              </w:rPr>
            </w:pPr>
          </w:p>
          <w:p w14:paraId="2EA4B767" w14:textId="77777777" w:rsidR="008E7C06" w:rsidRPr="005D6998" w:rsidRDefault="008E7C06" w:rsidP="00A46332">
            <w:pPr>
              <w:pStyle w:val="Default"/>
              <w:jc w:val="both"/>
              <w:rPr>
                <w:color w:val="auto"/>
                <w:sz w:val="22"/>
                <w:szCs w:val="22"/>
              </w:rPr>
            </w:pPr>
            <w:r w:rsidRPr="005D6998">
              <w:rPr>
                <w:sz w:val="22"/>
                <w:szCs w:val="22"/>
              </w:rPr>
              <w:t xml:space="preserve">Totodată, dispoziția alin. (7) se va conforma în întregime dispoziției art. 91 alin. (1d) din Directiva 2013/36/UE, în special în partea ce vizează termenul de notificare a autorității competente (în cazul dat, Banca Națională a Moldovei). Astfel, potrivit art. 91 alin. (1d) din Directiva 2013/36/UE, „statele membre se asigură că, … autoritatea competentă primește o cerere privind adecvarea fără întârzieri nejustificate și de îndată ce există </w:t>
            </w:r>
            <w:r w:rsidRPr="005D6998">
              <w:rPr>
                <w:sz w:val="22"/>
                <w:szCs w:val="22"/>
              </w:rPr>
              <w:lastRenderedPageBreak/>
              <w:t xml:space="preserve">intenția clară de a numi un membru al organului de conducere în funcția sa de conducere </w:t>
            </w:r>
            <w:r w:rsidRPr="005D6998">
              <w:rPr>
                <w:color w:val="auto"/>
                <w:sz w:val="22"/>
                <w:szCs w:val="22"/>
              </w:rPr>
              <w:t xml:space="preserve">sau președintele organului de conducere în funcția sa de supraveghere și, în orice caz, </w:t>
            </w:r>
            <w:r w:rsidRPr="005D6998">
              <w:rPr>
                <w:b/>
                <w:bCs/>
                <w:i/>
                <w:iCs/>
                <w:color w:val="auto"/>
                <w:sz w:val="22"/>
                <w:szCs w:val="22"/>
              </w:rPr>
              <w:t xml:space="preserve">cel târziu cu 30 de zile lucrătoare </w:t>
            </w:r>
            <w:r w:rsidRPr="005D6998">
              <w:rPr>
                <w:color w:val="auto"/>
                <w:sz w:val="22"/>
                <w:szCs w:val="22"/>
              </w:rPr>
              <w:t xml:space="preserve">înainte ca membrii potențiali să își preia funcția”. </w:t>
            </w:r>
          </w:p>
          <w:p w14:paraId="001CB1FB" w14:textId="77777777" w:rsidR="008E7C06" w:rsidRPr="005D6998" w:rsidRDefault="008E7C06" w:rsidP="00A46332">
            <w:pPr>
              <w:pStyle w:val="Default"/>
              <w:jc w:val="both"/>
              <w:rPr>
                <w:sz w:val="22"/>
                <w:szCs w:val="22"/>
              </w:rPr>
            </w:pPr>
          </w:p>
        </w:tc>
        <w:tc>
          <w:tcPr>
            <w:tcW w:w="4960" w:type="dxa"/>
            <w:gridSpan w:val="3"/>
            <w:shd w:val="clear" w:color="auto" w:fill="FFFFFF"/>
          </w:tcPr>
          <w:p w14:paraId="67E48934" w14:textId="77777777" w:rsidR="008E7C06" w:rsidRPr="005D6998" w:rsidRDefault="008E7C06" w:rsidP="00A46332">
            <w:pPr>
              <w:pStyle w:val="Default"/>
              <w:jc w:val="both"/>
              <w:rPr>
                <w:b/>
                <w:bCs/>
                <w:sz w:val="22"/>
                <w:szCs w:val="22"/>
              </w:rPr>
            </w:pPr>
            <w:r w:rsidRPr="005D6998">
              <w:rPr>
                <w:b/>
                <w:bCs/>
                <w:sz w:val="22"/>
                <w:szCs w:val="22"/>
              </w:rPr>
              <w:lastRenderedPageBreak/>
              <w:t>Nu se acceptă.</w:t>
            </w:r>
          </w:p>
          <w:p w14:paraId="45707160" w14:textId="77777777" w:rsidR="008E7C06" w:rsidRPr="005D6998" w:rsidRDefault="008E7C06" w:rsidP="00A46332">
            <w:pPr>
              <w:pStyle w:val="Default"/>
              <w:jc w:val="both"/>
              <w:rPr>
                <w:sz w:val="22"/>
                <w:szCs w:val="22"/>
              </w:rPr>
            </w:pPr>
            <w:r w:rsidRPr="005D6998">
              <w:rPr>
                <w:sz w:val="22"/>
                <w:szCs w:val="22"/>
              </w:rPr>
              <w:t>Sintagmele „funcție executivă similară” și „funcție neexecutivă similară” au fost prevăzute în mod intenționat pentru a acoperi toate denumirile de funcții care, indiferent de titulatura utilizată, corespund prin atribuțiile și responsabilitățile exercitate unei funcții executive sau neexecutive. Astfel, norma nu este limitată la o anumită denumire formală a funcției.</w:t>
            </w:r>
          </w:p>
          <w:p w14:paraId="05BA3DCE" w14:textId="77777777" w:rsidR="008E7C06" w:rsidRPr="005D6998" w:rsidRDefault="008E7C06" w:rsidP="00A46332">
            <w:pPr>
              <w:pStyle w:val="Default"/>
              <w:jc w:val="both"/>
              <w:rPr>
                <w:sz w:val="22"/>
                <w:szCs w:val="22"/>
              </w:rPr>
            </w:pPr>
          </w:p>
          <w:p w14:paraId="54E1B7B7" w14:textId="77777777" w:rsidR="008E7C06" w:rsidRPr="005D6998" w:rsidRDefault="008E7C06" w:rsidP="00A46332">
            <w:pPr>
              <w:pStyle w:val="Default"/>
              <w:jc w:val="both"/>
              <w:rPr>
                <w:sz w:val="22"/>
                <w:szCs w:val="22"/>
              </w:rPr>
            </w:pPr>
            <w:r w:rsidRPr="005D6998">
              <w:rPr>
                <w:sz w:val="22"/>
                <w:szCs w:val="22"/>
              </w:rPr>
              <w:t>În ceea ce privește termenul de 90 de zile lucrătoare, acesta este stabilit pentru a asigura timpul necesar desfășurării procedurii de aprobare prealabilă sau de notificare și evaluării de către BNM, luând în considerare anvergura entităților care fac obiectul alin. (7). Termenul de 30 de zile lucrătoare prevăzut la art. 91 alin. (1d) din Directiva 2013/36/UE constituie termenul-limită până la care cererea privind adecvarea trebuie să fie primită de autoritatea competentă, iar stabilirea unui termen național mai mare pentru inițierea procedurii nu împiedică respectarea acestei cerințe.</w:t>
            </w:r>
          </w:p>
          <w:p w14:paraId="7251C3F0" w14:textId="77777777" w:rsidR="008E7C06" w:rsidRPr="005D6998" w:rsidRDefault="008E7C06" w:rsidP="00A46332">
            <w:pPr>
              <w:pStyle w:val="Default"/>
              <w:jc w:val="both"/>
              <w:rPr>
                <w:sz w:val="22"/>
                <w:szCs w:val="22"/>
              </w:rPr>
            </w:pPr>
          </w:p>
        </w:tc>
      </w:tr>
      <w:tr w:rsidR="008E7C06" w:rsidRPr="005D6998" w14:paraId="67BA64C8" w14:textId="77777777" w:rsidTr="00651F58">
        <w:trPr>
          <w:gridAfter w:val="2"/>
          <w:wAfter w:w="153" w:type="dxa"/>
          <w:trHeight w:val="105"/>
        </w:trPr>
        <w:tc>
          <w:tcPr>
            <w:tcW w:w="899" w:type="dxa"/>
            <w:gridSpan w:val="3"/>
            <w:shd w:val="clear" w:color="auto" w:fill="FFFFFF"/>
          </w:tcPr>
          <w:p w14:paraId="5D8D5A81"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2D5E92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433E73">
              <w:rPr>
                <w:rFonts w:ascii="Times New Roman" w:hAnsi="Times New Roman"/>
              </w:rPr>
              <w:t xml:space="preserve"> </w:t>
            </w:r>
            <w:r w:rsidRPr="005D6998">
              <w:rPr>
                <w:rFonts w:ascii="Times New Roman" w:hAnsi="Times New Roman"/>
              </w:rPr>
              <w:t xml:space="preserve">(11) Banca Națională a Moldovei poate lua următoarele măsuri, în cazul în care membrii organului de conducere sau persoanele care reprezintă </w:t>
            </w:r>
            <w:r w:rsidRPr="005D6998">
              <w:rPr>
                <w:rFonts w:ascii="Times New Roman" w:hAnsi="Times New Roman"/>
                <w:lang w:eastAsia="ro-MD"/>
              </w:rPr>
              <w:t>conducerea superioară</w:t>
            </w:r>
            <w:r w:rsidRPr="005D6998">
              <w:rPr>
                <w:rFonts w:ascii="Times New Roman" w:hAnsi="Times New Roman"/>
              </w:rPr>
              <w:t xml:space="preserve"> nu îndeplinesc în orice moment criteriile și cerințele prevăzute la art. 43</w:t>
            </w:r>
            <w:r w:rsidRPr="005D6998">
              <w:rPr>
                <w:rFonts w:ascii="Times New Roman" w:hAnsi="Times New Roman"/>
                <w:vertAlign w:val="superscript"/>
              </w:rPr>
              <w:t>1</w:t>
            </w:r>
            <w:r w:rsidRPr="005D6998">
              <w:rPr>
                <w:rFonts w:ascii="Times New Roman" w:hAnsi="Times New Roman"/>
              </w:rPr>
              <w:t xml:space="preserve">:  </w:t>
            </w:r>
          </w:p>
          <w:p w14:paraId="335EFC7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a) în cazul evaluării ex-ante, împiedică membrii respectivi să facă parte din organul de conducere sau persoanele care reprezintă conducerea superioară prin refuzul acordării aprobării prealabile sau solicită revocarea acestora ulterior numirii potrivit alin. (5); </w:t>
            </w:r>
          </w:p>
          <w:p w14:paraId="5E079BD8" w14:textId="77777777" w:rsidR="008E7C06" w:rsidRPr="005D6998" w:rsidRDefault="008E7C06" w:rsidP="00A46332">
            <w:pPr>
              <w:spacing w:after="0" w:line="240" w:lineRule="auto"/>
              <w:ind w:firstLine="708"/>
              <w:jc w:val="both"/>
              <w:rPr>
                <w:rFonts w:ascii="Times New Roman" w:hAnsi="Times New Roman"/>
                <w:i/>
              </w:rPr>
            </w:pPr>
            <w:r w:rsidRPr="005D6998">
              <w:rPr>
                <w:rFonts w:ascii="Times New Roman" w:hAnsi="Times New Roman"/>
              </w:rPr>
              <w:t>[...]</w:t>
            </w:r>
          </w:p>
        </w:tc>
        <w:tc>
          <w:tcPr>
            <w:tcW w:w="1418" w:type="dxa"/>
            <w:gridSpan w:val="2"/>
            <w:shd w:val="clear" w:color="auto" w:fill="FFFFFF"/>
          </w:tcPr>
          <w:p w14:paraId="64F2A60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BD83E59"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41DCB413" w14:textId="77777777" w:rsidR="008E7C06" w:rsidRPr="005D6998" w:rsidRDefault="008E7C06" w:rsidP="00A46332">
            <w:pPr>
              <w:pStyle w:val="Default"/>
              <w:jc w:val="both"/>
              <w:rPr>
                <w:sz w:val="22"/>
                <w:szCs w:val="22"/>
              </w:rPr>
            </w:pPr>
            <w:r w:rsidRPr="005D6998">
              <w:rPr>
                <w:color w:val="auto"/>
                <w:sz w:val="22"/>
                <w:szCs w:val="22"/>
              </w:rPr>
              <w:t>În redacția alin. (11) al art. 43, textul „alin. (5)” considerăm adecvat a substitui cu textul „alin. (6)”.</w:t>
            </w:r>
          </w:p>
        </w:tc>
        <w:tc>
          <w:tcPr>
            <w:tcW w:w="4960" w:type="dxa"/>
            <w:gridSpan w:val="3"/>
            <w:shd w:val="clear" w:color="auto" w:fill="FFFFFF"/>
          </w:tcPr>
          <w:p w14:paraId="4AF50B47" w14:textId="77777777" w:rsidR="008E7C06" w:rsidRPr="005D6998" w:rsidRDefault="008E7C06" w:rsidP="00A46332">
            <w:pPr>
              <w:pStyle w:val="Default"/>
              <w:jc w:val="both"/>
              <w:rPr>
                <w:b/>
                <w:bCs/>
                <w:sz w:val="22"/>
                <w:szCs w:val="22"/>
              </w:rPr>
            </w:pPr>
            <w:r w:rsidRPr="005D6998">
              <w:rPr>
                <w:b/>
                <w:bCs/>
                <w:sz w:val="22"/>
                <w:szCs w:val="22"/>
              </w:rPr>
              <w:t>Se acceptă.</w:t>
            </w:r>
          </w:p>
          <w:p w14:paraId="35BE7C7C" w14:textId="77777777" w:rsidR="008E7C06" w:rsidRPr="005D6998" w:rsidRDefault="008E7C06" w:rsidP="00A46332">
            <w:pPr>
              <w:pStyle w:val="Default"/>
              <w:jc w:val="both"/>
              <w:rPr>
                <w:b/>
                <w:bCs/>
                <w:sz w:val="22"/>
                <w:szCs w:val="22"/>
              </w:rPr>
            </w:pPr>
            <w:r w:rsidRPr="005D6998">
              <w:rPr>
                <w:color w:val="auto"/>
                <w:sz w:val="22"/>
                <w:szCs w:val="22"/>
              </w:rPr>
              <w:t>La alin. (11) al art. 43, textul „alin. (5)” se substituie cu textul „alin. (6)”.</w:t>
            </w:r>
          </w:p>
        </w:tc>
      </w:tr>
      <w:tr w:rsidR="008E7C06" w:rsidRPr="005D6998" w14:paraId="7FCFFBC5" w14:textId="77777777" w:rsidTr="00651F58">
        <w:trPr>
          <w:gridAfter w:val="2"/>
          <w:wAfter w:w="153" w:type="dxa"/>
          <w:trHeight w:val="105"/>
        </w:trPr>
        <w:tc>
          <w:tcPr>
            <w:tcW w:w="899" w:type="dxa"/>
            <w:gridSpan w:val="3"/>
            <w:shd w:val="clear" w:color="auto" w:fill="FFFFFF"/>
          </w:tcPr>
          <w:p w14:paraId="74B92E49"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F319A5B"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38</w:t>
            </w:r>
            <w:r w:rsidRPr="005D6998">
              <w:rPr>
                <w:rFonts w:ascii="Times New Roman" w:hAnsi="Times New Roman"/>
              </w:rPr>
              <w:t xml:space="preserve">. Se completează cu </w:t>
            </w:r>
            <w:r w:rsidRPr="005D6998">
              <w:rPr>
                <w:rFonts w:ascii="Times New Roman" w:hAnsi="Times New Roman"/>
                <w:b/>
                <w:bCs/>
              </w:rPr>
              <w:t>articolul 43</w:t>
            </w:r>
            <w:r w:rsidRPr="005D6998">
              <w:rPr>
                <w:rFonts w:ascii="Times New Roman" w:hAnsi="Times New Roman"/>
                <w:b/>
                <w:bCs/>
                <w:vertAlign w:val="superscript"/>
              </w:rPr>
              <w:t>1</w:t>
            </w:r>
            <w:r w:rsidRPr="005D6998">
              <w:rPr>
                <w:rFonts w:ascii="Times New Roman" w:hAnsi="Times New Roman"/>
              </w:rPr>
              <w:t xml:space="preserve"> cu următorul cuprins:</w:t>
            </w:r>
          </w:p>
          <w:p w14:paraId="2CFB8E5E" w14:textId="77777777" w:rsidR="008E7C06" w:rsidRPr="005D6998" w:rsidRDefault="008E7C06" w:rsidP="00A46332">
            <w:pPr>
              <w:spacing w:after="0" w:line="240" w:lineRule="auto"/>
              <w:ind w:firstLine="568"/>
              <w:jc w:val="both"/>
              <w:rPr>
                <w:rFonts w:ascii="Times New Roman" w:hAnsi="Times New Roman"/>
              </w:rPr>
            </w:pPr>
            <w:r w:rsidRPr="005D6998">
              <w:rPr>
                <w:rFonts w:ascii="Times New Roman" w:hAnsi="Times New Roman"/>
              </w:rPr>
              <w:t>„</w:t>
            </w:r>
            <w:r w:rsidRPr="005D6998">
              <w:rPr>
                <w:rFonts w:ascii="Times New Roman" w:hAnsi="Times New Roman"/>
                <w:b/>
                <w:bCs/>
              </w:rPr>
              <w:t>Articolul 43</w:t>
            </w:r>
            <w:r w:rsidRPr="005D6998">
              <w:rPr>
                <w:rFonts w:ascii="Times New Roman" w:hAnsi="Times New Roman"/>
                <w:b/>
                <w:bCs/>
                <w:vertAlign w:val="superscript"/>
              </w:rPr>
              <w:t>1</w:t>
            </w:r>
            <w:r w:rsidRPr="005D6998">
              <w:rPr>
                <w:rFonts w:ascii="Times New Roman" w:hAnsi="Times New Roman"/>
                <w:b/>
                <w:bCs/>
              </w:rPr>
              <w:t>.</w:t>
            </w:r>
            <w:r w:rsidRPr="005D6998">
              <w:rPr>
                <w:rFonts w:ascii="Times New Roman" w:hAnsi="Times New Roman"/>
              </w:rPr>
              <w:t xml:space="preserve"> Criterii și cerințe pentru evaluarea adecvării organului de conducere și a persoanelor care reprezintă conducerea superioară</w:t>
            </w:r>
          </w:p>
          <w:p w14:paraId="499188FC" w14:textId="77777777" w:rsidR="008E7C06" w:rsidRPr="005D6998" w:rsidRDefault="008E7C06" w:rsidP="00A46332">
            <w:pPr>
              <w:spacing w:after="0" w:line="240" w:lineRule="auto"/>
              <w:ind w:firstLine="568"/>
              <w:jc w:val="both"/>
              <w:rPr>
                <w:rFonts w:ascii="Times New Roman" w:hAnsi="Times New Roman"/>
                <w:lang w:eastAsia="ro-MD"/>
              </w:rPr>
            </w:pPr>
            <w:r w:rsidRPr="005D6998">
              <w:rPr>
                <w:rFonts w:ascii="Times New Roman" w:hAnsi="Times New Roman"/>
              </w:rPr>
              <w:t>[...]</w:t>
            </w:r>
            <w:r w:rsidRPr="005D6998" w:rsidDel="00433E73">
              <w:rPr>
                <w:rFonts w:ascii="Times New Roman" w:hAnsi="Times New Roman"/>
              </w:rPr>
              <w:t xml:space="preserve"> </w:t>
            </w:r>
          </w:p>
          <w:p w14:paraId="6F410768" w14:textId="77777777" w:rsidR="008E7C06" w:rsidRPr="005D6998" w:rsidRDefault="008E7C06" w:rsidP="00A46332">
            <w:pPr>
              <w:spacing w:after="0" w:line="240" w:lineRule="auto"/>
              <w:ind w:firstLine="568"/>
              <w:jc w:val="both"/>
              <w:rPr>
                <w:rFonts w:ascii="Times New Roman" w:hAnsi="Times New Roman"/>
              </w:rPr>
            </w:pPr>
            <w:r w:rsidRPr="005D6998">
              <w:rPr>
                <w:rFonts w:ascii="Times New Roman" w:hAnsi="Times New Roman"/>
              </w:rPr>
              <w:t xml:space="preserve">(3) Banca Naţională a Moldovei are autoritatea de a analiza în ce măsură sunt respectate condiţiile minime prevăzute în prezenta lege şi în actele normative emise în aplicarea acesteia, inclusiv în cazul în care există motive întemeiate pentru a suspecta că este săvârșită sau a fost săvârșită o faptă ori o tentativă de spălare de bani sau de finanțare a terorismului în sensul prevederilor legislaţiei în domeniu sau că există un risc crescut în acest sens în legătură cu entitatea, de a evalua toate circumstanţele şi informaţiile legate de activitatea, reputaţia şi de experienţa membrilor organului de conducere şi de a decide dacă, atât la nivel individual, cât şi la nivel colectiv, cerinţele prevăzute sunt îndeplinite. </w:t>
            </w:r>
          </w:p>
          <w:p w14:paraId="2CC61525" w14:textId="77777777" w:rsidR="008E7C06" w:rsidRPr="005D6998" w:rsidRDefault="008E7C06" w:rsidP="00A46332">
            <w:pPr>
              <w:tabs>
                <w:tab w:val="left" w:pos="426"/>
              </w:tabs>
              <w:spacing w:after="0" w:line="240" w:lineRule="auto"/>
              <w:jc w:val="both"/>
              <w:rPr>
                <w:rFonts w:ascii="Times New Roman" w:hAnsi="Times New Roman"/>
                <w:b/>
                <w:bCs/>
              </w:rPr>
            </w:pPr>
          </w:p>
        </w:tc>
        <w:tc>
          <w:tcPr>
            <w:tcW w:w="1418" w:type="dxa"/>
            <w:gridSpan w:val="2"/>
            <w:shd w:val="clear" w:color="auto" w:fill="FFFFFF"/>
          </w:tcPr>
          <w:p w14:paraId="462609B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C5003E1"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4B1AA60" w14:textId="77777777" w:rsidR="008E7C06" w:rsidRPr="005D6998" w:rsidRDefault="008E7C06" w:rsidP="00A46332">
            <w:pPr>
              <w:pStyle w:val="Default"/>
              <w:jc w:val="both"/>
              <w:rPr>
                <w:sz w:val="22"/>
                <w:szCs w:val="22"/>
              </w:rPr>
            </w:pPr>
            <w:r w:rsidRPr="005D6998">
              <w:rPr>
                <w:sz w:val="22"/>
                <w:szCs w:val="22"/>
              </w:rPr>
              <w:t xml:space="preserve">La pct. 38: </w:t>
            </w:r>
          </w:p>
          <w:p w14:paraId="0EE20456" w14:textId="77777777" w:rsidR="008E7C06" w:rsidRPr="005D6998" w:rsidRDefault="008E7C06" w:rsidP="00A46332">
            <w:pPr>
              <w:pStyle w:val="Default"/>
              <w:jc w:val="both"/>
              <w:rPr>
                <w:sz w:val="22"/>
                <w:szCs w:val="22"/>
              </w:rPr>
            </w:pPr>
            <w:r w:rsidRPr="005D6998">
              <w:rPr>
                <w:sz w:val="22"/>
                <w:szCs w:val="22"/>
              </w:rPr>
              <w:t>În redacția propusă pentru art. 43</w:t>
            </w:r>
            <w:r w:rsidRPr="005D6998">
              <w:rPr>
                <w:sz w:val="22"/>
                <w:szCs w:val="22"/>
                <w:vertAlign w:val="superscript"/>
              </w:rPr>
              <w:t>1</w:t>
            </w:r>
            <w:r w:rsidRPr="005D6998">
              <w:rPr>
                <w:sz w:val="22"/>
                <w:szCs w:val="22"/>
              </w:rPr>
              <w:t xml:space="preserve"> alin. (3), se recomandă a detalia cuvintele „condițiile minime prevăzute de prezenta lege”, în sensul indicării articolelor și alineatelor concrete din lege la care se face referire. </w:t>
            </w:r>
          </w:p>
          <w:p w14:paraId="0FCD1A75" w14:textId="77777777" w:rsidR="008E7C06" w:rsidRPr="005D6998" w:rsidRDefault="008E7C06" w:rsidP="00A46332">
            <w:pPr>
              <w:pStyle w:val="Default"/>
              <w:jc w:val="both"/>
              <w:rPr>
                <w:sz w:val="22"/>
                <w:szCs w:val="22"/>
              </w:rPr>
            </w:pPr>
          </w:p>
        </w:tc>
        <w:tc>
          <w:tcPr>
            <w:tcW w:w="4960" w:type="dxa"/>
            <w:gridSpan w:val="3"/>
            <w:shd w:val="clear" w:color="auto" w:fill="FFFFFF"/>
          </w:tcPr>
          <w:p w14:paraId="4A7CAB5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2BC6AC6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Cuvintele „condițiile minime prevăzute în prezenta lege” nu necesită indicarea expresă a tuturor articolelor și alineatelor la care se face referire, întrucât norma are caracter general și vizează ansamblul condițiilor aplicabile membrilor organului de conducere, prevăzute de lege și de actele normative emise în aplicarea acesteia. Enumerarea exhaustivă a dispozițiilor ar putea, de asemenea, limita aplicarea normei în cazul modificării sau completării ulterioare a cadrului normativ relevant.</w:t>
            </w:r>
          </w:p>
        </w:tc>
      </w:tr>
      <w:tr w:rsidR="008E7C06" w:rsidRPr="005D6998" w14:paraId="0A784263" w14:textId="77777777" w:rsidTr="00651F58">
        <w:trPr>
          <w:gridAfter w:val="2"/>
          <w:wAfter w:w="153" w:type="dxa"/>
          <w:trHeight w:val="105"/>
        </w:trPr>
        <w:tc>
          <w:tcPr>
            <w:tcW w:w="899" w:type="dxa"/>
            <w:gridSpan w:val="3"/>
            <w:shd w:val="clear" w:color="auto" w:fill="FFFFFF"/>
          </w:tcPr>
          <w:p w14:paraId="68FAC26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700E3C6" w14:textId="77777777" w:rsidR="008E7C06" w:rsidRPr="005D6998" w:rsidRDefault="008E7C06" w:rsidP="00A46332">
            <w:pPr>
              <w:spacing w:after="0" w:line="240" w:lineRule="auto"/>
              <w:ind w:firstLine="568"/>
              <w:jc w:val="both"/>
              <w:rPr>
                <w:rFonts w:ascii="Times New Roman" w:hAnsi="Times New Roman"/>
              </w:rPr>
            </w:pPr>
            <w:r w:rsidRPr="005D6998">
              <w:rPr>
                <w:rFonts w:ascii="Times New Roman" w:hAnsi="Times New Roman"/>
              </w:rPr>
              <w:t xml:space="preserve">(4) Membrii organului de conducere și persoanele care reprezintă </w:t>
            </w:r>
            <w:r w:rsidRPr="005D6998">
              <w:rPr>
                <w:rFonts w:ascii="Times New Roman" w:hAnsi="Times New Roman"/>
                <w:lang w:eastAsia="ro-MD"/>
              </w:rPr>
              <w:t>conducerea superioară</w:t>
            </w:r>
            <w:r w:rsidRPr="005D6998">
              <w:rPr>
                <w:rFonts w:ascii="Times New Roman" w:hAnsi="Times New Roman"/>
              </w:rPr>
              <w:t xml:space="preserve"> trebuie să aloce timp suficient pentru îndeplinirea atribuţiilor ce le revin. </w:t>
            </w:r>
          </w:p>
          <w:p w14:paraId="782F1485" w14:textId="77777777" w:rsidR="008E7C06" w:rsidRPr="005D6998" w:rsidRDefault="008E7C06" w:rsidP="00A46332">
            <w:pPr>
              <w:spacing w:after="0" w:line="240" w:lineRule="auto"/>
              <w:ind w:firstLine="568"/>
              <w:jc w:val="both"/>
              <w:rPr>
                <w:rFonts w:ascii="Times New Roman" w:hAnsi="Times New Roman"/>
              </w:rPr>
            </w:pPr>
          </w:p>
        </w:tc>
        <w:tc>
          <w:tcPr>
            <w:tcW w:w="1418" w:type="dxa"/>
            <w:gridSpan w:val="2"/>
            <w:shd w:val="clear" w:color="auto" w:fill="FFFFFF"/>
          </w:tcPr>
          <w:p w14:paraId="41331A3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08293F7"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C734399" w14:textId="77777777" w:rsidR="008E7C06" w:rsidRPr="005D6998" w:rsidRDefault="008E7C06" w:rsidP="00A46332">
            <w:pPr>
              <w:pStyle w:val="Default"/>
              <w:jc w:val="both"/>
              <w:rPr>
                <w:sz w:val="22"/>
                <w:szCs w:val="22"/>
              </w:rPr>
            </w:pPr>
            <w:r w:rsidRPr="005D6998">
              <w:rPr>
                <w:sz w:val="22"/>
                <w:szCs w:val="22"/>
              </w:rPr>
              <w:t>Dispoziția alin. (4) al art. 43</w:t>
            </w:r>
            <w:r w:rsidRPr="005D6998">
              <w:rPr>
                <w:sz w:val="22"/>
                <w:szCs w:val="22"/>
                <w:vertAlign w:val="superscript"/>
              </w:rPr>
              <w:t>1</w:t>
            </w:r>
            <w:r w:rsidRPr="005D6998">
              <w:rPr>
                <w:sz w:val="22"/>
                <w:szCs w:val="22"/>
              </w:rPr>
              <w:t>, potrivit căreia „Membrii organului de conducere și persoanele care reprezintă conducerea superioară trebuie să aloce timp suficient pentru îndeplinirea atribuțiilor ce le revin.” se consideră a fi declarativă, în contextul în care nu se stabilesc anumiți indici, criterii, care identifică catalogarea timpului pentru îndeplinirea atribuțiilor drept „suficient” (observație valabilă și pentru pct. 74, cu referire la redacția art. 94</w:t>
            </w:r>
            <w:r w:rsidRPr="005D6998">
              <w:rPr>
                <w:sz w:val="22"/>
                <w:szCs w:val="22"/>
                <w:vertAlign w:val="superscript"/>
              </w:rPr>
              <w:t>3</w:t>
            </w:r>
            <w:r w:rsidRPr="005D6998">
              <w:rPr>
                <w:sz w:val="22"/>
                <w:szCs w:val="22"/>
              </w:rPr>
              <w:t xml:space="preserve">). </w:t>
            </w:r>
          </w:p>
          <w:p w14:paraId="3CF50865" w14:textId="77777777" w:rsidR="008E7C06" w:rsidRPr="005D6998" w:rsidRDefault="008E7C06" w:rsidP="00A46332">
            <w:pPr>
              <w:pStyle w:val="Default"/>
              <w:jc w:val="both"/>
              <w:rPr>
                <w:sz w:val="22"/>
                <w:szCs w:val="22"/>
              </w:rPr>
            </w:pPr>
          </w:p>
        </w:tc>
        <w:tc>
          <w:tcPr>
            <w:tcW w:w="4960" w:type="dxa"/>
            <w:gridSpan w:val="3"/>
            <w:shd w:val="clear" w:color="auto" w:fill="FFFFFF"/>
          </w:tcPr>
          <w:p w14:paraId="1F4FCCEE"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Comentariu</w:t>
            </w:r>
          </w:p>
          <w:p w14:paraId="53758FD1"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Norma din alin. (4) reproduce cerința prevăzută la art. 91 alin. (2) din Directiva 2013/36/UE, potrivit căreia membrii organului de conducere trebuie să aloce timp suficient pentru îndeplinirea funcțiilor lor. În plus, aceasta este deja prevăzută și aplicată de mai mulți ani în cadrul Legii 202/2017 și dezvoltat în Regulamentul BNM nr. 292/2018 privind cerințele față de membrii organului de conducere.</w:t>
            </w:r>
          </w:p>
          <w:p w14:paraId="601B181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ro-MD"/>
              </w:rPr>
              <w:t>Totodată, potrivit alin. (5) și (6) a art. 43</w:t>
            </w:r>
            <w:r w:rsidRPr="005D6998">
              <w:rPr>
                <w:rFonts w:ascii="Times New Roman" w:hAnsi="Times New Roman"/>
                <w:vertAlign w:val="superscript"/>
                <w:lang w:val="ro-MD"/>
              </w:rPr>
              <w:t>1</w:t>
            </w:r>
            <w:r w:rsidRPr="005D6998">
              <w:rPr>
                <w:rFonts w:ascii="Times New Roman" w:hAnsi="Times New Roman"/>
                <w:lang w:val="ro-MD"/>
              </w:rPr>
              <w:t xml:space="preserve"> introdus în proiect sunt stabilite și criteriile în funcție de care se </w:t>
            </w:r>
            <w:r w:rsidRPr="005D6998">
              <w:rPr>
                <w:rFonts w:ascii="Times New Roman" w:hAnsi="Times New Roman"/>
                <w:lang w:val="ro-MD"/>
              </w:rPr>
              <w:lastRenderedPageBreak/>
              <w:t>apreciază această cerință, prevăzând că numărul funcțiilor pe care o persoană le poate deține în alte entități și/sau persoane juridice se determină în funcție de circumstanțele individuale, precum și de natura, amploarea și complexitatea activității entității. Prin urmare, nu este necesară stabilirea unor indicatori exhaustivi sau a unui număr fix de ore, evaluarea urmând să fie realizată în funcție de circumstanțele concrete.</w:t>
            </w:r>
          </w:p>
        </w:tc>
      </w:tr>
      <w:tr w:rsidR="008E7C06" w:rsidRPr="005D6998" w14:paraId="5F1D4799" w14:textId="77777777" w:rsidTr="00651F58">
        <w:trPr>
          <w:gridAfter w:val="2"/>
          <w:wAfter w:w="153" w:type="dxa"/>
          <w:trHeight w:val="105"/>
        </w:trPr>
        <w:tc>
          <w:tcPr>
            <w:tcW w:w="899" w:type="dxa"/>
            <w:gridSpan w:val="3"/>
            <w:shd w:val="clear" w:color="auto" w:fill="FFFFFF"/>
          </w:tcPr>
          <w:p w14:paraId="4297987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CC21362"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433E73">
              <w:rPr>
                <w:rFonts w:ascii="Times New Roman" w:hAnsi="Times New Roman"/>
              </w:rPr>
              <w:t xml:space="preserve"> </w:t>
            </w:r>
            <w:r w:rsidRPr="005D6998">
              <w:rPr>
                <w:rFonts w:ascii="Times New Roman" w:hAnsi="Times New Roman"/>
              </w:rPr>
              <w:t xml:space="preserve">(9) Funcţiile de conducere deţinute în organizaţii sau întreprinderi care nu urmăresc, în mod predominant, obiective comerciale nu trebuie avute în vedere în sensul alin.(6). </w:t>
            </w:r>
          </w:p>
          <w:p w14:paraId="4C6E68DF"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(10) Banca Naţională a Moldovei poate aproba deţinerea unei funcţii suplimentare de membru al consiliului sau a unei funcţii neexecutive similare de către membrii organului de conducere al unei bănci, luând în considerare complexitatea atribuţiilor conferite de toate funcţiile deţinute de aceste persoane. </w:t>
            </w:r>
          </w:p>
          <w:p w14:paraId="42BA1DC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433E73">
              <w:rPr>
                <w:rFonts w:ascii="Times New Roman" w:hAnsi="Times New Roman"/>
              </w:rPr>
              <w:t xml:space="preserve"> </w:t>
            </w:r>
          </w:p>
          <w:p w14:paraId="79157BA3"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rPr>
              <w:t xml:space="preserve">(12) Entitățile, prin intermediul comitetului de numire, după caz, la alegerea sau numirea membrilor organului de conducere, trebuie să se asigure că componența acestuia reflectă o gamă largă de calități și competențe și să promoveze în mod proporțional diversitatea și echilibrul de gen. În acest scop, entitățile trebuie să adopte o politică de promovare a diversității în cadrul organului de conducere. </w:t>
            </w:r>
          </w:p>
          <w:p w14:paraId="48351154"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b/>
                <w:bCs/>
              </w:rPr>
              <w:t>[...]</w:t>
            </w:r>
            <w:r w:rsidRPr="005D6998">
              <w:rPr>
                <w:rFonts w:ascii="Times New Roman" w:hAnsi="Times New Roman"/>
              </w:rPr>
              <w:tab/>
            </w:r>
            <w:r w:rsidRPr="005D6998">
              <w:rPr>
                <w:rFonts w:ascii="Times New Roman" w:hAnsi="Times New Roman"/>
              </w:rPr>
              <w:tab/>
              <w:t xml:space="preserve">(16) Entitatea trebuie să includă în contractele individuale de </w:t>
            </w:r>
            <w:r w:rsidRPr="005D6998">
              <w:rPr>
                <w:rFonts w:ascii="Times New Roman" w:hAnsi="Times New Roman"/>
              </w:rPr>
              <w:lastRenderedPageBreak/>
              <w:t xml:space="preserve">muncă încheiate cu membrii organului executiv sau cu persoanele care reprezintă </w:t>
            </w:r>
            <w:r w:rsidRPr="005D6998">
              <w:rPr>
                <w:rFonts w:ascii="Times New Roman" w:hAnsi="Times New Roman"/>
                <w:lang w:eastAsia="ro-MD"/>
              </w:rPr>
              <w:t>conducerea superioară</w:t>
            </w:r>
            <w:r w:rsidRPr="005D6998">
              <w:rPr>
                <w:rFonts w:ascii="Times New Roman" w:hAnsi="Times New Roman"/>
              </w:rPr>
              <w:t xml:space="preserve"> clauze care să asigure posibilitatea respectării de către entitate a cerinţelor prevăzute la art.139 şi 141, inclusiv fără plata salariului suplimentar şi altor plăţi de stimulare şi compensare în astfel de cazuri.”.</w:t>
            </w:r>
          </w:p>
        </w:tc>
        <w:tc>
          <w:tcPr>
            <w:tcW w:w="1418" w:type="dxa"/>
            <w:gridSpan w:val="2"/>
            <w:shd w:val="clear" w:color="auto" w:fill="FFFFFF"/>
          </w:tcPr>
          <w:p w14:paraId="36E699C2"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7A583F0"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3C36D93" w14:textId="77777777" w:rsidR="008E7C06" w:rsidRPr="005D6998" w:rsidRDefault="008E7C06" w:rsidP="00A46332">
            <w:pPr>
              <w:pStyle w:val="Default"/>
              <w:jc w:val="both"/>
              <w:rPr>
                <w:sz w:val="22"/>
                <w:szCs w:val="22"/>
              </w:rPr>
            </w:pPr>
            <w:r w:rsidRPr="005D6998">
              <w:rPr>
                <w:sz w:val="22"/>
                <w:szCs w:val="22"/>
              </w:rPr>
              <w:t>Dispozițiile art. 43</w:t>
            </w:r>
            <w:r w:rsidRPr="005D6998">
              <w:rPr>
                <w:sz w:val="22"/>
                <w:szCs w:val="22"/>
                <w:vertAlign w:val="superscript"/>
              </w:rPr>
              <w:t>1</w:t>
            </w:r>
            <w:r w:rsidRPr="005D6998">
              <w:rPr>
                <w:sz w:val="22"/>
                <w:szCs w:val="22"/>
              </w:rPr>
              <w:t xml:space="preserve"> alin. (9) se recomandă a fi expuse anterior dispozițiilor alin. (7), întru respectarea succesiunii logice a reglementărilor. </w:t>
            </w:r>
          </w:p>
          <w:p w14:paraId="6B4F5CA4" w14:textId="77777777" w:rsidR="008E7C06" w:rsidRPr="005D6998" w:rsidRDefault="008E7C06" w:rsidP="00A46332">
            <w:pPr>
              <w:pStyle w:val="Default"/>
              <w:jc w:val="both"/>
              <w:rPr>
                <w:sz w:val="22"/>
                <w:szCs w:val="22"/>
              </w:rPr>
            </w:pPr>
          </w:p>
          <w:p w14:paraId="5EA20147" w14:textId="77777777" w:rsidR="008E7C06" w:rsidRPr="005D6998" w:rsidRDefault="008E7C06" w:rsidP="00A46332">
            <w:pPr>
              <w:pStyle w:val="Default"/>
              <w:jc w:val="both"/>
              <w:rPr>
                <w:sz w:val="22"/>
                <w:szCs w:val="22"/>
              </w:rPr>
            </w:pPr>
            <w:r w:rsidRPr="005D6998">
              <w:rPr>
                <w:sz w:val="22"/>
                <w:szCs w:val="22"/>
              </w:rPr>
              <w:t>În dispoziția propusă la art. 43</w:t>
            </w:r>
            <w:r w:rsidRPr="005D6998">
              <w:rPr>
                <w:sz w:val="22"/>
                <w:szCs w:val="22"/>
                <w:vertAlign w:val="superscript"/>
              </w:rPr>
              <w:t>1</w:t>
            </w:r>
            <w:r w:rsidRPr="005D6998">
              <w:rPr>
                <w:sz w:val="22"/>
                <w:szCs w:val="22"/>
              </w:rPr>
              <w:t xml:space="preserve"> alin. (10), cuvântul „bănci”, se va revedea, luând în considerare, substituirea acestui termen în tot textul legii examinate, cu cuvintele „instituție de credit”. </w:t>
            </w:r>
          </w:p>
          <w:p w14:paraId="0817EAD2" w14:textId="77777777" w:rsidR="008E7C06" w:rsidRPr="005D6998" w:rsidRDefault="008E7C06" w:rsidP="00A46332">
            <w:pPr>
              <w:pStyle w:val="Default"/>
              <w:jc w:val="both"/>
              <w:rPr>
                <w:sz w:val="22"/>
                <w:szCs w:val="22"/>
              </w:rPr>
            </w:pPr>
          </w:p>
          <w:p w14:paraId="18982E97" w14:textId="77777777" w:rsidR="008E7C06" w:rsidRPr="005D6998" w:rsidRDefault="008E7C06" w:rsidP="00A46332">
            <w:pPr>
              <w:pStyle w:val="Default"/>
              <w:jc w:val="both"/>
              <w:rPr>
                <w:sz w:val="22"/>
                <w:szCs w:val="22"/>
              </w:rPr>
            </w:pPr>
          </w:p>
          <w:p w14:paraId="21402874" w14:textId="77777777" w:rsidR="008E7C06" w:rsidRPr="005D6998" w:rsidRDefault="008E7C06" w:rsidP="00A46332">
            <w:pPr>
              <w:pStyle w:val="Default"/>
              <w:jc w:val="both"/>
              <w:rPr>
                <w:sz w:val="22"/>
                <w:szCs w:val="22"/>
              </w:rPr>
            </w:pPr>
            <w:r w:rsidRPr="005D6998">
              <w:rPr>
                <w:sz w:val="22"/>
                <w:szCs w:val="22"/>
              </w:rPr>
              <w:t>În dispozițiile art. 43</w:t>
            </w:r>
            <w:r w:rsidRPr="005D6998">
              <w:rPr>
                <w:sz w:val="22"/>
                <w:szCs w:val="22"/>
                <w:vertAlign w:val="superscript"/>
              </w:rPr>
              <w:t>1</w:t>
            </w:r>
            <w:r w:rsidRPr="005D6998">
              <w:rPr>
                <w:sz w:val="22"/>
                <w:szCs w:val="22"/>
              </w:rPr>
              <w:t xml:space="preserve"> alin. (12) se vor revizui suplimentar cuvintele „componența acestuia”, întrucât nu este clar dacă se referă la componența organului de conducere sau la componența comitetului de numire. </w:t>
            </w:r>
          </w:p>
          <w:p w14:paraId="355CBC90" w14:textId="77777777" w:rsidR="008E7C06" w:rsidRPr="005D6998" w:rsidRDefault="008E7C06" w:rsidP="00A46332">
            <w:pPr>
              <w:pStyle w:val="Default"/>
              <w:jc w:val="both"/>
              <w:rPr>
                <w:sz w:val="22"/>
                <w:szCs w:val="22"/>
              </w:rPr>
            </w:pPr>
          </w:p>
          <w:p w14:paraId="41BAB2A9" w14:textId="77777777" w:rsidR="008E7C06" w:rsidRPr="005D6998" w:rsidRDefault="008E7C06" w:rsidP="00A46332">
            <w:pPr>
              <w:pStyle w:val="Default"/>
              <w:jc w:val="both"/>
              <w:rPr>
                <w:sz w:val="22"/>
                <w:szCs w:val="22"/>
              </w:rPr>
            </w:pPr>
            <w:r w:rsidRPr="005D6998">
              <w:rPr>
                <w:sz w:val="22"/>
                <w:szCs w:val="22"/>
              </w:rPr>
              <w:t>Dispozițiile propuse la art. 43</w:t>
            </w:r>
            <w:r w:rsidRPr="005D6998">
              <w:rPr>
                <w:sz w:val="22"/>
                <w:szCs w:val="22"/>
                <w:vertAlign w:val="superscript"/>
              </w:rPr>
              <w:t>1</w:t>
            </w:r>
            <w:r w:rsidRPr="005D6998">
              <w:rPr>
                <w:sz w:val="22"/>
                <w:szCs w:val="22"/>
              </w:rPr>
              <w:t xml:space="preserve"> alin. (16) se recomandă a fi reformulate, deoarece în forma expusă sunt ambigue, în mod special nu se asigură claritatea între prima parte a normei și cuvintele „inclusiv fără plata salariului suplimentar şi altor plăţi de stimulare şi compensare în astfel de cazuri”.</w:t>
            </w:r>
          </w:p>
        </w:tc>
        <w:tc>
          <w:tcPr>
            <w:tcW w:w="4960" w:type="dxa"/>
            <w:gridSpan w:val="3"/>
            <w:shd w:val="clear" w:color="auto" w:fill="FFFFFF"/>
          </w:tcPr>
          <w:p w14:paraId="3264C8C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5F77236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Succesiunea actuală a alineatelor (4)-(9) este justificată de necesitatea păstrării legăturii logice dintre alin. (5)–(8), care reglementează consecutiv numărul funcțiilor ce pot fi deținute, limitele aplicabile entităților semnificative, situațiile în care mai multe funcții se consideră o singură funcție și noțiunea de grup utilizată în acest scop.</w:t>
            </w:r>
          </w:p>
          <w:p w14:paraId="7897021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Alin. (9) are caracter distinct, stabilind funcțiile </w:t>
            </w:r>
            <w:r w:rsidRPr="005D6998">
              <w:rPr>
                <w:rFonts w:ascii="Times New Roman" w:hAnsi="Times New Roman"/>
                <w:b/>
                <w:bCs/>
              </w:rPr>
              <w:t>care nu se iau</w:t>
            </w:r>
            <w:r w:rsidRPr="005D6998">
              <w:rPr>
                <w:rFonts w:ascii="Times New Roman" w:hAnsi="Times New Roman"/>
              </w:rPr>
              <w:t xml:space="preserve"> în considerare la aplicarea alin. (6). Deci, plasarea acestuia după alin. (8) permite mai întâi reglementarea integrală a mecanismului de calcul, iar ulterior stabilirea excepției aplicabile acestuia.</w:t>
            </w:r>
          </w:p>
          <w:p w14:paraId="5437D8A3" w14:textId="77777777" w:rsidR="008E7C06" w:rsidRPr="005D6998" w:rsidRDefault="008E7C06" w:rsidP="00A46332">
            <w:pPr>
              <w:spacing w:after="0" w:line="240" w:lineRule="auto"/>
              <w:jc w:val="both"/>
              <w:rPr>
                <w:rFonts w:ascii="Times New Roman" w:hAnsi="Times New Roman"/>
              </w:rPr>
            </w:pPr>
          </w:p>
          <w:p w14:paraId="7D7ECC8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alin. (10), cuvântul „bănci” substituit cu cuvântul “instituții de credit”.</w:t>
            </w:r>
          </w:p>
          <w:p w14:paraId="0479B67C" w14:textId="77777777" w:rsidR="008E7C06" w:rsidRPr="005D6998" w:rsidRDefault="008E7C06" w:rsidP="00A46332">
            <w:pPr>
              <w:spacing w:after="0" w:line="240" w:lineRule="auto"/>
              <w:jc w:val="both"/>
              <w:rPr>
                <w:rFonts w:ascii="Times New Roman" w:hAnsi="Times New Roman"/>
              </w:rPr>
            </w:pPr>
          </w:p>
          <w:p w14:paraId="4C5A595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alin. (12), sintagma “componența acestuia” se redactează – „componența organului de conducere”.</w:t>
            </w:r>
          </w:p>
          <w:p w14:paraId="41220B1D" w14:textId="77777777" w:rsidR="008E7C06" w:rsidRPr="005D6998" w:rsidRDefault="008E7C06" w:rsidP="00A46332">
            <w:pPr>
              <w:spacing w:after="0" w:line="240" w:lineRule="auto"/>
              <w:jc w:val="both"/>
              <w:rPr>
                <w:rFonts w:ascii="Times New Roman" w:hAnsi="Times New Roman"/>
              </w:rPr>
            </w:pPr>
          </w:p>
          <w:p w14:paraId="52112D5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(16) va avea următorul cuprins:</w:t>
            </w:r>
          </w:p>
          <w:p w14:paraId="7804C88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„(16) Entitatea trebuie să includă în contractele individuale de muncă încheiate cu membrii organului executiv sau cu persoanele care reprezintă conducerea superioară clauze care să asigure posibilitatea respectării de către entitate a </w:t>
            </w:r>
            <w:r w:rsidRPr="005D6998">
              <w:rPr>
                <w:rFonts w:ascii="Times New Roman" w:hAnsi="Times New Roman"/>
                <w:b/>
                <w:bCs/>
              </w:rPr>
              <w:t>măsurilor, sancţiunilor, penalităților cu titlu cominatoriu şi măsurilor sancţionatorii</w:t>
            </w:r>
            <w:r w:rsidRPr="005D6998">
              <w:rPr>
                <w:rFonts w:ascii="Times New Roman" w:hAnsi="Times New Roman"/>
              </w:rPr>
              <w:t xml:space="preserve"> prevăzute la art.139 şi 141, </w:t>
            </w:r>
            <w:r w:rsidRPr="005D6998">
              <w:rPr>
                <w:rFonts w:ascii="Times New Roman" w:hAnsi="Times New Roman"/>
                <w:b/>
                <w:bCs/>
              </w:rPr>
              <w:t>inclusiv fără asigurarea</w:t>
            </w:r>
            <w:r w:rsidRPr="005D6998">
              <w:rPr>
                <w:rFonts w:ascii="Times New Roman" w:hAnsi="Times New Roman"/>
              </w:rPr>
              <w:t xml:space="preserve"> plății salariului suplimentar şi altor </w:t>
            </w:r>
            <w:r w:rsidRPr="005D6998">
              <w:rPr>
                <w:rFonts w:ascii="Times New Roman" w:hAnsi="Times New Roman"/>
              </w:rPr>
              <w:lastRenderedPageBreak/>
              <w:t>plăţi de stimulare şi compensare în astfel de cazuri respectivelor persoane”.</w:t>
            </w:r>
          </w:p>
          <w:p w14:paraId="6A8DDB27" w14:textId="77777777" w:rsidR="008E7C06" w:rsidRPr="005D6998" w:rsidRDefault="008E7C06" w:rsidP="00A46332">
            <w:pPr>
              <w:spacing w:after="0" w:line="240" w:lineRule="auto"/>
              <w:jc w:val="both"/>
              <w:rPr>
                <w:rFonts w:ascii="Times New Roman" w:hAnsi="Times New Roman"/>
              </w:rPr>
            </w:pPr>
          </w:p>
        </w:tc>
      </w:tr>
      <w:tr w:rsidR="008E7C06" w:rsidRPr="005D6998" w14:paraId="6F254793" w14:textId="77777777" w:rsidTr="00651F58">
        <w:trPr>
          <w:gridAfter w:val="2"/>
          <w:wAfter w:w="153" w:type="dxa"/>
          <w:trHeight w:val="105"/>
        </w:trPr>
        <w:tc>
          <w:tcPr>
            <w:tcW w:w="899" w:type="dxa"/>
            <w:gridSpan w:val="3"/>
            <w:shd w:val="clear" w:color="auto" w:fill="FFFFFF"/>
          </w:tcPr>
          <w:p w14:paraId="0150B006"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F7D77D3"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40</w:t>
            </w:r>
            <w:r w:rsidRPr="005D6998">
              <w:rPr>
                <w:rFonts w:ascii="Times New Roman" w:hAnsi="Times New Roman"/>
              </w:rPr>
              <w:t xml:space="preserve">. Se completează cu </w:t>
            </w:r>
            <w:r w:rsidRPr="005D6998">
              <w:rPr>
                <w:rFonts w:ascii="Times New Roman" w:hAnsi="Times New Roman"/>
                <w:b/>
                <w:bCs/>
              </w:rPr>
              <w:t>articolul 44</w:t>
            </w:r>
            <w:r w:rsidRPr="005D6998">
              <w:rPr>
                <w:rFonts w:ascii="Times New Roman" w:hAnsi="Times New Roman"/>
                <w:b/>
                <w:bCs/>
                <w:vertAlign w:val="superscript"/>
              </w:rPr>
              <w:t xml:space="preserve">1 </w:t>
            </w:r>
            <w:r w:rsidRPr="005D6998">
              <w:rPr>
                <w:rFonts w:ascii="Times New Roman" w:hAnsi="Times New Roman"/>
              </w:rPr>
              <w:t xml:space="preserve">și </w:t>
            </w:r>
            <w:r w:rsidRPr="005D6998">
              <w:rPr>
                <w:rFonts w:ascii="Times New Roman" w:hAnsi="Times New Roman"/>
                <w:b/>
                <w:bCs/>
              </w:rPr>
              <w:t>articolul 44</w:t>
            </w:r>
            <w:r w:rsidRPr="005D6998">
              <w:rPr>
                <w:rFonts w:ascii="Times New Roman" w:hAnsi="Times New Roman"/>
                <w:b/>
                <w:bCs/>
                <w:vertAlign w:val="superscript"/>
              </w:rPr>
              <w:t xml:space="preserve">2 </w:t>
            </w:r>
            <w:r w:rsidRPr="005D6998">
              <w:rPr>
                <w:rFonts w:ascii="Times New Roman" w:hAnsi="Times New Roman"/>
              </w:rPr>
              <w:t>cu următorul cuprins:</w:t>
            </w:r>
          </w:p>
          <w:p w14:paraId="5B6AA27C"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Pr>
                <w:rFonts w:ascii="Times New Roman" w:hAnsi="Times New Roman"/>
                <w:b/>
                <w:bCs/>
              </w:rPr>
              <w:t>Articolul 44</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Persoanele care dețin funcții-cheie și evaluarea adecvării</w:t>
            </w:r>
          </w:p>
          <w:p w14:paraId="24E8434E"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D339BF">
              <w:rPr>
                <w:rFonts w:ascii="Times New Roman" w:hAnsi="Times New Roman"/>
              </w:rPr>
              <w:t xml:space="preserve"> </w:t>
            </w:r>
          </w:p>
          <w:p w14:paraId="7D6AD7CE"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(11) Banca Națională a Moldovei reevaluează adecvarea persoanelor care dețin funcții-cheie, numai în cazul în care s-au modificat anumite informații relevante care îi sunt cunoscute și această modificare poate afecta adecvarea acestora. </w:t>
            </w:r>
          </w:p>
          <w:p w14:paraId="06E5FD30"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(12) Prevederile art. 43 alin. (15) se aplică în mod corespunzător cu privire la persoanele cu funcții-cheie, inclusiv informațiile referitoare la aceste persoane.</w:t>
            </w:r>
          </w:p>
          <w:p w14:paraId="402EDDF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4C7916">
              <w:rPr>
                <w:rFonts w:ascii="Times New Roman" w:hAnsi="Times New Roman"/>
              </w:rPr>
              <w:t xml:space="preserve"> </w:t>
            </w:r>
          </w:p>
          <w:p w14:paraId="61058001" w14:textId="77777777" w:rsidR="008E7C06" w:rsidRPr="005D6998" w:rsidRDefault="008E7C06" w:rsidP="00A46332">
            <w:pPr>
              <w:spacing w:after="0" w:line="240" w:lineRule="auto"/>
              <w:ind w:firstLine="708"/>
              <w:jc w:val="both"/>
              <w:rPr>
                <w:rFonts w:ascii="Times New Roman" w:hAnsi="Times New Roman"/>
                <w:b/>
                <w:bCs/>
              </w:rPr>
            </w:pPr>
            <w:r w:rsidRPr="005D6998">
              <w:rPr>
                <w:rFonts w:ascii="Times New Roman" w:hAnsi="Times New Roman"/>
                <w:b/>
                <w:bCs/>
              </w:rPr>
              <w:t>Articolul 44</w:t>
            </w:r>
            <w:r w:rsidRPr="005D6998">
              <w:rPr>
                <w:rFonts w:ascii="Times New Roman" w:hAnsi="Times New Roman"/>
                <w:b/>
                <w:bCs/>
                <w:vertAlign w:val="superscript"/>
              </w:rPr>
              <w:t>2</w:t>
            </w:r>
            <w:r w:rsidRPr="005D6998">
              <w:rPr>
                <w:rFonts w:ascii="Times New Roman" w:hAnsi="Times New Roman"/>
                <w:b/>
                <w:bCs/>
              </w:rPr>
              <w:t xml:space="preserve">. </w:t>
            </w:r>
            <w:r w:rsidRPr="005D6998">
              <w:rPr>
                <w:rFonts w:ascii="Times New Roman" w:hAnsi="Times New Roman"/>
              </w:rPr>
              <w:t>Funcțiile de control intern</w:t>
            </w:r>
          </w:p>
          <w:p w14:paraId="2B0C8034"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b/>
                <w:bCs/>
              </w:rPr>
              <w:t>[...]</w:t>
            </w:r>
            <w:r w:rsidRPr="005D6998" w:rsidDel="004C7916">
              <w:rPr>
                <w:rFonts w:ascii="Times New Roman" w:hAnsi="Times New Roman"/>
                <w:b/>
                <w:bCs/>
              </w:rPr>
              <w:t xml:space="preserve"> </w:t>
            </w:r>
            <w:r w:rsidRPr="005D6998">
              <w:rPr>
                <w:rFonts w:ascii="Times New Roman" w:hAnsi="Times New Roman"/>
              </w:rPr>
              <w:t xml:space="preserve">(4) Funcțiile de control intern trebuie să dispună de acces direct la consiliu și raportează direct acestuia. În acest scop, funcțiile de control intern sunt independente de membrii organului executiv și de persoanele care reprezintă </w:t>
            </w:r>
            <w:r w:rsidRPr="005D6998">
              <w:rPr>
                <w:rFonts w:ascii="Times New Roman" w:hAnsi="Times New Roman"/>
                <w:lang w:eastAsia="ro-MD"/>
              </w:rPr>
              <w:t>conducerea superioară</w:t>
            </w:r>
            <w:r w:rsidRPr="005D6998">
              <w:rPr>
                <w:rFonts w:ascii="Times New Roman" w:hAnsi="Times New Roman"/>
              </w:rPr>
              <w:t xml:space="preserve">,  pot face sesizări și pot </w:t>
            </w:r>
            <w:r w:rsidRPr="005D6998">
              <w:rPr>
                <w:rFonts w:ascii="Times New Roman" w:hAnsi="Times New Roman"/>
              </w:rPr>
              <w:lastRenderedPageBreak/>
              <w:t>avertiza consiliul, atunci când este cazul sau dacă au loc evoluții specifice ale riscurilor care afectează sau pot să afecteze instituția de credit, fără a aduce atingere responsabilităților pe care le are organul de conducere în conformitate cu prezenta lege și actele normative ale Băncii Naționale a  Moldovei emise în aplicarea acesteia</w:t>
            </w:r>
          </w:p>
          <w:p w14:paraId="199F1C9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081799B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C705C9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4D9DE527" w14:textId="77777777" w:rsidR="008E7C06" w:rsidRPr="005D6998" w:rsidRDefault="008E7C06" w:rsidP="00A46332">
            <w:pPr>
              <w:pStyle w:val="Default"/>
              <w:jc w:val="both"/>
              <w:rPr>
                <w:sz w:val="22"/>
                <w:szCs w:val="22"/>
              </w:rPr>
            </w:pPr>
            <w:r w:rsidRPr="005D6998">
              <w:rPr>
                <w:sz w:val="22"/>
                <w:szCs w:val="22"/>
              </w:rPr>
              <w:t xml:space="preserve">La pct. 40: </w:t>
            </w:r>
          </w:p>
          <w:p w14:paraId="3D6CD525" w14:textId="77777777" w:rsidR="008E7C06" w:rsidRPr="005D6998" w:rsidRDefault="008E7C06" w:rsidP="00A46332">
            <w:pPr>
              <w:pStyle w:val="Default"/>
              <w:jc w:val="both"/>
              <w:rPr>
                <w:sz w:val="22"/>
                <w:szCs w:val="22"/>
              </w:rPr>
            </w:pPr>
            <w:r w:rsidRPr="005D6998">
              <w:rPr>
                <w:sz w:val="22"/>
                <w:szCs w:val="22"/>
              </w:rPr>
              <w:t>Din redacția propusă pentru art. 44</w:t>
            </w:r>
            <w:r w:rsidRPr="005D6998">
              <w:rPr>
                <w:sz w:val="22"/>
                <w:szCs w:val="22"/>
                <w:vertAlign w:val="superscript"/>
              </w:rPr>
              <w:t>1</w:t>
            </w:r>
            <w:r w:rsidRPr="005D6998">
              <w:rPr>
                <w:sz w:val="22"/>
                <w:szCs w:val="22"/>
              </w:rPr>
              <w:t xml:space="preserve"> alin. (11) și (12), sintagma „persoanele cu funcții-cheie” se va substitui cu sintagma „persoanele care dețin funcții-cheie, în vederea utilizării unei terminologii uniforme în tot textul proiectului. </w:t>
            </w:r>
          </w:p>
          <w:p w14:paraId="1339CD54" w14:textId="77777777" w:rsidR="008E7C06" w:rsidRPr="005D6998" w:rsidRDefault="008E7C06" w:rsidP="00A46332">
            <w:pPr>
              <w:pStyle w:val="Default"/>
              <w:jc w:val="both"/>
              <w:rPr>
                <w:sz w:val="22"/>
                <w:szCs w:val="22"/>
              </w:rPr>
            </w:pPr>
          </w:p>
          <w:p w14:paraId="2B86BDAC" w14:textId="77777777" w:rsidR="008E7C06" w:rsidRPr="005D6998" w:rsidRDefault="008E7C06" w:rsidP="00A46332">
            <w:pPr>
              <w:pStyle w:val="Default"/>
              <w:jc w:val="both"/>
              <w:rPr>
                <w:sz w:val="22"/>
                <w:szCs w:val="22"/>
              </w:rPr>
            </w:pPr>
            <w:r w:rsidRPr="005D6998">
              <w:rPr>
                <w:sz w:val="22"/>
                <w:szCs w:val="22"/>
              </w:rPr>
              <w:t>În redacția propusă pentru art. 44</w:t>
            </w:r>
            <w:r w:rsidRPr="005D6998">
              <w:rPr>
                <w:sz w:val="22"/>
                <w:szCs w:val="22"/>
                <w:vertAlign w:val="superscript"/>
              </w:rPr>
              <w:t>2</w:t>
            </w:r>
            <w:r w:rsidRPr="005D6998">
              <w:rPr>
                <w:sz w:val="22"/>
                <w:szCs w:val="22"/>
              </w:rPr>
              <w:t xml:space="preserve"> alin. (4), se vor revizui cuvintele „să dispună de acces direct la consiliu”, întrucât sunt susceptibile de interpretări diferite.</w:t>
            </w:r>
          </w:p>
        </w:tc>
        <w:tc>
          <w:tcPr>
            <w:tcW w:w="4960" w:type="dxa"/>
            <w:gridSpan w:val="3"/>
            <w:shd w:val="clear" w:color="auto" w:fill="FFFFFF"/>
          </w:tcPr>
          <w:p w14:paraId="6B274520"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5C93CE11"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Sintagma „persoanele cu funcții-cheie” se substituie cu sintagma „persoanele care dețin funcții-cheie</w:t>
            </w:r>
            <w:r w:rsidRPr="005D6998">
              <w:rPr>
                <w:rFonts w:ascii="Times New Roman" w:hAnsi="Times New Roman"/>
                <w:lang w:val="ro-MD"/>
              </w:rPr>
              <w:t>”.</w:t>
            </w:r>
          </w:p>
          <w:p w14:paraId="2D553C51" w14:textId="77777777" w:rsidR="008E7C06" w:rsidRPr="005D6998" w:rsidRDefault="008E7C06" w:rsidP="00A46332">
            <w:pPr>
              <w:spacing w:after="0" w:line="240" w:lineRule="auto"/>
              <w:jc w:val="both"/>
              <w:rPr>
                <w:rFonts w:ascii="Times New Roman" w:hAnsi="Times New Roman"/>
              </w:rPr>
            </w:pPr>
          </w:p>
          <w:p w14:paraId="39F7B69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Formularea „să dispună de acces direct la consiliu” este în concordanță cu art. 76 alin. (6) din Directiva 2013/36/UE, care prevede că funcțiile de control intern, fiind funcții independente de funcțiile operaționale (business),  trebuie să aibă „acces direct” și să poată raporta direct organului de conducere în funcția sa de supraveghere. </w:t>
            </w:r>
          </w:p>
        </w:tc>
      </w:tr>
      <w:tr w:rsidR="008E7C06" w:rsidRPr="005D6998" w14:paraId="6346968F" w14:textId="77777777" w:rsidTr="00651F58">
        <w:trPr>
          <w:gridAfter w:val="2"/>
          <w:wAfter w:w="153" w:type="dxa"/>
          <w:trHeight w:val="105"/>
        </w:trPr>
        <w:tc>
          <w:tcPr>
            <w:tcW w:w="899" w:type="dxa"/>
            <w:gridSpan w:val="3"/>
            <w:shd w:val="clear" w:color="auto" w:fill="FFFFFF"/>
          </w:tcPr>
          <w:p w14:paraId="0437C87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B134770"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41</w:t>
            </w:r>
            <w:r w:rsidRPr="005D6998">
              <w:rPr>
                <w:rFonts w:ascii="Times New Roman" w:hAnsi="Times New Roman"/>
              </w:rPr>
              <w:t>. Articolul 45:</w:t>
            </w:r>
          </w:p>
          <w:p w14:paraId="5DA88055"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8124E2">
              <w:rPr>
                <w:rFonts w:ascii="Times New Roman" w:hAnsi="Times New Roman"/>
              </w:rPr>
              <w:t xml:space="preserve"> </w:t>
            </w:r>
          </w:p>
          <w:p w14:paraId="2450256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se completează cu alineatul (9) cu următorul cuprins:</w:t>
            </w:r>
          </w:p>
          <w:p w14:paraId="31B7C92B"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„(9) În sensul prezentului capitol, prin sintagma „dobânditor” se au în vedere persoanele menționate la alin. (1) lit. b) și c).”.</w:t>
            </w:r>
          </w:p>
        </w:tc>
        <w:tc>
          <w:tcPr>
            <w:tcW w:w="1418" w:type="dxa"/>
            <w:gridSpan w:val="2"/>
            <w:shd w:val="clear" w:color="auto" w:fill="FFFFFF"/>
          </w:tcPr>
          <w:p w14:paraId="72AD4DE9"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D92D4E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4FFC73E" w14:textId="77777777" w:rsidR="008E7C06" w:rsidRPr="005D6998" w:rsidRDefault="008E7C06" w:rsidP="00A46332">
            <w:pPr>
              <w:pStyle w:val="Default"/>
              <w:jc w:val="both"/>
              <w:rPr>
                <w:sz w:val="22"/>
                <w:szCs w:val="22"/>
              </w:rPr>
            </w:pPr>
            <w:r w:rsidRPr="005D6998">
              <w:rPr>
                <w:sz w:val="22"/>
                <w:szCs w:val="22"/>
              </w:rPr>
              <w:t xml:space="preserve">La pct. 41: </w:t>
            </w:r>
          </w:p>
          <w:p w14:paraId="638B5715" w14:textId="77777777" w:rsidR="008E7C06" w:rsidRPr="005D6998" w:rsidRDefault="008E7C06" w:rsidP="00A46332">
            <w:pPr>
              <w:pStyle w:val="Default"/>
              <w:jc w:val="both"/>
              <w:rPr>
                <w:sz w:val="22"/>
                <w:szCs w:val="22"/>
              </w:rPr>
            </w:pPr>
            <w:r w:rsidRPr="005D6998">
              <w:rPr>
                <w:sz w:val="22"/>
                <w:szCs w:val="22"/>
              </w:rPr>
              <w:t>Nu se consideră oportună dispoziția propusă la art. 45 alin. (9), potrivit căreia, „În sensul prezentului capitol, prin sintagma „dobânditor” se au în vedere persoanele menționate la alin. (1) lit. b) și c).”. Or, pentru aplicarea comodă a prevederilor, se recomandă a se opta pentru utilizarea formulării „persoanele menționate la art. 45 alin. (1) lit. b) și c)”, în dispozițiile unde este necesar a face trimitere la aceste categorii de persoane.</w:t>
            </w:r>
          </w:p>
        </w:tc>
        <w:tc>
          <w:tcPr>
            <w:tcW w:w="4960" w:type="dxa"/>
            <w:gridSpan w:val="3"/>
            <w:shd w:val="clear" w:color="auto" w:fill="FFFFFF"/>
          </w:tcPr>
          <w:p w14:paraId="7398BE5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45CBA152"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Noțiunea de „dobânditor” este deja utilizată în art. 45 din Legea nr. 202/2017 și este cunoscută și aplicată în practica sectorului bancar. </w:t>
            </w:r>
          </w:p>
          <w:p w14:paraId="2FF88ECC"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Prin urmare, instituirea alin. (9) nu creează o noțiune nouă sau neclară, ci stabilește în mod expres, pentru întregul capitol, categoriile de persoane la care se referă această noțiune, evitând repetarea aceleiași trimiteri în fiecare dispoziție relevantă.</w:t>
            </w:r>
          </w:p>
          <w:p w14:paraId="6D8AF0F0"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Menținerea acestei tehnici legislative contribuie la concizia și aplicarea uniformă a dispozițiilor capitolului.</w:t>
            </w:r>
          </w:p>
          <w:p w14:paraId="064A164F" w14:textId="77777777" w:rsidR="008E7C06" w:rsidRPr="005D6998" w:rsidRDefault="008E7C06" w:rsidP="00A46332">
            <w:pPr>
              <w:spacing w:after="0" w:line="240" w:lineRule="auto"/>
              <w:jc w:val="both"/>
              <w:rPr>
                <w:rFonts w:ascii="Times New Roman" w:hAnsi="Times New Roman"/>
                <w:b/>
                <w:bCs/>
              </w:rPr>
            </w:pPr>
          </w:p>
        </w:tc>
      </w:tr>
      <w:tr w:rsidR="008E7C06" w:rsidRPr="005D6998" w14:paraId="0B7BA2E3" w14:textId="77777777" w:rsidTr="00651F58">
        <w:trPr>
          <w:gridAfter w:val="2"/>
          <w:wAfter w:w="153" w:type="dxa"/>
          <w:trHeight w:val="105"/>
        </w:trPr>
        <w:tc>
          <w:tcPr>
            <w:tcW w:w="899" w:type="dxa"/>
            <w:gridSpan w:val="3"/>
            <w:shd w:val="clear" w:color="auto" w:fill="FFFFFF"/>
          </w:tcPr>
          <w:p w14:paraId="260ADF31"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A211C37"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43</w:t>
            </w:r>
            <w:r w:rsidRPr="005D6998">
              <w:rPr>
                <w:rFonts w:ascii="Times New Roman" w:hAnsi="Times New Roman"/>
              </w:rPr>
              <w:t>. Articolul 47,</w:t>
            </w:r>
          </w:p>
          <w:p w14:paraId="33443369"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w:t>
            </w:r>
          </w:p>
          <w:p w14:paraId="5A751D4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ab/>
            </w:r>
            <w:r w:rsidRPr="005D6998">
              <w:rPr>
                <w:rFonts w:ascii="Times New Roman" w:hAnsi="Times New Roman"/>
              </w:rPr>
              <w:tab/>
              <w:t xml:space="preserve">la alineatul (4), cuvintele „solicitării” și „solicitarea” se substituie cu cuvintele </w:t>
            </w:r>
            <w:r w:rsidRPr="005D6998">
              <w:rPr>
                <w:rFonts w:ascii="Times New Roman" w:hAnsi="Times New Roman"/>
              </w:rPr>
              <w:br/>
              <w:t>“notificării”, respectiv „notificarea” iar textul „poate refuza eliberarea aprobării prealabile” se substituie cu textul „se poate opune achiziției propuse”;</w:t>
            </w:r>
          </w:p>
          <w:p w14:paraId="59F140B3"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r w:rsidRPr="005D6998">
              <w:rPr>
                <w:rFonts w:ascii="Times New Roman" w:hAnsi="Times New Roman"/>
              </w:rPr>
              <w:tab/>
            </w:r>
            <w:r w:rsidRPr="005D6998">
              <w:rPr>
                <w:rFonts w:ascii="Times New Roman" w:hAnsi="Times New Roman"/>
              </w:rPr>
              <w:tab/>
              <w:t xml:space="preserve">la alineatul (7), textul „refuzul sau acceptarea eliberării aprobării prealabile” se substituie cu textul „opoziția față de achiziție”, după cuvântul „acesteia” se completează cu </w:t>
            </w:r>
            <w:r w:rsidRPr="005D6998">
              <w:rPr>
                <w:rFonts w:ascii="Times New Roman" w:hAnsi="Times New Roman"/>
              </w:rPr>
              <w:lastRenderedPageBreak/>
              <w:t>textul „cu indicarea motivelor acesteia,” iar textul „ , iar în cazul refuzului, va indica motivele acestuia” se abrogă.</w:t>
            </w:r>
          </w:p>
          <w:p w14:paraId="174C024C"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5A00ED5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09DB9E8"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DF1E5ED" w14:textId="77777777" w:rsidR="008E7C06" w:rsidRPr="005D6998" w:rsidRDefault="008E7C06" w:rsidP="00A46332">
            <w:pPr>
              <w:pStyle w:val="Default"/>
              <w:jc w:val="both"/>
              <w:rPr>
                <w:color w:val="auto"/>
                <w:sz w:val="22"/>
                <w:szCs w:val="22"/>
              </w:rPr>
            </w:pPr>
            <w:r w:rsidRPr="005D6998">
              <w:rPr>
                <w:sz w:val="22"/>
                <w:szCs w:val="22"/>
              </w:rPr>
              <w:t>La pct. 43:</w:t>
            </w:r>
          </w:p>
          <w:p w14:paraId="740E9D9F" w14:textId="77777777" w:rsidR="008E7C06" w:rsidRPr="005D6998" w:rsidRDefault="008E7C06" w:rsidP="00A46332">
            <w:pPr>
              <w:pStyle w:val="Default"/>
              <w:pageBreakBefore/>
              <w:jc w:val="both"/>
              <w:rPr>
                <w:color w:val="auto"/>
                <w:sz w:val="22"/>
                <w:szCs w:val="22"/>
              </w:rPr>
            </w:pPr>
            <w:r w:rsidRPr="005D6998">
              <w:rPr>
                <w:color w:val="auto"/>
                <w:sz w:val="22"/>
                <w:szCs w:val="22"/>
              </w:rPr>
              <w:t xml:space="preserve">Prima parte a dispoziției de modificare a art. 47 alin. (4), se va reformula, în vederea expunerii că, cuvântul „solicitarea”, la orice formă gramaticală, se substituie cu cuvântul „notificarea”, la forma gramaticală corespunzătoare. </w:t>
            </w:r>
          </w:p>
          <w:p w14:paraId="6FC1C595" w14:textId="77777777" w:rsidR="008E7C06" w:rsidRPr="005D6998" w:rsidRDefault="008E7C06" w:rsidP="00A46332">
            <w:pPr>
              <w:pStyle w:val="Default"/>
              <w:pageBreakBefore/>
              <w:jc w:val="both"/>
              <w:rPr>
                <w:color w:val="auto"/>
                <w:sz w:val="22"/>
                <w:szCs w:val="22"/>
              </w:rPr>
            </w:pPr>
          </w:p>
          <w:p w14:paraId="77C5E9D3" w14:textId="77777777" w:rsidR="008E7C06" w:rsidRPr="005D6998" w:rsidRDefault="008E7C06" w:rsidP="00A46332">
            <w:pPr>
              <w:pStyle w:val="Default"/>
              <w:jc w:val="both"/>
              <w:rPr>
                <w:color w:val="auto"/>
                <w:sz w:val="22"/>
                <w:szCs w:val="22"/>
              </w:rPr>
            </w:pPr>
            <w:r w:rsidRPr="005D6998">
              <w:rPr>
                <w:color w:val="auto"/>
                <w:sz w:val="22"/>
                <w:szCs w:val="22"/>
              </w:rPr>
              <w:t xml:space="preserve">În dispoziția de modificare a art. 47 alin. (7), cuvântul „se abrogă” se va substitui cu cuvântul „se exclude”. </w:t>
            </w:r>
          </w:p>
          <w:p w14:paraId="7EA837DD" w14:textId="77777777" w:rsidR="008E7C06" w:rsidRPr="005D6998" w:rsidRDefault="008E7C06" w:rsidP="00A46332">
            <w:pPr>
              <w:pStyle w:val="Default"/>
              <w:jc w:val="both"/>
              <w:rPr>
                <w:color w:val="auto"/>
                <w:sz w:val="22"/>
                <w:szCs w:val="22"/>
              </w:rPr>
            </w:pPr>
          </w:p>
          <w:p w14:paraId="16740F00" w14:textId="77777777" w:rsidR="008E7C06" w:rsidRPr="005D6998" w:rsidRDefault="008E7C06" w:rsidP="00A46332">
            <w:pPr>
              <w:pStyle w:val="Default"/>
              <w:jc w:val="both"/>
              <w:rPr>
                <w:sz w:val="22"/>
                <w:szCs w:val="22"/>
              </w:rPr>
            </w:pPr>
            <w:r w:rsidRPr="005D6998">
              <w:rPr>
                <w:color w:val="auto"/>
                <w:sz w:val="22"/>
                <w:szCs w:val="22"/>
              </w:rPr>
              <w:t xml:space="preserve">În acest sens, se va reține că, potrivit regulilor de tehnică legislativă, pentru exprimarea normativă a intenției de scoatere </w:t>
            </w:r>
            <w:r w:rsidRPr="005D6998">
              <w:rPr>
                <w:color w:val="auto"/>
                <w:sz w:val="22"/>
                <w:szCs w:val="22"/>
              </w:rPr>
              <w:lastRenderedPageBreak/>
              <w:t>din vigoare a unor elemente structurale, se utilizează cuvintele „se abrogă” și nu „se exclude”. Sintagma „se exclude” se utilizează doar în cazul excluderii unor cuvinte, sintagme, propoziții.</w:t>
            </w:r>
          </w:p>
        </w:tc>
        <w:tc>
          <w:tcPr>
            <w:tcW w:w="4960" w:type="dxa"/>
            <w:gridSpan w:val="3"/>
            <w:shd w:val="clear" w:color="auto" w:fill="FFFFFF"/>
          </w:tcPr>
          <w:p w14:paraId="7D703442"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5491D03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Se redactează modificarea art. 47 alin. (4) după cum urmează:</w:t>
            </w:r>
          </w:p>
          <w:p w14:paraId="78ECF0B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ro-MD"/>
              </w:rPr>
              <w:t>“</w:t>
            </w:r>
            <w:r w:rsidRPr="005D6998">
              <w:rPr>
                <w:rFonts w:ascii="Times New Roman" w:hAnsi="Times New Roman"/>
              </w:rPr>
              <w:t xml:space="preserve">la alineatul (4), cuvântul „solicitarea” la orice formă gramaticală se substituie cu cuvântul </w:t>
            </w:r>
            <w:r w:rsidRPr="005D6998">
              <w:rPr>
                <w:rFonts w:ascii="Times New Roman" w:hAnsi="Times New Roman"/>
              </w:rPr>
              <w:br/>
              <w:t>“notificarea” la forma gramaticală corespunzătoare, iar textul „poate refuza eliberarea aprobării prealabile” se substituie cu textul „se poate opune achiziției propuse”;”.</w:t>
            </w:r>
          </w:p>
          <w:p w14:paraId="34DAB109" w14:textId="77777777" w:rsidR="008E7C06" w:rsidRPr="005D6998" w:rsidRDefault="008E7C06" w:rsidP="00A46332">
            <w:pPr>
              <w:spacing w:after="0" w:line="240" w:lineRule="auto"/>
              <w:jc w:val="both"/>
              <w:rPr>
                <w:rFonts w:ascii="Times New Roman" w:hAnsi="Times New Roman"/>
              </w:rPr>
            </w:pPr>
          </w:p>
          <w:p w14:paraId="44C66E20"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La modificarea art. 47 alin. (7), cuvântul „se abrogă” se substituie cu cuvântul „se exclude”.</w:t>
            </w:r>
          </w:p>
        </w:tc>
      </w:tr>
      <w:tr w:rsidR="008E7C06" w:rsidRPr="005D6998" w14:paraId="309C48F0" w14:textId="77777777" w:rsidTr="00651F58">
        <w:trPr>
          <w:gridAfter w:val="2"/>
          <w:wAfter w:w="153" w:type="dxa"/>
          <w:trHeight w:val="105"/>
        </w:trPr>
        <w:tc>
          <w:tcPr>
            <w:tcW w:w="899" w:type="dxa"/>
            <w:gridSpan w:val="3"/>
            <w:shd w:val="clear" w:color="auto" w:fill="FFFFFF"/>
          </w:tcPr>
          <w:p w14:paraId="2124891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1AC6B7C"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44</w:t>
            </w:r>
            <w:r w:rsidRPr="005D6998">
              <w:rPr>
                <w:rFonts w:ascii="Times New Roman" w:hAnsi="Times New Roman"/>
              </w:rPr>
              <w:t>. Articolul 48:</w:t>
            </w:r>
          </w:p>
          <w:p w14:paraId="1EA44100"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w:t>
            </w:r>
          </w:p>
          <w:p w14:paraId="1E5E6562"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ab/>
            </w:r>
            <w:r w:rsidRPr="005D6998">
              <w:rPr>
                <w:rFonts w:ascii="Times New Roman" w:hAnsi="Times New Roman"/>
              </w:rPr>
              <w:tab/>
              <w:t>la alineatul (3), textul „va elibera aprobarea prealabilă doar” se substituie cu textul „se poate opune achiziției propuse”, la litera a), cuvântul „este” se substituie cu cuvintele „nu este”;</w:t>
            </w:r>
          </w:p>
          <w:p w14:paraId="266425EA"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la litera b), cuvântul „nu” se exclude iar cuvintele “beneficiarul efectiv al achiziției propuse” se substituie cu cuvintele “beneficiarul real al deținerii”, la litera c), cuvântul „nu” se exclude iar cuvintele “beneficiarul efectiv” se substituie cu cuvintele “beneficiarul real al deținerii”, la litera d), textul „complete și/sau nu conțin” se substituie cu textul „incomplete și/sau conțin”;</w:t>
            </w:r>
          </w:p>
          <w:p w14:paraId="6B0F3628"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r>
            <w:r w:rsidRPr="005D6998">
              <w:rPr>
                <w:rFonts w:ascii="Times New Roman" w:hAnsi="Times New Roman"/>
              </w:rPr>
              <w:tab/>
              <w:t>se completează cu alineatul (3</w:t>
            </w:r>
            <w:r w:rsidRPr="005D6998">
              <w:rPr>
                <w:rFonts w:ascii="Times New Roman" w:hAnsi="Times New Roman"/>
                <w:vertAlign w:val="superscript"/>
              </w:rPr>
              <w:t>1</w:t>
            </w:r>
            <w:r w:rsidRPr="005D6998">
              <w:rPr>
                <w:rFonts w:ascii="Times New Roman" w:hAnsi="Times New Roman"/>
              </w:rPr>
              <w:t>) cu următorul cuprins:</w:t>
            </w:r>
          </w:p>
          <w:p w14:paraId="419D868E"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„(3</w:t>
            </w:r>
            <w:r w:rsidRPr="005D6998">
              <w:rPr>
                <w:rFonts w:ascii="Times New Roman" w:hAnsi="Times New Roman"/>
                <w:vertAlign w:val="superscript"/>
              </w:rPr>
              <w:t>1</w:t>
            </w:r>
            <w:r w:rsidRPr="005D6998">
              <w:rPr>
                <w:rFonts w:ascii="Times New Roman" w:hAnsi="Times New Roman"/>
              </w:rPr>
              <w:t>) În scopul alin. (3) și în ceea ce privește criteriul prevăzut la alin. (1) lit. e), luând în considerare prevederile alin. (1</w:t>
            </w:r>
            <w:r w:rsidRPr="005D6998">
              <w:rPr>
                <w:rFonts w:ascii="Times New Roman" w:hAnsi="Times New Roman"/>
                <w:vertAlign w:val="superscript"/>
              </w:rPr>
              <w:t>1</w:t>
            </w:r>
            <w:r w:rsidRPr="005D6998">
              <w:rPr>
                <w:rFonts w:ascii="Times New Roman" w:hAnsi="Times New Roman"/>
              </w:rPr>
              <w:t xml:space="preserve">), la evaluarea adecvării achizitorului potenţial, Banca Națională a Moldovei va avea în vedere în mod corespunzător avizul negativ din partea organul cu funcții de supraveghere în domeniul combaterii spălării banilor sau a finanțării terorismului în conformitate cu Legea nr. 308/2017, recepționat în termen de </w:t>
            </w:r>
            <w:r w:rsidRPr="005D6998">
              <w:rPr>
                <w:rFonts w:ascii="Times New Roman" w:hAnsi="Times New Roman"/>
              </w:rPr>
              <w:lastRenderedPageBreak/>
              <w:t>30 de zile lucrătoare de la cererea inițială, acesta putând constitui un motiv rezonabil de opoziție.”;</w:t>
            </w:r>
          </w:p>
          <w:p w14:paraId="533FD05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8124E2">
              <w:rPr>
                <w:rFonts w:ascii="Times New Roman" w:hAnsi="Times New Roman"/>
              </w:rPr>
              <w:t xml:space="preserve"> </w:t>
            </w:r>
          </w:p>
          <w:p w14:paraId="5227D8B8"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la alineatul (7), cuvintele „aprobarea prealabilă a Băncii Naționale a Moldovei este” se substituie cu cuvintele „Banca Națională a Moldovei este notificată”.</w:t>
            </w:r>
          </w:p>
        </w:tc>
        <w:tc>
          <w:tcPr>
            <w:tcW w:w="1418" w:type="dxa"/>
            <w:gridSpan w:val="2"/>
            <w:shd w:val="clear" w:color="auto" w:fill="FFFFFF"/>
          </w:tcPr>
          <w:p w14:paraId="5DB1D92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AE4332A"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F8B9A1D" w14:textId="77777777" w:rsidR="008E7C06" w:rsidRPr="005D6998" w:rsidRDefault="008E7C06" w:rsidP="00A46332">
            <w:pPr>
              <w:pStyle w:val="Default"/>
              <w:jc w:val="both"/>
              <w:rPr>
                <w:sz w:val="22"/>
                <w:szCs w:val="22"/>
              </w:rPr>
            </w:pPr>
            <w:r w:rsidRPr="005D6998">
              <w:rPr>
                <w:sz w:val="22"/>
                <w:szCs w:val="22"/>
              </w:rPr>
              <w:t xml:space="preserve">La pct. 44: </w:t>
            </w:r>
          </w:p>
          <w:p w14:paraId="59A42BCA" w14:textId="77777777" w:rsidR="008E7C06" w:rsidRPr="005D6998" w:rsidRDefault="008E7C06" w:rsidP="00A46332">
            <w:pPr>
              <w:pStyle w:val="Default"/>
              <w:jc w:val="both"/>
              <w:rPr>
                <w:sz w:val="22"/>
                <w:szCs w:val="22"/>
              </w:rPr>
            </w:pPr>
            <w:r w:rsidRPr="005D6998">
              <w:rPr>
                <w:sz w:val="22"/>
                <w:szCs w:val="22"/>
              </w:rPr>
              <w:t xml:space="preserve">În dispozițiile de modificare a art. 48 alin. (3) se recomandă a prevedea că textul „va elibera aprobarea prealabilă doar dacă:” se substituie cu textul „nu se poate opune achiziției propuse, dacă:”. </w:t>
            </w:r>
          </w:p>
          <w:p w14:paraId="0A30DBE6" w14:textId="77777777" w:rsidR="008E7C06" w:rsidRPr="005D6998" w:rsidRDefault="008E7C06" w:rsidP="00A46332">
            <w:pPr>
              <w:pStyle w:val="Default"/>
              <w:jc w:val="both"/>
              <w:rPr>
                <w:sz w:val="22"/>
                <w:szCs w:val="22"/>
              </w:rPr>
            </w:pPr>
            <w:r w:rsidRPr="005D6998">
              <w:rPr>
                <w:sz w:val="22"/>
                <w:szCs w:val="22"/>
              </w:rPr>
              <w:t xml:space="preserve">Această intervenție propusă denotă inutilitatea intervenției normative la fiecare literă a alin. (3), referitoare la includerea sau excluderea negației unei acțiuni. </w:t>
            </w:r>
          </w:p>
          <w:p w14:paraId="0F70AF2B" w14:textId="77777777" w:rsidR="008E7C06" w:rsidRPr="005D6998" w:rsidRDefault="008E7C06" w:rsidP="00A46332">
            <w:pPr>
              <w:pStyle w:val="Default"/>
              <w:jc w:val="both"/>
              <w:rPr>
                <w:sz w:val="22"/>
                <w:szCs w:val="22"/>
              </w:rPr>
            </w:pPr>
          </w:p>
          <w:p w14:paraId="70FCC954" w14:textId="77777777" w:rsidR="008E7C06" w:rsidRPr="005D6998" w:rsidRDefault="008E7C06" w:rsidP="00A46332">
            <w:pPr>
              <w:pStyle w:val="Default"/>
              <w:jc w:val="both"/>
              <w:rPr>
                <w:sz w:val="22"/>
                <w:szCs w:val="22"/>
              </w:rPr>
            </w:pPr>
            <w:r w:rsidRPr="005D6998">
              <w:rPr>
                <w:sz w:val="22"/>
                <w:szCs w:val="22"/>
              </w:rPr>
              <w:t>În subsidiar, luând în considerare, propunerea de mai sus, din dispoziția alin. (3</w:t>
            </w:r>
            <w:r w:rsidRPr="005D6998">
              <w:rPr>
                <w:sz w:val="22"/>
                <w:szCs w:val="22"/>
                <w:vertAlign w:val="superscript"/>
              </w:rPr>
              <w:t>1</w:t>
            </w:r>
            <w:r w:rsidRPr="005D6998">
              <w:rPr>
                <w:sz w:val="22"/>
                <w:szCs w:val="22"/>
              </w:rPr>
              <w:t xml:space="preserve">) al art. 48, se va exclude cuvântul „negativ”. </w:t>
            </w:r>
          </w:p>
          <w:p w14:paraId="2CC48B03" w14:textId="77777777" w:rsidR="008E7C06" w:rsidRPr="005D6998" w:rsidRDefault="008E7C06" w:rsidP="00A46332">
            <w:pPr>
              <w:pStyle w:val="Default"/>
              <w:jc w:val="both"/>
              <w:rPr>
                <w:sz w:val="22"/>
                <w:szCs w:val="22"/>
              </w:rPr>
            </w:pPr>
          </w:p>
          <w:p w14:paraId="0B15B05C" w14:textId="77777777" w:rsidR="008E7C06" w:rsidRPr="005D6998" w:rsidRDefault="008E7C06" w:rsidP="00A46332">
            <w:pPr>
              <w:pStyle w:val="Default"/>
              <w:jc w:val="both"/>
              <w:rPr>
                <w:sz w:val="22"/>
                <w:szCs w:val="22"/>
              </w:rPr>
            </w:pPr>
            <w:r w:rsidRPr="005D6998">
              <w:rPr>
                <w:sz w:val="22"/>
                <w:szCs w:val="22"/>
              </w:rPr>
              <w:t>În dispoziția de modificare a art. 48 alin. (7), se recomandă a prevedea că, cuvintele „aprobarea prealabilă a Băncii Naționale a Moldovei este solicitată” se substituie cu cuvintele „Banca Națională a Moldovei este notificată”.</w:t>
            </w:r>
          </w:p>
        </w:tc>
        <w:tc>
          <w:tcPr>
            <w:tcW w:w="4960" w:type="dxa"/>
            <w:gridSpan w:val="3"/>
            <w:shd w:val="clear" w:color="auto" w:fill="FFFFFF"/>
          </w:tcPr>
          <w:p w14:paraId="5A1B6AB9"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68DA28F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 xml:space="preserve">Formularea propusă la art. 48 alin. (3) urmărește transpunerea art. 23 alin. (2) din Directiva 2013/36/UE, care stabilește în mod expres circumstanțele în care autoritatea competentă </w:t>
            </w:r>
            <w:r w:rsidRPr="005D6998">
              <w:rPr>
                <w:rFonts w:ascii="Times New Roman" w:hAnsi="Times New Roman"/>
                <w:b/>
                <w:bCs/>
              </w:rPr>
              <w:t>se poate opune achiziției propuse.</w:t>
            </w:r>
          </w:p>
          <w:p w14:paraId="1462DCA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Prin urmare, menținerea formulării „se poate opune achiziției propuse dacă” asigură corespondența directă cu norma europeană și reflectă competența discreționară a BNM de a se opune achiziției în cazul existenței circumstanțelor prevăzute de lege.</w:t>
            </w:r>
          </w:p>
          <w:p w14:paraId="2FB6F637" w14:textId="77777777" w:rsidR="008E7C06" w:rsidRPr="005D6998" w:rsidRDefault="008E7C06" w:rsidP="00A46332">
            <w:pPr>
              <w:spacing w:after="0" w:line="240" w:lineRule="auto"/>
              <w:jc w:val="both"/>
              <w:rPr>
                <w:rFonts w:ascii="Times New Roman" w:hAnsi="Times New Roman"/>
              </w:rPr>
            </w:pPr>
          </w:p>
          <w:p w14:paraId="19105AC6"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Aceeași abordare este valabilă și pentru alin. (3</w:t>
            </w:r>
            <w:r w:rsidRPr="005D6998">
              <w:rPr>
                <w:rFonts w:ascii="Times New Roman" w:hAnsi="Times New Roman"/>
                <w:vertAlign w:val="superscript"/>
              </w:rPr>
              <w:t>1</w:t>
            </w:r>
            <w:r w:rsidRPr="005D6998">
              <w:rPr>
                <w:rFonts w:ascii="Times New Roman" w:hAnsi="Times New Roman"/>
              </w:rPr>
              <w:t xml:space="preserve">) al art. 48 care transpune </w:t>
            </w:r>
            <w:r w:rsidRPr="005D6998">
              <w:rPr>
                <w:rFonts w:ascii="Times New Roman" w:hAnsi="Times New Roman"/>
                <w:lang w:val="ro-MD"/>
              </w:rPr>
              <w:t>art. 23 alin. (2) din Directiva 2013/36/UE. Directiva prevede că un aviz negativ al autorității competente în domeniul prevenirii și combaterii spălării banilor și finanțării terorismului poate constitui un motiv rezonabil de opoziție la achiziția propusă.</w:t>
            </w:r>
          </w:p>
          <w:p w14:paraId="237719A6"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Prin urmare, eliminarea cuvântului „negativ” ar modifica sensul normei, întrucât orice aviz, indiferent de conținutul acestuia, ar putea fi interpretat ca putând constitui motiv de opoziție.</w:t>
            </w:r>
          </w:p>
          <w:p w14:paraId="2B1FC63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 </w:t>
            </w:r>
          </w:p>
          <w:p w14:paraId="7D047F8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Modificarea art. 48 alin. (7) redactată conform propunerii – cuvintele „aprobarea prealabilă a Băncii Naționale a Moldovei este solicitată” se substituie cu cuvintele „Banca Națională a Moldovei este notificată”.</w:t>
            </w:r>
          </w:p>
        </w:tc>
      </w:tr>
      <w:tr w:rsidR="008E7C06" w:rsidRPr="005D6998" w14:paraId="5284BE70" w14:textId="77777777" w:rsidTr="00651F58">
        <w:trPr>
          <w:gridAfter w:val="2"/>
          <w:wAfter w:w="153" w:type="dxa"/>
          <w:trHeight w:val="105"/>
        </w:trPr>
        <w:tc>
          <w:tcPr>
            <w:tcW w:w="899" w:type="dxa"/>
            <w:gridSpan w:val="3"/>
            <w:shd w:val="clear" w:color="auto" w:fill="FFFFFF"/>
          </w:tcPr>
          <w:p w14:paraId="76A6E75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C05F1BB"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45</w:t>
            </w:r>
            <w:r w:rsidRPr="005D6998">
              <w:rPr>
                <w:rFonts w:ascii="Times New Roman" w:hAnsi="Times New Roman"/>
              </w:rPr>
              <w:t>. Articolul 49,</w:t>
            </w:r>
          </w:p>
          <w:p w14:paraId="0B17A054"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b/>
            </w:r>
            <w:r w:rsidRPr="005D6998">
              <w:rPr>
                <w:rFonts w:ascii="Times New Roman" w:hAnsi="Times New Roman"/>
              </w:rPr>
              <w:tab/>
              <w:t>„titlul articolului se completează cu textul „/dobânditorului”;</w:t>
            </w:r>
          </w:p>
          <w:p w14:paraId="246E60B4"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398096F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52D00DD"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A86E46A" w14:textId="77777777" w:rsidR="008E7C06" w:rsidRPr="005D6998" w:rsidRDefault="008E7C06" w:rsidP="00A46332">
            <w:pPr>
              <w:pStyle w:val="Default"/>
              <w:jc w:val="both"/>
              <w:rPr>
                <w:sz w:val="22"/>
                <w:szCs w:val="22"/>
              </w:rPr>
            </w:pPr>
            <w:r w:rsidRPr="005D6998">
              <w:rPr>
                <w:sz w:val="22"/>
                <w:szCs w:val="22"/>
              </w:rPr>
              <w:t xml:space="preserve">La pct. 45, cuvintele „titlul articolului” se va substitui cu cuvântul „denumirea”, în conformitate cu terminologia utilizată în art. 51 alin. (2) al Legii nr. 100/2017 (observație valabilă și pentru pct. 77, cu referire la modificarea art. 99). </w:t>
            </w:r>
          </w:p>
          <w:p w14:paraId="23F5B750" w14:textId="77777777" w:rsidR="008E7C06" w:rsidRPr="005D6998" w:rsidRDefault="008E7C06" w:rsidP="00A46332">
            <w:pPr>
              <w:pStyle w:val="Default"/>
              <w:jc w:val="both"/>
              <w:rPr>
                <w:sz w:val="22"/>
                <w:szCs w:val="22"/>
              </w:rPr>
            </w:pPr>
            <w:r w:rsidRPr="005D6998">
              <w:rPr>
                <w:sz w:val="22"/>
                <w:szCs w:val="22"/>
              </w:rPr>
              <w:t>Totodată, dispozițiile de modificare a alin. (1) al art. 49 se vor diviza în alineate distincte.</w:t>
            </w:r>
          </w:p>
        </w:tc>
        <w:tc>
          <w:tcPr>
            <w:tcW w:w="4960" w:type="dxa"/>
            <w:gridSpan w:val="3"/>
            <w:shd w:val="clear" w:color="auto" w:fill="FFFFFF"/>
          </w:tcPr>
          <w:p w14:paraId="248634D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4BA58EC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Pct. 45 redactat conform propunerii –</w:t>
            </w:r>
            <w:r w:rsidRPr="005D6998">
              <w:rPr>
                <w:rFonts w:ascii="Times New Roman" w:hAnsi="Times New Roman"/>
                <w:lang w:val="ro-MD"/>
              </w:rPr>
              <w:t>“</w:t>
            </w:r>
            <w:r w:rsidRPr="005D6998">
              <w:rPr>
                <w:rFonts w:ascii="Times New Roman" w:hAnsi="Times New Roman"/>
              </w:rPr>
              <w:t>titlul articolului” se substituie cu cuvântul „denumirea”.</w:t>
            </w:r>
          </w:p>
          <w:p w14:paraId="2962E8A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Dispozițiile de modificare a alin. (1) al art. 49 se divizează în alineate distincte.</w:t>
            </w:r>
          </w:p>
        </w:tc>
      </w:tr>
      <w:tr w:rsidR="008E7C06" w:rsidRPr="005D6998" w14:paraId="17B552E7" w14:textId="77777777" w:rsidTr="00651F58">
        <w:trPr>
          <w:gridAfter w:val="2"/>
          <w:wAfter w:w="153" w:type="dxa"/>
          <w:trHeight w:val="105"/>
        </w:trPr>
        <w:tc>
          <w:tcPr>
            <w:tcW w:w="899" w:type="dxa"/>
            <w:gridSpan w:val="3"/>
            <w:shd w:val="clear" w:color="auto" w:fill="FFFFFF"/>
          </w:tcPr>
          <w:p w14:paraId="498AB21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8E00429"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47</w:t>
            </w:r>
            <w:r w:rsidRPr="005D6998">
              <w:rPr>
                <w:rFonts w:ascii="Times New Roman" w:hAnsi="Times New Roman"/>
              </w:rPr>
              <w:t>. Articolul 51</w:t>
            </w:r>
          </w:p>
          <w:p w14:paraId="750C7BDF"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la alineatul (1), cuvintele “beneficiarul efectiv” se substituie cu cuvintele “beneficiarul real al deținerii” iar textul „1%, 5%,” se exclude iar textul „lit.b)-d)” se substituie cu textul „lit. b)-c)”;</w:t>
            </w:r>
          </w:p>
          <w:p w14:paraId="7AF91830"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r w:rsidRPr="005D6998" w:rsidDel="00C55702">
              <w:rPr>
                <w:rFonts w:ascii="Times New Roman" w:hAnsi="Times New Roman"/>
              </w:rPr>
              <w:t xml:space="preserve"> </w:t>
            </w:r>
          </w:p>
          <w:p w14:paraId="4121E525"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la alineatul (6), cuvintele “beneficiarul efectiv de deținere” se substituie cu cuvintele “beneficiarul real al deținerii”, textul “inclusiv beneficiarului efectiv,” se exclude iar cuvântul “unei bănci” se substituie cu cuvintele “unei instituții de credit, inclusiv beneficiarului real al deținerii”.</w:t>
            </w:r>
          </w:p>
        </w:tc>
        <w:tc>
          <w:tcPr>
            <w:tcW w:w="1418" w:type="dxa"/>
            <w:gridSpan w:val="2"/>
            <w:shd w:val="clear" w:color="auto" w:fill="FFFFFF"/>
          </w:tcPr>
          <w:p w14:paraId="4C609216"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FD12112"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4EE8988" w14:textId="77777777" w:rsidR="008E7C06" w:rsidRPr="005D6998" w:rsidRDefault="008E7C06" w:rsidP="00A46332">
            <w:pPr>
              <w:pStyle w:val="Default"/>
              <w:jc w:val="both"/>
              <w:rPr>
                <w:sz w:val="22"/>
                <w:szCs w:val="22"/>
              </w:rPr>
            </w:pPr>
            <w:r w:rsidRPr="005D6998">
              <w:rPr>
                <w:sz w:val="22"/>
                <w:szCs w:val="22"/>
              </w:rPr>
              <w:t>La pct. 47, având în vedere multiplele modificări propuse la alin. (1) și (6) al art. 51 acestea se recomandă a fi expuse în redacție nouă (observație valabilă și pentru pct. 66, cu referire la redacția art. 78 alin. (1); pentru pct. 70, cu referire la redacția art. 84 alin. (1) al Legii nr. 202/2017; ș.a.).</w:t>
            </w:r>
          </w:p>
        </w:tc>
        <w:tc>
          <w:tcPr>
            <w:tcW w:w="4960" w:type="dxa"/>
            <w:gridSpan w:val="3"/>
            <w:shd w:val="clear" w:color="auto" w:fill="FFFFFF"/>
          </w:tcPr>
          <w:p w14:paraId="4E1EDFA7"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1176DAD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ro-MD"/>
              </w:rPr>
              <w:t>Având în vedere natura modificărilor care nu au caracter substanțială nu este oportună expunerea integrală în redacție nouă a modificărilor propuse la alin. (1) și alin. (6) a art. 51, precum și a pct. 66, cu referire la redacția art. 78 alin. (1); pentru pct. 70, cu referire la redacția art. 84 alin. (1) al Legii nr. 202/2017.</w:t>
            </w:r>
          </w:p>
        </w:tc>
      </w:tr>
      <w:tr w:rsidR="008E7C06" w:rsidRPr="005D6998" w14:paraId="15693747" w14:textId="77777777" w:rsidTr="00651F58">
        <w:trPr>
          <w:gridAfter w:val="2"/>
          <w:wAfter w:w="153" w:type="dxa"/>
          <w:trHeight w:val="105"/>
        </w:trPr>
        <w:tc>
          <w:tcPr>
            <w:tcW w:w="899" w:type="dxa"/>
            <w:gridSpan w:val="3"/>
            <w:shd w:val="clear" w:color="auto" w:fill="FFFFFF"/>
          </w:tcPr>
          <w:p w14:paraId="223A2CA1"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CCEE59F"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53.</w:t>
            </w:r>
            <w:r w:rsidRPr="005D6998">
              <w:rPr>
                <w:rFonts w:ascii="Times New Roman" w:hAnsi="Times New Roman"/>
              </w:rPr>
              <w:t xml:space="preserve"> Se completează cu capitolul 3</w:t>
            </w:r>
            <w:r w:rsidRPr="005D6998">
              <w:rPr>
                <w:rFonts w:ascii="Times New Roman" w:hAnsi="Times New Roman"/>
                <w:vertAlign w:val="superscript"/>
              </w:rPr>
              <w:t>1</w:t>
            </w:r>
            <w:r w:rsidRPr="005D6998">
              <w:rPr>
                <w:rFonts w:ascii="Times New Roman" w:hAnsi="Times New Roman"/>
              </w:rPr>
              <w:t xml:space="preserve"> cu următorul cuprins:</w:t>
            </w:r>
            <w:r w:rsidRPr="005D6998">
              <w:rPr>
                <w:rFonts w:ascii="Times New Roman" w:hAnsi="Times New Roman"/>
                <w:b/>
                <w:bCs/>
              </w:rPr>
              <w:t xml:space="preserve"> </w:t>
            </w:r>
          </w:p>
          <w:p w14:paraId="184BC308" w14:textId="77777777" w:rsidR="008E7C06" w:rsidRPr="005D6998" w:rsidRDefault="008E7C06" w:rsidP="00A46332">
            <w:pPr>
              <w:spacing w:after="0" w:line="240" w:lineRule="auto"/>
              <w:ind w:firstLine="851"/>
              <w:jc w:val="both"/>
              <w:rPr>
                <w:rFonts w:ascii="Times New Roman" w:hAnsi="Times New Roman"/>
                <w:b/>
                <w:vertAlign w:val="superscript"/>
              </w:rPr>
            </w:pPr>
            <w:r w:rsidRPr="005D6998">
              <w:rPr>
                <w:rFonts w:ascii="Times New Roman" w:hAnsi="Times New Roman"/>
              </w:rPr>
              <w:t>“</w:t>
            </w:r>
            <w:r w:rsidRPr="005D6998">
              <w:rPr>
                <w:rFonts w:ascii="Times New Roman" w:hAnsi="Times New Roman"/>
                <w:b/>
                <w:bCs/>
              </w:rPr>
              <w:t>Capitolul 3</w:t>
            </w:r>
            <w:r w:rsidRPr="005D6998">
              <w:rPr>
                <w:rFonts w:ascii="Times New Roman" w:hAnsi="Times New Roman"/>
                <w:b/>
                <w:bCs/>
                <w:vertAlign w:val="superscript"/>
              </w:rPr>
              <w:t>1</w:t>
            </w:r>
          </w:p>
          <w:p w14:paraId="2D85BB36"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b/>
                <w:bCs/>
              </w:rPr>
              <w:lastRenderedPageBreak/>
              <w:t>DEȚINERI SEMNIFICATIVE ALE INSTITUȚIILOR DE CREDIT, SOCIETĂȚILOR FINANCIARE HOLDING ȘI A SOCIETĂȚILOR FINANCIARE HOLDING MIXTE</w:t>
            </w:r>
            <w:r w:rsidRPr="005D6998">
              <w:rPr>
                <w:rFonts w:ascii="Times New Roman" w:hAnsi="Times New Roman"/>
              </w:rPr>
              <w:t>”.</w:t>
            </w:r>
          </w:p>
          <w:p w14:paraId="7E6BCE05"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p>
          <w:p w14:paraId="08CB99FE"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54.</w:t>
            </w:r>
            <w:r w:rsidRPr="005D6998">
              <w:rPr>
                <w:rFonts w:ascii="Times New Roman" w:hAnsi="Times New Roman"/>
              </w:rPr>
              <w:t xml:space="preserve"> Articolul 58 va avea următorul cuprins:</w:t>
            </w:r>
          </w:p>
          <w:p w14:paraId="05DF68A3" w14:textId="77777777" w:rsidR="008E7C06" w:rsidRPr="005D6998" w:rsidRDefault="008E7C06" w:rsidP="00A46332">
            <w:pPr>
              <w:spacing w:after="0" w:line="240" w:lineRule="auto"/>
              <w:ind w:firstLine="851"/>
              <w:jc w:val="both"/>
              <w:rPr>
                <w:rFonts w:ascii="Times New Roman" w:hAnsi="Times New Roman"/>
              </w:rPr>
            </w:pPr>
            <w:bookmarkStart w:id="23" w:name="_Hlk215564216"/>
            <w:r w:rsidRPr="005D6998">
              <w:rPr>
                <w:rFonts w:ascii="Times New Roman" w:hAnsi="Times New Roman"/>
              </w:rPr>
              <w:t>„</w:t>
            </w:r>
            <w:r w:rsidRPr="005D6998">
              <w:rPr>
                <w:rFonts w:ascii="Times New Roman" w:hAnsi="Times New Roman"/>
                <w:b/>
                <w:bCs/>
              </w:rPr>
              <w:t xml:space="preserve">Articolul 58. </w:t>
            </w:r>
            <w:r w:rsidRPr="005D6998">
              <w:rPr>
                <w:rFonts w:ascii="Times New Roman" w:hAnsi="Times New Roman"/>
              </w:rPr>
              <w:t>Obligația de notificare prealabilă a dobândirii unei dețineri semnificative</w:t>
            </w:r>
            <w:bookmarkEnd w:id="23"/>
          </w:p>
          <w:p w14:paraId="66BDF401"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FB55D6">
              <w:rPr>
                <w:rFonts w:ascii="Times New Roman" w:hAnsi="Times New Roman"/>
              </w:rPr>
              <w:t xml:space="preserve"> </w:t>
            </w:r>
          </w:p>
          <w:p w14:paraId="2046AC72"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(8) În cazul în care proiectul de achiziție vizează achiziționarea unei dețineri calificate într-o instituție de credit, astfel cum se menționează la art. 45 alin. (1), potențialul achizitor este supus și obligației de notificare și evaluare prevăzute la articolul respectiv. În acest caz, termenul în care Banca Națională a Moldovei trebuie să efectueze atât evaluarea prevăzută la art. 58</w:t>
            </w:r>
            <w:r w:rsidRPr="005D6998">
              <w:rPr>
                <w:rFonts w:ascii="Times New Roman" w:hAnsi="Times New Roman"/>
                <w:vertAlign w:val="superscript"/>
              </w:rPr>
              <w:t xml:space="preserve">1 </w:t>
            </w:r>
            <w:r w:rsidRPr="005D6998">
              <w:rPr>
                <w:rFonts w:ascii="Times New Roman" w:hAnsi="Times New Roman"/>
              </w:rPr>
              <w:t>alin. (1), cât și evaluarea menționată la art. 47 alin. (3) expiră numai la expirarea ultimului dintre cele două termene de evaluare relevante.</w:t>
            </w:r>
            <w:r w:rsidRPr="005D6998">
              <w:rPr>
                <w:rFonts w:ascii="Times New Roman" w:hAnsi="Times New Roman"/>
                <w:b/>
                <w:bCs/>
              </w:rPr>
              <w:t xml:space="preserve"> </w:t>
            </w:r>
          </w:p>
          <w:p w14:paraId="5252625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w:t>
            </w:r>
            <w:r w:rsidRPr="005D6998" w:rsidDel="00FB55D6">
              <w:rPr>
                <w:rFonts w:ascii="Times New Roman" w:hAnsi="Times New Roman"/>
              </w:rPr>
              <w:t xml:space="preserve"> </w:t>
            </w:r>
          </w:p>
          <w:p w14:paraId="3D935DAD" w14:textId="77777777" w:rsidR="008E7C06" w:rsidRPr="005D6998" w:rsidRDefault="008E7C06" w:rsidP="00A46332">
            <w:pPr>
              <w:spacing w:after="0" w:line="240" w:lineRule="auto"/>
              <w:jc w:val="both"/>
              <w:rPr>
                <w:rFonts w:ascii="Times New Roman" w:hAnsi="Times New Roman"/>
              </w:rPr>
            </w:pPr>
          </w:p>
        </w:tc>
        <w:tc>
          <w:tcPr>
            <w:tcW w:w="1418" w:type="dxa"/>
            <w:gridSpan w:val="2"/>
            <w:shd w:val="clear" w:color="auto" w:fill="FFFFFF"/>
          </w:tcPr>
          <w:p w14:paraId="597D86E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FADD3B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AA0E8DB" w14:textId="77777777" w:rsidR="008E7C06" w:rsidRPr="005D6998" w:rsidRDefault="008E7C06" w:rsidP="00A46332">
            <w:pPr>
              <w:pStyle w:val="Default"/>
              <w:jc w:val="both"/>
              <w:rPr>
                <w:sz w:val="22"/>
                <w:szCs w:val="22"/>
              </w:rPr>
            </w:pPr>
            <w:r w:rsidRPr="005D6998">
              <w:rPr>
                <w:sz w:val="22"/>
                <w:szCs w:val="22"/>
              </w:rPr>
              <w:t xml:space="preserve">La pct. 53 și 54: </w:t>
            </w:r>
          </w:p>
          <w:p w14:paraId="5A11E250" w14:textId="77777777" w:rsidR="008E7C06" w:rsidRPr="005D6998" w:rsidRDefault="008E7C06" w:rsidP="00A46332">
            <w:pPr>
              <w:pStyle w:val="Default"/>
              <w:jc w:val="both"/>
              <w:rPr>
                <w:sz w:val="22"/>
                <w:szCs w:val="22"/>
              </w:rPr>
            </w:pPr>
            <w:r w:rsidRPr="005D6998">
              <w:rPr>
                <w:sz w:val="22"/>
                <w:szCs w:val="22"/>
              </w:rPr>
              <w:t xml:space="preserve">Dispoziția introductivă a pct. 53 va prevedea: </w:t>
            </w:r>
          </w:p>
          <w:p w14:paraId="7B23FF36" w14:textId="77777777" w:rsidR="008E7C06" w:rsidRPr="005D6998" w:rsidRDefault="008E7C06" w:rsidP="00A46332">
            <w:pPr>
              <w:pStyle w:val="Default"/>
              <w:jc w:val="both"/>
              <w:rPr>
                <w:sz w:val="22"/>
                <w:szCs w:val="22"/>
              </w:rPr>
            </w:pPr>
            <w:r w:rsidRPr="005D6998">
              <w:rPr>
                <w:sz w:val="22"/>
                <w:szCs w:val="22"/>
              </w:rPr>
              <w:lastRenderedPageBreak/>
              <w:t>„53. Titlul III se completează cu capitolul 3</w:t>
            </w:r>
            <w:r w:rsidRPr="005D6998">
              <w:rPr>
                <w:sz w:val="22"/>
                <w:szCs w:val="22"/>
                <w:vertAlign w:val="superscript"/>
              </w:rPr>
              <w:t>1</w:t>
            </w:r>
            <w:r w:rsidRPr="005D6998">
              <w:rPr>
                <w:sz w:val="22"/>
                <w:szCs w:val="22"/>
              </w:rPr>
              <w:t xml:space="preserve"> cu următorul cuprins:”. </w:t>
            </w:r>
          </w:p>
          <w:p w14:paraId="2F02A6E4" w14:textId="77777777" w:rsidR="008E7C06" w:rsidRPr="005D6998" w:rsidRDefault="008E7C06" w:rsidP="00A46332">
            <w:pPr>
              <w:pStyle w:val="Default"/>
              <w:jc w:val="both"/>
              <w:rPr>
                <w:sz w:val="22"/>
                <w:szCs w:val="22"/>
              </w:rPr>
            </w:pPr>
          </w:p>
          <w:p w14:paraId="13C93E71" w14:textId="77777777" w:rsidR="008E7C06" w:rsidRPr="005D6998" w:rsidRDefault="008E7C06" w:rsidP="00A46332">
            <w:pPr>
              <w:pStyle w:val="Default"/>
              <w:jc w:val="both"/>
              <w:rPr>
                <w:sz w:val="22"/>
                <w:szCs w:val="22"/>
              </w:rPr>
            </w:pPr>
            <w:r w:rsidRPr="005D6998">
              <w:rPr>
                <w:sz w:val="22"/>
                <w:szCs w:val="22"/>
              </w:rPr>
              <w:t xml:space="preserve">Anterior pct. 53, va fi prevăzută dispoziția, potrivit căreia art. 58 se abrogă. Or, dispozițiile acestui articol sunt modificate substanțial și în parte, nu coincid cu obiectul de reglementare al articolului în vigoare. </w:t>
            </w:r>
          </w:p>
          <w:p w14:paraId="2A6D1EB6" w14:textId="77777777" w:rsidR="008E7C06" w:rsidRPr="005D6998" w:rsidRDefault="008E7C06" w:rsidP="00A46332">
            <w:pPr>
              <w:pStyle w:val="Default"/>
              <w:jc w:val="both"/>
              <w:rPr>
                <w:sz w:val="22"/>
                <w:szCs w:val="22"/>
              </w:rPr>
            </w:pPr>
          </w:p>
          <w:p w14:paraId="374005A8" w14:textId="77777777" w:rsidR="008E7C06" w:rsidRPr="005D6998" w:rsidRDefault="008E7C06" w:rsidP="00A46332">
            <w:pPr>
              <w:pStyle w:val="Default"/>
              <w:jc w:val="both"/>
              <w:rPr>
                <w:sz w:val="22"/>
                <w:szCs w:val="22"/>
              </w:rPr>
            </w:pPr>
            <w:r w:rsidRPr="005D6998">
              <w:rPr>
                <w:sz w:val="22"/>
                <w:szCs w:val="22"/>
              </w:rPr>
              <w:t>Ulterior, dispozițiile propuse în capitolul 3</w:t>
            </w:r>
            <w:r w:rsidRPr="005D6998">
              <w:rPr>
                <w:sz w:val="22"/>
                <w:szCs w:val="22"/>
                <w:vertAlign w:val="superscript"/>
              </w:rPr>
              <w:t>1</w:t>
            </w:r>
            <w:r w:rsidRPr="005D6998">
              <w:rPr>
                <w:sz w:val="22"/>
                <w:szCs w:val="22"/>
              </w:rPr>
              <w:t xml:space="preserve"> vor fi numerotate, începând cu art. 57</w:t>
            </w:r>
            <w:r w:rsidRPr="005D6998">
              <w:rPr>
                <w:sz w:val="22"/>
                <w:szCs w:val="22"/>
                <w:vertAlign w:val="superscript"/>
              </w:rPr>
              <w:t>1</w:t>
            </w:r>
            <w:r w:rsidRPr="005D6998">
              <w:rPr>
                <w:sz w:val="22"/>
                <w:szCs w:val="22"/>
              </w:rPr>
              <w:t>. Totodată, nu va fi necesară dispoziția potrivit căreia legea „se completează cu articolele 58</w:t>
            </w:r>
            <w:r w:rsidRPr="005D6998">
              <w:rPr>
                <w:sz w:val="22"/>
                <w:szCs w:val="22"/>
                <w:vertAlign w:val="superscript"/>
              </w:rPr>
              <w:t>1</w:t>
            </w:r>
            <w:r w:rsidRPr="005D6998">
              <w:rPr>
                <w:sz w:val="22"/>
                <w:szCs w:val="22"/>
              </w:rPr>
              <w:t>- 58</w:t>
            </w:r>
            <w:r w:rsidRPr="005D6998">
              <w:rPr>
                <w:sz w:val="22"/>
                <w:szCs w:val="22"/>
                <w:vertAlign w:val="superscript"/>
              </w:rPr>
              <w:t>4</w:t>
            </w:r>
            <w:r w:rsidRPr="005D6998">
              <w:rPr>
                <w:sz w:val="22"/>
                <w:szCs w:val="22"/>
              </w:rPr>
              <w:t xml:space="preserve"> cu următorul cuprins:” (a se vedea pct. 55), întrucât acestea vor fi parte integrantă a capitolului 3</w:t>
            </w:r>
            <w:r w:rsidRPr="005D6998">
              <w:rPr>
                <w:sz w:val="22"/>
                <w:szCs w:val="22"/>
                <w:vertAlign w:val="superscript"/>
              </w:rPr>
              <w:t>1</w:t>
            </w:r>
            <w:r w:rsidRPr="005D6998">
              <w:rPr>
                <w:sz w:val="22"/>
                <w:szCs w:val="22"/>
              </w:rPr>
              <w:t xml:space="preserve">, intenția de includere a acestuia în lege fiind prevăzută în pct. 53. </w:t>
            </w:r>
          </w:p>
          <w:p w14:paraId="2E25DA32" w14:textId="77777777" w:rsidR="008E7C06" w:rsidRPr="005D6998" w:rsidRDefault="008E7C06" w:rsidP="00A46332">
            <w:pPr>
              <w:pStyle w:val="Default"/>
              <w:jc w:val="both"/>
              <w:rPr>
                <w:sz w:val="22"/>
                <w:szCs w:val="22"/>
              </w:rPr>
            </w:pPr>
          </w:p>
          <w:p w14:paraId="7D3073AC" w14:textId="77777777" w:rsidR="008E7C06" w:rsidRPr="005D6998" w:rsidRDefault="008E7C06" w:rsidP="00A46332">
            <w:pPr>
              <w:pStyle w:val="Default"/>
              <w:jc w:val="both"/>
              <w:rPr>
                <w:sz w:val="22"/>
                <w:szCs w:val="22"/>
              </w:rPr>
            </w:pPr>
          </w:p>
        </w:tc>
        <w:tc>
          <w:tcPr>
            <w:tcW w:w="4960" w:type="dxa"/>
            <w:gridSpan w:val="3"/>
            <w:shd w:val="clear" w:color="auto" w:fill="FFFFFF"/>
          </w:tcPr>
          <w:p w14:paraId="46D28093"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149B613F" w14:textId="2FD56B3C" w:rsidR="008E7C06" w:rsidRPr="005D6998" w:rsidRDefault="008E7C06" w:rsidP="00A46332">
            <w:pPr>
              <w:pStyle w:val="Default"/>
              <w:jc w:val="both"/>
              <w:rPr>
                <w:sz w:val="22"/>
                <w:szCs w:val="22"/>
              </w:rPr>
            </w:pPr>
            <w:r w:rsidRPr="005D6998">
              <w:rPr>
                <w:sz w:val="22"/>
                <w:szCs w:val="22"/>
              </w:rPr>
              <w:t>Redactat conform propunerii – „54. Titlul III se completează cu capitolul 3</w:t>
            </w:r>
            <w:r w:rsidRPr="005D6998">
              <w:rPr>
                <w:sz w:val="22"/>
                <w:szCs w:val="22"/>
                <w:vertAlign w:val="superscript"/>
              </w:rPr>
              <w:t>1</w:t>
            </w:r>
            <w:r w:rsidRPr="005D6998">
              <w:rPr>
                <w:sz w:val="22"/>
                <w:szCs w:val="22"/>
              </w:rPr>
              <w:t xml:space="preserve"> cu următorul cuprins:”. </w:t>
            </w:r>
          </w:p>
          <w:p w14:paraId="27EE5932" w14:textId="77777777" w:rsidR="008E7C06" w:rsidRPr="005D6998" w:rsidRDefault="008E7C06" w:rsidP="00A46332">
            <w:pPr>
              <w:pStyle w:val="Default"/>
              <w:jc w:val="both"/>
              <w:rPr>
                <w:sz w:val="22"/>
                <w:szCs w:val="22"/>
              </w:rPr>
            </w:pPr>
          </w:p>
          <w:p w14:paraId="7DE0AC8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Dispozițiile propuse în capitolul 3</w:t>
            </w:r>
            <w:r w:rsidRPr="005D6998">
              <w:rPr>
                <w:rFonts w:ascii="Times New Roman" w:hAnsi="Times New Roman"/>
                <w:vertAlign w:val="superscript"/>
              </w:rPr>
              <w:t>1</w:t>
            </w:r>
            <w:r w:rsidRPr="005D6998">
              <w:rPr>
                <w:rFonts w:ascii="Times New Roman" w:hAnsi="Times New Roman"/>
              </w:rPr>
              <w:t xml:space="preserve"> au fost numerotate, începând cu art. 57</w:t>
            </w:r>
            <w:r w:rsidRPr="005D6998">
              <w:rPr>
                <w:rFonts w:ascii="Times New Roman" w:hAnsi="Times New Roman"/>
                <w:vertAlign w:val="superscript"/>
              </w:rPr>
              <w:t>1</w:t>
            </w:r>
            <w:r w:rsidRPr="005D6998">
              <w:rPr>
                <w:rFonts w:ascii="Times New Roman" w:hAnsi="Times New Roman"/>
              </w:rPr>
              <w:t xml:space="preserve"> până la art. 57</w:t>
            </w:r>
            <w:r w:rsidRPr="005D6998">
              <w:rPr>
                <w:rFonts w:ascii="Times New Roman" w:hAnsi="Times New Roman"/>
                <w:vertAlign w:val="superscript"/>
              </w:rPr>
              <w:t>5</w:t>
            </w:r>
            <w:r w:rsidRPr="005D6998">
              <w:rPr>
                <w:rFonts w:ascii="Times New Roman" w:hAnsi="Times New Roman"/>
              </w:rPr>
              <w:t>.</w:t>
            </w:r>
          </w:p>
          <w:p w14:paraId="2F4891D0" w14:textId="77777777" w:rsidR="008E7C06" w:rsidRPr="005D6998" w:rsidRDefault="008E7C06" w:rsidP="00A46332">
            <w:pPr>
              <w:spacing w:after="0" w:line="240" w:lineRule="auto"/>
              <w:jc w:val="both"/>
              <w:rPr>
                <w:rFonts w:ascii="Times New Roman" w:hAnsi="Times New Roman"/>
              </w:rPr>
            </w:pPr>
          </w:p>
          <w:p w14:paraId="0E0EA452" w14:textId="77777777" w:rsidR="008E7C06" w:rsidRPr="005D6998" w:rsidRDefault="008E7C06" w:rsidP="00A46332">
            <w:pPr>
              <w:spacing w:after="0" w:line="240" w:lineRule="auto"/>
              <w:jc w:val="both"/>
              <w:rPr>
                <w:rFonts w:ascii="Times New Roman" w:hAnsi="Times New Roman"/>
              </w:rPr>
            </w:pPr>
          </w:p>
          <w:p w14:paraId="62C28367" w14:textId="77777777" w:rsidR="008E7C06" w:rsidRPr="005D6998" w:rsidRDefault="008E7C06" w:rsidP="00A46332">
            <w:pPr>
              <w:spacing w:after="0" w:line="240" w:lineRule="auto"/>
              <w:jc w:val="both"/>
              <w:rPr>
                <w:rFonts w:ascii="Times New Roman" w:hAnsi="Times New Roman"/>
              </w:rPr>
            </w:pPr>
          </w:p>
          <w:p w14:paraId="5B37E74D" w14:textId="77777777" w:rsidR="008E7C06" w:rsidRPr="005D6998" w:rsidRDefault="008E7C06" w:rsidP="00A46332">
            <w:pPr>
              <w:spacing w:after="0" w:line="240" w:lineRule="auto"/>
              <w:jc w:val="both"/>
              <w:rPr>
                <w:rFonts w:ascii="Times New Roman" w:hAnsi="Times New Roman"/>
              </w:rPr>
            </w:pPr>
          </w:p>
          <w:p w14:paraId="0AB1497F" w14:textId="77777777" w:rsidR="008E7C06" w:rsidRPr="005D6998" w:rsidRDefault="008E7C06" w:rsidP="00A46332">
            <w:pPr>
              <w:spacing w:after="0" w:line="240" w:lineRule="auto"/>
              <w:jc w:val="both"/>
              <w:rPr>
                <w:rFonts w:ascii="Times New Roman" w:hAnsi="Times New Roman"/>
              </w:rPr>
            </w:pPr>
          </w:p>
          <w:p w14:paraId="4E5D3C6A" w14:textId="77777777" w:rsidR="008E7C06" w:rsidRPr="005D6998" w:rsidRDefault="008E7C06" w:rsidP="00A46332">
            <w:pPr>
              <w:spacing w:after="0" w:line="240" w:lineRule="auto"/>
              <w:jc w:val="both"/>
              <w:rPr>
                <w:rFonts w:ascii="Times New Roman" w:hAnsi="Times New Roman"/>
              </w:rPr>
            </w:pPr>
          </w:p>
          <w:p w14:paraId="69E39FF2" w14:textId="77777777" w:rsidR="008E7C06" w:rsidRPr="005D6998" w:rsidRDefault="008E7C06" w:rsidP="00A46332">
            <w:pPr>
              <w:spacing w:after="0" w:line="240" w:lineRule="auto"/>
              <w:jc w:val="both"/>
              <w:rPr>
                <w:rFonts w:ascii="Times New Roman" w:hAnsi="Times New Roman"/>
              </w:rPr>
            </w:pPr>
          </w:p>
          <w:p w14:paraId="5C7C0744" w14:textId="77777777" w:rsidR="008E7C06" w:rsidRPr="005D6998" w:rsidRDefault="008E7C06" w:rsidP="00A46332">
            <w:pPr>
              <w:spacing w:after="0" w:line="240" w:lineRule="auto"/>
              <w:jc w:val="both"/>
              <w:rPr>
                <w:rFonts w:ascii="Times New Roman" w:hAnsi="Times New Roman"/>
              </w:rPr>
            </w:pPr>
          </w:p>
          <w:p w14:paraId="1D2F9B50" w14:textId="77777777" w:rsidR="008E7C06" w:rsidRPr="005D6998" w:rsidRDefault="008E7C06" w:rsidP="00A46332">
            <w:pPr>
              <w:spacing w:after="0" w:line="240" w:lineRule="auto"/>
              <w:jc w:val="both"/>
              <w:rPr>
                <w:rFonts w:ascii="Times New Roman" w:hAnsi="Times New Roman"/>
              </w:rPr>
            </w:pPr>
          </w:p>
          <w:p w14:paraId="46661D36" w14:textId="77777777" w:rsidR="008E7C06" w:rsidRPr="005D6998" w:rsidRDefault="008E7C06" w:rsidP="00A46332">
            <w:pPr>
              <w:spacing w:after="0" w:line="240" w:lineRule="auto"/>
              <w:jc w:val="both"/>
              <w:rPr>
                <w:rFonts w:ascii="Times New Roman" w:hAnsi="Times New Roman"/>
              </w:rPr>
            </w:pPr>
          </w:p>
          <w:p w14:paraId="567B6F97" w14:textId="77777777" w:rsidR="008E7C06" w:rsidRPr="005D6998" w:rsidRDefault="008E7C06" w:rsidP="00A46332">
            <w:pPr>
              <w:spacing w:after="0" w:line="240" w:lineRule="auto"/>
              <w:jc w:val="both"/>
              <w:rPr>
                <w:rFonts w:ascii="Times New Roman" w:hAnsi="Times New Roman"/>
              </w:rPr>
            </w:pPr>
          </w:p>
          <w:p w14:paraId="5874DEED" w14:textId="77777777" w:rsidR="008E7C06" w:rsidRPr="005D6998" w:rsidRDefault="008E7C06" w:rsidP="00A46332">
            <w:pPr>
              <w:spacing w:after="0" w:line="240" w:lineRule="auto"/>
              <w:jc w:val="both"/>
              <w:rPr>
                <w:rFonts w:ascii="Times New Roman" w:hAnsi="Times New Roman"/>
              </w:rPr>
            </w:pPr>
          </w:p>
          <w:p w14:paraId="16991998" w14:textId="77777777" w:rsidR="008E7C06" w:rsidRPr="005D6998" w:rsidRDefault="008E7C06" w:rsidP="00A46332">
            <w:pPr>
              <w:spacing w:after="0" w:line="240" w:lineRule="auto"/>
              <w:jc w:val="both"/>
              <w:rPr>
                <w:rFonts w:ascii="Times New Roman" w:hAnsi="Times New Roman"/>
              </w:rPr>
            </w:pPr>
          </w:p>
          <w:p w14:paraId="0A779A7D" w14:textId="77777777" w:rsidR="008E7C06" w:rsidRPr="005D6998" w:rsidRDefault="008E7C06" w:rsidP="00A46332">
            <w:pPr>
              <w:spacing w:after="0" w:line="240" w:lineRule="auto"/>
              <w:jc w:val="both"/>
              <w:rPr>
                <w:rFonts w:ascii="Times New Roman" w:hAnsi="Times New Roman"/>
              </w:rPr>
            </w:pPr>
          </w:p>
          <w:p w14:paraId="296E5EB7" w14:textId="77777777" w:rsidR="008E7C06" w:rsidRPr="005D6998" w:rsidRDefault="008E7C06" w:rsidP="00A46332">
            <w:pPr>
              <w:spacing w:after="0" w:line="240" w:lineRule="auto"/>
              <w:jc w:val="both"/>
              <w:rPr>
                <w:rFonts w:ascii="Times New Roman" w:hAnsi="Times New Roman"/>
              </w:rPr>
            </w:pPr>
          </w:p>
          <w:p w14:paraId="0A3459E4" w14:textId="77777777" w:rsidR="008E7C06" w:rsidRPr="005D6998" w:rsidRDefault="008E7C06" w:rsidP="00A46332">
            <w:pPr>
              <w:spacing w:after="0" w:line="240" w:lineRule="auto"/>
              <w:jc w:val="both"/>
              <w:rPr>
                <w:rFonts w:ascii="Times New Roman" w:hAnsi="Times New Roman"/>
                <w:b/>
                <w:bCs/>
                <w:lang w:val="ro-MD"/>
              </w:rPr>
            </w:pPr>
            <w:r w:rsidRPr="005D6998">
              <w:rPr>
                <w:rFonts w:ascii="Times New Roman" w:hAnsi="Times New Roman"/>
              </w:rPr>
              <w:t xml:space="preserve">Referința la art. 47 alin. (3) se redactează după cum urmează – </w:t>
            </w:r>
            <w:r w:rsidRPr="005D6998">
              <w:rPr>
                <w:rFonts w:ascii="Times New Roman" w:hAnsi="Times New Roman"/>
                <w:lang w:val="en-US"/>
              </w:rPr>
              <w:t>“</w:t>
            </w:r>
            <w:r w:rsidRPr="005D6998">
              <w:rPr>
                <w:rFonts w:ascii="Times New Roman" w:hAnsi="Times New Roman"/>
              </w:rPr>
              <w:t>art. 47 alin. (4)”</w:t>
            </w:r>
          </w:p>
        </w:tc>
      </w:tr>
      <w:tr w:rsidR="008E7C06" w:rsidRPr="005D6998" w14:paraId="620FFAA4" w14:textId="77777777" w:rsidTr="00651F58">
        <w:trPr>
          <w:gridAfter w:val="2"/>
          <w:wAfter w:w="153" w:type="dxa"/>
          <w:trHeight w:val="105"/>
        </w:trPr>
        <w:tc>
          <w:tcPr>
            <w:tcW w:w="899" w:type="dxa"/>
            <w:gridSpan w:val="3"/>
            <w:shd w:val="clear" w:color="auto" w:fill="FFFFFF"/>
          </w:tcPr>
          <w:p w14:paraId="007A6228"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2145752" w14:textId="77777777" w:rsidR="008E7C06" w:rsidRPr="005D6998" w:rsidRDefault="008E7C06" w:rsidP="00A46332">
            <w:pPr>
              <w:tabs>
                <w:tab w:val="left" w:pos="426"/>
              </w:tabs>
              <w:spacing w:after="0" w:line="240" w:lineRule="auto"/>
              <w:jc w:val="both"/>
              <w:rPr>
                <w:rFonts w:ascii="Times New Roman" w:hAnsi="Times New Roman"/>
                <w:b/>
                <w:bCs/>
              </w:rPr>
            </w:pPr>
            <w:r w:rsidRPr="005D6998">
              <w:rPr>
                <w:rFonts w:ascii="Times New Roman" w:hAnsi="Times New Roman"/>
              </w:rPr>
              <w:t>(15) În cazul în care Banca Națională a Moldovei nu se opune proiectului de achiziție până la expirarea termenului de evaluare, achiziția se consideră aprobată, cu informarea în scris a potențialului achizitor.</w:t>
            </w:r>
          </w:p>
        </w:tc>
        <w:tc>
          <w:tcPr>
            <w:tcW w:w="1418" w:type="dxa"/>
            <w:gridSpan w:val="2"/>
            <w:shd w:val="clear" w:color="auto" w:fill="FFFFFF"/>
          </w:tcPr>
          <w:p w14:paraId="1166C6E0"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EE8358D"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D5B2237" w14:textId="77777777" w:rsidR="008E7C06" w:rsidRPr="005D6998" w:rsidRDefault="008E7C06" w:rsidP="00A46332">
            <w:pPr>
              <w:pStyle w:val="Default"/>
              <w:jc w:val="both"/>
              <w:rPr>
                <w:color w:val="auto"/>
                <w:sz w:val="22"/>
                <w:szCs w:val="22"/>
              </w:rPr>
            </w:pPr>
            <w:r w:rsidRPr="005D6998">
              <w:rPr>
                <w:color w:val="auto"/>
                <w:sz w:val="22"/>
                <w:szCs w:val="22"/>
              </w:rPr>
              <w:t>În redacția propusă pentru art. 58 alin. (15), se va analiza utilizarea cuvintelor „cu informarea în scris a potențialului achizitor”.</w:t>
            </w:r>
          </w:p>
          <w:p w14:paraId="4C3C501A" w14:textId="77777777" w:rsidR="008E7C06" w:rsidRPr="005D6998" w:rsidRDefault="008E7C06" w:rsidP="00A46332">
            <w:pPr>
              <w:pStyle w:val="Default"/>
              <w:jc w:val="both"/>
              <w:rPr>
                <w:color w:val="auto"/>
                <w:sz w:val="22"/>
                <w:szCs w:val="22"/>
              </w:rPr>
            </w:pPr>
          </w:p>
          <w:p w14:paraId="40D9D128" w14:textId="77777777" w:rsidR="008E7C06" w:rsidRPr="005D6998" w:rsidRDefault="008E7C06" w:rsidP="00A46332">
            <w:pPr>
              <w:pStyle w:val="Default"/>
              <w:jc w:val="both"/>
              <w:rPr>
                <w:sz w:val="22"/>
                <w:szCs w:val="22"/>
              </w:rPr>
            </w:pPr>
            <w:r w:rsidRPr="005D6998">
              <w:rPr>
                <w:color w:val="auto"/>
                <w:sz w:val="22"/>
                <w:szCs w:val="22"/>
              </w:rPr>
              <w:t xml:space="preserve"> Or, nu este clar cum se va proceda în cazul în care Banca Națională a Moldovei nu informează în scris potențialul achizitor la expirarea termenului de evaluare, despre </w:t>
            </w:r>
            <w:r w:rsidRPr="005D6998">
              <w:rPr>
                <w:color w:val="auto"/>
                <w:sz w:val="22"/>
                <w:szCs w:val="22"/>
              </w:rPr>
              <w:lastRenderedPageBreak/>
              <w:t>susținerea proiectului de achiziție. Suplimentar, menționăm că art. 27a alin. (14) din Directiva 2013/36/UE, nu prevede obligația autorității competente de a informa potențialul achizitor asupra faptului că nu se opune proiectului de achiziție până la expirarea termenului de evaluare, acesta fiind considerat aprobat.</w:t>
            </w:r>
          </w:p>
        </w:tc>
        <w:tc>
          <w:tcPr>
            <w:tcW w:w="4960" w:type="dxa"/>
            <w:gridSpan w:val="3"/>
            <w:shd w:val="clear" w:color="auto" w:fill="FFFFFF"/>
          </w:tcPr>
          <w:p w14:paraId="7F39D1F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Comentariu</w:t>
            </w:r>
          </w:p>
          <w:p w14:paraId="68388974"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Mențiunea „cu informarea în scris a potențialului achizitor” nu condiționează aprobarea achiziției de transmiterea informării de către Banca Națională a Moldovei. Norma stabilește expres că, în lipsa opoziției până la expirarea termenului de evaluare, achiziția se consideră aprobată.</w:t>
            </w:r>
          </w:p>
          <w:p w14:paraId="5BFE253E" w14:textId="77777777" w:rsidR="008E7C06" w:rsidRPr="005D6998" w:rsidRDefault="008E7C06" w:rsidP="00A46332">
            <w:pPr>
              <w:spacing w:after="0" w:line="240" w:lineRule="auto"/>
              <w:jc w:val="both"/>
              <w:rPr>
                <w:rFonts w:ascii="Times New Roman" w:hAnsi="Times New Roman"/>
                <w:lang w:val="ro-MD"/>
              </w:rPr>
            </w:pPr>
          </w:p>
          <w:p w14:paraId="3FE7B043"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lastRenderedPageBreak/>
              <w:t>Informarea în scris are rolul de a asigura certitudinea juridică și informarea formală a potențialului achizitor cu privire la faptul că procedura de evaluare a fost finalizată fără opoziția BNM. Prin urmare, aceasta reprezintă o garanție procedurală suplimentară și nu afectează mecanismul aprobării tacite prevăzut de normă.</w:t>
            </w:r>
          </w:p>
          <w:p w14:paraId="3661D408" w14:textId="77777777" w:rsidR="008E7C06" w:rsidRPr="005D6998" w:rsidRDefault="008E7C06" w:rsidP="00A46332">
            <w:pPr>
              <w:spacing w:after="0" w:line="240" w:lineRule="auto"/>
              <w:jc w:val="both"/>
              <w:rPr>
                <w:rFonts w:ascii="Times New Roman" w:hAnsi="Times New Roman"/>
              </w:rPr>
            </w:pPr>
          </w:p>
        </w:tc>
      </w:tr>
      <w:tr w:rsidR="008E7C06" w:rsidRPr="005D6998" w14:paraId="508A1CB6" w14:textId="77777777" w:rsidTr="00651F58">
        <w:trPr>
          <w:gridAfter w:val="2"/>
          <w:wAfter w:w="153" w:type="dxa"/>
          <w:trHeight w:val="105"/>
        </w:trPr>
        <w:tc>
          <w:tcPr>
            <w:tcW w:w="899" w:type="dxa"/>
            <w:gridSpan w:val="3"/>
            <w:shd w:val="clear" w:color="auto" w:fill="FFFFFF"/>
          </w:tcPr>
          <w:p w14:paraId="1A0F4736"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72BB01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55</w:t>
            </w:r>
            <w:r w:rsidRPr="005D6998">
              <w:rPr>
                <w:rFonts w:ascii="Times New Roman" w:hAnsi="Times New Roman"/>
              </w:rPr>
              <w:t xml:space="preserve">. Se completează cu </w:t>
            </w:r>
            <w:r w:rsidRPr="005D6998">
              <w:rPr>
                <w:rFonts w:ascii="Times New Roman" w:hAnsi="Times New Roman"/>
                <w:b/>
                <w:bCs/>
              </w:rPr>
              <w:t>articolele 58</w:t>
            </w:r>
            <w:r w:rsidRPr="005D6998">
              <w:rPr>
                <w:rFonts w:ascii="Times New Roman" w:hAnsi="Times New Roman"/>
                <w:b/>
                <w:bCs/>
                <w:vertAlign w:val="superscript"/>
              </w:rPr>
              <w:t>1</w:t>
            </w:r>
            <w:r w:rsidRPr="005D6998">
              <w:rPr>
                <w:rFonts w:ascii="Times New Roman" w:hAnsi="Times New Roman"/>
              </w:rPr>
              <w:t xml:space="preserve"> – </w:t>
            </w:r>
            <w:r w:rsidRPr="005D6998">
              <w:rPr>
                <w:rFonts w:ascii="Times New Roman" w:hAnsi="Times New Roman"/>
                <w:b/>
                <w:bCs/>
              </w:rPr>
              <w:t>58</w:t>
            </w:r>
            <w:r w:rsidRPr="005D6998">
              <w:rPr>
                <w:rFonts w:ascii="Times New Roman" w:hAnsi="Times New Roman"/>
                <w:b/>
                <w:bCs/>
                <w:vertAlign w:val="superscript"/>
              </w:rPr>
              <w:t>4</w:t>
            </w:r>
            <w:r w:rsidRPr="005D6998">
              <w:rPr>
                <w:rFonts w:ascii="Times New Roman" w:hAnsi="Times New Roman"/>
              </w:rPr>
              <w:t xml:space="preserve"> cu următorul cuprins:</w:t>
            </w:r>
          </w:p>
          <w:p w14:paraId="420F5B84" w14:textId="77777777" w:rsidR="008E7C06" w:rsidRPr="005D6998" w:rsidRDefault="008E7C06" w:rsidP="00A46332">
            <w:pPr>
              <w:spacing w:after="0" w:line="240" w:lineRule="auto"/>
              <w:ind w:firstLine="851"/>
              <w:jc w:val="both"/>
              <w:rPr>
                <w:rFonts w:ascii="Times New Roman" w:hAnsi="Times New Roman"/>
                <w:b/>
                <w:bCs/>
              </w:rPr>
            </w:pPr>
          </w:p>
          <w:p w14:paraId="6236A5C7" w14:textId="77777777" w:rsidR="008E7C06" w:rsidRPr="005D6998" w:rsidRDefault="008E7C06" w:rsidP="00A46332">
            <w:pPr>
              <w:spacing w:after="0" w:line="240" w:lineRule="auto"/>
              <w:ind w:firstLine="851"/>
              <w:jc w:val="both"/>
              <w:rPr>
                <w:rFonts w:ascii="Times New Roman" w:hAnsi="Times New Roman"/>
              </w:rPr>
            </w:pPr>
            <w:bookmarkStart w:id="24" w:name="_Hlk215564227"/>
            <w:r w:rsidRPr="005D6998">
              <w:rPr>
                <w:rFonts w:ascii="Times New Roman" w:hAnsi="Times New Roman"/>
              </w:rPr>
              <w:t>„</w:t>
            </w:r>
            <w:r w:rsidRPr="005D6998">
              <w:rPr>
                <w:rFonts w:ascii="Times New Roman" w:hAnsi="Times New Roman"/>
                <w:b/>
                <w:bCs/>
              </w:rPr>
              <w:t>Articolul 58</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Criterii de evaluare a proiectului de achiziție a unei dețineri semnificative</w:t>
            </w:r>
            <w:bookmarkEnd w:id="24"/>
          </w:p>
          <w:p w14:paraId="6582A06D"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w:t>
            </w:r>
            <w:r w:rsidRPr="005D6998" w:rsidDel="002533F3">
              <w:rPr>
                <w:rFonts w:ascii="Times New Roman" w:hAnsi="Times New Roman"/>
              </w:rPr>
              <w:t xml:space="preserve"> </w:t>
            </w:r>
          </w:p>
          <w:p w14:paraId="5F516D55"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(3) Banca Națională a Moldovei se poate opune proiectului de achiziție numai în cazul în care există motive rezonabile în acest sens, pe baza criteriilor prevăzute la alin. (1)  sau în cazul în care informațiile furnizate de potențialul achizitor sunt incomplete în ciuda unei solicitări efectuate în conformitate cu art. 58</w:t>
            </w:r>
            <w:r w:rsidRPr="005D6998">
              <w:rPr>
                <w:rFonts w:ascii="Times New Roman" w:hAnsi="Times New Roman"/>
                <w:vertAlign w:val="superscript"/>
              </w:rPr>
              <w:t xml:space="preserve"> </w:t>
            </w:r>
            <w:r w:rsidRPr="005D6998">
              <w:rPr>
                <w:rFonts w:ascii="Times New Roman" w:hAnsi="Times New Roman"/>
              </w:rPr>
              <w:t>alin. (10).</w:t>
            </w:r>
            <w:r w:rsidRPr="005D6998">
              <w:rPr>
                <w:rFonts w:ascii="Times New Roman" w:hAnsi="Times New Roman"/>
                <w:i/>
                <w:iCs/>
              </w:rPr>
              <w:t xml:space="preserve"> </w:t>
            </w:r>
          </w:p>
          <w:p w14:paraId="51DC39C2"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w:t>
            </w:r>
          </w:p>
          <w:p w14:paraId="08A0A631" w14:textId="77777777" w:rsidR="008E7C06" w:rsidRPr="005D6998" w:rsidRDefault="008E7C06" w:rsidP="00A46332">
            <w:pPr>
              <w:spacing w:after="0" w:line="240" w:lineRule="auto"/>
              <w:ind w:firstLine="851"/>
              <w:jc w:val="both"/>
              <w:rPr>
                <w:rFonts w:ascii="Times New Roman" w:hAnsi="Times New Roman"/>
              </w:rPr>
            </w:pPr>
            <w:bookmarkStart w:id="25" w:name="_Hlk215564244"/>
            <w:bookmarkStart w:id="26" w:name="_Hlk211954220"/>
            <w:r w:rsidRPr="005D6998">
              <w:rPr>
                <w:rFonts w:ascii="Times New Roman" w:hAnsi="Times New Roman"/>
                <w:b/>
                <w:bCs/>
              </w:rPr>
              <w:t>Articolul 58</w:t>
            </w:r>
            <w:r w:rsidRPr="005D6998">
              <w:rPr>
                <w:rFonts w:ascii="Times New Roman" w:hAnsi="Times New Roman"/>
                <w:b/>
                <w:bCs/>
                <w:vertAlign w:val="superscript"/>
              </w:rPr>
              <w:t>2</w:t>
            </w:r>
            <w:r w:rsidRPr="005D6998">
              <w:rPr>
                <w:rFonts w:ascii="Times New Roman" w:hAnsi="Times New Roman"/>
                <w:b/>
                <w:bCs/>
              </w:rPr>
              <w:t xml:space="preserve">. </w:t>
            </w:r>
            <w:r w:rsidRPr="005D6998">
              <w:rPr>
                <w:rFonts w:ascii="Times New Roman" w:hAnsi="Times New Roman"/>
              </w:rPr>
              <w:t xml:space="preserve">Cooperarea cu autoritățile competente la evaluarea proiectului de achiziție a unei dețineri semnificative </w:t>
            </w:r>
            <w:bookmarkEnd w:id="25"/>
          </w:p>
          <w:p w14:paraId="161449B2"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w:t>
            </w:r>
            <w:r w:rsidRPr="005D6998" w:rsidDel="002533F3">
              <w:rPr>
                <w:rFonts w:ascii="Times New Roman" w:hAnsi="Times New Roman"/>
              </w:rPr>
              <w:t xml:space="preserve"> </w:t>
            </w:r>
            <w:r w:rsidRPr="005D6998">
              <w:rPr>
                <w:rFonts w:ascii="Times New Roman" w:hAnsi="Times New Roman"/>
              </w:rPr>
              <w:t>(2) În cazul în care potențialul achizitor este o instituție de credit, iar pragul menționat la art. 58</w:t>
            </w:r>
            <w:r w:rsidRPr="005D6998">
              <w:rPr>
                <w:rFonts w:ascii="Times New Roman" w:hAnsi="Times New Roman"/>
                <w:vertAlign w:val="superscript"/>
              </w:rPr>
              <w:t>1</w:t>
            </w:r>
            <w:r w:rsidRPr="005D6998">
              <w:rPr>
                <w:rFonts w:ascii="Times New Roman" w:hAnsi="Times New Roman"/>
              </w:rPr>
              <w:t xml:space="preserve"> alin. (2) este depășit doar pe bază individuală, Banca Națională a Moldovei, în calitate de autoritate competentă care supraveghează instituția pe bază individuală, fără a </w:t>
            </w:r>
            <w:r w:rsidRPr="005D6998">
              <w:rPr>
                <w:rFonts w:ascii="Times New Roman" w:hAnsi="Times New Roman"/>
              </w:rPr>
              <w:lastRenderedPageBreak/>
              <w:t xml:space="preserve">avea calitatea de supraveghetor consolidant al acestei instituții de credit, notifică supraveghetorul consolidant cu privire la proiectul de achiziție în termen de 10 zile lucrătoare de la primirea notificării de către potențialul achizitor, în cazul în care acesta face parte dintr-un grup și transmite ulterior evaluarea sa supraveghetorului consolidant. </w:t>
            </w:r>
          </w:p>
          <w:p w14:paraId="235BE55E" w14:textId="77777777" w:rsidR="008E7C06" w:rsidRPr="005D6998" w:rsidRDefault="008E7C06" w:rsidP="00A46332">
            <w:pPr>
              <w:spacing w:after="0" w:line="240" w:lineRule="auto"/>
              <w:ind w:firstLine="851"/>
              <w:jc w:val="both"/>
              <w:rPr>
                <w:rFonts w:ascii="Times New Roman" w:hAnsi="Times New Roman"/>
              </w:rPr>
            </w:pPr>
          </w:p>
          <w:p w14:paraId="177B075D"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w:t>
            </w:r>
            <w:r w:rsidRPr="005D6998" w:rsidDel="002533F3">
              <w:rPr>
                <w:rFonts w:ascii="Times New Roman" w:hAnsi="Times New Roman"/>
              </w:rPr>
              <w:t xml:space="preserve"> </w:t>
            </w:r>
            <w:r w:rsidRPr="005D6998">
              <w:rPr>
                <w:rFonts w:ascii="Times New Roman" w:hAnsi="Times New Roman"/>
              </w:rPr>
              <w:t>(4) În cazul în care potențialul achizitor este o instituție de credit, iar pragul menționat la art. 58</w:t>
            </w:r>
            <w:r w:rsidRPr="005D6998">
              <w:rPr>
                <w:rFonts w:ascii="Times New Roman" w:hAnsi="Times New Roman"/>
                <w:vertAlign w:val="superscript"/>
              </w:rPr>
              <w:t>1</w:t>
            </w:r>
            <w:r w:rsidRPr="005D6998">
              <w:rPr>
                <w:rFonts w:ascii="Times New Roman" w:hAnsi="Times New Roman"/>
              </w:rPr>
              <w:t xml:space="preserve"> alin. (2) este depășit atât pe bază individuală, cât și pe baza situației consolidate a grupului, Banca Națională a Moldovei care evaluează proiectul de achiziție încearcă să își coordoneze evaluările cu supraveghetorul consolidant, în special, în ceea ce privește consultarea autorităților relevante menționate la alin. (1).</w:t>
            </w:r>
            <w:r w:rsidRPr="005D6998">
              <w:rPr>
                <w:rFonts w:ascii="Times New Roman" w:hAnsi="Times New Roman"/>
                <w:b/>
                <w:bCs/>
              </w:rPr>
              <w:t xml:space="preserve"> </w:t>
            </w:r>
          </w:p>
          <w:p w14:paraId="65D647CF"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(5) În cazul în care evaluarea proiectului de achiziție trebuie efectuată de Banca Națională a Moldovei, în calitate de supraveghetor consolidant, astfel cum prevede art. 58</w:t>
            </w:r>
            <w:r w:rsidRPr="005D6998">
              <w:rPr>
                <w:rFonts w:ascii="Times New Roman" w:hAnsi="Times New Roman"/>
                <w:vertAlign w:val="superscript"/>
              </w:rPr>
              <w:t>1</w:t>
            </w:r>
            <w:r w:rsidRPr="005D6998">
              <w:rPr>
                <w:rFonts w:ascii="Times New Roman" w:hAnsi="Times New Roman"/>
              </w:rPr>
              <w:t xml:space="preserve"> alin. (4), iar supraveghetorul consolidant este diferit de autoritatea competentă din statul membru în care este stabilit potențialul achizitor, cele două autorități colaborează în deplină consultare. Banca Națională a Moldovei pregătește o evaluare a proiectului de achiziție și transmite evaluarea respectivă autorității </w:t>
            </w:r>
            <w:r w:rsidRPr="005D6998">
              <w:rPr>
                <w:rFonts w:ascii="Times New Roman" w:hAnsi="Times New Roman"/>
              </w:rPr>
              <w:lastRenderedPageBreak/>
              <w:t xml:space="preserve">competente din statul membru în care este stabilit potențialul achizitor. Cele două autorități fac tot ce este posibil în limita competențelor lor pentru a ajunge la o decizie comună în termen de două luni de la data primirii evaluării respective. Decizia comună este documentată și justificată în mod corespunzător. Banca Națională a Moldovei, în calitate de supraveghetor consolidant comunică potențialului achizitor decizia comună respectivă. </w:t>
            </w:r>
          </w:p>
          <w:p w14:paraId="688DC5E9"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w:t>
            </w:r>
            <w:bookmarkEnd w:id="26"/>
          </w:p>
        </w:tc>
        <w:tc>
          <w:tcPr>
            <w:tcW w:w="1418" w:type="dxa"/>
            <w:gridSpan w:val="2"/>
            <w:shd w:val="clear" w:color="auto" w:fill="FFFFFF"/>
          </w:tcPr>
          <w:p w14:paraId="21EE6333"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160500D"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6EBE939" w14:textId="77777777" w:rsidR="008E7C06" w:rsidRPr="005D6998" w:rsidRDefault="008E7C06" w:rsidP="00A46332">
            <w:pPr>
              <w:pStyle w:val="Default"/>
              <w:jc w:val="both"/>
              <w:rPr>
                <w:sz w:val="22"/>
                <w:szCs w:val="22"/>
              </w:rPr>
            </w:pPr>
            <w:r w:rsidRPr="005D6998">
              <w:rPr>
                <w:sz w:val="22"/>
                <w:szCs w:val="22"/>
              </w:rPr>
              <w:t xml:space="preserve">La pct. 55: </w:t>
            </w:r>
          </w:p>
          <w:p w14:paraId="535F1C21" w14:textId="77777777" w:rsidR="008E7C06" w:rsidRPr="005D6998" w:rsidRDefault="008E7C06" w:rsidP="00A46332">
            <w:pPr>
              <w:pStyle w:val="Default"/>
              <w:jc w:val="both"/>
              <w:rPr>
                <w:sz w:val="22"/>
                <w:szCs w:val="22"/>
              </w:rPr>
            </w:pPr>
            <w:r w:rsidRPr="005D6998">
              <w:rPr>
                <w:sz w:val="22"/>
                <w:szCs w:val="22"/>
              </w:rPr>
              <w:t>În redacția propusă pentru art. 58</w:t>
            </w:r>
            <w:r w:rsidRPr="005D6998">
              <w:rPr>
                <w:sz w:val="22"/>
                <w:szCs w:val="22"/>
                <w:vertAlign w:val="superscript"/>
              </w:rPr>
              <w:t>1</w:t>
            </w:r>
            <w:r w:rsidRPr="005D6998">
              <w:rPr>
                <w:sz w:val="22"/>
                <w:szCs w:val="22"/>
              </w:rPr>
              <w:t xml:space="preserve"> alin. (3), cuvintele „în ciuda” se vor revedea, deoarece nu sunt caracteristice limbajului normativ. </w:t>
            </w:r>
          </w:p>
          <w:p w14:paraId="02C6F18A" w14:textId="77777777" w:rsidR="008E7C06" w:rsidRPr="005D6998" w:rsidRDefault="008E7C06" w:rsidP="00A46332">
            <w:pPr>
              <w:pStyle w:val="Default"/>
              <w:jc w:val="both"/>
              <w:rPr>
                <w:sz w:val="22"/>
                <w:szCs w:val="22"/>
              </w:rPr>
            </w:pPr>
          </w:p>
          <w:p w14:paraId="252CDC8E" w14:textId="77777777" w:rsidR="008E7C06" w:rsidRPr="005D6998" w:rsidRDefault="008E7C06" w:rsidP="00A46332">
            <w:pPr>
              <w:pStyle w:val="Default"/>
              <w:jc w:val="both"/>
              <w:rPr>
                <w:sz w:val="22"/>
                <w:szCs w:val="22"/>
              </w:rPr>
            </w:pPr>
            <w:r w:rsidRPr="005D6998">
              <w:rPr>
                <w:sz w:val="22"/>
                <w:szCs w:val="22"/>
              </w:rPr>
              <w:t>În redacțiile propuse pentru art. 58</w:t>
            </w:r>
            <w:r w:rsidRPr="005D6998">
              <w:rPr>
                <w:sz w:val="22"/>
                <w:szCs w:val="22"/>
                <w:vertAlign w:val="superscript"/>
              </w:rPr>
              <w:t>2</w:t>
            </w:r>
            <w:r w:rsidRPr="005D6998">
              <w:rPr>
                <w:sz w:val="22"/>
                <w:szCs w:val="22"/>
              </w:rPr>
              <w:t xml:space="preserve"> alin. (2) și (4), referința la art. 58</w:t>
            </w:r>
            <w:r w:rsidRPr="005D6998">
              <w:rPr>
                <w:sz w:val="22"/>
                <w:szCs w:val="22"/>
                <w:vertAlign w:val="superscript"/>
              </w:rPr>
              <w:t>1</w:t>
            </w:r>
            <w:r w:rsidRPr="005D6998">
              <w:rPr>
                <w:sz w:val="22"/>
                <w:szCs w:val="22"/>
              </w:rPr>
              <w:t xml:space="preserve"> alin. (2) se va substitui cu referința la art. 58 alin. (2). </w:t>
            </w:r>
          </w:p>
          <w:p w14:paraId="4515E783" w14:textId="77777777" w:rsidR="008E7C06" w:rsidRPr="005D6998" w:rsidRDefault="008E7C06" w:rsidP="00A46332">
            <w:pPr>
              <w:pStyle w:val="Default"/>
              <w:jc w:val="both"/>
              <w:rPr>
                <w:sz w:val="22"/>
                <w:szCs w:val="22"/>
              </w:rPr>
            </w:pPr>
            <w:r w:rsidRPr="005D6998">
              <w:rPr>
                <w:sz w:val="22"/>
                <w:szCs w:val="22"/>
              </w:rPr>
              <w:t>De asemenea, în redacția art. 58</w:t>
            </w:r>
            <w:r w:rsidRPr="005D6998">
              <w:rPr>
                <w:sz w:val="22"/>
                <w:szCs w:val="22"/>
                <w:vertAlign w:val="superscript"/>
              </w:rPr>
              <w:t>2</w:t>
            </w:r>
            <w:r w:rsidRPr="005D6998">
              <w:rPr>
                <w:sz w:val="22"/>
                <w:szCs w:val="22"/>
              </w:rPr>
              <w:t xml:space="preserve"> alin. (5), referința la art. 58</w:t>
            </w:r>
            <w:r w:rsidRPr="005D6998">
              <w:rPr>
                <w:sz w:val="22"/>
                <w:szCs w:val="22"/>
                <w:vertAlign w:val="superscript"/>
              </w:rPr>
              <w:t>1</w:t>
            </w:r>
            <w:r w:rsidRPr="005D6998">
              <w:rPr>
                <w:sz w:val="22"/>
                <w:szCs w:val="22"/>
              </w:rPr>
              <w:t xml:space="preserve"> alin. (4) se va substitui cu referința la art. 58 alin. (4).</w:t>
            </w:r>
          </w:p>
        </w:tc>
        <w:tc>
          <w:tcPr>
            <w:tcW w:w="4960" w:type="dxa"/>
            <w:gridSpan w:val="3"/>
            <w:shd w:val="clear" w:color="auto" w:fill="FFFFFF"/>
          </w:tcPr>
          <w:p w14:paraId="745F78B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0DA6BC1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Sintagma “în ciuda” se substituie cu textul “chiar dacă Banca Națională a Moldovei a solicitat completarea acestora”.</w:t>
            </w:r>
          </w:p>
        </w:tc>
      </w:tr>
      <w:tr w:rsidR="008E7C06" w:rsidRPr="005D6998" w14:paraId="44C992B9" w14:textId="77777777" w:rsidTr="00651F58">
        <w:trPr>
          <w:gridAfter w:val="2"/>
          <w:wAfter w:w="153" w:type="dxa"/>
          <w:trHeight w:val="105"/>
        </w:trPr>
        <w:tc>
          <w:tcPr>
            <w:tcW w:w="899" w:type="dxa"/>
            <w:gridSpan w:val="3"/>
            <w:shd w:val="clear" w:color="auto" w:fill="FFFFFF"/>
          </w:tcPr>
          <w:p w14:paraId="5D7C5CF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7074A53"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56</w:t>
            </w:r>
            <w:r w:rsidRPr="005D6998">
              <w:rPr>
                <w:rFonts w:ascii="Times New Roman" w:hAnsi="Times New Roman"/>
              </w:rPr>
              <w:t xml:space="preserve">. Articolul 59 </w:t>
            </w:r>
          </w:p>
          <w:p w14:paraId="3DBAF66B"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 xml:space="preserve">la alineatul (1), </w:t>
            </w:r>
          </w:p>
          <w:p w14:paraId="488C3D6A"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cuvântul „Băncile” se substituie cu textul „Instituțiile de credit, societățile financiare holding, societățile financiare holding mixte”, după cuvintele „pe bază individuală și” se completează cu textul „/sau” iar după cuvintele „pe bază consolidată” se completează cu textul „ori subconsolidată”;</w:t>
            </w:r>
          </w:p>
          <w:p w14:paraId="471CDD7B"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p>
          <w:p w14:paraId="39698695"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la alineatul (2),</w:t>
            </w:r>
          </w:p>
          <w:p w14:paraId="205CE63C"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cuvintele „sînt bănci și” se exclud;</w:t>
            </w:r>
          </w:p>
          <w:p w14:paraId="26F9590D"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după cuvintele „pe bază consolidată” se completează cu cuvintele „sau subconsolidată”;</w:t>
            </w:r>
          </w:p>
          <w:p w14:paraId="46DA059D"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 xml:space="preserve">cuvântul „consecvente” se substituie cu cuvântul „coerente” iar textul „se pot obține orice date sau informații relevante pentru supraveghere” se substituie cu textul „ar putea produce datele sau </w:t>
            </w:r>
            <w:r w:rsidRPr="005D6998">
              <w:rPr>
                <w:rFonts w:ascii="Times New Roman" w:hAnsi="Times New Roman"/>
              </w:rPr>
              <w:lastRenderedPageBreak/>
              <w:t>informaţiile relevante  în scopul supravegherii”;</w:t>
            </w:r>
          </w:p>
          <w:p w14:paraId="35163339"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p>
          <w:p w14:paraId="2FB7EDB8"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 xml:space="preserve">la alineatul (3), </w:t>
            </w:r>
          </w:p>
          <w:p w14:paraId="3E2787C8"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cuvintele „sînt bănci” se substituie cu cuvintele „fac obiectul prezentei legi”;</w:t>
            </w:r>
          </w:p>
          <w:p w14:paraId="0D90D8A1"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după cuvintele „prezentei legi” se completează cu textul „ , inclusiv în cadrul celor stabilite în centre off-shore”;</w:t>
            </w:r>
          </w:p>
          <w:p w14:paraId="08D34B38"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 xml:space="preserve">cuvântul „consecvente” se substituie cu cuvântul „coerente”; </w:t>
            </w:r>
          </w:p>
          <w:p w14:paraId="2CF955B2"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cuvintele „să prezinte orice date și informații” se substituie cu textul „să producă datele și informațiile” și se completează cu textul „Filialele care nu fac obiectul prezentei legi respectă cerințele specifice sectorului pe bază individuală.”;</w:t>
            </w:r>
          </w:p>
          <w:p w14:paraId="745969E6"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p>
          <w:p w14:paraId="25408D66"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 xml:space="preserve">la alineatul (4), </w:t>
            </w:r>
          </w:p>
          <w:p w14:paraId="387D4AD0"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cuvintele „ele însele” se substituie cu cuvintele „ca atare”; textul „și sunt situate într-un alt stat” se exclude iar  textul „cerinţele alin.(3) nu sînt aplicabile în condiţiile” se substituie cu textul „aplicarea cerinţelor de la alin.(3) nu contravine”;</w:t>
            </w:r>
          </w:p>
          <w:p w14:paraId="39ABCF5A"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p>
          <w:p w14:paraId="0F3E759B"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se completează cu alineatele (5) – (11) cu următorul cuprins:</w:t>
            </w:r>
          </w:p>
          <w:p w14:paraId="6A3280D7"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 xml:space="preserve">“(5) Cerințele aferente remunerării prevăzute la art. 39 și art. 44 în partea care se referă la comitetul de remunerare și în actele normative emise în aplicarea prezentei legi nu se </w:t>
            </w:r>
            <w:r w:rsidRPr="005D6998">
              <w:rPr>
                <w:rFonts w:ascii="Times New Roman" w:hAnsi="Times New Roman"/>
              </w:rPr>
              <w:lastRenderedPageBreak/>
              <w:t>aplică pe bază consolidată niciuneia dintre următoarele categorii:</w:t>
            </w:r>
          </w:p>
          <w:p w14:paraId="2E85A786"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a) filiale stabilite în UE, în cazul în care acestea fac obiectul unor cerințe specifice privind remunerarea în conformitate cu alte acte juridice ale UE;</w:t>
            </w:r>
          </w:p>
          <w:p w14:paraId="58789D57"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 xml:space="preserve">b) filiale stabilite într-un stat terț, în cazul în care acestea ar face obiectul unor cerințe specifice privind remunerarea în conformitate cu alte acte juridice ale UE dacă ar fi stabilite în UE. </w:t>
            </w:r>
          </w:p>
          <w:p w14:paraId="2638EE65"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(6)  Prin derogare de la alin. (5) și pentru a se evita eludarea normelor prevăzute la art. 39 și art. 44 în partea care se referă la comitetul de remunerare, cerințele prevăzute la aceste articole se aplică membrilor personalului filialelor care nu fac obiectul prezentei legi pe bază individuală, în cazul în care:</w:t>
            </w:r>
          </w:p>
          <w:p w14:paraId="711E5FB9"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a) filiala este fie o societate de administrare a activelor, fie o întreprindere care prestează serviciile și activitățile de investiții enumerate la art. 9 alin. (1) lit. b)-d), f)-g) din Legea privind pieţele instrumentelor financiare și activitățile de investiții; și</w:t>
            </w:r>
          </w:p>
          <w:p w14:paraId="354B1D8A"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b) respectivii membri ai personalului au fost autorizați să desfășoare activități profesionale care au un impact semnificativ direct asupra profilului de risc sau asupra activității instituțiilor de credit din cadrul grupului.</w:t>
            </w:r>
            <w:r w:rsidRPr="005D6998">
              <w:rPr>
                <w:rFonts w:ascii="Times New Roman" w:hAnsi="Times New Roman"/>
                <w:i/>
                <w:iCs/>
              </w:rPr>
              <w:t xml:space="preserve"> </w:t>
            </w:r>
          </w:p>
          <w:p w14:paraId="1DB90F2D"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 xml:space="preserve">(7) Banca Națională a Moldovei solicită fiecărei instituţii de </w:t>
            </w:r>
            <w:r w:rsidRPr="005D6998">
              <w:rPr>
                <w:rFonts w:ascii="Times New Roman" w:hAnsi="Times New Roman"/>
              </w:rPr>
              <w:lastRenderedPageBreak/>
              <w:t xml:space="preserve">credit care nu este nici filială în statul membru în care este autorizată și supravegheată, nici întreprindere-mamă, și oricărei instituţii de credit neincluse în consolidare conform actelor normative emise în aplicarea prezentei legi să îndeplinească la nivel individual obligaţiile prevăzute la art. 78.  </w:t>
            </w:r>
          </w:p>
          <w:p w14:paraId="5F87F53B"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(8) Banca Națională a Moldovei poate excepta o instituţie de credit de la îndeplinirea cerinţelor prevăzute la art. 78, în cazul în care acordă o derogare în conformitate cu actele normative emise în aplicarea prezentei legi.</w:t>
            </w:r>
            <w:r w:rsidRPr="005D6998">
              <w:rPr>
                <w:rFonts w:ascii="Times New Roman" w:hAnsi="Times New Roman"/>
                <w:b/>
                <w:bCs/>
              </w:rPr>
              <w:t xml:space="preserve"> </w:t>
            </w:r>
          </w:p>
          <w:p w14:paraId="7DD7C800"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(9) În cazul în care Banca Națională a Moldovei renunţă la aplicarea cerinţelor de fonduri proprii pe o bază consolidată, astfel cum este prevăzut în actele normative emise în aplicarea prezentei legi, cerinţele prevăzute la art. 78 se aplică pe bază individuală.</w:t>
            </w:r>
            <w:r w:rsidRPr="005D6998">
              <w:rPr>
                <w:rFonts w:ascii="Times New Roman" w:hAnsi="Times New Roman"/>
                <w:b/>
                <w:bCs/>
              </w:rPr>
              <w:t xml:space="preserve"> </w:t>
            </w:r>
          </w:p>
          <w:p w14:paraId="5A209399"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(10) Banca Națională a Moldovei solicită instituţiilor de credit-mamă dintr-un stat membru, în măsura și în modul indicat în actele normative emise în aplicarea prezentei legi, să respecte obligaţiile prevăzute la art. 78 pe bază consolidată.</w:t>
            </w:r>
            <w:r w:rsidRPr="005D6998">
              <w:rPr>
                <w:rFonts w:ascii="Times New Roman" w:hAnsi="Times New Roman"/>
                <w:b/>
                <w:bCs/>
              </w:rPr>
              <w:t xml:space="preserve"> </w:t>
            </w:r>
          </w:p>
          <w:p w14:paraId="2ECB2821"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 xml:space="preserve">(11) Banca Națională a Moldovei solicită instituţiilor de credit-filiale să aplice cerinţele prevăzute la art. 78 pe o bază subconsolidată, în cazul în care respectivele instituţii de credit sau întreprinderea-mamă, dacă aceasta este o societate financiară </w:t>
            </w:r>
            <w:r w:rsidRPr="005D6998">
              <w:rPr>
                <w:rFonts w:ascii="Times New Roman" w:hAnsi="Times New Roman"/>
              </w:rPr>
              <w:lastRenderedPageBreak/>
              <w:t>holding sau o societate financiară holding mixtă, are ca filială într-un stat terţ o instituţie de credit sau o instituţie financiară ori o societate de administrare a activelor sau deține o participație la o astfel de întreprindere.”.</w:t>
            </w:r>
          </w:p>
        </w:tc>
        <w:tc>
          <w:tcPr>
            <w:tcW w:w="1418" w:type="dxa"/>
            <w:gridSpan w:val="2"/>
            <w:shd w:val="clear" w:color="auto" w:fill="FFFFFF"/>
          </w:tcPr>
          <w:p w14:paraId="42CF41C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41AFCDB"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A6332AE" w14:textId="77777777" w:rsidR="008E7C06" w:rsidRPr="005D6998" w:rsidRDefault="008E7C06" w:rsidP="00A46332">
            <w:pPr>
              <w:pStyle w:val="Default"/>
              <w:jc w:val="both"/>
              <w:rPr>
                <w:sz w:val="22"/>
                <w:szCs w:val="22"/>
              </w:rPr>
            </w:pPr>
            <w:r w:rsidRPr="005D6998">
              <w:rPr>
                <w:sz w:val="22"/>
                <w:szCs w:val="22"/>
              </w:rPr>
              <w:t xml:space="preserve">La pct. 56: </w:t>
            </w:r>
          </w:p>
          <w:p w14:paraId="0A9BFDE1" w14:textId="77777777" w:rsidR="008E7C06" w:rsidRPr="005D6998" w:rsidRDefault="008E7C06" w:rsidP="00A46332">
            <w:pPr>
              <w:pStyle w:val="Default"/>
              <w:jc w:val="both"/>
              <w:rPr>
                <w:sz w:val="22"/>
                <w:szCs w:val="22"/>
              </w:rPr>
            </w:pPr>
            <w:r w:rsidRPr="005D6998">
              <w:rPr>
                <w:sz w:val="22"/>
                <w:szCs w:val="22"/>
              </w:rPr>
              <w:t>Având în vedere multiplele modificări propuse la toate alineatele art. 59, precum și completarea acestuia cu noi alineate, articolul se recomandă a fi expus integral în redacție nouă.</w:t>
            </w:r>
          </w:p>
        </w:tc>
        <w:tc>
          <w:tcPr>
            <w:tcW w:w="4960" w:type="dxa"/>
            <w:gridSpan w:val="3"/>
            <w:shd w:val="clear" w:color="auto" w:fill="FFFFFF"/>
          </w:tcPr>
          <w:p w14:paraId="1D674ADA"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EAF43D2" w14:textId="77777777" w:rsidR="008E7C06" w:rsidRPr="005D6998" w:rsidRDefault="008E7C06" w:rsidP="00A46332">
            <w:pPr>
              <w:spacing w:after="0" w:line="240" w:lineRule="auto"/>
              <w:jc w:val="both"/>
              <w:rPr>
                <w:rFonts w:ascii="Times New Roman" w:hAnsi="Times New Roman"/>
                <w:lang w:val="pt-BR"/>
              </w:rPr>
            </w:pPr>
            <w:r w:rsidRPr="005D6998">
              <w:rPr>
                <w:rFonts w:ascii="Times New Roman" w:hAnsi="Times New Roman"/>
              </w:rPr>
              <w:t>Articolul 59 expus în redacție nouă.</w:t>
            </w:r>
          </w:p>
        </w:tc>
      </w:tr>
      <w:tr w:rsidR="008E7C06" w:rsidRPr="005D6998" w14:paraId="1CD0FE85" w14:textId="77777777" w:rsidTr="00651F58">
        <w:trPr>
          <w:gridAfter w:val="2"/>
          <w:wAfter w:w="153" w:type="dxa"/>
          <w:trHeight w:val="105"/>
        </w:trPr>
        <w:tc>
          <w:tcPr>
            <w:tcW w:w="899" w:type="dxa"/>
            <w:gridSpan w:val="3"/>
            <w:shd w:val="clear" w:color="auto" w:fill="FFFFFF"/>
          </w:tcPr>
          <w:p w14:paraId="040EAF55"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269077A"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60</w:t>
            </w:r>
            <w:r w:rsidRPr="005D6998">
              <w:rPr>
                <w:rFonts w:ascii="Times New Roman" w:hAnsi="Times New Roman"/>
              </w:rPr>
              <w:t>. La articolul 66 alineatul (2), cifrele „90” se substituie cu cifrele „180” iar textul „30” se substituie cu cifrele „90”;</w:t>
            </w:r>
          </w:p>
        </w:tc>
        <w:tc>
          <w:tcPr>
            <w:tcW w:w="1418" w:type="dxa"/>
            <w:gridSpan w:val="2"/>
            <w:shd w:val="clear" w:color="auto" w:fill="FFFFFF"/>
          </w:tcPr>
          <w:p w14:paraId="5250A49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AC81E4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A3F9F87" w14:textId="77777777" w:rsidR="008E7C06" w:rsidRPr="005D6998" w:rsidRDefault="008E7C06" w:rsidP="00A46332">
            <w:pPr>
              <w:pStyle w:val="Default"/>
              <w:jc w:val="both"/>
              <w:rPr>
                <w:sz w:val="22"/>
                <w:szCs w:val="22"/>
              </w:rPr>
            </w:pPr>
            <w:r w:rsidRPr="005D6998">
              <w:rPr>
                <w:sz w:val="22"/>
                <w:szCs w:val="22"/>
              </w:rPr>
              <w:t>La pct. 60, dispoziția se va reformula, în vederea expunerii că „la articolul 66 alineatul (2), cifrele „90” și „30” se substituie cu cifrele „180” și, respectiv, „90”.</w:t>
            </w:r>
          </w:p>
        </w:tc>
        <w:tc>
          <w:tcPr>
            <w:tcW w:w="4960" w:type="dxa"/>
            <w:gridSpan w:val="3"/>
            <w:shd w:val="clear" w:color="auto" w:fill="FFFFFF"/>
          </w:tcPr>
          <w:p w14:paraId="25D7EE5D"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7E023F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tc>
      </w:tr>
      <w:tr w:rsidR="008E7C06" w:rsidRPr="005D6998" w14:paraId="1169BBC5" w14:textId="77777777" w:rsidTr="00651F58">
        <w:trPr>
          <w:gridAfter w:val="2"/>
          <w:wAfter w:w="153" w:type="dxa"/>
          <w:trHeight w:val="105"/>
        </w:trPr>
        <w:tc>
          <w:tcPr>
            <w:tcW w:w="899" w:type="dxa"/>
            <w:gridSpan w:val="3"/>
            <w:shd w:val="clear" w:color="auto" w:fill="FFFFFF"/>
          </w:tcPr>
          <w:p w14:paraId="18C0FFD9"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F23DEE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62</w:t>
            </w:r>
            <w:r w:rsidRPr="005D6998">
              <w:rPr>
                <w:rFonts w:ascii="Times New Roman" w:hAnsi="Times New Roman"/>
              </w:rPr>
              <w:t>. Articolul 71 va avea următorul cuprins:</w:t>
            </w:r>
          </w:p>
          <w:p w14:paraId="5E2B3129" w14:textId="77777777" w:rsidR="008E7C06" w:rsidRPr="005D6998" w:rsidRDefault="008E7C06" w:rsidP="00A46332">
            <w:pPr>
              <w:tabs>
                <w:tab w:val="left" w:pos="426"/>
              </w:tabs>
              <w:spacing w:after="0" w:line="240" w:lineRule="auto"/>
              <w:jc w:val="both"/>
              <w:rPr>
                <w:rFonts w:ascii="Times New Roman" w:hAnsi="Times New Roman"/>
              </w:rPr>
            </w:pPr>
          </w:p>
          <w:p w14:paraId="3A09EBA7"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w:t>
            </w:r>
            <w:r w:rsidRPr="005D6998" w:rsidDel="002533F3">
              <w:rPr>
                <w:rFonts w:ascii="Times New Roman" w:hAnsi="Times New Roman"/>
              </w:rPr>
              <w:t xml:space="preserve"> </w:t>
            </w:r>
          </w:p>
          <w:p w14:paraId="29A245E1"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(4) Condiţiile în care instituțiile de credit pot utiliza metodologiile prevăzute la alin. (3) se stabilesc prin actele normative emise în aplicare prezentei legi.</w:t>
            </w:r>
          </w:p>
          <w:p w14:paraId="515F84E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587A8CA6"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072AA5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9FEF831" w14:textId="77777777" w:rsidR="008E7C06" w:rsidRPr="005D6998" w:rsidRDefault="008E7C06" w:rsidP="00A46332">
            <w:pPr>
              <w:pStyle w:val="Default"/>
              <w:jc w:val="both"/>
              <w:rPr>
                <w:sz w:val="22"/>
                <w:szCs w:val="22"/>
              </w:rPr>
            </w:pPr>
            <w:r w:rsidRPr="005D6998">
              <w:rPr>
                <w:sz w:val="22"/>
                <w:szCs w:val="22"/>
              </w:rPr>
              <w:t xml:space="preserve">La pct. 62: </w:t>
            </w:r>
          </w:p>
          <w:p w14:paraId="45846F67" w14:textId="77777777" w:rsidR="008E7C06" w:rsidRPr="005D6998" w:rsidRDefault="008E7C06" w:rsidP="00A46332">
            <w:pPr>
              <w:pStyle w:val="Default"/>
              <w:jc w:val="both"/>
              <w:rPr>
                <w:sz w:val="22"/>
                <w:szCs w:val="22"/>
              </w:rPr>
            </w:pPr>
            <w:r w:rsidRPr="005D6998">
              <w:rPr>
                <w:sz w:val="22"/>
                <w:szCs w:val="22"/>
              </w:rPr>
              <w:t xml:space="preserve">În redacția nouă a art. 71 se va prevedea inclusiv denumirea articolului. </w:t>
            </w:r>
          </w:p>
          <w:p w14:paraId="04B2A926" w14:textId="77777777" w:rsidR="008E7C06" w:rsidRPr="005D6998" w:rsidRDefault="008E7C06" w:rsidP="00A46332">
            <w:pPr>
              <w:pStyle w:val="Default"/>
              <w:jc w:val="both"/>
              <w:rPr>
                <w:sz w:val="22"/>
                <w:szCs w:val="22"/>
              </w:rPr>
            </w:pPr>
            <w:r w:rsidRPr="005D6998">
              <w:rPr>
                <w:sz w:val="22"/>
                <w:szCs w:val="22"/>
              </w:rPr>
              <w:t>În redacția propusă pentru alin. (4) al art. 71, cuvântul „metodologiile” se va substitui cu cuvântul „abordările”.</w:t>
            </w:r>
          </w:p>
        </w:tc>
        <w:tc>
          <w:tcPr>
            <w:tcW w:w="4960" w:type="dxa"/>
            <w:gridSpan w:val="3"/>
            <w:shd w:val="clear" w:color="auto" w:fill="FFFFFF"/>
          </w:tcPr>
          <w:p w14:paraId="550FCB67"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59FB1BE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Pct. 62 redactat conform propunerii – denumirea articolului în redacția nouă a art. 71 și cuvântul „metodologiile” substituit cu cuvântul „abordările”.</w:t>
            </w:r>
          </w:p>
        </w:tc>
      </w:tr>
      <w:tr w:rsidR="008E7C06" w:rsidRPr="005D6998" w14:paraId="75010162" w14:textId="77777777" w:rsidTr="00651F58">
        <w:trPr>
          <w:gridAfter w:val="2"/>
          <w:wAfter w:w="153" w:type="dxa"/>
          <w:trHeight w:val="105"/>
        </w:trPr>
        <w:tc>
          <w:tcPr>
            <w:tcW w:w="899" w:type="dxa"/>
            <w:gridSpan w:val="3"/>
            <w:shd w:val="clear" w:color="auto" w:fill="FFFFFF"/>
          </w:tcPr>
          <w:p w14:paraId="2055220D"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D080A03" w14:textId="77777777" w:rsidR="008E7C06" w:rsidRPr="005D6998" w:rsidRDefault="008E7C06" w:rsidP="00A46332">
            <w:pPr>
              <w:tabs>
                <w:tab w:val="left" w:pos="426"/>
              </w:tabs>
              <w:spacing w:after="0" w:line="240" w:lineRule="auto"/>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b/>
                <w:bCs/>
                <w:kern w:val="2"/>
                <w:lang w:eastAsia="en-US"/>
                <w14:ligatures w14:val="standardContextual"/>
              </w:rPr>
              <w:t>72</w:t>
            </w:r>
            <w:r w:rsidRPr="005D6998">
              <w:rPr>
                <w:rFonts w:ascii="Times New Roman" w:eastAsiaTheme="minorHAnsi" w:hAnsi="Times New Roman"/>
                <w:kern w:val="2"/>
                <w:lang w:eastAsia="en-US"/>
                <w14:ligatures w14:val="standardContextual"/>
              </w:rPr>
              <w:t xml:space="preserve">. Articolul 91 </w:t>
            </w:r>
          </w:p>
          <w:p w14:paraId="38750542" w14:textId="77777777" w:rsidR="008E7C06" w:rsidRPr="005D6998" w:rsidRDefault="008E7C06" w:rsidP="00A46332">
            <w:pPr>
              <w:tabs>
                <w:tab w:val="left" w:pos="426"/>
              </w:tabs>
              <w:spacing w:after="0" w:line="240" w:lineRule="auto"/>
              <w:ind w:firstLine="851"/>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 </w:t>
            </w:r>
          </w:p>
          <w:p w14:paraId="7C578BAA" w14:textId="77777777" w:rsidR="008E7C06" w:rsidRPr="005D6998" w:rsidRDefault="008E7C06" w:rsidP="00A46332">
            <w:pPr>
              <w:tabs>
                <w:tab w:val="left" w:pos="426"/>
              </w:tabs>
              <w:spacing w:after="0" w:line="240" w:lineRule="auto"/>
              <w:ind w:firstLine="851"/>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se completează cu alineatul (1</w:t>
            </w:r>
            <w:r w:rsidRPr="005D6998">
              <w:rPr>
                <w:rFonts w:ascii="Times New Roman" w:eastAsiaTheme="minorHAnsi" w:hAnsi="Times New Roman"/>
                <w:kern w:val="2"/>
                <w:vertAlign w:val="superscript"/>
                <w:lang w:eastAsia="en-US"/>
                <w14:ligatures w14:val="standardContextual"/>
              </w:rPr>
              <w:t>1</w:t>
            </w:r>
            <w:r w:rsidRPr="005D6998">
              <w:rPr>
                <w:rFonts w:ascii="Times New Roman" w:eastAsiaTheme="minorHAnsi" w:hAnsi="Times New Roman"/>
                <w:kern w:val="2"/>
                <w:lang w:eastAsia="en-US"/>
                <w14:ligatures w14:val="standardContextual"/>
              </w:rPr>
              <w:t>) cu următorul cuprins:</w:t>
            </w:r>
          </w:p>
          <w:p w14:paraId="4595FF07" w14:textId="77777777" w:rsidR="008E7C06" w:rsidRPr="005D6998" w:rsidRDefault="008E7C06" w:rsidP="00A46332">
            <w:pPr>
              <w:spacing w:after="0" w:line="240" w:lineRule="auto"/>
              <w:ind w:firstLine="851"/>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„1</w:t>
            </w:r>
            <w:r w:rsidRPr="005D6998">
              <w:rPr>
                <w:rFonts w:ascii="Times New Roman" w:eastAsiaTheme="minorHAnsi" w:hAnsi="Times New Roman"/>
                <w:kern w:val="2"/>
                <w:vertAlign w:val="superscript"/>
                <w:lang w:eastAsia="en-US"/>
                <w14:ligatures w14:val="standardContextual"/>
              </w:rPr>
              <w:t>1</w:t>
            </w:r>
            <w:r w:rsidRPr="005D6998">
              <w:rPr>
                <w:rFonts w:ascii="Times New Roman" w:eastAsiaTheme="minorHAnsi" w:hAnsi="Times New Roman"/>
                <w:kern w:val="2"/>
                <w:lang w:eastAsia="en-US"/>
                <w14:ligatures w14:val="standardContextual"/>
              </w:rPr>
              <w:t>) Instituțiile de credit trebuie să publice informațiile privind riscurile de mediu, sociale și de guvernanță, distingând riscurile de mediu, sociale și de guvernanță, precum și riscurile fizice și riscurile de tranziție pentru riscurile de mediu, conform legislației aplicabile.”.</w:t>
            </w:r>
          </w:p>
        </w:tc>
        <w:tc>
          <w:tcPr>
            <w:tcW w:w="1418" w:type="dxa"/>
            <w:gridSpan w:val="2"/>
            <w:shd w:val="clear" w:color="auto" w:fill="FFFFFF"/>
          </w:tcPr>
          <w:p w14:paraId="26659C9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334252B"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282A8D5" w14:textId="77777777" w:rsidR="008E7C06" w:rsidRPr="005D6998" w:rsidRDefault="008E7C06" w:rsidP="00A46332">
            <w:pPr>
              <w:pStyle w:val="Default"/>
              <w:jc w:val="both"/>
              <w:rPr>
                <w:sz w:val="22"/>
                <w:szCs w:val="22"/>
              </w:rPr>
            </w:pPr>
            <w:r w:rsidRPr="005D6998">
              <w:rPr>
                <w:sz w:val="22"/>
                <w:szCs w:val="22"/>
              </w:rPr>
              <w:t>La pct. 72, din redacția prevăzută pentru art. 91 alin. (1</w:t>
            </w:r>
            <w:r w:rsidRPr="005D6998">
              <w:rPr>
                <w:sz w:val="22"/>
                <w:szCs w:val="22"/>
                <w:vertAlign w:val="superscript"/>
              </w:rPr>
              <w:t>1</w:t>
            </w:r>
            <w:r w:rsidRPr="005D6998">
              <w:rPr>
                <w:sz w:val="22"/>
                <w:szCs w:val="22"/>
              </w:rPr>
              <w:t>), expusă între semnele citării, textul „1</w:t>
            </w:r>
            <w:r w:rsidRPr="005D6998">
              <w:rPr>
                <w:sz w:val="22"/>
                <w:szCs w:val="22"/>
                <w:vertAlign w:val="superscript"/>
              </w:rPr>
              <w:t>1</w:t>
            </w:r>
            <w:r w:rsidRPr="005D6998">
              <w:rPr>
                <w:sz w:val="22"/>
                <w:szCs w:val="22"/>
              </w:rPr>
              <w:t>)” se va substitui cu textul „(1</w:t>
            </w:r>
            <w:r w:rsidRPr="005D6998">
              <w:rPr>
                <w:sz w:val="22"/>
                <w:szCs w:val="22"/>
                <w:vertAlign w:val="superscript"/>
              </w:rPr>
              <w:t>1</w:t>
            </w:r>
            <w:r w:rsidRPr="005D6998">
              <w:rPr>
                <w:sz w:val="22"/>
                <w:szCs w:val="22"/>
              </w:rPr>
              <w:t xml:space="preserve">)”. </w:t>
            </w:r>
          </w:p>
          <w:p w14:paraId="0993AE6D" w14:textId="77777777" w:rsidR="008E7C06" w:rsidRPr="005D6998" w:rsidRDefault="008E7C06" w:rsidP="00A46332">
            <w:pPr>
              <w:pStyle w:val="Default"/>
              <w:jc w:val="both"/>
              <w:rPr>
                <w:sz w:val="22"/>
                <w:szCs w:val="22"/>
              </w:rPr>
            </w:pPr>
          </w:p>
          <w:p w14:paraId="0197442C" w14:textId="77777777" w:rsidR="008E7C06" w:rsidRPr="005D6998" w:rsidRDefault="008E7C06" w:rsidP="00A46332">
            <w:pPr>
              <w:pStyle w:val="Default"/>
              <w:jc w:val="both"/>
              <w:rPr>
                <w:sz w:val="22"/>
                <w:szCs w:val="22"/>
              </w:rPr>
            </w:pPr>
            <w:r w:rsidRPr="005D6998">
              <w:rPr>
                <w:sz w:val="22"/>
                <w:szCs w:val="22"/>
              </w:rPr>
              <w:t>Totodată, cuvintele „conform legislației aplicabile” se va substitui cu referința la actele normative concrete.</w:t>
            </w:r>
          </w:p>
        </w:tc>
        <w:tc>
          <w:tcPr>
            <w:tcW w:w="4960" w:type="dxa"/>
            <w:gridSpan w:val="3"/>
            <w:shd w:val="clear" w:color="auto" w:fill="FFFFFF"/>
          </w:tcPr>
          <w:p w14:paraId="231F04C8"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78073A5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 – textul „1</w:t>
            </w:r>
            <w:r w:rsidRPr="005D6998">
              <w:rPr>
                <w:rFonts w:ascii="Times New Roman" w:hAnsi="Times New Roman"/>
                <w:vertAlign w:val="superscript"/>
              </w:rPr>
              <w:t>1</w:t>
            </w:r>
            <w:r w:rsidRPr="005D6998">
              <w:rPr>
                <w:rFonts w:ascii="Times New Roman" w:hAnsi="Times New Roman"/>
              </w:rPr>
              <w:t>)” se va substitui cu textul „(1</w:t>
            </w:r>
            <w:r w:rsidRPr="005D6998">
              <w:rPr>
                <w:rFonts w:ascii="Times New Roman" w:hAnsi="Times New Roman"/>
                <w:vertAlign w:val="superscript"/>
              </w:rPr>
              <w:t>1</w:t>
            </w:r>
            <w:r w:rsidRPr="005D6998">
              <w:rPr>
                <w:rFonts w:ascii="Times New Roman" w:hAnsi="Times New Roman"/>
              </w:rPr>
              <w:t>)”.</w:t>
            </w:r>
          </w:p>
          <w:p w14:paraId="4856A843" w14:textId="77777777" w:rsidR="008E7C06" w:rsidRPr="005D6998" w:rsidRDefault="008E7C06" w:rsidP="00A46332">
            <w:pPr>
              <w:spacing w:after="0" w:line="240" w:lineRule="auto"/>
              <w:jc w:val="both"/>
              <w:rPr>
                <w:rFonts w:ascii="Times New Roman" w:hAnsi="Times New Roman"/>
              </w:rPr>
            </w:pPr>
          </w:p>
          <w:p w14:paraId="3F81E37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Textul „conform legislației aplicabile” se substituie textul “actelor normative ale Băncii Naționale a Moldovei emise în aplicarea prezentei legi”. BNM va reglementa modul de publicare a informațiilor aferente riscurilor ESG cu distingerea riscurilor indicate de această normă în actele normative secundare de domeniu.</w:t>
            </w:r>
          </w:p>
        </w:tc>
      </w:tr>
      <w:tr w:rsidR="008E7C06" w:rsidRPr="005D6998" w14:paraId="33EB8826" w14:textId="77777777" w:rsidTr="00651F58">
        <w:trPr>
          <w:gridAfter w:val="2"/>
          <w:wAfter w:w="153" w:type="dxa"/>
          <w:trHeight w:val="105"/>
        </w:trPr>
        <w:tc>
          <w:tcPr>
            <w:tcW w:w="899" w:type="dxa"/>
            <w:gridSpan w:val="3"/>
            <w:shd w:val="clear" w:color="auto" w:fill="FFFFFF"/>
          </w:tcPr>
          <w:p w14:paraId="429EF7AD"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790710D"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74</w:t>
            </w:r>
            <w:r w:rsidRPr="005D6998">
              <w:rPr>
                <w:rFonts w:ascii="Times New Roman" w:hAnsi="Times New Roman"/>
              </w:rPr>
              <w:t>. Titlul III se completează cu capitolul 6</w:t>
            </w:r>
            <w:r w:rsidRPr="005D6998">
              <w:rPr>
                <w:rFonts w:ascii="Times New Roman" w:hAnsi="Times New Roman"/>
                <w:vertAlign w:val="superscript"/>
              </w:rPr>
              <w:t>1</w:t>
            </w:r>
            <w:r w:rsidRPr="005D6998">
              <w:rPr>
                <w:rFonts w:ascii="Times New Roman" w:hAnsi="Times New Roman"/>
              </w:rPr>
              <w:t xml:space="preserve"> cu următorul cuprins:</w:t>
            </w:r>
          </w:p>
          <w:p w14:paraId="2B4DEB52"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w:t>
            </w:r>
            <w:r w:rsidRPr="005D6998">
              <w:rPr>
                <w:rFonts w:ascii="Times New Roman" w:hAnsi="Times New Roman"/>
                <w:b/>
                <w:bCs/>
              </w:rPr>
              <w:t>Capitolul 6</w:t>
            </w:r>
            <w:r w:rsidRPr="005D6998">
              <w:rPr>
                <w:rFonts w:ascii="Times New Roman" w:hAnsi="Times New Roman"/>
                <w:b/>
                <w:bCs/>
                <w:vertAlign w:val="superscript"/>
              </w:rPr>
              <w:t>1</w:t>
            </w:r>
          </w:p>
          <w:p w14:paraId="67497C55"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b/>
                <w:bCs/>
              </w:rPr>
              <w:lastRenderedPageBreak/>
              <w:t>CERINȚE MINIME DE REGLEMENTARE PENTRU SUCURSALELE DIN STATE TERȚE</w:t>
            </w:r>
          </w:p>
          <w:p w14:paraId="0933B707" w14:textId="77777777" w:rsidR="008E7C06" w:rsidRPr="005D6998" w:rsidRDefault="008E7C06" w:rsidP="00A46332">
            <w:pPr>
              <w:spacing w:after="0" w:line="240" w:lineRule="auto"/>
              <w:ind w:firstLine="851"/>
              <w:jc w:val="both"/>
              <w:rPr>
                <w:rFonts w:ascii="Times New Roman" w:hAnsi="Times New Roman"/>
                <w:b/>
                <w:bCs/>
              </w:rPr>
            </w:pPr>
          </w:p>
          <w:p w14:paraId="20013B78"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b/>
                <w:bCs/>
              </w:rPr>
              <w:t>Articolul 94</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 xml:space="preserve">Capitalul de dotare a sucursalei dintr-un stat terț </w:t>
            </w:r>
          </w:p>
          <w:p w14:paraId="6A533FB6"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2533F3">
              <w:rPr>
                <w:rFonts w:ascii="Times New Roman" w:hAnsi="Times New Roman"/>
              </w:rPr>
              <w:t xml:space="preserve"> </w:t>
            </w:r>
          </w:p>
          <w:p w14:paraId="16C01025" w14:textId="77777777" w:rsidR="008E7C06" w:rsidRPr="005D6998" w:rsidRDefault="008E7C06" w:rsidP="00A46332">
            <w:pPr>
              <w:spacing w:after="0" w:line="240" w:lineRule="auto"/>
              <w:ind w:firstLine="709"/>
              <w:jc w:val="both"/>
              <w:rPr>
                <w:rFonts w:ascii="Times New Roman" w:hAnsi="Times New Roman"/>
                <w:b/>
                <w:bCs/>
              </w:rPr>
            </w:pPr>
            <w:r w:rsidRPr="005D6998">
              <w:rPr>
                <w:rFonts w:ascii="Times New Roman" w:hAnsi="Times New Roman"/>
              </w:rPr>
              <w:t>(4) Instrumentele de capital menționate la alin. (2) depozitate în contul escrow trebuie să fie disponibile pentru a fi utilizate, în sensul art. 326 din Legea nr. 232/2016 privind redresarea și rezoluția instituțiilor de credit, în cazul rezoluției sucursalei dintr-un stat terț și în scopul lichidării sucursalei dintr-un stat terț.</w:t>
            </w:r>
            <w:r w:rsidRPr="005D6998">
              <w:rPr>
                <w:rFonts w:ascii="Times New Roman" w:hAnsi="Times New Roman"/>
                <w:i/>
                <w:iCs/>
              </w:rPr>
              <w:t xml:space="preserve"> </w:t>
            </w:r>
          </w:p>
        </w:tc>
        <w:tc>
          <w:tcPr>
            <w:tcW w:w="1418" w:type="dxa"/>
            <w:gridSpan w:val="2"/>
            <w:shd w:val="clear" w:color="auto" w:fill="FFFFFF"/>
          </w:tcPr>
          <w:p w14:paraId="61382BE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2F98CF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AA2D612" w14:textId="77777777" w:rsidR="008E7C06" w:rsidRPr="005D6998" w:rsidRDefault="008E7C06" w:rsidP="00A46332">
            <w:pPr>
              <w:pStyle w:val="Default"/>
              <w:jc w:val="both"/>
              <w:rPr>
                <w:sz w:val="22"/>
                <w:szCs w:val="22"/>
              </w:rPr>
            </w:pPr>
            <w:r w:rsidRPr="005D6998">
              <w:rPr>
                <w:sz w:val="22"/>
                <w:szCs w:val="22"/>
              </w:rPr>
              <w:t xml:space="preserve">La pct. 74: </w:t>
            </w:r>
          </w:p>
          <w:p w14:paraId="53FB5CA9" w14:textId="77777777" w:rsidR="008E7C06" w:rsidRPr="005D6998" w:rsidRDefault="008E7C06" w:rsidP="00A46332">
            <w:pPr>
              <w:pStyle w:val="Default"/>
              <w:jc w:val="both"/>
              <w:rPr>
                <w:sz w:val="22"/>
                <w:szCs w:val="22"/>
              </w:rPr>
            </w:pPr>
            <w:r w:rsidRPr="005D6998">
              <w:rPr>
                <w:sz w:val="22"/>
                <w:szCs w:val="22"/>
              </w:rPr>
              <w:t>Din redacția propusă pentru art. 94</w:t>
            </w:r>
            <w:r w:rsidRPr="005D6998">
              <w:rPr>
                <w:sz w:val="22"/>
                <w:szCs w:val="22"/>
                <w:vertAlign w:val="superscript"/>
              </w:rPr>
              <w:t>1</w:t>
            </w:r>
            <w:r w:rsidRPr="005D6998">
              <w:rPr>
                <w:sz w:val="22"/>
                <w:szCs w:val="22"/>
              </w:rPr>
              <w:t xml:space="preserve"> alin. (4), referința la alin. (2) se va substitui cu referința la alin. (3). </w:t>
            </w:r>
          </w:p>
          <w:p w14:paraId="6D1E9D6D" w14:textId="77777777" w:rsidR="008E7C06" w:rsidRPr="005D6998" w:rsidRDefault="008E7C06" w:rsidP="00A46332">
            <w:pPr>
              <w:pStyle w:val="Default"/>
              <w:jc w:val="both"/>
              <w:rPr>
                <w:sz w:val="22"/>
                <w:szCs w:val="22"/>
              </w:rPr>
            </w:pPr>
          </w:p>
          <w:p w14:paraId="4A8A5D3A" w14:textId="77777777" w:rsidR="008E7C06" w:rsidRPr="005D6998" w:rsidRDefault="008E7C06" w:rsidP="00A46332">
            <w:pPr>
              <w:pStyle w:val="Default"/>
              <w:jc w:val="both"/>
              <w:rPr>
                <w:sz w:val="22"/>
                <w:szCs w:val="22"/>
              </w:rPr>
            </w:pPr>
            <w:r w:rsidRPr="005D6998">
              <w:rPr>
                <w:sz w:val="22"/>
                <w:szCs w:val="22"/>
              </w:rPr>
              <w:t xml:space="preserve">Subsecvent, referința la art. 326 din Legea nr. 232/2016 privind redresarea și rezoluția instituțiilor de credit urmează a fi revăzută, întrucât legea citată nu are în componența sa art. 326. </w:t>
            </w:r>
          </w:p>
          <w:p w14:paraId="39275303" w14:textId="77777777" w:rsidR="008E7C06" w:rsidRPr="005D6998" w:rsidRDefault="008E7C06" w:rsidP="00A46332">
            <w:pPr>
              <w:pStyle w:val="Default"/>
              <w:jc w:val="both"/>
              <w:rPr>
                <w:sz w:val="22"/>
                <w:szCs w:val="22"/>
              </w:rPr>
            </w:pPr>
          </w:p>
        </w:tc>
        <w:tc>
          <w:tcPr>
            <w:tcW w:w="4960" w:type="dxa"/>
            <w:gridSpan w:val="3"/>
            <w:shd w:val="clear" w:color="auto" w:fill="FFFFFF"/>
          </w:tcPr>
          <w:p w14:paraId="34A864D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3B327D2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art. 94</w:t>
            </w:r>
            <w:r w:rsidRPr="005D6998">
              <w:rPr>
                <w:rFonts w:ascii="Times New Roman" w:hAnsi="Times New Roman"/>
                <w:vertAlign w:val="superscript"/>
              </w:rPr>
              <w:t>1</w:t>
            </w:r>
            <w:r w:rsidRPr="005D6998">
              <w:rPr>
                <w:rFonts w:ascii="Times New Roman" w:hAnsi="Times New Roman"/>
              </w:rPr>
              <w:t xml:space="preserve"> alin. (4), referința la alin. (2) se substituie cu referința la alin. (3).</w:t>
            </w:r>
          </w:p>
          <w:p w14:paraId="1AF724B8" w14:textId="77777777" w:rsidR="008E7C06" w:rsidRPr="005D6998" w:rsidRDefault="008E7C06" w:rsidP="00A46332">
            <w:pPr>
              <w:spacing w:after="0" w:line="240" w:lineRule="auto"/>
              <w:jc w:val="both"/>
              <w:rPr>
                <w:rFonts w:ascii="Times New Roman" w:hAnsi="Times New Roman"/>
              </w:rPr>
            </w:pPr>
          </w:p>
          <w:p w14:paraId="1648767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La momentul actual, proiectul de lege care transpune integral Directiva 2014/59/UE nu este definitivat, respectiv art. 326 din proiectul de modificare a Legii nr. 232/2016 la care s-a făcut trimitere poate suferi modificări, respectiv până la adoptarea proiectului se va exclude referința. Chiar și în aceste condiții, norma propusă la alin. (4) poate să se aplice prin identificarea în legislația aferentă rezoluției instrumentele de capital utilizate în cazul rezoluției unei sucursale dintr-un stat terț..</w:t>
            </w:r>
          </w:p>
          <w:p w14:paraId="74F69CD5" w14:textId="77777777" w:rsidR="008E7C06" w:rsidRPr="005D6998" w:rsidRDefault="008E7C06" w:rsidP="00A46332">
            <w:pPr>
              <w:spacing w:after="0" w:line="240" w:lineRule="auto"/>
              <w:jc w:val="both"/>
              <w:rPr>
                <w:rFonts w:ascii="Times New Roman" w:hAnsi="Times New Roman"/>
                <w:b/>
                <w:bCs/>
              </w:rPr>
            </w:pPr>
          </w:p>
        </w:tc>
      </w:tr>
      <w:tr w:rsidR="008E7C06" w:rsidRPr="005D6998" w14:paraId="48D7CAE2" w14:textId="77777777" w:rsidTr="00651F58">
        <w:trPr>
          <w:gridAfter w:val="2"/>
          <w:wAfter w:w="153" w:type="dxa"/>
          <w:trHeight w:val="105"/>
        </w:trPr>
        <w:tc>
          <w:tcPr>
            <w:tcW w:w="899" w:type="dxa"/>
            <w:gridSpan w:val="3"/>
            <w:shd w:val="clear" w:color="auto" w:fill="FFFFFF"/>
          </w:tcPr>
          <w:p w14:paraId="6DD2DB8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D3C3C41" w14:textId="77777777" w:rsidR="008E7C06" w:rsidRPr="005D6998" w:rsidRDefault="008E7C06" w:rsidP="00A46332">
            <w:pPr>
              <w:spacing w:after="0" w:line="240" w:lineRule="auto"/>
              <w:ind w:firstLine="709"/>
              <w:jc w:val="both"/>
              <w:rPr>
                <w:rFonts w:ascii="Times New Roman" w:hAnsi="Times New Roman"/>
                <w:b/>
                <w:bCs/>
              </w:rPr>
            </w:pPr>
            <w:r w:rsidRPr="005D6998">
              <w:rPr>
                <w:rFonts w:ascii="Times New Roman" w:hAnsi="Times New Roman"/>
                <w:b/>
                <w:bCs/>
              </w:rPr>
              <w:t>[...]</w:t>
            </w:r>
            <w:r w:rsidRPr="005D6998" w:rsidDel="002533F3">
              <w:rPr>
                <w:rFonts w:ascii="Times New Roman" w:hAnsi="Times New Roman"/>
                <w:b/>
                <w:bCs/>
              </w:rPr>
              <w:t xml:space="preserve"> </w:t>
            </w:r>
          </w:p>
          <w:p w14:paraId="1AE079A2"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b/>
                <w:bCs/>
              </w:rPr>
              <w:t>Articolul 94</w:t>
            </w:r>
            <w:r w:rsidRPr="005D6998">
              <w:rPr>
                <w:rFonts w:ascii="Times New Roman" w:hAnsi="Times New Roman"/>
                <w:b/>
                <w:bCs/>
                <w:vertAlign w:val="superscript"/>
              </w:rPr>
              <w:t>4</w:t>
            </w:r>
            <w:r w:rsidRPr="005D6998">
              <w:rPr>
                <w:rFonts w:ascii="Times New Roman" w:hAnsi="Times New Roman"/>
                <w:b/>
                <w:bCs/>
              </w:rPr>
              <w:t xml:space="preserve">. </w:t>
            </w:r>
            <w:r w:rsidRPr="005D6998">
              <w:rPr>
                <w:rFonts w:ascii="Times New Roman" w:hAnsi="Times New Roman"/>
              </w:rPr>
              <w:t xml:space="preserve">Cerințe de contabilizare </w:t>
            </w:r>
          </w:p>
          <w:p w14:paraId="30A70489"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2533F3">
              <w:rPr>
                <w:rFonts w:ascii="Times New Roman" w:hAnsi="Times New Roman"/>
              </w:rPr>
              <w:t xml:space="preserve"> </w:t>
            </w:r>
          </w:p>
          <w:p w14:paraId="1265B697"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(2) Sucursalele din state terțe trebuie să dispună, precum și să revizuiască și să actualizeze periodic o politică privind modalitățile de contabilizare pentru gestionarea registrului menționat la alin. (1), documentată și aprobată de organismul de conducere relevant al întreprinderii principale. Politica respectivă trebuie să ofere o justificare clară a modalităților de contabilizare și să stabilească alinierea modalităților respective la strategia de afaceri a sucursalei dintr-un stat terț.</w:t>
            </w:r>
            <w:r w:rsidRPr="005D6998">
              <w:rPr>
                <w:rFonts w:ascii="Times New Roman" w:hAnsi="Times New Roman"/>
                <w:b/>
                <w:bCs/>
              </w:rPr>
              <w:t xml:space="preserve"> </w:t>
            </w:r>
          </w:p>
          <w:p w14:paraId="631A88E2"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270E89">
              <w:rPr>
                <w:rFonts w:ascii="Times New Roman" w:hAnsi="Times New Roman"/>
              </w:rPr>
              <w:t xml:space="preserve"> </w:t>
            </w:r>
          </w:p>
          <w:p w14:paraId="0C0231A1"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b/>
                <w:bCs/>
              </w:rPr>
              <w:t>Articolul 94</w:t>
            </w:r>
            <w:r w:rsidRPr="005D6998">
              <w:rPr>
                <w:rFonts w:ascii="Times New Roman" w:hAnsi="Times New Roman"/>
                <w:b/>
                <w:bCs/>
                <w:vertAlign w:val="superscript"/>
              </w:rPr>
              <w:t>5</w:t>
            </w:r>
            <w:r w:rsidRPr="005D6998">
              <w:rPr>
                <w:rFonts w:ascii="Times New Roman" w:hAnsi="Times New Roman"/>
                <w:b/>
                <w:bCs/>
              </w:rPr>
              <w:t xml:space="preserve">. </w:t>
            </w:r>
            <w:r w:rsidRPr="005D6998">
              <w:rPr>
                <w:rFonts w:ascii="Times New Roman" w:hAnsi="Times New Roman"/>
              </w:rPr>
              <w:t>Cerințe de raportare</w:t>
            </w:r>
          </w:p>
          <w:p w14:paraId="4B3693B4"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lastRenderedPageBreak/>
              <w:t>[...]</w:t>
            </w:r>
            <w:r w:rsidRPr="005D6998" w:rsidDel="00270E89">
              <w:rPr>
                <w:rFonts w:ascii="Times New Roman" w:hAnsi="Times New Roman"/>
              </w:rPr>
              <w:t xml:space="preserve"> </w:t>
            </w:r>
          </w:p>
          <w:p w14:paraId="07CD2C4C"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(3) Sucursalele din state terțe trebuie să raporteze Băncii Naționale a Moldovei următoarele informații cu privire la întreprinderea lor principală: </w:t>
            </w:r>
          </w:p>
          <w:p w14:paraId="65291328"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270E89">
              <w:rPr>
                <w:rFonts w:ascii="Times New Roman" w:hAnsi="Times New Roman"/>
              </w:rPr>
              <w:t xml:space="preserve"> </w:t>
            </w:r>
          </w:p>
          <w:p w14:paraId="73D0E488"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f) serviciile furnizate de întreprinderea principală clienților stabiliți sau situați în UE, pe bază de solicitare inversă a serviciilor, astfel cum prevede articolul 31</w:t>
            </w:r>
            <w:r w:rsidRPr="005D6998">
              <w:rPr>
                <w:rFonts w:ascii="Times New Roman" w:hAnsi="Times New Roman"/>
                <w:vertAlign w:val="superscript"/>
              </w:rPr>
              <w:t>1</w:t>
            </w:r>
            <w:r w:rsidRPr="005D6998">
              <w:rPr>
                <w:rFonts w:ascii="Times New Roman" w:hAnsi="Times New Roman"/>
              </w:rPr>
              <w:t>.</w:t>
            </w:r>
            <w:r w:rsidRPr="005D6998">
              <w:rPr>
                <w:rFonts w:ascii="Times New Roman" w:hAnsi="Times New Roman"/>
                <w:b/>
                <w:bCs/>
              </w:rPr>
              <w:t xml:space="preserve"> </w:t>
            </w:r>
          </w:p>
          <w:p w14:paraId="2FDC310A"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2D521B62"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1F154C5"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24DDF0F" w14:textId="77777777" w:rsidR="008E7C06" w:rsidRPr="005D6998" w:rsidRDefault="008E7C06" w:rsidP="00A46332">
            <w:pPr>
              <w:pStyle w:val="Default"/>
              <w:jc w:val="both"/>
              <w:rPr>
                <w:sz w:val="22"/>
                <w:szCs w:val="22"/>
              </w:rPr>
            </w:pPr>
            <w:r w:rsidRPr="005D6998">
              <w:rPr>
                <w:sz w:val="22"/>
                <w:szCs w:val="22"/>
              </w:rPr>
              <w:t>În redacția art. 94</w:t>
            </w:r>
            <w:r w:rsidRPr="005D6998">
              <w:rPr>
                <w:sz w:val="22"/>
                <w:szCs w:val="22"/>
                <w:vertAlign w:val="superscript"/>
              </w:rPr>
              <w:t>4</w:t>
            </w:r>
            <w:r w:rsidRPr="005D6998">
              <w:rPr>
                <w:sz w:val="22"/>
                <w:szCs w:val="22"/>
              </w:rPr>
              <w:t>, cuvintele „să actualizeze periodic” considerăm relevant a fi revăzute, în scopul concretizării periodicității actualizării politicii privind modalitățile de contabilizare (sugestie similară valabilă și pentru pct. 79, cu referire la completarea art. 101 cu alin. (1</w:t>
            </w:r>
            <w:r w:rsidRPr="005D6998">
              <w:rPr>
                <w:sz w:val="22"/>
                <w:szCs w:val="22"/>
                <w:vertAlign w:val="superscript"/>
              </w:rPr>
              <w:t>1</w:t>
            </w:r>
            <w:r w:rsidRPr="005D6998">
              <w:rPr>
                <w:sz w:val="22"/>
                <w:szCs w:val="22"/>
              </w:rPr>
              <w:t>), în partea ce vizează cuvintele „cu regularitate”; pct. 80, cu referire la redacția art. 101</w:t>
            </w:r>
            <w:r w:rsidRPr="005D6998">
              <w:rPr>
                <w:sz w:val="22"/>
                <w:szCs w:val="22"/>
                <w:vertAlign w:val="superscript"/>
              </w:rPr>
              <w:t>1</w:t>
            </w:r>
            <w:r w:rsidRPr="005D6998">
              <w:rPr>
                <w:sz w:val="22"/>
                <w:szCs w:val="22"/>
              </w:rPr>
              <w:t xml:space="preserve"> alin. (1), în partea ce vizează cuvintele „analizează periodic”, ș.a.). </w:t>
            </w:r>
          </w:p>
          <w:p w14:paraId="607325F4" w14:textId="77777777" w:rsidR="008E7C06" w:rsidRPr="005D6998" w:rsidRDefault="008E7C06" w:rsidP="00A46332">
            <w:pPr>
              <w:pStyle w:val="Default"/>
              <w:jc w:val="both"/>
              <w:rPr>
                <w:sz w:val="22"/>
                <w:szCs w:val="22"/>
              </w:rPr>
            </w:pPr>
          </w:p>
          <w:p w14:paraId="3C83E3DF" w14:textId="77777777" w:rsidR="008E7C06" w:rsidRPr="005D6998" w:rsidRDefault="008E7C06" w:rsidP="00A46332">
            <w:pPr>
              <w:pStyle w:val="Default"/>
              <w:jc w:val="both"/>
              <w:rPr>
                <w:sz w:val="22"/>
                <w:szCs w:val="22"/>
              </w:rPr>
            </w:pPr>
            <w:r w:rsidRPr="005D6998">
              <w:rPr>
                <w:sz w:val="22"/>
                <w:szCs w:val="22"/>
              </w:rPr>
              <w:t>În redacția art. 94</w:t>
            </w:r>
            <w:r w:rsidRPr="005D6998">
              <w:rPr>
                <w:sz w:val="22"/>
                <w:szCs w:val="22"/>
                <w:vertAlign w:val="superscript"/>
              </w:rPr>
              <w:t>5</w:t>
            </w:r>
            <w:r w:rsidRPr="005D6998">
              <w:rPr>
                <w:sz w:val="22"/>
                <w:szCs w:val="22"/>
              </w:rPr>
              <w:t xml:space="preserve"> alin. (3) lit. f), referința la art. 31</w:t>
            </w:r>
            <w:r w:rsidRPr="005D6998">
              <w:rPr>
                <w:sz w:val="22"/>
                <w:szCs w:val="22"/>
                <w:vertAlign w:val="superscript"/>
              </w:rPr>
              <w:t>1</w:t>
            </w:r>
            <w:r w:rsidRPr="005D6998">
              <w:rPr>
                <w:sz w:val="22"/>
                <w:szCs w:val="22"/>
              </w:rPr>
              <w:t xml:space="preserve"> se va revedea, deoarece se consideră a fi inadecvată. Or, aceasta se propune a fi substituită cu referința la art. 24 al Legii nr. 202/2017.</w:t>
            </w:r>
          </w:p>
        </w:tc>
        <w:tc>
          <w:tcPr>
            <w:tcW w:w="4960" w:type="dxa"/>
            <w:gridSpan w:val="3"/>
            <w:shd w:val="clear" w:color="auto" w:fill="FFFFFF"/>
          </w:tcPr>
          <w:p w14:paraId="2AC9C0D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18F90334"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Norma prevăzută la art. 94</w:t>
            </w:r>
            <w:r w:rsidRPr="005D6998">
              <w:rPr>
                <w:rFonts w:ascii="Times New Roman" w:hAnsi="Times New Roman"/>
                <w:vertAlign w:val="superscript"/>
                <w:lang w:val="ro-MD"/>
              </w:rPr>
              <w:t>4</w:t>
            </w:r>
            <w:r w:rsidRPr="005D6998">
              <w:rPr>
                <w:rFonts w:ascii="Times New Roman" w:hAnsi="Times New Roman"/>
                <w:lang w:val="ro-MD"/>
              </w:rPr>
              <w:t xml:space="preserve"> alin. (2) transpune art. 48h din Directiva 2013/36/UE, astfel cum a fost modificată prin CRD VI. Stabilirea în lege a unei perioade fixe pentru actualizarea politicii privind modalitățile de contabilizare nu se consideră oportună, întrucât frecvența actualizării trebuie să poată fi adaptată în funcție de evoluțiile cadrului de reglementare, a activității și a riscurilor aferente sucursalei dintr-un stat terț.</w:t>
            </w:r>
          </w:p>
          <w:p w14:paraId="23FCB3B7"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În același context, se menționează că, potrivit art. 48h alin. (4) din directivă, ABE urmează să elaboreze proiecte de standarde tehnice de reglementare privind modalitățile de contabilizare aplicabile sucursalelor din state terțe. </w:t>
            </w:r>
          </w:p>
          <w:p w14:paraId="30873472"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Prin urmare, concretizarea prin lege a unei periodicități fixe ar putea deveni necorelată cu cerințele tehnice care vor fi stabilite la nivel european. </w:t>
            </w:r>
          </w:p>
          <w:p w14:paraId="4DF3BF66"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Respectiv, sintagma „să actualizeze periodic” permite asigurarea unei cerințe continue de revizuire și actualizare.</w:t>
            </w:r>
          </w:p>
          <w:p w14:paraId="1B02788F" w14:textId="77777777" w:rsidR="008E7C06" w:rsidRPr="005D6998" w:rsidRDefault="008E7C06" w:rsidP="00A46332">
            <w:pPr>
              <w:spacing w:after="0" w:line="240" w:lineRule="auto"/>
              <w:jc w:val="both"/>
              <w:rPr>
                <w:rFonts w:ascii="Times New Roman" w:hAnsi="Times New Roman"/>
                <w:b/>
                <w:bCs/>
              </w:rPr>
            </w:pPr>
          </w:p>
        </w:tc>
      </w:tr>
      <w:tr w:rsidR="008E7C06" w:rsidRPr="005D6998" w14:paraId="6F482A07" w14:textId="77777777" w:rsidTr="00651F58">
        <w:trPr>
          <w:gridAfter w:val="2"/>
          <w:wAfter w:w="153" w:type="dxa"/>
          <w:trHeight w:val="105"/>
        </w:trPr>
        <w:tc>
          <w:tcPr>
            <w:tcW w:w="899" w:type="dxa"/>
            <w:gridSpan w:val="3"/>
            <w:shd w:val="clear" w:color="auto" w:fill="FFFFFF"/>
          </w:tcPr>
          <w:p w14:paraId="198F1E2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283FCFC"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78</w:t>
            </w:r>
            <w:r w:rsidRPr="005D6998">
              <w:rPr>
                <w:rFonts w:ascii="Times New Roman" w:hAnsi="Times New Roman"/>
              </w:rPr>
              <w:t>. Articolul 100</w:t>
            </w:r>
          </w:p>
          <w:p w14:paraId="3C8D01F9"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p>
          <w:p w14:paraId="089190AA"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se completează cu alineatul (6) cu următorul cuprins:</w:t>
            </w:r>
          </w:p>
          <w:p w14:paraId="5367901D"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 xml:space="preserve">„(6) Fără a aduce atingere altor dispoziții relevante din prezenta lege și actele normative emise în aplicarea acesteia, Banca Națională a Moldovei deține toate competențele de colectare a informațiilor și de investigare care sunt necesare pentru detectarea activităților instituțiilor de credit și părțile terțe care acționează în calitate de consultant față de respectivele instituții de credit care pot afecta simulările de criză, cum ar fi evaluarea comparativă, schimbul de informații între ele, înțelegeri privind comportamente comune sau optimizarea elementelor pe care le prezintă pentru simulările de criză. Instituțiile de credit și părțile terțe care acționează în calitate de consultant față de instituții de credit în contextul exercițiilor de simulare de criză se </w:t>
            </w:r>
            <w:r w:rsidRPr="005D6998">
              <w:rPr>
                <w:rFonts w:ascii="Times New Roman" w:hAnsi="Times New Roman"/>
              </w:rPr>
              <w:lastRenderedPageBreak/>
              <w:t>abțin de la desfășurarea activităților respective.”.</w:t>
            </w:r>
          </w:p>
        </w:tc>
        <w:tc>
          <w:tcPr>
            <w:tcW w:w="1418" w:type="dxa"/>
            <w:gridSpan w:val="2"/>
            <w:shd w:val="clear" w:color="auto" w:fill="FFFFFF"/>
          </w:tcPr>
          <w:p w14:paraId="471097E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29F696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89C80DF" w14:textId="77777777" w:rsidR="008E7C06" w:rsidRPr="005D6998" w:rsidRDefault="008E7C06" w:rsidP="00A46332">
            <w:pPr>
              <w:pStyle w:val="Default"/>
              <w:jc w:val="both"/>
              <w:rPr>
                <w:sz w:val="22"/>
                <w:szCs w:val="22"/>
              </w:rPr>
            </w:pPr>
            <w:r w:rsidRPr="005D6998">
              <w:rPr>
                <w:sz w:val="22"/>
                <w:szCs w:val="22"/>
              </w:rPr>
              <w:t>La pct. 78, din redacția propusă pentru art. 100 alin. (6), cuvintele „altor dispoziții relevante din prezenta lege” urmează a fi substituite cu referința concretă la elementele structurale din lege la care se face referire.</w:t>
            </w:r>
          </w:p>
        </w:tc>
        <w:tc>
          <w:tcPr>
            <w:tcW w:w="4960" w:type="dxa"/>
            <w:gridSpan w:val="3"/>
            <w:shd w:val="clear" w:color="auto" w:fill="FFFFFF"/>
          </w:tcPr>
          <w:p w14:paraId="4708B1A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3394D1F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Sintagma „altor dispoziții relevante din prezenta lege și actele normative emise în aplicarea acesteia” este preluată din art. 100 alin. (3) din Directiva 2013/36/UE, astfel cum a fost modificată prin CRD VI, și are caracterul unei clauze generale de corelare cu celelalte dispoziții aplicabile. Enumerarea unor elemente structurale concrete din lege nu este oportună deoarece  ar putea restrânge nejustificat domeniul de aplicare al normei, având în vedere că dispozițiile relevante pot rezulta din prevederi multiple ale cadrului legal și normativ de supraveghere.</w:t>
            </w:r>
          </w:p>
        </w:tc>
      </w:tr>
      <w:tr w:rsidR="008E7C06" w:rsidRPr="005D6998" w14:paraId="42C4FA64" w14:textId="77777777" w:rsidTr="00651F58">
        <w:trPr>
          <w:gridAfter w:val="2"/>
          <w:wAfter w:w="153" w:type="dxa"/>
          <w:trHeight w:val="105"/>
        </w:trPr>
        <w:tc>
          <w:tcPr>
            <w:tcW w:w="899" w:type="dxa"/>
            <w:gridSpan w:val="3"/>
            <w:shd w:val="clear" w:color="auto" w:fill="FFFFFF"/>
          </w:tcPr>
          <w:p w14:paraId="3E812FF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D195C35"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79</w:t>
            </w:r>
            <w:r w:rsidRPr="005D6998">
              <w:rPr>
                <w:rFonts w:ascii="Times New Roman" w:hAnsi="Times New Roman"/>
              </w:rPr>
              <w:t xml:space="preserve">. Articolul 101 </w:t>
            </w:r>
          </w:p>
          <w:p w14:paraId="50F362C7"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 xml:space="preserve">la alineatul (1), </w:t>
            </w:r>
          </w:p>
          <w:p w14:paraId="24213A25"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r w:rsidRPr="005D6998" w:rsidDel="00000192">
              <w:rPr>
                <w:rFonts w:ascii="Times New Roman" w:hAnsi="Times New Roman"/>
              </w:rPr>
              <w:t xml:space="preserve"> </w:t>
            </w:r>
          </w:p>
          <w:p w14:paraId="29C06CB8"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litera i) va avea următorul cuprins:</w:t>
            </w:r>
          </w:p>
          <w:p w14:paraId="56178910"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„i) măsura în care fondurile proprii deţinute de o instituţie de credit cu privire la activele pe care le-a securitizat sunt corespunzătoare, având în vedere importanţa economică a tranzacţiei, inclusiv gradul de transfer de risc obţinut;”;</w:t>
            </w:r>
          </w:p>
          <w:p w14:paraId="5FF209D2"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p>
          <w:p w14:paraId="636FA36A"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se completează cu literele j) și k) cu următorul cuprins:</w:t>
            </w:r>
          </w:p>
          <w:p w14:paraId="4CDD0973"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„j) evoluția practicilor instituțiilor de credit în ceea ce privește strategiile lor aferente riscurilor de mediu, sociale și de guvernanță și administrarea lor, inclusiv planurile specifice prevăzute la art. 41 alin. (3) lit. i</w:t>
            </w:r>
            <w:r w:rsidRPr="005D6998">
              <w:rPr>
                <w:rFonts w:ascii="Times New Roman" w:hAnsi="Times New Roman"/>
                <w:vertAlign w:val="superscript"/>
              </w:rPr>
              <w:t>2</w:t>
            </w:r>
            <w:r w:rsidRPr="005D6998">
              <w:rPr>
                <w:rFonts w:ascii="Times New Roman" w:hAnsi="Times New Roman"/>
              </w:rPr>
              <w:t xml:space="preserve">), precum și soliditatea acestora, care cuprind ținte cuantificabile și procese pentru monitorizarea și abordarea riscurilor respective apărute pe termen scurt, mediu și lung, precum și soliditatea acestor planuri. Pe lângă țintele și obiectivele legate de riscurile de mediu, sociale și de guvernanță, se va lua în considerare și oferta de produse legate de durabilitatea instituției de credit, politica sa de finanțare a tranziției și politica aferentă de acordare a creditelor. </w:t>
            </w:r>
          </w:p>
        </w:tc>
        <w:tc>
          <w:tcPr>
            <w:tcW w:w="1418" w:type="dxa"/>
            <w:gridSpan w:val="2"/>
            <w:shd w:val="clear" w:color="auto" w:fill="FFFFFF"/>
          </w:tcPr>
          <w:p w14:paraId="56C068D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E835880"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FE6F027" w14:textId="77777777" w:rsidR="008E7C06" w:rsidRPr="005D6998" w:rsidRDefault="008E7C06" w:rsidP="00A46332">
            <w:pPr>
              <w:pStyle w:val="Default"/>
              <w:jc w:val="both"/>
              <w:rPr>
                <w:sz w:val="22"/>
                <w:szCs w:val="22"/>
              </w:rPr>
            </w:pPr>
            <w:r w:rsidRPr="005D6998">
              <w:rPr>
                <w:sz w:val="22"/>
                <w:szCs w:val="22"/>
              </w:rPr>
              <w:t xml:space="preserve">La pct. 79: </w:t>
            </w:r>
          </w:p>
          <w:p w14:paraId="5997F736" w14:textId="77777777" w:rsidR="008E7C06" w:rsidRPr="005D6998" w:rsidRDefault="008E7C06" w:rsidP="00A46332">
            <w:pPr>
              <w:pStyle w:val="Default"/>
              <w:jc w:val="both"/>
              <w:rPr>
                <w:sz w:val="22"/>
                <w:szCs w:val="22"/>
              </w:rPr>
            </w:pPr>
            <w:r w:rsidRPr="005D6998">
              <w:rPr>
                <w:sz w:val="22"/>
                <w:szCs w:val="22"/>
              </w:rPr>
              <w:t xml:space="preserve">Aferent expunerii în redacție nouă a art. 101 alin. (1) lit. i), menționăm că redacția propusă nu are același obiect de reglementare ca și redacția în vigoare. În context, în măsura în care dispozițiile lit. i) nu mai sunt necesare, lit. i) se va abroga. </w:t>
            </w:r>
          </w:p>
          <w:p w14:paraId="35F3B3F3" w14:textId="77777777" w:rsidR="008E7C06" w:rsidRPr="005D6998" w:rsidRDefault="008E7C06" w:rsidP="00A46332">
            <w:pPr>
              <w:pStyle w:val="Default"/>
              <w:jc w:val="both"/>
              <w:rPr>
                <w:sz w:val="22"/>
                <w:szCs w:val="22"/>
              </w:rPr>
            </w:pPr>
          </w:p>
          <w:p w14:paraId="614B493E" w14:textId="77777777" w:rsidR="008E7C06" w:rsidRPr="005D6998" w:rsidRDefault="008E7C06" w:rsidP="00A46332">
            <w:pPr>
              <w:pStyle w:val="Default"/>
              <w:jc w:val="both"/>
              <w:rPr>
                <w:sz w:val="22"/>
                <w:szCs w:val="22"/>
              </w:rPr>
            </w:pPr>
            <w:r w:rsidRPr="005D6998">
              <w:rPr>
                <w:sz w:val="22"/>
                <w:szCs w:val="22"/>
              </w:rPr>
              <w:t xml:space="preserve">Respectiv, dispozițiile propuse la această literă vor fi notate cu lit. j) cu renumerotarea noilor elemente structurale numerotate cu litere latine mici urmate de o paranteză. </w:t>
            </w:r>
          </w:p>
          <w:p w14:paraId="2045B2CE" w14:textId="77777777" w:rsidR="008E7C06" w:rsidRPr="005D6998" w:rsidRDefault="008E7C06" w:rsidP="00A46332">
            <w:pPr>
              <w:pStyle w:val="Default"/>
              <w:jc w:val="both"/>
              <w:rPr>
                <w:sz w:val="22"/>
                <w:szCs w:val="22"/>
              </w:rPr>
            </w:pPr>
          </w:p>
          <w:p w14:paraId="2CE9562A" w14:textId="77777777" w:rsidR="008E7C06" w:rsidRPr="005D6998" w:rsidRDefault="008E7C06" w:rsidP="00A46332">
            <w:pPr>
              <w:pStyle w:val="Default"/>
              <w:jc w:val="both"/>
              <w:rPr>
                <w:sz w:val="22"/>
                <w:szCs w:val="22"/>
              </w:rPr>
            </w:pPr>
            <w:r w:rsidRPr="005D6998">
              <w:rPr>
                <w:sz w:val="22"/>
                <w:szCs w:val="22"/>
              </w:rPr>
              <w:t>În redacția art. 101 alin. (1) lit. j), textul „ , precum și soliditatea acestor planuri” se propune a fi exclus, fiind considerat excedent.</w:t>
            </w:r>
          </w:p>
        </w:tc>
        <w:tc>
          <w:tcPr>
            <w:tcW w:w="4960" w:type="dxa"/>
            <w:gridSpan w:val="3"/>
            <w:shd w:val="clear" w:color="auto" w:fill="FFFFFF"/>
          </w:tcPr>
          <w:p w14:paraId="0E9B4E1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7710ABF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Litera i) se abrogă, respectiv litera i) va deveni lit. j), iar lit. j) și k) vor deveni k) și l).</w:t>
            </w:r>
          </w:p>
          <w:p w14:paraId="55A1FF1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Se exclude textul „precum și soliditatea acestora” având în vedere că  la sfârșitul propoziției se menționează “precum și soliditatea acestor planuri”.</w:t>
            </w:r>
          </w:p>
        </w:tc>
      </w:tr>
      <w:tr w:rsidR="008E7C06" w:rsidRPr="005D6998" w14:paraId="71BF2510" w14:textId="77777777" w:rsidTr="00651F58">
        <w:trPr>
          <w:gridAfter w:val="2"/>
          <w:wAfter w:w="153" w:type="dxa"/>
          <w:trHeight w:val="105"/>
        </w:trPr>
        <w:tc>
          <w:tcPr>
            <w:tcW w:w="899" w:type="dxa"/>
            <w:gridSpan w:val="3"/>
            <w:shd w:val="clear" w:color="auto" w:fill="FFFFFF"/>
          </w:tcPr>
          <w:p w14:paraId="19C695A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2684B3C"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80</w:t>
            </w:r>
            <w:r w:rsidRPr="005D6998">
              <w:rPr>
                <w:rFonts w:ascii="Times New Roman" w:hAnsi="Times New Roman"/>
              </w:rPr>
              <w:t>. Se completează cu articolul 101</w:t>
            </w:r>
            <w:r w:rsidRPr="005D6998">
              <w:rPr>
                <w:rFonts w:ascii="Times New Roman" w:hAnsi="Times New Roman"/>
                <w:vertAlign w:val="superscript"/>
              </w:rPr>
              <w:t>1</w:t>
            </w:r>
            <w:r w:rsidRPr="005D6998">
              <w:rPr>
                <w:rFonts w:ascii="Times New Roman" w:hAnsi="Times New Roman"/>
              </w:rPr>
              <w:t xml:space="preserve"> cu următorul cuprins:</w:t>
            </w:r>
          </w:p>
          <w:p w14:paraId="261B2AA5" w14:textId="77777777" w:rsidR="008E7C06" w:rsidRPr="005D6998" w:rsidRDefault="008E7C06" w:rsidP="00A46332">
            <w:pPr>
              <w:spacing w:after="0" w:line="240" w:lineRule="auto"/>
              <w:ind w:firstLine="709"/>
              <w:jc w:val="both"/>
              <w:rPr>
                <w:rFonts w:ascii="Times New Roman" w:hAnsi="Times New Roman"/>
              </w:rPr>
            </w:pPr>
            <w:bookmarkStart w:id="27" w:name="_Hlk215564536"/>
            <w:r w:rsidRPr="005D6998">
              <w:rPr>
                <w:rFonts w:ascii="Times New Roman" w:hAnsi="Times New Roman"/>
              </w:rPr>
              <w:lastRenderedPageBreak/>
              <w:t>„</w:t>
            </w:r>
            <w:r w:rsidRPr="005D6998">
              <w:rPr>
                <w:rFonts w:ascii="Times New Roman" w:hAnsi="Times New Roman"/>
                <w:b/>
                <w:bCs/>
              </w:rPr>
              <w:t>Articolul 101</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Analiza periodică a nivelului capitalului intern</w:t>
            </w:r>
            <w:bookmarkEnd w:id="27"/>
          </w:p>
          <w:p w14:paraId="7B3FBA81"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62481B">
              <w:rPr>
                <w:rFonts w:ascii="Times New Roman" w:hAnsi="Times New Roman"/>
              </w:rPr>
              <w:t xml:space="preserve"> </w:t>
            </w:r>
          </w:p>
          <w:p w14:paraId="56E2DA67"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(4) Orientările privind fondurile proprii suplimentare indică excedentul de fonduri proprii în raport cu cuantumul relevant al fondurilor proprii solicitat conform cerinţelor de fonduri proprii prevăzute în actele normative ale Băncii Naționale a Moldovei, inclusiv în cele cu privire la securitizare, art. 139 alin. (3) lit. a) și cerințelor de fonduri proprii necesare pentru cerința amortizorului combinat sau în temeiul cerințelor de fonduri proprii necesare pentru menținerea amortizorului pentru indicatorul efectului de levier pentru G-SII, după caz, care este necesar pentru a se ajunge la nivelul global al fondurilor proprii considerat adecvat de către Banca Națională a Moldovei în temeiul alin. (2). </w:t>
            </w:r>
          </w:p>
          <w:p w14:paraId="57E17EDA"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62481B">
              <w:rPr>
                <w:rFonts w:ascii="Times New Roman" w:hAnsi="Times New Roman"/>
              </w:rPr>
              <w:t xml:space="preserve"> </w:t>
            </w:r>
          </w:p>
          <w:p w14:paraId="00CC5E72"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(7) Cazurile în care fondurile proprii care sunt utilizate pentru a respecta orientările privind fondurile proprii suplimentare, comunicate în conformitate cu alin. (3) pentru abordarea riscului asociat folosirii excesive a efectului de levier și a altor riscuri decât riscul asociat folosirii excesive a efectului de levier nu pot fi folosite pentru respectarea altor cerințe și se stabilesc prin actele normative ale Băncii Naționale a Moldovei.</w:t>
            </w:r>
            <w:r w:rsidRPr="005D6998">
              <w:rPr>
                <w:rFonts w:ascii="Times New Roman" w:hAnsi="Times New Roman"/>
                <w:b/>
                <w:bCs/>
              </w:rPr>
              <w:t xml:space="preserve"> </w:t>
            </w:r>
          </w:p>
          <w:p w14:paraId="3B4FE872"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 xml:space="preserve">(8) Neconformitatea cu orientările prevăzute la alin. (3) nu </w:t>
            </w:r>
            <w:r w:rsidRPr="005D6998">
              <w:rPr>
                <w:rFonts w:ascii="Times New Roman" w:hAnsi="Times New Roman"/>
              </w:rPr>
              <w:lastRenderedPageBreak/>
              <w:t>impune aplicarea restricțiilor privind distribuirile referitoare la cerința amortizorului combinat și cerința amortizorului pentru indicatorul efectului de levier astfel cum este prevăzut de actele normative ale Băncii Naționale a Moldovei, cu condiția ca instituția de credit să respecte cerințele de fonduri proprii relevante, inclusiv cerința de fonduri proprii suplimentare impuse potrivit art. 139 alin. (3) lit. a) și amortizoarele relevante.”.</w:t>
            </w:r>
          </w:p>
        </w:tc>
        <w:tc>
          <w:tcPr>
            <w:tcW w:w="1418" w:type="dxa"/>
            <w:gridSpan w:val="2"/>
            <w:shd w:val="clear" w:color="auto" w:fill="FFFFFF"/>
          </w:tcPr>
          <w:p w14:paraId="03953DA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F69EAC2"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D5FE0D3" w14:textId="77777777" w:rsidR="008E7C06" w:rsidRPr="005D6998" w:rsidRDefault="008E7C06" w:rsidP="00A46332">
            <w:pPr>
              <w:pStyle w:val="Default"/>
              <w:jc w:val="both"/>
              <w:rPr>
                <w:sz w:val="22"/>
                <w:szCs w:val="22"/>
              </w:rPr>
            </w:pPr>
            <w:r w:rsidRPr="005D6998">
              <w:rPr>
                <w:sz w:val="22"/>
                <w:szCs w:val="22"/>
              </w:rPr>
              <w:t xml:space="preserve">La pct. 80: </w:t>
            </w:r>
          </w:p>
          <w:p w14:paraId="12410261" w14:textId="77777777" w:rsidR="008E7C06" w:rsidRPr="005D6998" w:rsidRDefault="008E7C06" w:rsidP="00A46332">
            <w:pPr>
              <w:pStyle w:val="Default"/>
              <w:jc w:val="both"/>
              <w:rPr>
                <w:sz w:val="22"/>
                <w:szCs w:val="22"/>
              </w:rPr>
            </w:pPr>
            <w:r w:rsidRPr="005D6998">
              <w:rPr>
                <w:sz w:val="22"/>
                <w:szCs w:val="22"/>
              </w:rPr>
              <w:lastRenderedPageBreak/>
              <w:t>Redacția art. 101</w:t>
            </w:r>
            <w:r w:rsidRPr="005D6998">
              <w:rPr>
                <w:sz w:val="22"/>
                <w:szCs w:val="22"/>
                <w:vertAlign w:val="superscript"/>
              </w:rPr>
              <w:t>1</w:t>
            </w:r>
            <w:r w:rsidRPr="005D6998">
              <w:rPr>
                <w:sz w:val="22"/>
                <w:szCs w:val="22"/>
              </w:rPr>
              <w:t xml:space="preserve"> alin. (4) se va reformula, deoarece, în forma expusă este ambiguă, în mod special referințele la trimiteri. </w:t>
            </w:r>
          </w:p>
          <w:p w14:paraId="6305034D" w14:textId="77777777" w:rsidR="008E7C06" w:rsidRPr="005D6998" w:rsidRDefault="008E7C06" w:rsidP="00A46332">
            <w:pPr>
              <w:pStyle w:val="Default"/>
              <w:jc w:val="both"/>
              <w:rPr>
                <w:sz w:val="22"/>
                <w:szCs w:val="22"/>
              </w:rPr>
            </w:pPr>
          </w:p>
          <w:p w14:paraId="525C866D" w14:textId="77777777" w:rsidR="008E7C06" w:rsidRPr="005D6998" w:rsidRDefault="008E7C06" w:rsidP="00A46332">
            <w:pPr>
              <w:pStyle w:val="Default"/>
              <w:jc w:val="both"/>
              <w:rPr>
                <w:sz w:val="22"/>
                <w:szCs w:val="22"/>
              </w:rPr>
            </w:pPr>
            <w:r w:rsidRPr="005D6998">
              <w:rPr>
                <w:sz w:val="22"/>
                <w:szCs w:val="22"/>
              </w:rPr>
              <w:t>În redacțiile art. 101</w:t>
            </w:r>
            <w:r w:rsidRPr="005D6998">
              <w:rPr>
                <w:sz w:val="22"/>
                <w:szCs w:val="22"/>
                <w:vertAlign w:val="superscript"/>
              </w:rPr>
              <w:t>1</w:t>
            </w:r>
            <w:r w:rsidRPr="005D6998">
              <w:rPr>
                <w:sz w:val="22"/>
                <w:szCs w:val="22"/>
              </w:rPr>
              <w:t xml:space="preserve"> alin. (7) și (8), textul „alin. (3)” se recomandă a fi completat cu textul „și (4)”.</w:t>
            </w:r>
          </w:p>
        </w:tc>
        <w:tc>
          <w:tcPr>
            <w:tcW w:w="4960" w:type="dxa"/>
            <w:gridSpan w:val="3"/>
            <w:shd w:val="clear" w:color="auto" w:fill="FFFFFF"/>
          </w:tcPr>
          <w:p w14:paraId="429DDB30"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3CEEA73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Pentru claritatea trimiterilor, notăm că art. 101¹ alin. (4) din proiect transpune art. 104b alin. (3) al doilea paragraf din Directiva 2013/36/UE, care stabilește elementele în raport cu care se determină cuantumul relevant al fondurilor proprii pentru calcularea orientărilor privind fondurile proprii suplimentare.</w:t>
            </w:r>
          </w:p>
          <w:p w14:paraId="2A92B11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Astfel, trimiterea la art. 139 alin. (3) lit. a) urmărește asigurarea corespondenței cu art. 104 alin. (1) lit. a) din Directiva 2013/36/UE, care constituie temeiul pentru impunerea cerinței de fonduri proprii suplimentare.</w:t>
            </w:r>
          </w:p>
          <w:p w14:paraId="58A0A8B4" w14:textId="77777777" w:rsidR="008E7C06" w:rsidRPr="005D6998" w:rsidRDefault="008E7C06" w:rsidP="00A46332">
            <w:pPr>
              <w:spacing w:after="0" w:line="240" w:lineRule="auto"/>
              <w:jc w:val="both"/>
              <w:rPr>
                <w:rFonts w:ascii="Times New Roman" w:hAnsi="Times New Roman"/>
              </w:rPr>
            </w:pPr>
          </w:p>
          <w:p w14:paraId="2674EA1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Norma de la art. 139 alin. (3) lit. a) transpune, la rândul său, competența BNM, în calitate de autoritate competentă, de a impune instituției de credit fonduri proprii suplimentare, inclusiv în condițiile art. 139</w:t>
            </w:r>
            <w:r w:rsidRPr="005D6998">
              <w:rPr>
                <w:rFonts w:ascii="Times New Roman" w:hAnsi="Times New Roman"/>
                <w:vertAlign w:val="superscript"/>
              </w:rPr>
              <w:t>1</w:t>
            </w:r>
            <w:r w:rsidRPr="005D6998">
              <w:rPr>
                <w:rFonts w:ascii="Times New Roman" w:hAnsi="Times New Roman"/>
              </w:rPr>
              <w:t>.</w:t>
            </w:r>
          </w:p>
          <w:p w14:paraId="6E445E7F" w14:textId="77777777" w:rsidR="008E7C06" w:rsidRPr="005D6998" w:rsidRDefault="008E7C06" w:rsidP="00A46332">
            <w:pPr>
              <w:spacing w:after="0" w:line="240" w:lineRule="auto"/>
              <w:jc w:val="both"/>
              <w:rPr>
                <w:rFonts w:ascii="Times New Roman" w:hAnsi="Times New Roman"/>
              </w:rPr>
            </w:pPr>
          </w:p>
          <w:p w14:paraId="4FEA238C"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Menționarea cerinței aferente amortizorului combinat și, după caz, a cerinței aferente amortizorului pentru indicatorul efectului de levier pentru G-SII rezultă din necesitatea asigurării corespondenței cu mecanismul prevăzut de Directiva 2013/36/UE și Regulamentul (UE) nr. 575/2013, potrivit căruia orientarea privind fondurile proprii suplimentare reprezintă nivelul de fonduri proprii care excede cerințele relevante și este necesar pentru atingerea nivelului global de fonduri proprii considerat adecvat de autoritatea competentă.</w:t>
            </w:r>
          </w:p>
          <w:p w14:paraId="6462A3F9" w14:textId="77777777" w:rsidR="008E7C06" w:rsidRPr="005D6998" w:rsidRDefault="008E7C06" w:rsidP="00A46332">
            <w:pPr>
              <w:spacing w:after="0" w:line="240" w:lineRule="auto"/>
              <w:jc w:val="both"/>
              <w:rPr>
                <w:rFonts w:ascii="Times New Roman" w:hAnsi="Times New Roman"/>
                <w:lang w:val="ro-MD"/>
              </w:rPr>
            </w:pPr>
          </w:p>
          <w:p w14:paraId="373979CC"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În vederea evitării oricărei ambiguități, norma se redactează după cum urmează:</w:t>
            </w:r>
          </w:p>
          <w:p w14:paraId="330267FE" w14:textId="77777777" w:rsidR="008E7C06" w:rsidRPr="005D6998" w:rsidRDefault="008E7C06" w:rsidP="00A46332">
            <w:pPr>
              <w:spacing w:after="0" w:line="240" w:lineRule="auto"/>
              <w:ind w:firstLine="709"/>
              <w:jc w:val="both"/>
              <w:rPr>
                <w:rFonts w:ascii="Times New Roman" w:hAnsi="Times New Roman"/>
                <w:lang w:val="it-CH"/>
              </w:rPr>
            </w:pPr>
            <w:r w:rsidRPr="005D6998">
              <w:rPr>
                <w:rFonts w:ascii="Times New Roman" w:hAnsi="Times New Roman"/>
                <w:lang w:val="it-CH"/>
              </w:rPr>
              <w:t xml:space="preserve">“(4) </w:t>
            </w:r>
            <w:r w:rsidRPr="005D6998">
              <w:rPr>
                <w:rFonts w:ascii="Times New Roman" w:hAnsi="Times New Roman"/>
              </w:rPr>
              <w:t xml:space="preserve">Orientările privind fondurile proprii suplimentare indică excedentul de fonduri proprii în raport cu cuantumul relevant al fondurilor proprii solicitat conform cerinţelor de fonduri proprii prevăzute în actele normative ale Băncii Naționale a Moldovei, </w:t>
            </w:r>
            <w:r w:rsidRPr="005D6998">
              <w:rPr>
                <w:rFonts w:ascii="Times New Roman" w:hAnsi="Times New Roman"/>
                <w:b/>
                <w:bCs/>
              </w:rPr>
              <w:t>inclusiv al celor privind securitizarea, obligației impuse potrivit</w:t>
            </w:r>
            <w:r w:rsidRPr="005D6998">
              <w:rPr>
                <w:rFonts w:ascii="Times New Roman" w:hAnsi="Times New Roman"/>
              </w:rPr>
              <w:t xml:space="preserve"> art. 139 alin. (3) lit. a) și </w:t>
            </w:r>
            <w:r w:rsidRPr="005D6998">
              <w:rPr>
                <w:rFonts w:ascii="Times New Roman" w:hAnsi="Times New Roman"/>
                <w:b/>
                <w:bCs/>
              </w:rPr>
              <w:t>al cerințelor</w:t>
            </w:r>
            <w:r w:rsidRPr="005D6998">
              <w:rPr>
                <w:rFonts w:ascii="Times New Roman" w:hAnsi="Times New Roman"/>
              </w:rPr>
              <w:t xml:space="preserve"> de fonduri proprii necesare pentru cerința </w:t>
            </w:r>
            <w:r w:rsidRPr="005D6998">
              <w:rPr>
                <w:rFonts w:ascii="Times New Roman" w:hAnsi="Times New Roman"/>
              </w:rPr>
              <w:lastRenderedPageBreak/>
              <w:t xml:space="preserve">amortizorului combinat sau </w:t>
            </w:r>
            <w:r w:rsidRPr="005D6998">
              <w:rPr>
                <w:rFonts w:ascii="Times New Roman" w:hAnsi="Times New Roman"/>
                <w:b/>
                <w:bCs/>
              </w:rPr>
              <w:t>al cerințelor</w:t>
            </w:r>
            <w:r w:rsidRPr="005D6998">
              <w:rPr>
                <w:rFonts w:ascii="Times New Roman" w:hAnsi="Times New Roman"/>
              </w:rPr>
              <w:t xml:space="preserve"> de fonduri proprii necesare pentru menținerea amortizorului pentru indicatorul efectului de levier pentru G-SII, după caz, care este necesar pentru a se ajunge la nivelul global al fondurilor proprii considerat adecvat de către Banca Națională a Moldovei în temeiul alin. (2). </w:t>
            </w:r>
            <w:r w:rsidRPr="005D6998">
              <w:rPr>
                <w:rFonts w:ascii="Times New Roman" w:hAnsi="Times New Roman"/>
                <w:lang w:val="it-CH"/>
              </w:rPr>
              <w:t>”.</w:t>
            </w:r>
          </w:p>
          <w:p w14:paraId="7E5C4FCA" w14:textId="77777777" w:rsidR="008E7C06" w:rsidRPr="005D6998" w:rsidRDefault="008E7C06" w:rsidP="00A46332">
            <w:pPr>
              <w:spacing w:after="0" w:line="240" w:lineRule="auto"/>
              <w:ind w:firstLine="709"/>
              <w:jc w:val="both"/>
              <w:rPr>
                <w:rFonts w:ascii="Times New Roman" w:hAnsi="Times New Roman"/>
                <w:lang w:val="it-CH"/>
              </w:rPr>
            </w:pPr>
          </w:p>
          <w:p w14:paraId="366DF464"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În ceea ce privește alin. (7), norma transpune art. 104b alin. (5) din Directiva 2013/36/UE, care se referă în mod expres la orientările privind fondurile proprii suplimentare „comunicate în conformitate cu alineatul (3)”. Prin urmare, menținerea trimiterii exclusive la alin. (3) asigură preluarea fidel</w:t>
            </w:r>
            <w:r w:rsidRPr="005D6998">
              <w:rPr>
                <w:rFonts w:ascii="Times New Roman" w:hAnsi="Times New Roman"/>
              </w:rPr>
              <w:t xml:space="preserve">ă </w:t>
            </w:r>
            <w:r w:rsidRPr="005D6998">
              <w:rPr>
                <w:rFonts w:ascii="Times New Roman" w:hAnsi="Times New Roman"/>
                <w:lang w:val="ro-MD"/>
              </w:rPr>
              <w:t>a normei europene.</w:t>
            </w:r>
          </w:p>
          <w:p w14:paraId="33456B7B" w14:textId="77777777" w:rsidR="008E7C06" w:rsidRPr="005D6998" w:rsidRDefault="008E7C06" w:rsidP="00A46332">
            <w:pPr>
              <w:spacing w:after="0" w:line="240" w:lineRule="auto"/>
              <w:jc w:val="both"/>
              <w:rPr>
                <w:rFonts w:ascii="Times New Roman" w:hAnsi="Times New Roman"/>
                <w:lang w:val="ro-MD"/>
              </w:rPr>
            </w:pPr>
          </w:p>
          <w:p w14:paraId="09392EA5"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În ceea ce privește alin. (8), trimiterea la alin. (3) se înlocuiește cu trimitere la alin. (4).</w:t>
            </w:r>
          </w:p>
        </w:tc>
      </w:tr>
      <w:tr w:rsidR="008E7C06" w:rsidRPr="005D6998" w14:paraId="58EB18CD" w14:textId="77777777" w:rsidTr="00651F58">
        <w:trPr>
          <w:gridAfter w:val="2"/>
          <w:wAfter w:w="153" w:type="dxa"/>
          <w:trHeight w:val="105"/>
        </w:trPr>
        <w:tc>
          <w:tcPr>
            <w:tcW w:w="899" w:type="dxa"/>
            <w:gridSpan w:val="3"/>
            <w:shd w:val="clear" w:color="auto" w:fill="FFFFFF"/>
          </w:tcPr>
          <w:p w14:paraId="4CFDCEB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FEF747B"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85</w:t>
            </w:r>
            <w:r w:rsidRPr="005D6998">
              <w:rPr>
                <w:rFonts w:ascii="Times New Roman" w:hAnsi="Times New Roman"/>
              </w:rPr>
              <w:t>. Articolul 106:</w:t>
            </w:r>
          </w:p>
          <w:p w14:paraId="60546926" w14:textId="77777777" w:rsidR="008E7C06" w:rsidRPr="005D6998" w:rsidRDefault="008E7C06" w:rsidP="00A46332">
            <w:pPr>
              <w:pStyle w:val="a7"/>
              <w:tabs>
                <w:tab w:val="left" w:pos="426"/>
              </w:tabs>
              <w:spacing w:after="0" w:line="240" w:lineRule="auto"/>
              <w:ind w:left="0" w:firstLine="567"/>
              <w:jc w:val="both"/>
              <w:rPr>
                <w:rFonts w:ascii="Times New Roman" w:hAnsi="Times New Roman"/>
              </w:rPr>
            </w:pPr>
            <w:r w:rsidRPr="005D6998">
              <w:rPr>
                <w:rFonts w:ascii="Times New Roman" w:hAnsi="Times New Roman"/>
              </w:rPr>
              <w:t>[...]</w:t>
            </w:r>
            <w:r w:rsidRPr="005D6998" w:rsidDel="0062481B">
              <w:rPr>
                <w:rFonts w:ascii="Times New Roman" w:hAnsi="Times New Roman"/>
              </w:rPr>
              <w:t xml:space="preserve"> </w:t>
            </w:r>
          </w:p>
          <w:p w14:paraId="2152C82C" w14:textId="77777777" w:rsidR="008E7C06" w:rsidRPr="005D6998" w:rsidRDefault="008E7C06" w:rsidP="00A46332">
            <w:pPr>
              <w:pStyle w:val="a7"/>
              <w:tabs>
                <w:tab w:val="left" w:pos="426"/>
              </w:tabs>
              <w:spacing w:after="0" w:line="240" w:lineRule="auto"/>
              <w:ind w:left="0" w:firstLine="567"/>
              <w:jc w:val="both"/>
              <w:rPr>
                <w:rFonts w:ascii="Times New Roman" w:hAnsi="Times New Roman"/>
              </w:rPr>
            </w:pPr>
            <w:r w:rsidRPr="005D6998">
              <w:rPr>
                <w:rFonts w:ascii="Times New Roman" w:hAnsi="Times New Roman"/>
              </w:rPr>
              <w:t>la alineatul (5), cuvântul „sau” se substituie cu textul „și/sau”.</w:t>
            </w:r>
          </w:p>
        </w:tc>
        <w:tc>
          <w:tcPr>
            <w:tcW w:w="1418" w:type="dxa"/>
            <w:gridSpan w:val="2"/>
            <w:shd w:val="clear" w:color="auto" w:fill="FFFFFF"/>
          </w:tcPr>
          <w:p w14:paraId="7FD61300"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2A3F118"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664F690" w14:textId="77777777" w:rsidR="008E7C06" w:rsidRPr="005D6998" w:rsidRDefault="008E7C06" w:rsidP="00A46332">
            <w:pPr>
              <w:pStyle w:val="Default"/>
              <w:jc w:val="both"/>
              <w:rPr>
                <w:sz w:val="22"/>
                <w:szCs w:val="22"/>
              </w:rPr>
            </w:pPr>
            <w:r w:rsidRPr="005D6998">
              <w:rPr>
                <w:sz w:val="22"/>
                <w:szCs w:val="22"/>
              </w:rPr>
              <w:t>La pct. 85, cu referire la modificarea propusă la art. 106 alin. (5) al Legii nr. 202/2017, se va revedea care cuvânt anume se va modifica, întrucât cuvântul „sau” este utilizat în alin. (5) de două ori.</w:t>
            </w:r>
          </w:p>
        </w:tc>
        <w:tc>
          <w:tcPr>
            <w:tcW w:w="4960" w:type="dxa"/>
            <w:gridSpan w:val="3"/>
            <w:shd w:val="clear" w:color="auto" w:fill="FFFFFF"/>
          </w:tcPr>
          <w:p w14:paraId="1A53F22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Comentariu</w:t>
            </w:r>
          </w:p>
          <w:p w14:paraId="217D246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În ambele cazuri de la alin. (5) este necesară modificarea.</w:t>
            </w:r>
          </w:p>
        </w:tc>
      </w:tr>
      <w:tr w:rsidR="008E7C06" w:rsidRPr="005D6998" w14:paraId="15037855" w14:textId="77777777" w:rsidTr="00651F58">
        <w:trPr>
          <w:gridAfter w:val="2"/>
          <w:wAfter w:w="153" w:type="dxa"/>
          <w:trHeight w:val="105"/>
        </w:trPr>
        <w:tc>
          <w:tcPr>
            <w:tcW w:w="899" w:type="dxa"/>
            <w:gridSpan w:val="3"/>
            <w:shd w:val="clear" w:color="auto" w:fill="FFFFFF"/>
          </w:tcPr>
          <w:p w14:paraId="4E235AF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D64D406"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86</w:t>
            </w:r>
            <w:r w:rsidRPr="005D6998">
              <w:rPr>
                <w:rFonts w:ascii="Times New Roman" w:hAnsi="Times New Roman"/>
              </w:rPr>
              <w:t>. Articolul 107,</w:t>
            </w:r>
          </w:p>
          <w:p w14:paraId="6026C969" w14:textId="77777777" w:rsidR="008E7C06" w:rsidRPr="005D6998" w:rsidRDefault="008E7C06" w:rsidP="00A46332">
            <w:pPr>
              <w:pStyle w:val="a7"/>
              <w:tabs>
                <w:tab w:val="left" w:pos="426"/>
              </w:tabs>
              <w:spacing w:after="0" w:line="240" w:lineRule="auto"/>
              <w:ind w:firstLine="567"/>
              <w:jc w:val="both"/>
              <w:rPr>
                <w:rFonts w:ascii="Times New Roman" w:hAnsi="Times New Roman"/>
              </w:rPr>
            </w:pPr>
          </w:p>
          <w:p w14:paraId="4B09BC2D" w14:textId="77777777" w:rsidR="008E7C06" w:rsidRPr="005D6998" w:rsidRDefault="008E7C06" w:rsidP="00A46332">
            <w:pPr>
              <w:pStyle w:val="a7"/>
              <w:tabs>
                <w:tab w:val="left" w:pos="426"/>
              </w:tabs>
              <w:spacing w:after="0" w:line="240" w:lineRule="auto"/>
              <w:ind w:left="0" w:firstLine="567"/>
              <w:jc w:val="both"/>
              <w:rPr>
                <w:rFonts w:ascii="Times New Roman" w:hAnsi="Times New Roman"/>
              </w:rPr>
            </w:pPr>
            <w:r w:rsidRPr="005D6998">
              <w:rPr>
                <w:rFonts w:ascii="Times New Roman" w:hAnsi="Times New Roman"/>
              </w:rPr>
              <w:t>[...]</w:t>
            </w:r>
            <w:r w:rsidRPr="005D6998" w:rsidDel="0062481B">
              <w:rPr>
                <w:rFonts w:ascii="Times New Roman" w:hAnsi="Times New Roman"/>
              </w:rPr>
              <w:t xml:space="preserve"> </w:t>
            </w:r>
          </w:p>
          <w:p w14:paraId="4F84EDED" w14:textId="77777777" w:rsidR="008E7C06" w:rsidRPr="005D6998" w:rsidRDefault="008E7C06" w:rsidP="00A46332">
            <w:pPr>
              <w:pStyle w:val="a7"/>
              <w:tabs>
                <w:tab w:val="left" w:pos="426"/>
              </w:tabs>
              <w:spacing w:after="0" w:line="240" w:lineRule="auto"/>
              <w:ind w:left="0" w:firstLine="567"/>
              <w:jc w:val="both"/>
              <w:rPr>
                <w:rFonts w:ascii="Times New Roman" w:hAnsi="Times New Roman"/>
              </w:rPr>
            </w:pPr>
            <w:r w:rsidRPr="005D6998">
              <w:rPr>
                <w:rFonts w:ascii="Times New Roman" w:hAnsi="Times New Roman"/>
              </w:rPr>
              <w:t>se completează cu alineatul (3</w:t>
            </w:r>
            <w:r w:rsidRPr="005D6998">
              <w:rPr>
                <w:rFonts w:ascii="Times New Roman" w:hAnsi="Times New Roman"/>
                <w:vertAlign w:val="superscript"/>
              </w:rPr>
              <w:t>1</w:t>
            </w:r>
            <w:r w:rsidRPr="005D6998">
              <w:rPr>
                <w:rFonts w:ascii="Times New Roman" w:hAnsi="Times New Roman"/>
              </w:rPr>
              <w:t>) – (3</w:t>
            </w:r>
            <w:r w:rsidRPr="005D6998">
              <w:rPr>
                <w:rFonts w:ascii="Times New Roman" w:hAnsi="Times New Roman"/>
                <w:vertAlign w:val="superscript"/>
              </w:rPr>
              <w:t>7</w:t>
            </w:r>
            <w:r w:rsidRPr="005D6998">
              <w:rPr>
                <w:rFonts w:ascii="Times New Roman" w:hAnsi="Times New Roman"/>
              </w:rPr>
              <w:t>) cu următorul cuprins:</w:t>
            </w:r>
          </w:p>
          <w:p w14:paraId="39A8864C"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r w:rsidRPr="005D6998" w:rsidDel="0062481B">
              <w:rPr>
                <w:rFonts w:ascii="Times New Roman" w:hAnsi="Times New Roman"/>
              </w:rPr>
              <w:t xml:space="preserve"> </w:t>
            </w:r>
            <w:r w:rsidRPr="005D6998">
              <w:rPr>
                <w:rFonts w:ascii="Times New Roman" w:hAnsi="Times New Roman"/>
              </w:rPr>
              <w:t>(3</w:t>
            </w:r>
            <w:r w:rsidRPr="005D6998">
              <w:rPr>
                <w:rFonts w:ascii="Times New Roman" w:hAnsi="Times New Roman"/>
                <w:vertAlign w:val="superscript"/>
              </w:rPr>
              <w:t>7</w:t>
            </w:r>
            <w:r w:rsidRPr="005D6998">
              <w:rPr>
                <w:rFonts w:ascii="Times New Roman" w:hAnsi="Times New Roman"/>
              </w:rPr>
              <w:t xml:space="preserve">)  Banca Naţională a Moldovei, atât în calitate de autoritate competentă din statul membru de origine, cât și din statul membru gazdă poate sesiza Autoritatea Bancară Europeană, cu privire la situaţiile în care o cerere de colaborare, în special în vederea schimbului de informaţii, a fost respinsă sau acesteia nu i s-a dat curs </w:t>
            </w:r>
            <w:r w:rsidRPr="005D6998">
              <w:rPr>
                <w:rFonts w:ascii="Times New Roman" w:hAnsi="Times New Roman"/>
                <w:b/>
                <w:bCs/>
              </w:rPr>
              <w:t>într-un termen rezonabil</w:t>
            </w:r>
            <w:r w:rsidRPr="005D6998">
              <w:rPr>
                <w:rFonts w:ascii="Times New Roman" w:hAnsi="Times New Roman"/>
              </w:rPr>
              <w:t xml:space="preserve">. Banca Naţională a Moldovei poate beneficia </w:t>
            </w:r>
            <w:r w:rsidRPr="005D6998">
              <w:rPr>
                <w:rFonts w:ascii="Times New Roman" w:hAnsi="Times New Roman"/>
              </w:rPr>
              <w:lastRenderedPageBreak/>
              <w:t>de asistenţa acordată, din proprie iniţiativă, de Autoritatea Bancară Europeană, în vederea ajungerii la un acord privind schimbul de informaţii cu autorităţile competente implicate.”;</w:t>
            </w:r>
          </w:p>
        </w:tc>
        <w:tc>
          <w:tcPr>
            <w:tcW w:w="1418" w:type="dxa"/>
            <w:gridSpan w:val="2"/>
            <w:shd w:val="clear" w:color="auto" w:fill="FFFFFF"/>
          </w:tcPr>
          <w:p w14:paraId="1134EC5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65BEAE6"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F4F47DA" w14:textId="77777777" w:rsidR="008E7C06" w:rsidRPr="005D6998" w:rsidRDefault="008E7C06" w:rsidP="00A46332">
            <w:pPr>
              <w:pStyle w:val="Default"/>
              <w:jc w:val="both"/>
              <w:rPr>
                <w:sz w:val="22"/>
                <w:szCs w:val="22"/>
              </w:rPr>
            </w:pPr>
            <w:r w:rsidRPr="005D6998">
              <w:rPr>
                <w:sz w:val="22"/>
                <w:szCs w:val="22"/>
              </w:rPr>
              <w:t>La pct. 86, în redacția propusă pentru art. 107 alin. (3</w:t>
            </w:r>
            <w:r w:rsidRPr="005D6998">
              <w:rPr>
                <w:sz w:val="22"/>
                <w:szCs w:val="22"/>
                <w:vertAlign w:val="superscript"/>
              </w:rPr>
              <w:t>7</w:t>
            </w:r>
            <w:r w:rsidRPr="005D6998">
              <w:rPr>
                <w:sz w:val="22"/>
                <w:szCs w:val="22"/>
              </w:rPr>
              <w:t>), cuvintele „într-un termen rezonabil” necesită detaliere, în scopul determinării cine stabilește acest termen.</w:t>
            </w:r>
          </w:p>
        </w:tc>
        <w:tc>
          <w:tcPr>
            <w:tcW w:w="4960" w:type="dxa"/>
            <w:gridSpan w:val="3"/>
            <w:shd w:val="clear" w:color="auto" w:fill="FFFFFF"/>
          </w:tcPr>
          <w:p w14:paraId="1F846F48"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36ADE50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Sintagma „într-un termen rezonabil” reprezintă transpunerea fidelă a art. 50 alin. (5) din Directiva 2013/36/UE, care nu stabilește un termen determinat sau faptul că autoritatea competentă trebuie să îl fixeze. Caracterul rezonabil al termenului urmează a fi apreciat în funcție de circumstanțele concrete ale solicitării de cooperare. </w:t>
            </w:r>
          </w:p>
          <w:p w14:paraId="4837855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Prin urmare, nu se consideră necesară detalierea acestei sintagme.</w:t>
            </w:r>
          </w:p>
        </w:tc>
      </w:tr>
      <w:tr w:rsidR="008E7C06" w:rsidRPr="005D6998" w14:paraId="2683DE23" w14:textId="77777777" w:rsidTr="00651F58">
        <w:trPr>
          <w:gridAfter w:val="2"/>
          <w:wAfter w:w="153" w:type="dxa"/>
          <w:trHeight w:val="105"/>
        </w:trPr>
        <w:tc>
          <w:tcPr>
            <w:tcW w:w="899" w:type="dxa"/>
            <w:gridSpan w:val="3"/>
            <w:shd w:val="clear" w:color="auto" w:fill="FFFFFF"/>
          </w:tcPr>
          <w:p w14:paraId="412C15EB"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351A552"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87</w:t>
            </w:r>
            <w:r w:rsidRPr="005D6998">
              <w:rPr>
                <w:rFonts w:ascii="Times New Roman" w:hAnsi="Times New Roman"/>
              </w:rPr>
              <w:t>. Se completează cu articolul 107</w:t>
            </w:r>
            <w:r w:rsidRPr="005D6998">
              <w:rPr>
                <w:rFonts w:ascii="Times New Roman" w:hAnsi="Times New Roman"/>
                <w:vertAlign w:val="superscript"/>
              </w:rPr>
              <w:t>1</w:t>
            </w:r>
            <w:r w:rsidRPr="005D6998">
              <w:rPr>
                <w:rFonts w:ascii="Times New Roman" w:hAnsi="Times New Roman"/>
              </w:rPr>
              <w:t xml:space="preserve"> cu următorul cuprins:</w:t>
            </w:r>
          </w:p>
          <w:p w14:paraId="7E402988"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Pr>
                <w:rFonts w:ascii="Times New Roman" w:hAnsi="Times New Roman"/>
                <w:b/>
                <w:bCs/>
              </w:rPr>
              <w:t>Articolul 107</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Colaborarea privind supravegherea sucursalelor semnificative din Republica Moldova ale instituțiilor de credit din alte state membre</w:t>
            </w:r>
            <w:r w:rsidRPr="005D6998">
              <w:rPr>
                <w:rFonts w:ascii="Times New Roman" w:hAnsi="Times New Roman"/>
                <w:b/>
                <w:bCs/>
              </w:rPr>
              <w:t xml:space="preserve"> </w:t>
            </w:r>
            <w:r w:rsidRPr="005D6998">
              <w:rPr>
                <w:rFonts w:ascii="Times New Roman" w:hAnsi="Times New Roman"/>
              </w:rPr>
              <w:t xml:space="preserve"> </w:t>
            </w:r>
          </w:p>
          <w:p w14:paraId="7E863213"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46598D">
              <w:rPr>
                <w:rFonts w:ascii="Times New Roman" w:hAnsi="Times New Roman"/>
              </w:rPr>
              <w:t xml:space="preserve"> </w:t>
            </w:r>
          </w:p>
          <w:p w14:paraId="7D3C03DA"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(5) Banca Națională a Moldovei</w:t>
            </w:r>
            <w:r w:rsidRPr="005D6998">
              <w:rPr>
                <w:rFonts w:ascii="Times New Roman" w:eastAsia="Aptos" w:hAnsi="Times New Roman"/>
              </w:rPr>
              <w:t>, în calitate de autoritate competentă din statul membru de origine,</w:t>
            </w:r>
            <w:r w:rsidRPr="005D6998">
              <w:rPr>
                <w:rFonts w:ascii="Times New Roman" w:hAnsi="Times New Roman"/>
              </w:rPr>
              <w:t xml:space="preserve"> avertizează, cât mai curând posibil, autoritățile competente cu exercitarea supravegherii pe bază consolidată a instituţiilor de credit şi Autoritatea Bancară Europeană, în cazul în care constată prezența unei situații de urgență descrise la art. 110 alin. (2). </w:t>
            </w:r>
          </w:p>
        </w:tc>
        <w:tc>
          <w:tcPr>
            <w:tcW w:w="1418" w:type="dxa"/>
            <w:gridSpan w:val="2"/>
            <w:shd w:val="clear" w:color="auto" w:fill="FFFFFF"/>
          </w:tcPr>
          <w:p w14:paraId="026CB34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F25EEED"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0D4BCEEC" w14:textId="77777777" w:rsidR="008E7C06" w:rsidRPr="005D6998" w:rsidRDefault="008E7C06" w:rsidP="00A46332">
            <w:pPr>
              <w:pStyle w:val="Default"/>
              <w:jc w:val="both"/>
              <w:rPr>
                <w:sz w:val="22"/>
                <w:szCs w:val="22"/>
              </w:rPr>
            </w:pPr>
            <w:r w:rsidRPr="005D6998">
              <w:rPr>
                <w:sz w:val="22"/>
                <w:szCs w:val="22"/>
              </w:rPr>
              <w:t>La pct. 87, în redacția art. 107</w:t>
            </w:r>
            <w:r w:rsidRPr="005D6998">
              <w:rPr>
                <w:sz w:val="22"/>
                <w:szCs w:val="22"/>
                <w:vertAlign w:val="superscript"/>
              </w:rPr>
              <w:t>1</w:t>
            </w:r>
            <w:r w:rsidRPr="005D6998">
              <w:rPr>
                <w:sz w:val="22"/>
                <w:szCs w:val="22"/>
              </w:rPr>
              <w:t xml:space="preserve"> alin. (5) , referința la art. 110 alin. (2) se va revedea, deoarece este necorespunzătoare.</w:t>
            </w:r>
          </w:p>
        </w:tc>
        <w:tc>
          <w:tcPr>
            <w:tcW w:w="4960" w:type="dxa"/>
            <w:gridSpan w:val="3"/>
            <w:shd w:val="clear" w:color="auto" w:fill="FFFFFF"/>
          </w:tcPr>
          <w:p w14:paraId="304DEF87"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38EAE5E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Referința se face la art. 110 alin. (4).</w:t>
            </w:r>
          </w:p>
        </w:tc>
      </w:tr>
      <w:tr w:rsidR="008E7C06" w:rsidRPr="005D6998" w14:paraId="4073AB2B" w14:textId="77777777" w:rsidTr="00651F58">
        <w:trPr>
          <w:gridAfter w:val="2"/>
          <w:wAfter w:w="153" w:type="dxa"/>
          <w:trHeight w:val="105"/>
        </w:trPr>
        <w:tc>
          <w:tcPr>
            <w:tcW w:w="899" w:type="dxa"/>
            <w:gridSpan w:val="3"/>
            <w:shd w:val="clear" w:color="auto" w:fill="FFFFFF"/>
          </w:tcPr>
          <w:p w14:paraId="2BEDB62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9722DBE"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89</w:t>
            </w:r>
            <w:r w:rsidRPr="005D6998">
              <w:rPr>
                <w:rFonts w:ascii="Times New Roman" w:hAnsi="Times New Roman"/>
              </w:rPr>
              <w:t>. Se completează cu Articolul 108</w:t>
            </w:r>
            <w:r w:rsidRPr="005D6998">
              <w:rPr>
                <w:rFonts w:ascii="Times New Roman" w:hAnsi="Times New Roman"/>
                <w:vertAlign w:val="superscript"/>
              </w:rPr>
              <w:t>1</w:t>
            </w:r>
            <w:r w:rsidRPr="005D6998">
              <w:rPr>
                <w:rFonts w:ascii="Times New Roman" w:hAnsi="Times New Roman"/>
              </w:rPr>
              <w:t xml:space="preserve"> cu următorul cuprins:</w:t>
            </w:r>
          </w:p>
          <w:p w14:paraId="0C51AC9D"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Pr>
                <w:rFonts w:ascii="Times New Roman" w:hAnsi="Times New Roman"/>
                <w:b/>
                <w:bCs/>
              </w:rPr>
              <w:t>Articolul 108</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Controale și inspecții pe teren ale sucursalelor deschise în alt stat membru sau pe teritoriul Republicii Moldova</w:t>
            </w:r>
          </w:p>
          <w:p w14:paraId="3457CDAA"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46598D">
              <w:rPr>
                <w:rFonts w:ascii="Times New Roman" w:hAnsi="Times New Roman"/>
              </w:rPr>
              <w:t xml:space="preserve"> </w:t>
            </w:r>
          </w:p>
          <w:p w14:paraId="2779C94D"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(8) Banca Națională a Moldovei</w:t>
            </w:r>
            <w:r w:rsidRPr="005D6998">
              <w:rPr>
                <w:rFonts w:ascii="Times New Roman" w:eastAsia="Aptos" w:hAnsi="Times New Roman"/>
              </w:rPr>
              <w:t>, în calitate de autoritate competentă din statul membru gazdă,</w:t>
            </w:r>
            <w:r w:rsidRPr="005D6998">
              <w:rPr>
                <w:rFonts w:ascii="Times New Roman" w:hAnsi="Times New Roman"/>
              </w:rPr>
              <w:t xml:space="preserve"> poate solicita autorității competente din statul membru de origine a instituțiilor de credit care au sucursale deschise pe teritoriul Republicii </w:t>
            </w:r>
            <w:r w:rsidRPr="005D6998">
              <w:rPr>
                <w:rFonts w:ascii="Times New Roman" w:hAnsi="Times New Roman"/>
              </w:rPr>
              <w:lastRenderedPageBreak/>
              <w:t>Moldova și autorității competente responsabile cu supravegherea pe bază consolidată, după caz, să considere o sucursală ca fiind semnificativă în scopul evaluării riscurilor care se referă la instituțiile de credit cu astfel de sucursale.</w:t>
            </w:r>
            <w:r w:rsidRPr="005D6998">
              <w:rPr>
                <w:rFonts w:ascii="Times New Roman" w:hAnsi="Times New Roman"/>
                <w:i/>
                <w:iCs/>
              </w:rPr>
              <w:t xml:space="preserve"> </w:t>
            </w:r>
          </w:p>
          <w:p w14:paraId="062C60F3"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(9) Solicitarea prevăzută la alin. (8) specifică motivele pentru care sucursala unei instituții de credit dintr-un stat membru care își desfășoară activitatea pe teritoriul Republicii Moldova ar trebui considerată semnificativă, în special cu privire la următoarele aspecte:</w:t>
            </w:r>
          </w:p>
          <w:p w14:paraId="6F8FF2D0"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a) atingerea de către respectiva sucursală a unei cote de piaţă de peste 2% în ceea ce privește depozitele, în Republica Moldova; </w:t>
            </w:r>
          </w:p>
          <w:p w14:paraId="0062F9AC"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b) impactul probabil al unei suspendări sau încetări a operaţiunilor instituţiei de credit-mamă a respectivei sucursale asupra lichidităţii sistemice și asupra sistemelor de plată, compensare și decontare din Republica Moldova; </w:t>
            </w:r>
          </w:p>
          <w:p w14:paraId="7010E25F"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c) dimensiunea și importanţa respectivei sucursale, din punctul de vedere al numărului de clienţi, în contextul sistemului bancar sau financiar al Republicii Moldova.”. </w:t>
            </w:r>
          </w:p>
        </w:tc>
        <w:tc>
          <w:tcPr>
            <w:tcW w:w="1418" w:type="dxa"/>
            <w:gridSpan w:val="2"/>
            <w:shd w:val="clear" w:color="auto" w:fill="FFFFFF"/>
          </w:tcPr>
          <w:p w14:paraId="52C93AC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CE05AC8"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16075B83" w14:textId="77777777" w:rsidR="008E7C06" w:rsidRPr="005D6998" w:rsidRDefault="008E7C06" w:rsidP="00A46332">
            <w:pPr>
              <w:pStyle w:val="Default"/>
              <w:jc w:val="both"/>
              <w:rPr>
                <w:sz w:val="22"/>
                <w:szCs w:val="22"/>
              </w:rPr>
            </w:pPr>
            <w:r w:rsidRPr="005D6998">
              <w:rPr>
                <w:sz w:val="22"/>
                <w:szCs w:val="22"/>
              </w:rPr>
              <w:t>La pct. 89, dispozițiile propuse la alin. (8) și (9) al art. 108</w:t>
            </w:r>
            <w:r w:rsidRPr="005D6998">
              <w:rPr>
                <w:sz w:val="22"/>
                <w:szCs w:val="22"/>
                <w:vertAlign w:val="superscript"/>
              </w:rPr>
              <w:t>1</w:t>
            </w:r>
            <w:r w:rsidRPr="005D6998">
              <w:rPr>
                <w:sz w:val="22"/>
                <w:szCs w:val="22"/>
              </w:rPr>
              <w:t xml:space="preserve"> nu vizează obiectul de reglementare a articolului citat, motiv pentru care sugerăm a fi incluse în dispozițiile art. 107</w:t>
            </w:r>
            <w:r w:rsidRPr="005D6998">
              <w:rPr>
                <w:sz w:val="22"/>
                <w:szCs w:val="22"/>
                <w:vertAlign w:val="superscript"/>
              </w:rPr>
              <w:t>1</w:t>
            </w:r>
            <w:r w:rsidRPr="005D6998">
              <w:rPr>
                <w:sz w:val="22"/>
                <w:szCs w:val="22"/>
              </w:rPr>
              <w:t>, care are ca obiect de reglementare aspecte privind sucursalele semnificative.</w:t>
            </w:r>
          </w:p>
        </w:tc>
        <w:tc>
          <w:tcPr>
            <w:tcW w:w="4960" w:type="dxa"/>
            <w:gridSpan w:val="3"/>
            <w:shd w:val="clear" w:color="auto" w:fill="FFFFFF"/>
          </w:tcPr>
          <w:p w14:paraId="334E748D"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3DA156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Dispozițiile propuse la alin. (8) și (9) al art. 108</w:t>
            </w:r>
            <w:r w:rsidRPr="005D6998">
              <w:rPr>
                <w:rFonts w:ascii="Times New Roman" w:hAnsi="Times New Roman"/>
                <w:vertAlign w:val="superscript"/>
              </w:rPr>
              <w:t xml:space="preserve">1 </w:t>
            </w:r>
            <w:r w:rsidRPr="005D6998">
              <w:rPr>
                <w:rFonts w:ascii="Times New Roman" w:hAnsi="Times New Roman"/>
              </w:rPr>
              <w:t>au fost mutate la art. 107</w:t>
            </w:r>
            <w:r w:rsidRPr="005D6998">
              <w:rPr>
                <w:rFonts w:ascii="Times New Roman" w:hAnsi="Times New Roman"/>
                <w:vertAlign w:val="superscript"/>
              </w:rPr>
              <w:t>1</w:t>
            </w:r>
            <w:r w:rsidRPr="005D6998">
              <w:rPr>
                <w:rFonts w:ascii="Times New Roman" w:hAnsi="Times New Roman"/>
              </w:rPr>
              <w:t>. De asemenea, au fost modificate referințele relevante din art. 107</w:t>
            </w:r>
            <w:r w:rsidRPr="005D6998">
              <w:rPr>
                <w:rFonts w:ascii="Times New Roman" w:hAnsi="Times New Roman"/>
                <w:vertAlign w:val="superscript"/>
              </w:rPr>
              <w:t>1</w:t>
            </w:r>
            <w:r w:rsidRPr="005D6998">
              <w:rPr>
                <w:rFonts w:ascii="Times New Roman" w:hAnsi="Times New Roman"/>
              </w:rPr>
              <w:t xml:space="preserve"> în mod corespunzător.</w:t>
            </w:r>
          </w:p>
        </w:tc>
      </w:tr>
      <w:tr w:rsidR="008E7C06" w:rsidRPr="005D6998" w14:paraId="4459D28E" w14:textId="77777777" w:rsidTr="00651F58">
        <w:trPr>
          <w:gridAfter w:val="2"/>
          <w:wAfter w:w="153" w:type="dxa"/>
          <w:trHeight w:val="105"/>
        </w:trPr>
        <w:tc>
          <w:tcPr>
            <w:tcW w:w="899" w:type="dxa"/>
            <w:gridSpan w:val="3"/>
            <w:shd w:val="clear" w:color="auto" w:fill="FFFFFF"/>
          </w:tcPr>
          <w:p w14:paraId="307A648B"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26FECC1"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90</w:t>
            </w:r>
            <w:r w:rsidRPr="005D6998">
              <w:rPr>
                <w:rFonts w:ascii="Times New Roman" w:hAnsi="Times New Roman"/>
              </w:rPr>
              <w:t>. Titlul V se completează cu capitolul 1</w:t>
            </w:r>
            <w:r w:rsidRPr="005D6998">
              <w:rPr>
                <w:rFonts w:ascii="Times New Roman" w:hAnsi="Times New Roman"/>
                <w:vertAlign w:val="superscript"/>
              </w:rPr>
              <w:t xml:space="preserve">1 </w:t>
            </w:r>
            <w:r w:rsidRPr="005D6998">
              <w:rPr>
                <w:rFonts w:ascii="Times New Roman" w:hAnsi="Times New Roman"/>
              </w:rPr>
              <w:t>cu următorul cuprins:</w:t>
            </w:r>
          </w:p>
          <w:p w14:paraId="7ADA9428" w14:textId="77777777" w:rsidR="008E7C06" w:rsidRPr="005D6998" w:rsidRDefault="008E7C06" w:rsidP="00A46332">
            <w:pPr>
              <w:spacing w:after="0" w:line="240" w:lineRule="auto"/>
              <w:ind w:firstLine="709"/>
              <w:jc w:val="both"/>
              <w:rPr>
                <w:rFonts w:ascii="Times New Roman" w:hAnsi="Times New Roman"/>
                <w:b/>
                <w:bCs/>
                <w:vertAlign w:val="superscript"/>
              </w:rPr>
            </w:pPr>
            <w:r w:rsidRPr="005D6998">
              <w:rPr>
                <w:rFonts w:ascii="Times New Roman" w:hAnsi="Times New Roman"/>
              </w:rPr>
              <w:t>“</w:t>
            </w:r>
            <w:r w:rsidRPr="005D6998">
              <w:rPr>
                <w:rFonts w:ascii="Times New Roman" w:hAnsi="Times New Roman"/>
                <w:b/>
                <w:bCs/>
              </w:rPr>
              <w:t>Capitolul 1</w:t>
            </w:r>
            <w:r w:rsidRPr="005D6998">
              <w:rPr>
                <w:rFonts w:ascii="Times New Roman" w:hAnsi="Times New Roman"/>
                <w:b/>
                <w:bCs/>
                <w:vertAlign w:val="superscript"/>
              </w:rPr>
              <w:t>1</w:t>
            </w:r>
          </w:p>
          <w:p w14:paraId="2E72BFE3" w14:textId="77777777" w:rsidR="008E7C06" w:rsidRPr="005D6998" w:rsidRDefault="008E7C06" w:rsidP="00A46332">
            <w:pPr>
              <w:spacing w:after="0" w:line="240" w:lineRule="auto"/>
              <w:ind w:firstLine="709"/>
              <w:jc w:val="both"/>
              <w:rPr>
                <w:rFonts w:ascii="Times New Roman" w:hAnsi="Times New Roman"/>
                <w:b/>
                <w:bCs/>
              </w:rPr>
            </w:pPr>
            <w:r w:rsidRPr="005D6998">
              <w:rPr>
                <w:rFonts w:ascii="Times New Roman" w:hAnsi="Times New Roman"/>
                <w:b/>
                <w:bCs/>
              </w:rPr>
              <w:t xml:space="preserve">SUPRAVEGHEREA </w:t>
            </w:r>
            <w:r w:rsidRPr="005D6998" w:rsidDel="000C0E79">
              <w:rPr>
                <w:rFonts w:ascii="Times New Roman" w:hAnsi="Times New Roman"/>
                <w:b/>
              </w:rPr>
              <w:t>PRUDENŢIALĂ</w:t>
            </w:r>
            <w:r w:rsidRPr="005D6998" w:rsidDel="000C0E79">
              <w:rPr>
                <w:rFonts w:ascii="Times New Roman" w:hAnsi="Times New Roman"/>
                <w:b/>
                <w:bCs/>
              </w:rPr>
              <w:t xml:space="preserve"> </w:t>
            </w:r>
            <w:r w:rsidRPr="005D6998">
              <w:rPr>
                <w:rFonts w:ascii="Times New Roman" w:hAnsi="Times New Roman"/>
                <w:b/>
                <w:bCs/>
              </w:rPr>
              <w:t>A SUCURSALELOR DIN STATE TERȚE</w:t>
            </w:r>
          </w:p>
          <w:p w14:paraId="03383CF6" w14:textId="77777777" w:rsidR="008E7C06" w:rsidRPr="005D6998" w:rsidRDefault="008E7C06" w:rsidP="00A46332">
            <w:pPr>
              <w:spacing w:after="0" w:line="240" w:lineRule="auto"/>
              <w:ind w:firstLine="709"/>
              <w:jc w:val="both"/>
              <w:rPr>
                <w:rFonts w:ascii="Times New Roman" w:hAnsi="Times New Roman"/>
                <w:b/>
                <w:bCs/>
              </w:rPr>
            </w:pPr>
          </w:p>
          <w:p w14:paraId="1F876683"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b/>
                <w:bCs/>
              </w:rPr>
              <w:t>Articolul 108</w:t>
            </w:r>
            <w:r w:rsidRPr="005D6998">
              <w:rPr>
                <w:rFonts w:ascii="Times New Roman" w:hAnsi="Times New Roman"/>
                <w:b/>
                <w:bCs/>
                <w:vertAlign w:val="superscript"/>
              </w:rPr>
              <w:t>2</w:t>
            </w:r>
            <w:r w:rsidRPr="005D6998">
              <w:rPr>
                <w:rFonts w:ascii="Times New Roman" w:hAnsi="Times New Roman"/>
                <w:b/>
                <w:bCs/>
              </w:rPr>
              <w:t xml:space="preserve">. </w:t>
            </w:r>
            <w:r w:rsidRPr="005D6998">
              <w:rPr>
                <w:rFonts w:ascii="Times New Roman" w:hAnsi="Times New Roman"/>
              </w:rPr>
              <w:t>Supravegherea sucursalelor din state terțe și programul de supraveghere prudențială</w:t>
            </w:r>
          </w:p>
          <w:p w14:paraId="28746B76" w14:textId="77777777" w:rsidR="008E7C06" w:rsidRPr="005D6998" w:rsidRDefault="008E7C06" w:rsidP="00A46332">
            <w:pPr>
              <w:spacing w:after="0" w:line="240" w:lineRule="auto"/>
              <w:ind w:firstLine="709"/>
              <w:jc w:val="both"/>
              <w:rPr>
                <w:rFonts w:ascii="Times New Roman" w:hAnsi="Times New Roman"/>
                <w:b/>
                <w:bCs/>
              </w:rPr>
            </w:pPr>
            <w:r w:rsidRPr="005D6998">
              <w:rPr>
                <w:rFonts w:ascii="Times New Roman" w:hAnsi="Times New Roman"/>
              </w:rPr>
              <w:t>[...]</w:t>
            </w:r>
          </w:p>
          <w:p w14:paraId="154B5D5E"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b/>
                <w:bCs/>
              </w:rPr>
              <w:t>Articolul 108</w:t>
            </w:r>
            <w:r w:rsidRPr="005D6998">
              <w:rPr>
                <w:rFonts w:ascii="Times New Roman" w:hAnsi="Times New Roman"/>
                <w:b/>
                <w:bCs/>
                <w:vertAlign w:val="superscript"/>
              </w:rPr>
              <w:t>3</w:t>
            </w:r>
            <w:r w:rsidRPr="005D6998">
              <w:rPr>
                <w:rFonts w:ascii="Times New Roman" w:hAnsi="Times New Roman"/>
                <w:b/>
                <w:bCs/>
              </w:rPr>
              <w:t xml:space="preserve">. </w:t>
            </w:r>
            <w:r w:rsidRPr="005D6998">
              <w:rPr>
                <w:rFonts w:ascii="Times New Roman" w:hAnsi="Times New Roman"/>
              </w:rPr>
              <w:t xml:space="preserve">Procesul de verificare și evaluare </w:t>
            </w:r>
          </w:p>
          <w:p w14:paraId="0749AE47"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(1) Banca Națională a Moldovei asigură verificarea cadrului de administrare, a strategiilor, proceselor și mecanismelor implementate de sucursalele din state terțe, pentru respectarea dispozițiilor prezentei legi și ale actelor normative emise în aplicarea acesteia.</w:t>
            </w:r>
            <w:r w:rsidRPr="005D6998">
              <w:rPr>
                <w:rFonts w:ascii="Times New Roman" w:hAnsi="Times New Roman"/>
                <w:b/>
                <w:bCs/>
              </w:rPr>
              <w:t xml:space="preserve"> </w:t>
            </w:r>
          </w:p>
          <w:p w14:paraId="30AF8614" w14:textId="77777777" w:rsidR="008E7C06" w:rsidRPr="005D6998" w:rsidRDefault="008E7C06" w:rsidP="00A46332">
            <w:pPr>
              <w:spacing w:after="0" w:line="240" w:lineRule="auto"/>
              <w:ind w:firstLine="709"/>
              <w:jc w:val="both"/>
              <w:rPr>
                <w:rFonts w:ascii="Times New Roman" w:hAnsi="Times New Roman"/>
                <w:b/>
                <w:bCs/>
              </w:rPr>
            </w:pPr>
            <w:r w:rsidRPr="005D6998" w:rsidDel="001017E5">
              <w:rPr>
                <w:rFonts w:ascii="Times New Roman" w:hAnsi="Times New Roman"/>
              </w:rPr>
              <w:t xml:space="preserve"> </w:t>
            </w:r>
            <w:r w:rsidRPr="005D6998">
              <w:rPr>
                <w:rFonts w:ascii="Times New Roman" w:hAnsi="Times New Roman"/>
              </w:rPr>
              <w:t>(2) Pe baza verificării şi evaluării menţionate la alin.(1), Banca Naţională a Moldovei determină în ce măsură cadrul de administrare, strategiile, procesele şi mecanismele implementate de sucursală dintr-un stat terț, precum și capitalul de dotare și lichiditatea deținute de acestea asigură o gestionare și o acoperire adecvate ale riscurilor lor semnificative și viabilitatea sucursalelor din state terțe.</w:t>
            </w:r>
            <w:r w:rsidRPr="005D6998">
              <w:rPr>
                <w:rFonts w:ascii="Times New Roman" w:hAnsi="Times New Roman"/>
                <w:b/>
                <w:bCs/>
              </w:rPr>
              <w:t xml:space="preserve"> </w:t>
            </w:r>
          </w:p>
          <w:p w14:paraId="58B76E27" w14:textId="77777777" w:rsidR="008E7C06" w:rsidRPr="005D6998" w:rsidRDefault="008E7C06" w:rsidP="00A46332">
            <w:pPr>
              <w:spacing w:after="0" w:line="240" w:lineRule="auto"/>
              <w:ind w:firstLine="709"/>
              <w:jc w:val="both"/>
              <w:rPr>
                <w:rFonts w:ascii="Times New Roman" w:hAnsi="Times New Roman"/>
                <w:b/>
                <w:bCs/>
              </w:rPr>
            </w:pPr>
            <w:r w:rsidRPr="005D6998">
              <w:rPr>
                <w:rFonts w:ascii="Times New Roman" w:hAnsi="Times New Roman"/>
              </w:rPr>
              <w:t>(3) Banca Naţională a Moldovei stabileşte frecvenţa şi gradul de detaliere a verificărilor şi evaluărilor menţionate la alin.(1), cu luarea în considerare a criteriilor de aplicare a principiului proporţionalităţii publicate conform actelor normative emise în aplicarea prezentei legi, având în vedere clasificarea sucursalelor, astfel cum este prevăzută la art. 31</w:t>
            </w:r>
            <w:r w:rsidRPr="005D6998">
              <w:rPr>
                <w:rFonts w:ascii="Times New Roman" w:hAnsi="Times New Roman"/>
                <w:vertAlign w:val="superscript"/>
              </w:rPr>
              <w:t>1</w:t>
            </w:r>
            <w:r w:rsidRPr="005D6998">
              <w:rPr>
                <w:rFonts w:ascii="Times New Roman" w:hAnsi="Times New Roman"/>
              </w:rPr>
              <w:t xml:space="preserve">, natura, amploarea şi complexitatea </w:t>
            </w:r>
            <w:r w:rsidRPr="005D6998">
              <w:rPr>
                <w:rFonts w:ascii="Times New Roman" w:hAnsi="Times New Roman"/>
              </w:rPr>
              <w:lastRenderedPageBreak/>
              <w:t>activităţilor desfăşurate de sucursalele din state terțe.</w:t>
            </w:r>
            <w:r w:rsidRPr="005D6998">
              <w:rPr>
                <w:rFonts w:ascii="Times New Roman" w:hAnsi="Times New Roman"/>
                <w:b/>
                <w:bCs/>
              </w:rPr>
              <w:t xml:space="preserve"> </w:t>
            </w:r>
          </w:p>
          <w:p w14:paraId="1009B38D"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p>
        </w:tc>
        <w:tc>
          <w:tcPr>
            <w:tcW w:w="1418" w:type="dxa"/>
            <w:gridSpan w:val="2"/>
            <w:shd w:val="clear" w:color="auto" w:fill="FFFFFF"/>
          </w:tcPr>
          <w:p w14:paraId="5F39D27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84CA39B"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3F2D52DE" w14:textId="77777777" w:rsidR="008E7C06" w:rsidRPr="005D6998" w:rsidRDefault="008E7C06" w:rsidP="00A46332">
            <w:pPr>
              <w:pStyle w:val="Default"/>
              <w:jc w:val="both"/>
              <w:rPr>
                <w:sz w:val="22"/>
                <w:szCs w:val="22"/>
              </w:rPr>
            </w:pPr>
            <w:r w:rsidRPr="005D6998">
              <w:rPr>
                <w:sz w:val="22"/>
                <w:szCs w:val="22"/>
              </w:rPr>
              <w:t xml:space="preserve">La pct. 90: </w:t>
            </w:r>
          </w:p>
          <w:p w14:paraId="48D0D528" w14:textId="77777777" w:rsidR="008E7C06" w:rsidRPr="005D6998" w:rsidRDefault="008E7C06" w:rsidP="00A46332">
            <w:pPr>
              <w:pStyle w:val="Default"/>
              <w:jc w:val="both"/>
              <w:rPr>
                <w:sz w:val="22"/>
                <w:szCs w:val="22"/>
              </w:rPr>
            </w:pPr>
            <w:r w:rsidRPr="005D6998">
              <w:rPr>
                <w:sz w:val="22"/>
                <w:szCs w:val="22"/>
              </w:rPr>
              <w:t>În redacția art. 108</w:t>
            </w:r>
            <w:r w:rsidRPr="005D6998">
              <w:rPr>
                <w:sz w:val="22"/>
                <w:szCs w:val="22"/>
                <w:vertAlign w:val="superscript"/>
              </w:rPr>
              <w:t>3</w:t>
            </w:r>
            <w:r w:rsidRPr="005D6998">
              <w:rPr>
                <w:sz w:val="22"/>
                <w:szCs w:val="22"/>
              </w:rPr>
              <w:t xml:space="preserve"> alin. (2) și (3) se va revedea textul „și evaluării menționate la alin. (1)”, întrucât în alin. (1) nu se menționează despre evaluare, ci doar despre verificarea cadrului de administrare, a strategiilor, proceselor și mecanismelor </w:t>
            </w:r>
            <w:r w:rsidRPr="005D6998">
              <w:rPr>
                <w:sz w:val="22"/>
                <w:szCs w:val="22"/>
              </w:rPr>
              <w:lastRenderedPageBreak/>
              <w:t>implementate de sucursalele din state terțe. Astfel, sugerăm ca în alin. (1), după cuvintele „verificarea” să fie incluse cuvintele „și evaluarea”, inclusiv pentru a corespunde cu obiectul de reglementare prevăzut în denumirea art. 108</w:t>
            </w:r>
            <w:r w:rsidRPr="005D6998">
              <w:rPr>
                <w:sz w:val="22"/>
                <w:szCs w:val="22"/>
                <w:vertAlign w:val="superscript"/>
              </w:rPr>
              <w:t>3</w:t>
            </w:r>
            <w:r w:rsidRPr="005D6998">
              <w:rPr>
                <w:sz w:val="22"/>
                <w:szCs w:val="22"/>
              </w:rPr>
              <w:t xml:space="preserve">. </w:t>
            </w:r>
          </w:p>
          <w:p w14:paraId="0E8E3674" w14:textId="77777777" w:rsidR="008E7C06" w:rsidRPr="005D6998" w:rsidRDefault="008E7C06" w:rsidP="00A46332">
            <w:pPr>
              <w:pStyle w:val="Default"/>
              <w:jc w:val="both"/>
              <w:rPr>
                <w:sz w:val="22"/>
                <w:szCs w:val="22"/>
              </w:rPr>
            </w:pPr>
          </w:p>
          <w:p w14:paraId="00CBA83B" w14:textId="77777777" w:rsidR="008E7C06" w:rsidRPr="005D6998" w:rsidRDefault="008E7C06" w:rsidP="00A46332">
            <w:pPr>
              <w:pStyle w:val="Default"/>
              <w:jc w:val="both"/>
              <w:rPr>
                <w:sz w:val="22"/>
                <w:szCs w:val="22"/>
              </w:rPr>
            </w:pPr>
          </w:p>
          <w:p w14:paraId="200199BB" w14:textId="77777777" w:rsidR="008E7C06" w:rsidRPr="005D6998" w:rsidRDefault="008E7C06" w:rsidP="00A46332">
            <w:pPr>
              <w:pStyle w:val="Default"/>
              <w:jc w:val="both"/>
              <w:rPr>
                <w:sz w:val="22"/>
                <w:szCs w:val="22"/>
              </w:rPr>
            </w:pPr>
          </w:p>
          <w:p w14:paraId="78735A8C" w14:textId="77777777" w:rsidR="008E7C06" w:rsidRPr="005D6998" w:rsidRDefault="008E7C06" w:rsidP="00A46332">
            <w:pPr>
              <w:pStyle w:val="Default"/>
              <w:jc w:val="both"/>
              <w:rPr>
                <w:sz w:val="22"/>
                <w:szCs w:val="22"/>
              </w:rPr>
            </w:pPr>
            <w:r w:rsidRPr="005D6998">
              <w:rPr>
                <w:sz w:val="22"/>
                <w:szCs w:val="22"/>
              </w:rPr>
              <w:t>În redacția art. 108</w:t>
            </w:r>
            <w:r w:rsidRPr="005D6998">
              <w:rPr>
                <w:sz w:val="22"/>
                <w:szCs w:val="22"/>
                <w:vertAlign w:val="superscript"/>
              </w:rPr>
              <w:t>3</w:t>
            </w:r>
            <w:r w:rsidRPr="005D6998">
              <w:rPr>
                <w:sz w:val="22"/>
                <w:szCs w:val="22"/>
              </w:rPr>
              <w:t xml:space="preserve"> alin. (3), referința la art. 31</w:t>
            </w:r>
            <w:r w:rsidRPr="005D6998">
              <w:rPr>
                <w:sz w:val="22"/>
                <w:szCs w:val="22"/>
                <w:vertAlign w:val="superscript"/>
              </w:rPr>
              <w:t>1</w:t>
            </w:r>
            <w:r w:rsidRPr="005D6998">
              <w:rPr>
                <w:sz w:val="22"/>
                <w:szCs w:val="22"/>
              </w:rPr>
              <w:t xml:space="preserve"> se va substitui cu referința la art. 26. </w:t>
            </w:r>
          </w:p>
          <w:p w14:paraId="7C659A5D" w14:textId="77777777" w:rsidR="008E7C06" w:rsidRPr="005D6998" w:rsidRDefault="008E7C06" w:rsidP="00A46332">
            <w:pPr>
              <w:pStyle w:val="Default"/>
              <w:jc w:val="both"/>
              <w:rPr>
                <w:sz w:val="22"/>
                <w:szCs w:val="22"/>
              </w:rPr>
            </w:pPr>
          </w:p>
          <w:p w14:paraId="60DFE0C9" w14:textId="77777777" w:rsidR="008E7C06" w:rsidRPr="005D6998" w:rsidRDefault="008E7C06" w:rsidP="00A46332">
            <w:pPr>
              <w:pStyle w:val="Default"/>
              <w:jc w:val="both"/>
              <w:rPr>
                <w:sz w:val="22"/>
                <w:szCs w:val="22"/>
              </w:rPr>
            </w:pPr>
          </w:p>
        </w:tc>
        <w:tc>
          <w:tcPr>
            <w:tcW w:w="4960" w:type="dxa"/>
            <w:gridSpan w:val="3"/>
            <w:shd w:val="clear" w:color="auto" w:fill="FFFFFF"/>
          </w:tcPr>
          <w:p w14:paraId="07BF7AB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57D4072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Norma din art. 108</w:t>
            </w:r>
            <w:r w:rsidRPr="005D6998">
              <w:rPr>
                <w:rFonts w:ascii="Times New Roman" w:hAnsi="Times New Roman"/>
                <w:vertAlign w:val="superscript"/>
              </w:rPr>
              <w:t>3</w:t>
            </w:r>
            <w:r w:rsidRPr="005D6998">
              <w:rPr>
                <w:rFonts w:ascii="Times New Roman" w:hAnsi="Times New Roman"/>
              </w:rPr>
              <w:t xml:space="preserve"> este una în oglindă cu norma din art. 100. Respectiv, pentru a asigura o corelare între acestea, precum și pentru a asigura transpunerea corespunzătoare a art. 48n din Directiva 2013/36/UE care se transpune prin art. 108</w:t>
            </w:r>
            <w:r w:rsidRPr="005D6998">
              <w:rPr>
                <w:rFonts w:ascii="Times New Roman" w:hAnsi="Times New Roman"/>
                <w:vertAlign w:val="superscript"/>
              </w:rPr>
              <w:t>3</w:t>
            </w:r>
            <w:r w:rsidRPr="005D6998">
              <w:rPr>
                <w:rFonts w:ascii="Times New Roman" w:hAnsi="Times New Roman"/>
              </w:rPr>
              <w:t xml:space="preserve"> alin. (2) se redactează după cum urmează:</w:t>
            </w:r>
          </w:p>
          <w:p w14:paraId="7C22B42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textul “Pe baza verificării şi evaluării menţionate la alin.(1), Banca Naţională a Moldovei determină” se substituie cu textul “Pe baza verificării menţionate la alin.(1), Banca Naţională a Moldovei evaluează” iar la alin. (3) se adaugă după textul “alin. (1)”, textul “și alin. (2)”.</w:t>
            </w:r>
          </w:p>
          <w:p w14:paraId="5A67738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Aceste redactări aduc în concordanță textul articolului cu obiectul de reglementare prevăzut în denumirea art. 108</w:t>
            </w:r>
            <w:r w:rsidRPr="005D6998">
              <w:rPr>
                <w:rFonts w:ascii="Times New Roman" w:hAnsi="Times New Roman"/>
                <w:vertAlign w:val="superscript"/>
              </w:rPr>
              <w:t>1</w:t>
            </w:r>
            <w:r w:rsidRPr="005D6998">
              <w:rPr>
                <w:rFonts w:ascii="Times New Roman" w:hAnsi="Times New Roman"/>
              </w:rPr>
              <w:t>.</w:t>
            </w:r>
          </w:p>
          <w:p w14:paraId="4DC8A118" w14:textId="77777777" w:rsidR="008E7C06" w:rsidRPr="005D6998" w:rsidRDefault="008E7C06" w:rsidP="00A46332">
            <w:pPr>
              <w:spacing w:after="0" w:line="240" w:lineRule="auto"/>
              <w:jc w:val="both"/>
              <w:rPr>
                <w:rFonts w:ascii="Times New Roman" w:hAnsi="Times New Roman"/>
              </w:rPr>
            </w:pPr>
          </w:p>
          <w:p w14:paraId="24D8EA64"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Referința la art. 31</w:t>
            </w:r>
            <w:r w:rsidRPr="005D6998">
              <w:rPr>
                <w:rFonts w:ascii="Times New Roman" w:hAnsi="Times New Roman"/>
                <w:vertAlign w:val="superscript"/>
              </w:rPr>
              <w:t>1</w:t>
            </w:r>
            <w:r w:rsidRPr="005D6998">
              <w:rPr>
                <w:rFonts w:ascii="Times New Roman" w:hAnsi="Times New Roman"/>
              </w:rPr>
              <w:t xml:space="preserve"> se substituie cu referința la art. 26, conform propunerii. În plus, se redactează textul alin. (3) pentru claritate – </w:t>
            </w:r>
          </w:p>
          <w:p w14:paraId="30A4BB8C" w14:textId="77777777" w:rsidR="008E7C06" w:rsidRPr="005D6998" w:rsidRDefault="008E7C06" w:rsidP="00A46332">
            <w:pPr>
              <w:spacing w:after="0" w:line="240" w:lineRule="auto"/>
              <w:ind w:firstLine="709"/>
              <w:jc w:val="both"/>
              <w:rPr>
                <w:rFonts w:ascii="Times New Roman" w:hAnsi="Times New Roman"/>
                <w:b/>
                <w:bCs/>
              </w:rPr>
            </w:pPr>
            <w:r w:rsidRPr="005D6998">
              <w:rPr>
                <w:rFonts w:ascii="Times New Roman" w:hAnsi="Times New Roman"/>
                <w:lang w:val="it-CH"/>
              </w:rPr>
              <w:t>“</w:t>
            </w:r>
            <w:r w:rsidRPr="005D6998">
              <w:rPr>
                <w:rFonts w:ascii="Times New Roman" w:hAnsi="Times New Roman"/>
              </w:rPr>
              <w:t xml:space="preserve">(3) Banca Naţională a Moldovei stabileşte frecvenţa şi gradul de detaliere a verificărilor şi evaluărilor menţionate la alin.(1) </w:t>
            </w:r>
            <w:r w:rsidRPr="005D6998">
              <w:rPr>
                <w:rFonts w:ascii="Times New Roman" w:hAnsi="Times New Roman"/>
                <w:b/>
                <w:bCs/>
              </w:rPr>
              <w:t>și (2</w:t>
            </w:r>
            <w:r w:rsidRPr="005D6998">
              <w:rPr>
                <w:rFonts w:ascii="Times New Roman" w:hAnsi="Times New Roman"/>
              </w:rPr>
              <w:t xml:space="preserve">), cu luarea în considerare a criteriilor de aplicare a principiului proporţionalităţii publicate conform actelor normative emise în aplicarea prezentei legi, având în vedere clasificarea sucursalelor </w:t>
            </w:r>
            <w:r w:rsidRPr="005D6998">
              <w:rPr>
                <w:rFonts w:ascii="Times New Roman" w:hAnsi="Times New Roman"/>
                <w:b/>
                <w:bCs/>
              </w:rPr>
              <w:t xml:space="preserve">din state terțe, </w:t>
            </w:r>
            <w:r w:rsidRPr="005D6998">
              <w:rPr>
                <w:rFonts w:ascii="Times New Roman" w:hAnsi="Times New Roman"/>
              </w:rPr>
              <w:t xml:space="preserve">astfel cum este prevăzută la </w:t>
            </w:r>
            <w:r w:rsidRPr="005D6998">
              <w:rPr>
                <w:rFonts w:ascii="Times New Roman" w:hAnsi="Times New Roman"/>
                <w:b/>
                <w:bCs/>
              </w:rPr>
              <w:t>art. 26,</w:t>
            </w:r>
            <w:r w:rsidRPr="005D6998">
              <w:rPr>
                <w:rFonts w:ascii="Times New Roman" w:hAnsi="Times New Roman"/>
              </w:rPr>
              <w:t xml:space="preserve"> natura, amploarea şi complexitatea activităţilor desfăşurate de </w:t>
            </w:r>
            <w:r w:rsidRPr="005D6998">
              <w:rPr>
                <w:rFonts w:ascii="Times New Roman" w:hAnsi="Times New Roman"/>
                <w:b/>
                <w:bCs/>
              </w:rPr>
              <w:t>aceste sucursale</w:t>
            </w:r>
            <w:r w:rsidRPr="005D6998">
              <w:rPr>
                <w:rFonts w:ascii="Times New Roman" w:hAnsi="Times New Roman"/>
              </w:rPr>
              <w:t>.</w:t>
            </w:r>
            <w:r w:rsidRPr="005D6998">
              <w:rPr>
                <w:rFonts w:ascii="Times New Roman" w:hAnsi="Times New Roman"/>
                <w:b/>
                <w:bCs/>
              </w:rPr>
              <w:t>”.</w:t>
            </w:r>
          </w:p>
          <w:p w14:paraId="3ABBACB2" w14:textId="77777777" w:rsidR="008E7C06" w:rsidRPr="005D6998" w:rsidRDefault="008E7C06" w:rsidP="00A46332">
            <w:pPr>
              <w:spacing w:after="0" w:line="240" w:lineRule="auto"/>
              <w:ind w:firstLine="709"/>
              <w:jc w:val="both"/>
              <w:rPr>
                <w:rFonts w:ascii="Times New Roman" w:hAnsi="Times New Roman"/>
                <w:b/>
                <w:bCs/>
              </w:rPr>
            </w:pPr>
          </w:p>
          <w:p w14:paraId="4CDD0367" w14:textId="77777777" w:rsidR="008E7C06" w:rsidRPr="005D6998" w:rsidRDefault="008E7C06" w:rsidP="00A46332">
            <w:pPr>
              <w:spacing w:after="0" w:line="240" w:lineRule="auto"/>
              <w:jc w:val="both"/>
              <w:rPr>
                <w:rFonts w:ascii="Times New Roman" w:hAnsi="Times New Roman"/>
              </w:rPr>
            </w:pPr>
          </w:p>
          <w:p w14:paraId="55D85EFB" w14:textId="77777777" w:rsidR="008E7C06" w:rsidRPr="005D6998" w:rsidRDefault="008E7C06" w:rsidP="00A46332">
            <w:pPr>
              <w:spacing w:after="0" w:line="240" w:lineRule="auto"/>
              <w:jc w:val="both"/>
              <w:rPr>
                <w:rFonts w:ascii="Times New Roman" w:hAnsi="Times New Roman"/>
              </w:rPr>
            </w:pPr>
          </w:p>
          <w:p w14:paraId="68C0B7D8" w14:textId="77777777" w:rsidR="008E7C06" w:rsidRPr="005D6998" w:rsidRDefault="008E7C06" w:rsidP="00A46332">
            <w:pPr>
              <w:spacing w:after="0" w:line="240" w:lineRule="auto"/>
              <w:jc w:val="both"/>
              <w:rPr>
                <w:rFonts w:ascii="Times New Roman" w:hAnsi="Times New Roman"/>
              </w:rPr>
            </w:pPr>
          </w:p>
        </w:tc>
      </w:tr>
      <w:tr w:rsidR="008E7C06" w:rsidRPr="005D6998" w14:paraId="5054EF48" w14:textId="77777777" w:rsidTr="00651F58">
        <w:trPr>
          <w:gridAfter w:val="2"/>
          <w:wAfter w:w="153" w:type="dxa"/>
          <w:trHeight w:val="105"/>
        </w:trPr>
        <w:tc>
          <w:tcPr>
            <w:tcW w:w="899" w:type="dxa"/>
            <w:gridSpan w:val="3"/>
            <w:shd w:val="clear" w:color="auto" w:fill="FFFFFF"/>
          </w:tcPr>
          <w:p w14:paraId="44EF5971"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D47254F"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b/>
                <w:bCs/>
              </w:rPr>
              <w:t>[...]</w:t>
            </w:r>
            <w:r w:rsidRPr="005D6998" w:rsidDel="001017E5">
              <w:rPr>
                <w:rFonts w:ascii="Times New Roman" w:hAnsi="Times New Roman"/>
                <w:b/>
                <w:bCs/>
              </w:rPr>
              <w:t xml:space="preserve"> </w:t>
            </w:r>
            <w:r w:rsidRPr="005D6998">
              <w:rPr>
                <w:rFonts w:ascii="Times New Roman" w:hAnsi="Times New Roman"/>
                <w:b/>
                <w:bCs/>
              </w:rPr>
              <w:t>Articolul 108</w:t>
            </w:r>
            <w:r w:rsidRPr="005D6998">
              <w:rPr>
                <w:rFonts w:ascii="Times New Roman" w:hAnsi="Times New Roman"/>
                <w:b/>
                <w:bCs/>
                <w:vertAlign w:val="superscript"/>
              </w:rPr>
              <w:t>4</w:t>
            </w:r>
            <w:r w:rsidRPr="005D6998">
              <w:rPr>
                <w:rFonts w:ascii="Times New Roman" w:hAnsi="Times New Roman"/>
                <w:b/>
                <w:bCs/>
              </w:rPr>
              <w:t>.</w:t>
            </w:r>
            <w:r w:rsidRPr="005D6998">
              <w:rPr>
                <w:rFonts w:ascii="Times New Roman" w:hAnsi="Times New Roman"/>
              </w:rPr>
              <w:t xml:space="preserve"> Măsuri și competențe de supraveghere </w:t>
            </w:r>
          </w:p>
          <w:p w14:paraId="1D6F18B3"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(1) Sucursalele din state terțe trebuie să ia măsurile necesare într-un stadiu incipient, astfel încât: </w:t>
            </w:r>
          </w:p>
          <w:p w14:paraId="4A134C11"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a) să se asigure faptul că acestea respectă cerințele care li se aplică în temeiul prezentei legi și a actelor normative ale Băncii Naționale a Moldovei sau să se restabilească respectarea cerințelor respective; și </w:t>
            </w:r>
          </w:p>
          <w:p w14:paraId="6159F520" w14:textId="77777777" w:rsidR="008E7C06" w:rsidRPr="005D6998" w:rsidRDefault="008E7C06" w:rsidP="00A46332">
            <w:pPr>
              <w:spacing w:after="0" w:line="240" w:lineRule="auto"/>
              <w:jc w:val="both"/>
              <w:rPr>
                <w:rFonts w:ascii="Times New Roman" w:hAnsi="Times New Roman"/>
                <w:i/>
              </w:rPr>
            </w:pPr>
            <w:r w:rsidRPr="005D6998">
              <w:rPr>
                <w:rFonts w:ascii="Times New Roman" w:hAnsi="Times New Roman"/>
                <w:lang w:val="it-CH"/>
              </w:rPr>
              <w:t>[…]</w:t>
            </w:r>
            <w:r w:rsidRPr="005D6998">
              <w:rPr>
                <w:rFonts w:ascii="Times New Roman" w:hAnsi="Times New Roman"/>
              </w:rPr>
              <w:t xml:space="preserve"> </w:t>
            </w:r>
          </w:p>
          <w:p w14:paraId="531DBB5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(2) În sensul alin. (1), Banca Națională a Moldovei poate impune sucursalelor din state terțe următoarele: </w:t>
            </w:r>
          </w:p>
          <w:p w14:paraId="36A9F0D2"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p>
          <w:p w14:paraId="308882CE"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g) de a publica informații.</w:t>
            </w:r>
            <w:r w:rsidRPr="005D6998">
              <w:rPr>
                <w:rFonts w:ascii="Times New Roman" w:hAnsi="Times New Roman"/>
                <w:b/>
                <w:bCs/>
              </w:rPr>
              <w:t xml:space="preserve"> </w:t>
            </w:r>
          </w:p>
          <w:p w14:paraId="000EDC80" w14:textId="77777777" w:rsidR="008E7C06" w:rsidRPr="005D6998" w:rsidRDefault="008E7C06" w:rsidP="00A46332">
            <w:pPr>
              <w:pStyle w:val="a7"/>
              <w:tabs>
                <w:tab w:val="left" w:pos="426"/>
              </w:tabs>
              <w:spacing w:after="0" w:line="240" w:lineRule="auto"/>
              <w:ind w:left="0"/>
              <w:jc w:val="both"/>
              <w:rPr>
                <w:rFonts w:ascii="Times New Roman" w:hAnsi="Times New Roman"/>
                <w:b/>
                <w:bCs/>
              </w:rPr>
            </w:pPr>
            <w:r w:rsidRPr="005D6998">
              <w:rPr>
                <w:rFonts w:ascii="Times New Roman" w:hAnsi="Times New Roman"/>
              </w:rPr>
              <w:t>[...]</w:t>
            </w:r>
          </w:p>
        </w:tc>
        <w:tc>
          <w:tcPr>
            <w:tcW w:w="1418" w:type="dxa"/>
            <w:gridSpan w:val="2"/>
            <w:shd w:val="clear" w:color="auto" w:fill="FFFFFF"/>
          </w:tcPr>
          <w:p w14:paraId="552DCECD"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9636012"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54697299" w14:textId="77777777" w:rsidR="008E7C06" w:rsidRPr="005D6998" w:rsidRDefault="008E7C06" w:rsidP="00A46332">
            <w:pPr>
              <w:pStyle w:val="Default"/>
              <w:jc w:val="both"/>
              <w:rPr>
                <w:sz w:val="22"/>
                <w:szCs w:val="22"/>
              </w:rPr>
            </w:pPr>
            <w:r w:rsidRPr="005D6998">
              <w:rPr>
                <w:sz w:val="22"/>
                <w:szCs w:val="22"/>
              </w:rPr>
              <w:t>În redacția art. 108</w:t>
            </w:r>
            <w:r w:rsidRPr="005D6998">
              <w:rPr>
                <w:sz w:val="22"/>
                <w:szCs w:val="22"/>
                <w:vertAlign w:val="superscript"/>
              </w:rPr>
              <w:t>4</w:t>
            </w:r>
            <w:r w:rsidRPr="005D6998">
              <w:rPr>
                <w:sz w:val="22"/>
                <w:szCs w:val="22"/>
              </w:rPr>
              <w:t xml:space="preserve"> alin. (1): </w:t>
            </w:r>
          </w:p>
          <w:p w14:paraId="6C5E2C2C" w14:textId="77777777" w:rsidR="008E7C06" w:rsidRPr="005D6998" w:rsidRDefault="008E7C06" w:rsidP="00A46332">
            <w:pPr>
              <w:pStyle w:val="Default"/>
              <w:jc w:val="both"/>
              <w:rPr>
                <w:sz w:val="22"/>
                <w:szCs w:val="22"/>
              </w:rPr>
            </w:pPr>
            <w:r w:rsidRPr="005D6998">
              <w:rPr>
                <w:sz w:val="22"/>
                <w:szCs w:val="22"/>
              </w:rPr>
              <w:t xml:space="preserve">- la lit. a), cuvintele „prevăzute de prezenta lege” se vor substitui cu indicarea articolului concret la care se face referire; </w:t>
            </w:r>
          </w:p>
          <w:p w14:paraId="73D196F5" w14:textId="77777777" w:rsidR="008E7C06" w:rsidRPr="005D6998" w:rsidRDefault="008E7C06" w:rsidP="00A46332">
            <w:pPr>
              <w:pStyle w:val="Default"/>
              <w:jc w:val="both"/>
              <w:rPr>
                <w:sz w:val="22"/>
                <w:szCs w:val="22"/>
              </w:rPr>
            </w:pPr>
          </w:p>
          <w:p w14:paraId="4A992253" w14:textId="77777777" w:rsidR="008E7C06" w:rsidRPr="005D6998" w:rsidRDefault="008E7C06" w:rsidP="00A46332">
            <w:pPr>
              <w:pStyle w:val="Default"/>
              <w:jc w:val="both"/>
              <w:rPr>
                <w:sz w:val="22"/>
                <w:szCs w:val="22"/>
              </w:rPr>
            </w:pPr>
            <w:r w:rsidRPr="005D6998">
              <w:rPr>
                <w:sz w:val="22"/>
                <w:szCs w:val="22"/>
              </w:rPr>
              <w:t>- la alin. (2) dispoziția lit. g) se consideră a fi incompletă, având în vedere că nu este specificat ce informații trebuie să publice sucursalele din state terțe.</w:t>
            </w:r>
          </w:p>
        </w:tc>
        <w:tc>
          <w:tcPr>
            <w:tcW w:w="4960" w:type="dxa"/>
            <w:gridSpan w:val="3"/>
            <w:shd w:val="clear" w:color="auto" w:fill="FFFFFF"/>
          </w:tcPr>
          <w:p w14:paraId="6FC6A497"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 parțial.</w:t>
            </w:r>
          </w:p>
          <w:p w14:paraId="32A517E9"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Art. 108</w:t>
            </w:r>
            <w:r w:rsidRPr="005D6998">
              <w:rPr>
                <w:rFonts w:ascii="Times New Roman" w:hAnsi="Times New Roman"/>
                <w:vertAlign w:val="superscript"/>
                <w:lang w:val="ro-MD"/>
              </w:rPr>
              <w:t>4</w:t>
            </w:r>
            <w:r w:rsidRPr="005D6998">
              <w:rPr>
                <w:rFonts w:ascii="Times New Roman" w:hAnsi="Times New Roman"/>
                <w:lang w:val="ro-MD"/>
              </w:rPr>
              <w:t xml:space="preserve"> reprezintă o transpunere a art. 48o din Directiva 2013/36/UE, astfel cum a fost modificată prin CRD VI. Alin. (1) a normei europene, la fel ca proiectul de lege utilizează trimitere generală la cerințele din directivă.</w:t>
            </w:r>
          </w:p>
          <w:p w14:paraId="02932495"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Prin urmare, </w:t>
            </w:r>
            <w:r w:rsidRPr="005D6998">
              <w:rPr>
                <w:rFonts w:ascii="Times New Roman" w:hAnsi="Times New Roman"/>
              </w:rPr>
              <w:t>nu se consideră oportună enumerarea exhaustivă a dispozițiilor concrete, întrucât aceasta ar putea limita aplicarea prevederilor relevante în cazul modificării sau completării ulterioare a legii.</w:t>
            </w:r>
          </w:p>
          <w:p w14:paraId="61EF20EC" w14:textId="77777777" w:rsidR="008E7C06" w:rsidRPr="005D6998" w:rsidRDefault="008E7C06" w:rsidP="00A46332">
            <w:pPr>
              <w:spacing w:after="0" w:line="240" w:lineRule="auto"/>
              <w:jc w:val="both"/>
              <w:rPr>
                <w:rFonts w:ascii="Times New Roman" w:hAnsi="Times New Roman"/>
                <w:lang w:val="ro-MD"/>
              </w:rPr>
            </w:pPr>
          </w:p>
          <w:p w14:paraId="2DCEF1CD"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Pentru o mai bună claritate și în stilul terminologiei utilizate pe parcursul legii, formularea a fost redactată cu mențiunea „emise în aplicarea prezentei legi”.</w:t>
            </w:r>
          </w:p>
          <w:p w14:paraId="771F1DCF" w14:textId="77777777" w:rsidR="008E7C06" w:rsidRPr="005D6998" w:rsidRDefault="008E7C06" w:rsidP="00A46332">
            <w:pPr>
              <w:spacing w:after="0" w:line="240" w:lineRule="auto"/>
              <w:jc w:val="both"/>
              <w:rPr>
                <w:rFonts w:ascii="Times New Roman" w:hAnsi="Times New Roman"/>
                <w:lang w:val="ro-MD"/>
              </w:rPr>
            </w:pPr>
          </w:p>
          <w:p w14:paraId="7FC79451"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Lit. g) a alin. (2) reprezintă o transpunere fidelă a art. 48o alin. (2) lit. g) din Directiva 2013/36/UE, astfel cum a fost modificată prin CRD VI, care prevede posibilitatea autorității competente de a impune sucursalelor din state terțe „să publice informații”, fără a stabili în mod exhaustiv în textul directivei informațiile care urmează a fi publicate.</w:t>
            </w:r>
          </w:p>
          <w:p w14:paraId="2691ED06" w14:textId="77777777" w:rsidR="008E7C06" w:rsidRPr="005D6998" w:rsidRDefault="008E7C06" w:rsidP="00A46332">
            <w:pPr>
              <w:spacing w:after="0" w:line="240" w:lineRule="auto"/>
              <w:jc w:val="both"/>
              <w:rPr>
                <w:rFonts w:ascii="Times New Roman" w:hAnsi="Times New Roman"/>
                <w:lang w:val="ro-MD"/>
              </w:rPr>
            </w:pPr>
          </w:p>
          <w:p w14:paraId="473ED3EC"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În acest context, având în vedere că cerințele aplicabile sucursalelor din state terțe sunt noi, fiind introduse prin CRD VI în iunie 2024 și aplicabile începând cu anul 2026, se consideră oportună menținerea textului propus, urmând ca necesitatea și conținutul informațiilor care urmează a fi publicate să fie examinate de Banca Națională a Moldovei de la caz la caz, în funcție de circumstanțele concrete și de riscurile aferente sucursalei.</w:t>
            </w:r>
          </w:p>
        </w:tc>
      </w:tr>
      <w:tr w:rsidR="008E7C06" w:rsidRPr="005D6998" w14:paraId="40988284" w14:textId="77777777" w:rsidTr="00651F58">
        <w:trPr>
          <w:gridAfter w:val="2"/>
          <w:wAfter w:w="153" w:type="dxa"/>
          <w:trHeight w:val="105"/>
        </w:trPr>
        <w:tc>
          <w:tcPr>
            <w:tcW w:w="899" w:type="dxa"/>
            <w:gridSpan w:val="3"/>
            <w:shd w:val="clear" w:color="auto" w:fill="FFFFFF"/>
          </w:tcPr>
          <w:p w14:paraId="656C823C"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ECD12EA"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b/>
                <w:bCs/>
              </w:rPr>
              <w:t>91</w:t>
            </w:r>
            <w:r w:rsidRPr="005D6998">
              <w:rPr>
                <w:rFonts w:ascii="Times New Roman" w:hAnsi="Times New Roman"/>
              </w:rPr>
              <w:t>. Articolul 109:</w:t>
            </w:r>
          </w:p>
          <w:p w14:paraId="6C5B49B0"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0526C500"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lastRenderedPageBreak/>
              <w:t>se completează cu alineatele (1</w:t>
            </w:r>
            <w:r w:rsidRPr="005D6998">
              <w:rPr>
                <w:rFonts w:ascii="Times New Roman" w:hAnsi="Times New Roman"/>
                <w:vertAlign w:val="superscript"/>
              </w:rPr>
              <w:t>1</w:t>
            </w:r>
            <w:r w:rsidRPr="005D6998">
              <w:rPr>
                <w:rFonts w:ascii="Times New Roman" w:hAnsi="Times New Roman"/>
              </w:rPr>
              <w:t>) – (1</w:t>
            </w:r>
            <w:r w:rsidRPr="005D6998">
              <w:rPr>
                <w:rFonts w:ascii="Times New Roman" w:hAnsi="Times New Roman"/>
                <w:vertAlign w:val="superscript"/>
              </w:rPr>
              <w:t>8</w:t>
            </w:r>
            <w:r w:rsidRPr="005D6998">
              <w:rPr>
                <w:rFonts w:ascii="Times New Roman" w:hAnsi="Times New Roman"/>
              </w:rPr>
              <w:t>) cu următorul cuprins:</w:t>
            </w:r>
          </w:p>
          <w:p w14:paraId="3B603F62"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9004CB">
              <w:rPr>
                <w:rFonts w:ascii="Times New Roman" w:hAnsi="Times New Roman"/>
              </w:rPr>
              <w:t xml:space="preserve"> </w:t>
            </w:r>
          </w:p>
          <w:p w14:paraId="766C56C9"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3</w:t>
            </w:r>
            <w:r w:rsidRPr="005D6998">
              <w:rPr>
                <w:rFonts w:ascii="Times New Roman" w:hAnsi="Times New Roman"/>
              </w:rPr>
              <w:t>) În cazul în care două sau mai multe instituții de credit sau firme de investiții din UE au ca instituție de credit-mamă aceeași societate financiară holding-mamă din Republica Moldova, aceeași societate financiară holding mixtă-mamă din Republica Moldova, aceeași societate financiară holding-mamă din UE sau aceeași societate financiară holding mixtă-mamă din UE, supravegherea pe bază consolidată se exercită de către Banca Națională a Moldovei în cazul în care:</w:t>
            </w:r>
          </w:p>
          <w:p w14:paraId="354A4219"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a) există o instituție de credit în cadrul grupului;</w:t>
            </w:r>
          </w:p>
          <w:p w14:paraId="7CD69444"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b) instituția de credit are cel mai mare total al bilanțului, în cazul în care există mai multe instituții de credit în cadrul grupului.</w:t>
            </w:r>
          </w:p>
          <w:p w14:paraId="4F02F714"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În cazul în care grupul nu include nicio instituție de credit, Comisia Națională a Pieței Financiare exercită supravegherea pe bază consolidată  în cazul în care este autoritatea competentă a firmei de investiții cu cel mai mare total al bilanțului.</w:t>
            </w:r>
          </w:p>
          <w:p w14:paraId="3FCD9634"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9004CB">
              <w:rPr>
                <w:rFonts w:ascii="Times New Roman" w:hAnsi="Times New Roman"/>
              </w:rPr>
              <w:t xml:space="preserve"> </w:t>
            </w:r>
          </w:p>
          <w:p w14:paraId="4D081DDC"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6</w:t>
            </w:r>
            <w:r w:rsidRPr="005D6998">
              <w:rPr>
                <w:rFonts w:ascii="Times New Roman" w:hAnsi="Times New Roman"/>
              </w:rPr>
              <w:t>) Prin derogare de la alin. (1</w:t>
            </w:r>
            <w:r w:rsidRPr="005D6998">
              <w:rPr>
                <w:rFonts w:ascii="Times New Roman" w:hAnsi="Times New Roman"/>
                <w:vertAlign w:val="superscript"/>
              </w:rPr>
              <w:t>3</w:t>
            </w:r>
            <w:r w:rsidRPr="005D6998">
              <w:rPr>
                <w:rFonts w:ascii="Times New Roman" w:hAnsi="Times New Roman"/>
              </w:rPr>
              <w:t xml:space="preserve">) ultima teză, în cazul în care Comisia Națională a Pieței Financiare supraveghează pe bază individuală mai mult de o firmă de investiții din cadrul unui grup, supraveghetorul consolidant </w:t>
            </w:r>
            <w:r w:rsidRPr="005D6998">
              <w:rPr>
                <w:rFonts w:ascii="Times New Roman" w:hAnsi="Times New Roman"/>
              </w:rPr>
              <w:lastRenderedPageBreak/>
              <w:t xml:space="preserve">este autoritatea competentă care supraveghează pe bază individuală una sau mai multe firme de investiții din cadrul grupului cu cel mai mare total al bilanțului cumulat. </w:t>
            </w:r>
          </w:p>
          <w:p w14:paraId="4B6E5A03"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r w:rsidRPr="005D6998" w:rsidDel="009004CB">
              <w:rPr>
                <w:rFonts w:ascii="Times New Roman" w:hAnsi="Times New Roman"/>
              </w:rPr>
              <w:t xml:space="preserve"> </w:t>
            </w:r>
          </w:p>
          <w:p w14:paraId="637FFDCE"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8</w:t>
            </w:r>
            <w:r w:rsidRPr="005D6998">
              <w:rPr>
                <w:rFonts w:ascii="Times New Roman" w:hAnsi="Times New Roman"/>
              </w:rPr>
              <w:t>) Banca Națională a Moldovei, împreună cu autoritățile competente relevante, notifică, fără întârziere, Comisia și Autoritatea Bancară Europeană cu privire la orice acord prevăzut de alin. (1</w:t>
            </w:r>
            <w:r w:rsidRPr="005D6998">
              <w:rPr>
                <w:rFonts w:ascii="Times New Roman" w:hAnsi="Times New Roman"/>
                <w:vertAlign w:val="superscript"/>
              </w:rPr>
              <w:t>7</w:t>
            </w:r>
            <w:r w:rsidRPr="005D6998">
              <w:rPr>
                <w:rFonts w:ascii="Times New Roman" w:hAnsi="Times New Roman"/>
              </w:rPr>
              <w:t>).”;</w:t>
            </w:r>
          </w:p>
          <w:p w14:paraId="4038A413"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se completează cu alineatele (3) – (4) cu următorul cuprins:</w:t>
            </w:r>
          </w:p>
          <w:p w14:paraId="57FB3761"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„(3) Instituțiile de credit, persoane juridice din Republica Moldova, filiale în Republica Moldova, sunt supravegheate pe bază subconsolidată de către Banca Națională a Moldovei, dacă ele însele sau societățile-mamă ale acestora, în cazul în care acestea sunt societăți financiare holding sau societăți financiare holding mixte și supravegherea pe bază consolidată este exercitată de Banca Națională a Moldovei, potrivit art. 109 alineatul (1</w:t>
            </w:r>
            <w:r w:rsidRPr="005D6998">
              <w:rPr>
                <w:rFonts w:ascii="Times New Roman" w:hAnsi="Times New Roman"/>
                <w:vertAlign w:val="superscript"/>
              </w:rPr>
              <w:t>3</w:t>
            </w:r>
            <w:r w:rsidRPr="005D6998">
              <w:rPr>
                <w:rFonts w:ascii="Times New Roman" w:hAnsi="Times New Roman"/>
              </w:rPr>
              <w:t>) sau (1</w:t>
            </w:r>
            <w:r w:rsidRPr="005D6998">
              <w:rPr>
                <w:rFonts w:ascii="Times New Roman" w:hAnsi="Times New Roman"/>
                <w:vertAlign w:val="superscript"/>
              </w:rPr>
              <w:t>4</w:t>
            </w:r>
            <w:r w:rsidRPr="005D6998">
              <w:rPr>
                <w:rFonts w:ascii="Times New Roman" w:hAnsi="Times New Roman"/>
              </w:rPr>
              <w:t xml:space="preserve">), au într-un stat terț o filială instituție de credit, instituție financiară sau societate de administrare a investițiilor ori dețin o participație în astfel de entități. </w:t>
            </w:r>
          </w:p>
          <w:p w14:paraId="5B887335"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1CB8927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FD7D3B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45E30B2C" w14:textId="77777777" w:rsidR="008E7C06" w:rsidRPr="005D6998" w:rsidRDefault="008E7C06" w:rsidP="00A46332">
            <w:pPr>
              <w:pStyle w:val="Default"/>
              <w:jc w:val="both"/>
              <w:rPr>
                <w:sz w:val="22"/>
                <w:szCs w:val="22"/>
              </w:rPr>
            </w:pPr>
            <w:r w:rsidRPr="005D6998">
              <w:rPr>
                <w:sz w:val="22"/>
                <w:szCs w:val="22"/>
              </w:rPr>
              <w:t xml:space="preserve">La pct. 91: </w:t>
            </w:r>
          </w:p>
          <w:p w14:paraId="3230673C" w14:textId="77777777" w:rsidR="008E7C06" w:rsidRPr="005D6998" w:rsidRDefault="008E7C06" w:rsidP="00A46332">
            <w:pPr>
              <w:pStyle w:val="Default"/>
              <w:jc w:val="both"/>
              <w:rPr>
                <w:sz w:val="22"/>
                <w:szCs w:val="22"/>
              </w:rPr>
            </w:pPr>
            <w:r w:rsidRPr="005D6998">
              <w:rPr>
                <w:sz w:val="22"/>
                <w:szCs w:val="22"/>
              </w:rPr>
              <w:t>În redacția art. 109 alin. (1</w:t>
            </w:r>
            <w:r w:rsidRPr="005D6998">
              <w:rPr>
                <w:sz w:val="22"/>
                <w:szCs w:val="22"/>
                <w:vertAlign w:val="superscript"/>
              </w:rPr>
              <w:t>3</w:t>
            </w:r>
            <w:r w:rsidRPr="005D6998">
              <w:rPr>
                <w:sz w:val="22"/>
                <w:szCs w:val="22"/>
              </w:rPr>
              <w:t>), ultimul enunț se va expune într-un alineat distinct.</w:t>
            </w:r>
          </w:p>
          <w:p w14:paraId="05F530E2" w14:textId="77777777" w:rsidR="008E7C06" w:rsidRPr="005D6998" w:rsidRDefault="008E7C06" w:rsidP="00A46332">
            <w:pPr>
              <w:pStyle w:val="Default"/>
              <w:jc w:val="both"/>
              <w:rPr>
                <w:sz w:val="22"/>
                <w:szCs w:val="22"/>
              </w:rPr>
            </w:pPr>
          </w:p>
          <w:p w14:paraId="2A60F78A" w14:textId="77777777" w:rsidR="008E7C06" w:rsidRPr="005D6998" w:rsidRDefault="008E7C06" w:rsidP="00A46332">
            <w:pPr>
              <w:pStyle w:val="Default"/>
              <w:jc w:val="both"/>
              <w:rPr>
                <w:sz w:val="22"/>
                <w:szCs w:val="22"/>
              </w:rPr>
            </w:pPr>
            <w:r w:rsidRPr="005D6998">
              <w:rPr>
                <w:sz w:val="22"/>
                <w:szCs w:val="22"/>
              </w:rPr>
              <w:t xml:space="preserve"> Complementar, în redacția alin. (1</w:t>
            </w:r>
            <w:r w:rsidRPr="005D6998">
              <w:rPr>
                <w:sz w:val="22"/>
                <w:szCs w:val="22"/>
                <w:vertAlign w:val="superscript"/>
              </w:rPr>
              <w:t>6</w:t>
            </w:r>
            <w:r w:rsidRPr="005D6998">
              <w:rPr>
                <w:sz w:val="22"/>
                <w:szCs w:val="22"/>
              </w:rPr>
              <w:t>) al aceluiași articol, textul „alin. (1</w:t>
            </w:r>
            <w:r w:rsidRPr="005D6998">
              <w:rPr>
                <w:sz w:val="22"/>
                <w:szCs w:val="22"/>
                <w:vertAlign w:val="superscript"/>
              </w:rPr>
              <w:t>3</w:t>
            </w:r>
            <w:r w:rsidRPr="005D6998">
              <w:rPr>
                <w:sz w:val="22"/>
                <w:szCs w:val="22"/>
              </w:rPr>
              <w:t>) ultima teză” se va substitui cu referința la alineatul care va conține ultimul enunț al alin. (1</w:t>
            </w:r>
            <w:r w:rsidRPr="005D6998">
              <w:rPr>
                <w:sz w:val="22"/>
                <w:szCs w:val="22"/>
                <w:vertAlign w:val="superscript"/>
              </w:rPr>
              <w:t>3</w:t>
            </w:r>
            <w:r w:rsidRPr="005D6998">
              <w:rPr>
                <w:sz w:val="22"/>
                <w:szCs w:val="22"/>
              </w:rPr>
              <w:t xml:space="preserve">). </w:t>
            </w:r>
          </w:p>
          <w:p w14:paraId="65052DC4" w14:textId="77777777" w:rsidR="008E7C06" w:rsidRPr="005D6998" w:rsidRDefault="008E7C06" w:rsidP="00A46332">
            <w:pPr>
              <w:pStyle w:val="Default"/>
              <w:jc w:val="both"/>
              <w:rPr>
                <w:sz w:val="22"/>
                <w:szCs w:val="22"/>
              </w:rPr>
            </w:pPr>
          </w:p>
          <w:p w14:paraId="12B9A0BB" w14:textId="77777777" w:rsidR="008E7C06" w:rsidRPr="005D6998" w:rsidRDefault="008E7C06" w:rsidP="00A46332">
            <w:pPr>
              <w:pStyle w:val="Default"/>
              <w:jc w:val="both"/>
              <w:rPr>
                <w:sz w:val="22"/>
                <w:szCs w:val="22"/>
              </w:rPr>
            </w:pPr>
            <w:r w:rsidRPr="005D6998">
              <w:rPr>
                <w:sz w:val="22"/>
                <w:szCs w:val="22"/>
              </w:rPr>
              <w:t>Totodată, la alin. (1</w:t>
            </w:r>
            <w:r w:rsidRPr="005D6998">
              <w:rPr>
                <w:sz w:val="22"/>
                <w:szCs w:val="22"/>
                <w:vertAlign w:val="superscript"/>
              </w:rPr>
              <w:t>8</w:t>
            </w:r>
            <w:r w:rsidRPr="005D6998">
              <w:rPr>
                <w:sz w:val="22"/>
                <w:szCs w:val="22"/>
              </w:rPr>
              <w:t xml:space="preserve">) al aceluiași articol, cuvântul „Comisia” se va completa cu cuvântul „Europeană”. </w:t>
            </w:r>
          </w:p>
          <w:p w14:paraId="7657E851" w14:textId="77777777" w:rsidR="008E7C06" w:rsidRPr="005D6998" w:rsidRDefault="008E7C06" w:rsidP="00A46332">
            <w:pPr>
              <w:pStyle w:val="Default"/>
              <w:jc w:val="both"/>
              <w:rPr>
                <w:sz w:val="22"/>
                <w:szCs w:val="22"/>
              </w:rPr>
            </w:pPr>
          </w:p>
          <w:p w14:paraId="25786915" w14:textId="77777777" w:rsidR="008E7C06" w:rsidRPr="005D6998" w:rsidRDefault="008E7C06" w:rsidP="00A46332">
            <w:pPr>
              <w:pStyle w:val="Default"/>
              <w:jc w:val="both"/>
              <w:rPr>
                <w:sz w:val="22"/>
                <w:szCs w:val="22"/>
              </w:rPr>
            </w:pPr>
            <w:r w:rsidRPr="005D6998">
              <w:rPr>
                <w:sz w:val="22"/>
                <w:szCs w:val="22"/>
              </w:rPr>
              <w:t>La art. 109 alin. (3), textul „art. 109 alineatul (1</w:t>
            </w:r>
            <w:r w:rsidRPr="005D6998">
              <w:rPr>
                <w:sz w:val="22"/>
                <w:szCs w:val="22"/>
                <w:vertAlign w:val="superscript"/>
              </w:rPr>
              <w:t>3</w:t>
            </w:r>
            <w:r w:rsidRPr="005D6998">
              <w:rPr>
                <w:sz w:val="22"/>
                <w:szCs w:val="22"/>
              </w:rPr>
              <w:t>) sau (1</w:t>
            </w:r>
            <w:r w:rsidRPr="005D6998">
              <w:rPr>
                <w:sz w:val="22"/>
                <w:szCs w:val="22"/>
                <w:vertAlign w:val="superscript"/>
              </w:rPr>
              <w:t>4</w:t>
            </w:r>
            <w:r w:rsidRPr="005D6998">
              <w:rPr>
                <w:sz w:val="22"/>
                <w:szCs w:val="22"/>
              </w:rPr>
              <w:t>)” se va substitui cu textul „alin. (1</w:t>
            </w:r>
            <w:r w:rsidRPr="005D6998">
              <w:rPr>
                <w:sz w:val="22"/>
                <w:szCs w:val="22"/>
                <w:vertAlign w:val="superscript"/>
              </w:rPr>
              <w:t>3</w:t>
            </w:r>
            <w:r w:rsidRPr="005D6998">
              <w:rPr>
                <w:sz w:val="22"/>
                <w:szCs w:val="22"/>
              </w:rPr>
              <w:t>) sau (1</w:t>
            </w:r>
            <w:r w:rsidRPr="005D6998">
              <w:rPr>
                <w:sz w:val="22"/>
                <w:szCs w:val="22"/>
                <w:vertAlign w:val="superscript"/>
              </w:rPr>
              <w:t>4</w:t>
            </w:r>
            <w:r w:rsidRPr="005D6998">
              <w:rPr>
                <w:sz w:val="22"/>
                <w:szCs w:val="22"/>
              </w:rPr>
              <w:t>)”, întru respectarea art. 55 alin. (4) al Legii nr. 100/2017.</w:t>
            </w:r>
          </w:p>
        </w:tc>
        <w:tc>
          <w:tcPr>
            <w:tcW w:w="4960" w:type="dxa"/>
            <w:gridSpan w:val="3"/>
            <w:shd w:val="clear" w:color="auto" w:fill="FFFFFF"/>
          </w:tcPr>
          <w:p w14:paraId="176415A3"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759EBADF" w14:textId="77777777" w:rsidR="008E7C06" w:rsidRPr="005D6998" w:rsidRDefault="008E7C06" w:rsidP="00A46332">
            <w:pPr>
              <w:pStyle w:val="Default"/>
              <w:jc w:val="both"/>
              <w:rPr>
                <w:sz w:val="22"/>
                <w:szCs w:val="22"/>
              </w:rPr>
            </w:pPr>
            <w:r w:rsidRPr="005D6998">
              <w:rPr>
                <w:sz w:val="22"/>
                <w:szCs w:val="22"/>
              </w:rPr>
              <w:t>Ultimul enunț de la art. 109 alin. (1</w:t>
            </w:r>
            <w:r w:rsidRPr="005D6998">
              <w:rPr>
                <w:sz w:val="22"/>
                <w:szCs w:val="22"/>
                <w:vertAlign w:val="superscript"/>
              </w:rPr>
              <w:t>3</w:t>
            </w:r>
            <w:r w:rsidRPr="005D6998">
              <w:rPr>
                <w:sz w:val="22"/>
                <w:szCs w:val="22"/>
              </w:rPr>
              <w:t xml:space="preserve">),  se expune într-un alineat distinct. Respectiv, pe parcursul articolului, </w:t>
            </w:r>
            <w:r w:rsidRPr="005D6998">
              <w:rPr>
                <w:sz w:val="22"/>
                <w:szCs w:val="22"/>
              </w:rPr>
              <w:lastRenderedPageBreak/>
              <w:t>referințele au fost redactate în mod corespunzător, inclusiv cuvintele “ultima te</w:t>
            </w:r>
            <w:r w:rsidRPr="005D6998">
              <w:rPr>
                <w:sz w:val="22"/>
                <w:szCs w:val="22"/>
                <w:lang w:val="ro-RO"/>
              </w:rPr>
              <w:t>ză</w:t>
            </w:r>
            <w:r w:rsidRPr="005D6998">
              <w:rPr>
                <w:sz w:val="22"/>
                <w:szCs w:val="22"/>
              </w:rPr>
              <w:t>” din alin. (1</w:t>
            </w:r>
            <w:r w:rsidRPr="005D6998">
              <w:rPr>
                <w:sz w:val="22"/>
                <w:szCs w:val="22"/>
                <w:vertAlign w:val="superscript"/>
              </w:rPr>
              <w:t>6</w:t>
            </w:r>
            <w:r w:rsidRPr="005D6998">
              <w:rPr>
                <w:sz w:val="22"/>
                <w:szCs w:val="22"/>
              </w:rPr>
              <w:t>)</w:t>
            </w:r>
          </w:p>
          <w:p w14:paraId="6573E0BD" w14:textId="77777777" w:rsidR="008E7C06" w:rsidRPr="005D6998" w:rsidRDefault="008E7C06" w:rsidP="00A46332">
            <w:pPr>
              <w:pStyle w:val="Default"/>
              <w:jc w:val="both"/>
              <w:rPr>
                <w:sz w:val="22"/>
                <w:szCs w:val="22"/>
              </w:rPr>
            </w:pPr>
          </w:p>
          <w:p w14:paraId="2981A9DF"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Cuv</w:t>
            </w:r>
            <w:r w:rsidRPr="005D6998">
              <w:rPr>
                <w:rFonts w:ascii="Times New Roman" w:hAnsi="Times New Roman"/>
              </w:rPr>
              <w:t xml:space="preserve">ântul </w:t>
            </w:r>
            <w:r w:rsidRPr="005D6998">
              <w:rPr>
                <w:rFonts w:ascii="Times New Roman" w:hAnsi="Times New Roman"/>
                <w:lang w:val="ro-MD"/>
              </w:rPr>
              <w:t>“</w:t>
            </w:r>
            <w:r w:rsidRPr="005D6998">
              <w:rPr>
                <w:rFonts w:ascii="Times New Roman" w:hAnsi="Times New Roman"/>
              </w:rPr>
              <w:t>Comisia” se completează cu cuvântul „Europeană</w:t>
            </w:r>
            <w:r w:rsidRPr="005D6998">
              <w:rPr>
                <w:rFonts w:ascii="Times New Roman" w:hAnsi="Times New Roman"/>
                <w:lang w:val="ro-MD"/>
              </w:rPr>
              <w:t>”.</w:t>
            </w:r>
          </w:p>
          <w:p w14:paraId="6E5EA979" w14:textId="77777777" w:rsidR="008E7C06" w:rsidRPr="005D6998" w:rsidRDefault="008E7C06" w:rsidP="00A46332">
            <w:pPr>
              <w:spacing w:after="0" w:line="240" w:lineRule="auto"/>
              <w:jc w:val="both"/>
              <w:rPr>
                <w:rFonts w:ascii="Times New Roman" w:hAnsi="Times New Roman"/>
                <w:lang w:val="en-US"/>
              </w:rPr>
            </w:pPr>
            <w:r w:rsidRPr="005D6998">
              <w:rPr>
                <w:rFonts w:ascii="Times New Roman" w:hAnsi="Times New Roman"/>
              </w:rPr>
              <w:t>Textul „art. 109 alineatul (1</w:t>
            </w:r>
            <w:r w:rsidRPr="005D6998">
              <w:rPr>
                <w:rFonts w:ascii="Times New Roman" w:hAnsi="Times New Roman"/>
                <w:vertAlign w:val="superscript"/>
              </w:rPr>
              <w:t>3</w:t>
            </w:r>
            <w:r w:rsidRPr="005D6998">
              <w:rPr>
                <w:rFonts w:ascii="Times New Roman" w:hAnsi="Times New Roman"/>
              </w:rPr>
              <w:t>) sau (1</w:t>
            </w:r>
            <w:r w:rsidRPr="005D6998">
              <w:rPr>
                <w:rFonts w:ascii="Times New Roman" w:hAnsi="Times New Roman"/>
                <w:vertAlign w:val="superscript"/>
              </w:rPr>
              <w:t>4</w:t>
            </w:r>
            <w:r w:rsidRPr="005D6998">
              <w:rPr>
                <w:rFonts w:ascii="Times New Roman" w:hAnsi="Times New Roman"/>
              </w:rPr>
              <w:t>)” substituie cu textul „alin. (1</w:t>
            </w:r>
            <w:r w:rsidRPr="005D6998">
              <w:rPr>
                <w:rFonts w:ascii="Times New Roman" w:hAnsi="Times New Roman"/>
                <w:vertAlign w:val="superscript"/>
              </w:rPr>
              <w:t>3</w:t>
            </w:r>
            <w:r w:rsidRPr="005D6998">
              <w:rPr>
                <w:rFonts w:ascii="Times New Roman" w:hAnsi="Times New Roman"/>
              </w:rPr>
              <w:t>) sau (1</w:t>
            </w:r>
            <w:r w:rsidRPr="005D6998">
              <w:rPr>
                <w:rFonts w:ascii="Times New Roman" w:hAnsi="Times New Roman"/>
                <w:vertAlign w:val="superscript"/>
              </w:rPr>
              <w:t>4</w:t>
            </w:r>
            <w:r w:rsidRPr="005D6998">
              <w:rPr>
                <w:rFonts w:ascii="Times New Roman" w:hAnsi="Times New Roman"/>
              </w:rPr>
              <w:t>)”,</w:t>
            </w:r>
          </w:p>
        </w:tc>
      </w:tr>
      <w:tr w:rsidR="008E7C06" w:rsidRPr="005D6998" w14:paraId="71E05CB6" w14:textId="77777777" w:rsidTr="00651F58">
        <w:trPr>
          <w:gridAfter w:val="2"/>
          <w:wAfter w:w="153" w:type="dxa"/>
          <w:trHeight w:val="105"/>
        </w:trPr>
        <w:tc>
          <w:tcPr>
            <w:tcW w:w="899" w:type="dxa"/>
            <w:gridSpan w:val="3"/>
            <w:shd w:val="clear" w:color="auto" w:fill="FFFFFF"/>
          </w:tcPr>
          <w:p w14:paraId="35D3C9A9"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8EC2BB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93</w:t>
            </w:r>
            <w:r w:rsidRPr="005D6998">
              <w:rPr>
                <w:rFonts w:ascii="Times New Roman" w:hAnsi="Times New Roman"/>
              </w:rPr>
              <w:t>. Articolul 110 va avea următorul cuprins:</w:t>
            </w:r>
          </w:p>
          <w:p w14:paraId="3755E4B9"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 „</w:t>
            </w:r>
            <w:r w:rsidRPr="005D6998">
              <w:rPr>
                <w:rFonts w:ascii="Times New Roman" w:hAnsi="Times New Roman"/>
                <w:b/>
                <w:bCs/>
              </w:rPr>
              <w:t>Articolul 110.</w:t>
            </w:r>
            <w:r w:rsidRPr="005D6998">
              <w:rPr>
                <w:rFonts w:ascii="Times New Roman" w:hAnsi="Times New Roman"/>
              </w:rPr>
              <w:t xml:space="preserve"> Coordonarea activităţilor de supraveghere și cerințe de informare în situații de urgență</w:t>
            </w:r>
          </w:p>
          <w:p w14:paraId="75344D7E"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lastRenderedPageBreak/>
              <w:t>[...]</w:t>
            </w:r>
            <w:r w:rsidRPr="005D6998" w:rsidDel="009004CB">
              <w:rPr>
                <w:rFonts w:ascii="Times New Roman" w:hAnsi="Times New Roman"/>
              </w:rPr>
              <w:t xml:space="preserve"> </w:t>
            </w:r>
          </w:p>
          <w:p w14:paraId="728DD521"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(3) Planificarea și coordonarea activităților de supraveghere menționate la alin. (1) lit. c) includ măsurile excepționale prevăzute la art. 113 alin. (3) lit. d) și art. 113 alin. (5) lit. b), pregătirea evaluărilor comune, punerea în aplicare a planurilor de urgență și comunicările adresate publicului. </w:t>
            </w:r>
          </w:p>
          <w:p w14:paraId="463644A8"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2AF4A9A3"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71CAC6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20FC61C" w14:textId="77777777" w:rsidR="008E7C06" w:rsidRPr="005D6998" w:rsidRDefault="008E7C06" w:rsidP="00A46332">
            <w:pPr>
              <w:pStyle w:val="Default"/>
              <w:jc w:val="both"/>
              <w:rPr>
                <w:sz w:val="22"/>
                <w:szCs w:val="22"/>
              </w:rPr>
            </w:pPr>
            <w:r w:rsidRPr="005D6998">
              <w:rPr>
                <w:sz w:val="22"/>
                <w:szCs w:val="22"/>
              </w:rPr>
              <w:t>La pct. 93, în redacția art. 110 alin. (3), textul „art. 113 alin. (3) lit. d) și art. 113 alin. (5) lit. b)” se va substitui cu textul „art. 113 alin. (3) lit. d) și alin. (5) lit. b)”.</w:t>
            </w:r>
          </w:p>
        </w:tc>
        <w:tc>
          <w:tcPr>
            <w:tcW w:w="4960" w:type="dxa"/>
            <w:gridSpan w:val="3"/>
            <w:shd w:val="clear" w:color="auto" w:fill="FFFFFF"/>
          </w:tcPr>
          <w:p w14:paraId="62300B5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82F190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tc>
      </w:tr>
      <w:tr w:rsidR="008E7C06" w:rsidRPr="005D6998" w14:paraId="4E53A051" w14:textId="77777777" w:rsidTr="00651F58">
        <w:trPr>
          <w:gridAfter w:val="2"/>
          <w:wAfter w:w="153" w:type="dxa"/>
          <w:trHeight w:val="105"/>
        </w:trPr>
        <w:tc>
          <w:tcPr>
            <w:tcW w:w="899" w:type="dxa"/>
            <w:gridSpan w:val="3"/>
            <w:shd w:val="clear" w:color="auto" w:fill="FFFFFF"/>
          </w:tcPr>
          <w:p w14:paraId="4751A84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2B196DE"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94</w:t>
            </w:r>
            <w:r w:rsidRPr="005D6998">
              <w:rPr>
                <w:rFonts w:ascii="Times New Roman" w:hAnsi="Times New Roman"/>
              </w:rPr>
              <w:t>. Articolul 111</w:t>
            </w:r>
          </w:p>
          <w:p w14:paraId="11F58BC8"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p>
          <w:p w14:paraId="140035ED"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alineatul (3) va avea următorul cuprins:</w:t>
            </w:r>
          </w:p>
          <w:p w14:paraId="67217666"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 (3) Prin derogare de la art.109 alin.(1), prin acordurile de colaborare, Banca Națională a Moldovei, în calitate de autoritate competentă responsabilă cu autorizarea unei instituții de credit, persoană juridică din Republica Moldova, filială a unei instituții de credit dintr-un alt stat membru, poate, prin acorduri bilaterale,   să delege  responsabilitatea de supraveghere</w:t>
            </w:r>
            <w:r w:rsidRPr="005D6998" w:rsidDel="00587AD0">
              <w:rPr>
                <w:rFonts w:ascii="Times New Roman" w:hAnsi="Times New Roman"/>
              </w:rPr>
              <w:t xml:space="preserve"> </w:t>
            </w:r>
            <w:r w:rsidRPr="005D6998">
              <w:rPr>
                <w:rFonts w:ascii="Times New Roman" w:hAnsi="Times New Roman"/>
              </w:rPr>
              <w:t xml:space="preserve"> autorității competente care a autorizat și supraveghează întreprinderea-mamă, astfel încât responsabilitățile ce revin pe linia supravegherii filialei respective potrivit prezentei legi să revină acesteia din urmă.”;</w:t>
            </w:r>
          </w:p>
          <w:p w14:paraId="09C814D4"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p>
          <w:p w14:paraId="5BD3C076"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se completează cu alineatele (3</w:t>
            </w:r>
            <w:r w:rsidRPr="005D6998">
              <w:rPr>
                <w:rFonts w:ascii="Times New Roman" w:hAnsi="Times New Roman"/>
                <w:vertAlign w:val="superscript"/>
              </w:rPr>
              <w:t>1</w:t>
            </w:r>
            <w:r w:rsidRPr="005D6998">
              <w:rPr>
                <w:rFonts w:ascii="Times New Roman" w:hAnsi="Times New Roman"/>
              </w:rPr>
              <w:t>) – (3</w:t>
            </w:r>
            <w:r w:rsidRPr="005D6998">
              <w:rPr>
                <w:rFonts w:ascii="Times New Roman" w:hAnsi="Times New Roman"/>
                <w:vertAlign w:val="superscript"/>
              </w:rPr>
              <w:t>2</w:t>
            </w:r>
            <w:r w:rsidRPr="005D6998">
              <w:rPr>
                <w:rFonts w:ascii="Times New Roman" w:hAnsi="Times New Roman"/>
              </w:rPr>
              <w:t>) cu următorul cuprins:</w:t>
            </w:r>
          </w:p>
          <w:p w14:paraId="658B5897"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„(3</w:t>
            </w:r>
            <w:r w:rsidRPr="005D6998">
              <w:rPr>
                <w:rFonts w:ascii="Times New Roman" w:hAnsi="Times New Roman"/>
                <w:vertAlign w:val="superscript"/>
              </w:rPr>
              <w:t>1</w:t>
            </w:r>
            <w:r w:rsidRPr="005D6998">
              <w:rPr>
                <w:rFonts w:ascii="Times New Roman" w:hAnsi="Times New Roman"/>
              </w:rPr>
              <w:t xml:space="preserve">) Banca Națională a Moldovei notifică Autorității Bancare </w:t>
            </w:r>
            <w:r w:rsidRPr="005D6998">
              <w:rPr>
                <w:rFonts w:ascii="Times New Roman" w:hAnsi="Times New Roman"/>
              </w:rPr>
              <w:lastRenderedPageBreak/>
              <w:t xml:space="preserve">Europene despre existența și conținutul acestor acorduri. </w:t>
            </w:r>
          </w:p>
          <w:p w14:paraId="2DD27E03" w14:textId="77777777" w:rsidR="008E7C06" w:rsidRPr="005D6998" w:rsidRDefault="008E7C06" w:rsidP="00A46332">
            <w:pPr>
              <w:pStyle w:val="a7"/>
              <w:tabs>
                <w:tab w:val="left" w:pos="426"/>
              </w:tabs>
              <w:spacing w:after="0" w:line="240" w:lineRule="auto"/>
              <w:ind w:left="0" w:firstLine="567"/>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7F38F4C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7147A1F"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779DD7B1" w14:textId="77777777" w:rsidR="008E7C06" w:rsidRPr="005D6998" w:rsidRDefault="008E7C06" w:rsidP="00A46332">
            <w:pPr>
              <w:pStyle w:val="Default"/>
              <w:jc w:val="both"/>
              <w:rPr>
                <w:sz w:val="22"/>
                <w:szCs w:val="22"/>
              </w:rPr>
            </w:pPr>
            <w:r w:rsidRPr="005D6998">
              <w:rPr>
                <w:sz w:val="22"/>
                <w:szCs w:val="22"/>
              </w:rPr>
              <w:t xml:space="preserve">La pct. 94: </w:t>
            </w:r>
          </w:p>
          <w:p w14:paraId="7D6898BC" w14:textId="77777777" w:rsidR="008E7C06" w:rsidRPr="005D6998" w:rsidRDefault="008E7C06" w:rsidP="00A46332">
            <w:pPr>
              <w:pStyle w:val="Default"/>
              <w:jc w:val="both"/>
              <w:rPr>
                <w:sz w:val="22"/>
                <w:szCs w:val="22"/>
              </w:rPr>
            </w:pPr>
            <w:r w:rsidRPr="005D6998">
              <w:rPr>
                <w:sz w:val="22"/>
                <w:szCs w:val="22"/>
              </w:rPr>
              <w:t>În redacția art. 111 alin. (3), textul „prin acordurile de colaborare,” se va exclude, ca fiind excedent, având în vedere utilizarea în cadrul aceleiași norme a cuvintelor „prin acorduri bilaterale”.</w:t>
            </w:r>
          </w:p>
          <w:p w14:paraId="30B852D1" w14:textId="77777777" w:rsidR="008E7C06" w:rsidRPr="005D6998" w:rsidRDefault="008E7C06" w:rsidP="00A46332">
            <w:pPr>
              <w:pStyle w:val="Default"/>
              <w:jc w:val="both"/>
              <w:rPr>
                <w:sz w:val="22"/>
                <w:szCs w:val="22"/>
              </w:rPr>
            </w:pPr>
            <w:r w:rsidRPr="005D6998">
              <w:rPr>
                <w:sz w:val="22"/>
                <w:szCs w:val="22"/>
              </w:rPr>
              <w:t xml:space="preserve"> </w:t>
            </w:r>
          </w:p>
          <w:p w14:paraId="2A4DF2C5" w14:textId="77777777" w:rsidR="008E7C06" w:rsidRPr="005D6998" w:rsidRDefault="008E7C06" w:rsidP="00A46332">
            <w:pPr>
              <w:pStyle w:val="Default"/>
              <w:jc w:val="both"/>
              <w:rPr>
                <w:sz w:val="22"/>
                <w:szCs w:val="22"/>
              </w:rPr>
            </w:pPr>
            <w:r w:rsidRPr="005D6998">
              <w:rPr>
                <w:sz w:val="22"/>
                <w:szCs w:val="22"/>
              </w:rPr>
              <w:t>În alin. (3</w:t>
            </w:r>
            <w:r w:rsidRPr="005D6998">
              <w:rPr>
                <w:sz w:val="22"/>
                <w:szCs w:val="22"/>
                <w:vertAlign w:val="superscript"/>
              </w:rPr>
              <w:t>1</w:t>
            </w:r>
            <w:r w:rsidRPr="005D6998">
              <w:rPr>
                <w:sz w:val="22"/>
                <w:szCs w:val="22"/>
              </w:rPr>
              <w:t>) al aceluiași articol, cuvintele „acestor acorduri” se va substitui cu textul „acordurilor prevăzute la alin. (3)”, întru expunerea cu claritate a normei.</w:t>
            </w:r>
          </w:p>
        </w:tc>
        <w:tc>
          <w:tcPr>
            <w:tcW w:w="4960" w:type="dxa"/>
            <w:gridSpan w:val="3"/>
            <w:shd w:val="clear" w:color="auto" w:fill="FFFFFF"/>
          </w:tcPr>
          <w:p w14:paraId="0B67370D"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1B7AC2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 – textul „prin acordurile de colaborare,” exclus, cuvintele „acestor acorduri” se va substitui cu textul „acordurilor prevăzute la alin. (3)”.</w:t>
            </w:r>
          </w:p>
        </w:tc>
      </w:tr>
      <w:tr w:rsidR="008E7C06" w:rsidRPr="005D6998" w14:paraId="6901DA6A" w14:textId="77777777" w:rsidTr="00651F58">
        <w:trPr>
          <w:gridAfter w:val="2"/>
          <w:wAfter w:w="153" w:type="dxa"/>
          <w:trHeight w:val="105"/>
        </w:trPr>
        <w:tc>
          <w:tcPr>
            <w:tcW w:w="899" w:type="dxa"/>
            <w:gridSpan w:val="3"/>
            <w:shd w:val="clear" w:color="auto" w:fill="FFFFFF"/>
          </w:tcPr>
          <w:p w14:paraId="793A28F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741F733"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96</w:t>
            </w:r>
            <w:r w:rsidRPr="005D6998">
              <w:rPr>
                <w:rFonts w:ascii="Times New Roman" w:hAnsi="Times New Roman"/>
              </w:rPr>
              <w:t>. Se completează cu articolul 112</w:t>
            </w:r>
            <w:r w:rsidRPr="005D6998">
              <w:rPr>
                <w:rFonts w:ascii="Times New Roman" w:hAnsi="Times New Roman"/>
                <w:vertAlign w:val="superscript"/>
              </w:rPr>
              <w:t>1</w:t>
            </w:r>
            <w:r w:rsidRPr="005D6998">
              <w:rPr>
                <w:rFonts w:ascii="Times New Roman" w:hAnsi="Times New Roman"/>
              </w:rPr>
              <w:t xml:space="preserve"> cu următorul cuprins:</w:t>
            </w:r>
          </w:p>
          <w:p w14:paraId="48B5425C" w14:textId="77777777" w:rsidR="008E7C06" w:rsidRPr="005D6998" w:rsidRDefault="008E7C06" w:rsidP="00A46332">
            <w:pPr>
              <w:spacing w:after="0" w:line="240" w:lineRule="auto"/>
              <w:ind w:firstLine="709"/>
              <w:jc w:val="both"/>
              <w:rPr>
                <w:rFonts w:ascii="Times New Roman" w:hAnsi="Times New Roman"/>
              </w:rPr>
            </w:pPr>
            <w:bookmarkStart w:id="28" w:name="_Hlk215571380"/>
            <w:r w:rsidRPr="005D6998">
              <w:rPr>
                <w:rFonts w:ascii="Times New Roman" w:hAnsi="Times New Roman"/>
              </w:rPr>
              <w:t>„</w:t>
            </w:r>
            <w:r w:rsidRPr="005D6998">
              <w:rPr>
                <w:rFonts w:ascii="Times New Roman" w:hAnsi="Times New Roman"/>
                <w:b/>
                <w:bCs/>
              </w:rPr>
              <w:t>Articolul 112</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Punerea la dispoziție a informațiilor în punctul unic de acces european</w:t>
            </w:r>
            <w:bookmarkEnd w:id="28"/>
          </w:p>
          <w:p w14:paraId="6CBF8D4C"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951D83">
              <w:rPr>
                <w:rFonts w:ascii="Times New Roman" w:hAnsi="Times New Roman"/>
              </w:rPr>
              <w:t xml:space="preserve"> </w:t>
            </w:r>
          </w:p>
          <w:p w14:paraId="0B9CA090"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(2) Banca Națională a Moldovei transmite informațiile prevăzute la alin. (1) cu respectarea următoarelor cerințe:</w:t>
            </w:r>
          </w:p>
          <w:p w14:paraId="12C862D9"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a) informațiile sunt prezentate într-un format care permite extragerea de date, în sensul definiţiei de la art. 2 pct. 3 din Regulamentul (UE) 2023/2859; </w:t>
            </w:r>
          </w:p>
          <w:p w14:paraId="2C84CA9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b) informațiile sunt însoţite de fiecare dintre următoarele metadate: </w:t>
            </w:r>
          </w:p>
          <w:p w14:paraId="7D5CDFB0"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(i) toate denumirile persoanei fizice sau ale instituţiei de credit la care se referă informaţiile; </w:t>
            </w:r>
          </w:p>
          <w:p w14:paraId="6EFE652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(ii) dacă este disponibil, identificatorul entităţii juridice al instituţiei de credit, astfel cum este precizat în art. 7 alin. (4) lit. (b) din Regulamentul (UE) 2023/2859;</w:t>
            </w:r>
          </w:p>
          <w:p w14:paraId="307BCA69"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rPr>
              <w:t xml:space="preserve">(iii) tipul de informaţii, astfel cum sunt clasificate în temeiul art. 7 alin. (4) litera (c) din regulamentul respectiv; </w:t>
            </w:r>
          </w:p>
          <w:p w14:paraId="1810E302"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(iv) o menţiune care să indice dacă informaţiile conţin date cu caracter personal.”.</w:t>
            </w:r>
          </w:p>
        </w:tc>
        <w:tc>
          <w:tcPr>
            <w:tcW w:w="1418" w:type="dxa"/>
            <w:gridSpan w:val="2"/>
            <w:shd w:val="clear" w:color="auto" w:fill="FFFFFF"/>
          </w:tcPr>
          <w:p w14:paraId="5AE1746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63C7C5A"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297B3AC0" w14:textId="77777777" w:rsidR="008E7C06" w:rsidRPr="005D6998" w:rsidRDefault="008E7C06" w:rsidP="00A46332">
            <w:pPr>
              <w:pStyle w:val="Default"/>
              <w:jc w:val="both"/>
              <w:rPr>
                <w:sz w:val="22"/>
                <w:szCs w:val="22"/>
              </w:rPr>
            </w:pPr>
            <w:r w:rsidRPr="005D6998">
              <w:rPr>
                <w:sz w:val="22"/>
                <w:szCs w:val="22"/>
              </w:rPr>
              <w:t xml:space="preserve">La pct. 96, dispozițiile alin. (2) se vor însemna în corespundere cu art. 55 alin. (6) al Legii nr. 100/2017. </w:t>
            </w:r>
          </w:p>
          <w:p w14:paraId="7789981C" w14:textId="77777777" w:rsidR="008E7C06" w:rsidRPr="005D6998" w:rsidRDefault="008E7C06" w:rsidP="00A46332">
            <w:pPr>
              <w:pStyle w:val="Default"/>
              <w:jc w:val="both"/>
              <w:rPr>
                <w:sz w:val="22"/>
                <w:szCs w:val="22"/>
              </w:rPr>
            </w:pPr>
          </w:p>
          <w:p w14:paraId="749D6B7F" w14:textId="77777777" w:rsidR="008E7C06" w:rsidRPr="005D6998" w:rsidRDefault="008E7C06" w:rsidP="00A46332">
            <w:pPr>
              <w:pStyle w:val="Default"/>
              <w:jc w:val="both"/>
              <w:rPr>
                <w:sz w:val="22"/>
                <w:szCs w:val="22"/>
              </w:rPr>
            </w:pPr>
            <w:r w:rsidRPr="005D6998">
              <w:rPr>
                <w:sz w:val="22"/>
                <w:szCs w:val="22"/>
              </w:rPr>
              <w:t>Totodată, cuvintele „din regulamentul respectiv” se vor substitui cu referința la actul normativ concret.</w:t>
            </w:r>
          </w:p>
        </w:tc>
        <w:tc>
          <w:tcPr>
            <w:tcW w:w="4960" w:type="dxa"/>
            <w:gridSpan w:val="3"/>
            <w:shd w:val="clear" w:color="auto" w:fill="FFFFFF"/>
          </w:tcPr>
          <w:p w14:paraId="5631D4C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50BBE66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 – lit. a) devine pct. 1), lit. b – pct. 2). Lit. (i)-(iv) de la lit. a) devine literele a)-d).</w:t>
            </w:r>
          </w:p>
          <w:p w14:paraId="5383B62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Referința se face la Regulamentul (UE) 2023/2859, conform art. 116a din Directiva 2013/36/UE transpusă în art. 112</w:t>
            </w:r>
            <w:r w:rsidRPr="005D6998">
              <w:rPr>
                <w:rFonts w:ascii="Times New Roman" w:hAnsi="Times New Roman"/>
                <w:vertAlign w:val="superscript"/>
              </w:rPr>
              <w:t>1</w:t>
            </w:r>
            <w:r w:rsidRPr="005D6998">
              <w:rPr>
                <w:rFonts w:ascii="Times New Roman" w:hAnsi="Times New Roman"/>
              </w:rPr>
              <w:t>, conform proiectului.</w:t>
            </w:r>
          </w:p>
          <w:p w14:paraId="7EF06FE7" w14:textId="77777777" w:rsidR="008E7C06" w:rsidRPr="005D6998" w:rsidRDefault="008E7C06" w:rsidP="00A46332">
            <w:pPr>
              <w:spacing w:after="0" w:line="240" w:lineRule="auto"/>
              <w:jc w:val="both"/>
              <w:rPr>
                <w:rFonts w:ascii="Times New Roman" w:hAnsi="Times New Roman"/>
              </w:rPr>
            </w:pPr>
          </w:p>
        </w:tc>
      </w:tr>
      <w:tr w:rsidR="008E7C06" w:rsidRPr="005D6998" w14:paraId="5DFA7CA9" w14:textId="77777777" w:rsidTr="00651F58">
        <w:trPr>
          <w:gridAfter w:val="2"/>
          <w:wAfter w:w="153" w:type="dxa"/>
          <w:trHeight w:val="105"/>
        </w:trPr>
        <w:tc>
          <w:tcPr>
            <w:tcW w:w="899" w:type="dxa"/>
            <w:gridSpan w:val="3"/>
            <w:shd w:val="clear" w:color="auto" w:fill="FFFFFF"/>
          </w:tcPr>
          <w:p w14:paraId="07250B20"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3286C5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97</w:t>
            </w:r>
            <w:r w:rsidRPr="005D6998">
              <w:rPr>
                <w:rFonts w:ascii="Times New Roman" w:hAnsi="Times New Roman"/>
              </w:rPr>
              <w:t>. Articolul 113,</w:t>
            </w:r>
          </w:p>
          <w:p w14:paraId="30D13BC5"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w:t>
            </w:r>
          </w:p>
          <w:p w14:paraId="65EEB933"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lastRenderedPageBreak/>
              <w:t>se completează cu alineatele (8) – (11) cu următorul cuprins:</w:t>
            </w:r>
          </w:p>
          <w:p w14:paraId="1243C20E"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„(8) Banca Națională a Moldovei cooperează cu Autoritatea Bancară Europeană în sensul prezentei legi și al Regulamentului (UE) nr. 575/2013, în conformitate cu Regulamentul (UE) nr. 1093/2010 și furnizează acesteia toate informațiile necesare pentru îndeplinirea sarcinilor care îi revin în temeiul Directivei 2013/36/UE, al Regulamentului (UE) nr. 575/2013 și al Regulamentului (UE) nr. 1093/2010, în conformitate cu art. 35 din Regulamentul (UE) nr. 1093/2010. </w:t>
            </w:r>
          </w:p>
          <w:p w14:paraId="4C785579"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(9) Banca Națională a Moldovei, în calitate de autoritate responsabilă cu supravegherea consolidată a instituțiilor-mamă din UE și a instituțiilor de credit controlate de societăți financiare holding-mamă din UE sau de societăți financiare holding mixte-mamă din UE transmite autorităților competente din alte state membre, responsabile de supravegherea filialelor întreprinderilor-mamă respective, toate informațiile relevante. Pentru stabilirea sferei informațiilor relevante, se ține seama de importanța filialelor respective în cadrul sistemului financiar al statelor membre în cauză. </w:t>
            </w:r>
          </w:p>
          <w:p w14:paraId="3F73DA40"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(10) Banca Națională a Moldovei poate sesiza Autoritatea Bancară Europeană în oricare dintre următoarele situații:</w:t>
            </w:r>
          </w:p>
          <w:p w14:paraId="5A88942D" w14:textId="77777777" w:rsidR="008E7C06" w:rsidRPr="005D6998" w:rsidRDefault="008E7C06" w:rsidP="00A46332">
            <w:pPr>
              <w:spacing w:after="0" w:line="240" w:lineRule="auto"/>
              <w:ind w:firstLine="709"/>
              <w:jc w:val="both"/>
              <w:rPr>
                <w:rFonts w:ascii="Times New Roman" w:hAnsi="Times New Roman"/>
              </w:rPr>
            </w:pPr>
          </w:p>
          <w:p w14:paraId="44A974C3"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lastRenderedPageBreak/>
              <w:t>[...]</w:t>
            </w:r>
          </w:p>
          <w:p w14:paraId="33F144B1"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 xml:space="preserve">b) o cerere de cooperare, în special în vederea schimbului de informații relevante, a fost respinsă sau nu a primit răspuns într-un termen rezonabil. </w:t>
            </w:r>
          </w:p>
          <w:p w14:paraId="49E50AB3" w14:textId="77777777" w:rsidR="008E7C06" w:rsidRPr="005D6998" w:rsidRDefault="008E7C06" w:rsidP="00A46332">
            <w:pPr>
              <w:pStyle w:val="a7"/>
              <w:tabs>
                <w:tab w:val="left" w:pos="426"/>
              </w:tabs>
              <w:spacing w:after="0" w:line="240" w:lineRule="auto"/>
              <w:ind w:left="0" w:firstLine="709"/>
              <w:jc w:val="both"/>
              <w:rPr>
                <w:rFonts w:ascii="Times New Roman" w:hAnsi="Times New Roman"/>
              </w:rPr>
            </w:pPr>
            <w:r w:rsidRPr="005D6998">
              <w:rPr>
                <w:rFonts w:ascii="Times New Roman" w:hAnsi="Times New Roman"/>
              </w:rPr>
              <w:t>(11) Fără a aduce atingere alin. (1), Banca Națională a Moldovei cooperează strâns cu Serviciul Prevenirea și Combaterea Spălării Banilor , în calitatea acestuia de Unitate de Informații Financiare a Republicii Moldova, precum și, după caz, cu unitățile de informații financiare din alte state, în limita competențelor lor și furnizează informații pertinente pentru îndeplinirea sarcinilor care îi revin în temeiul prezentei legi și al actelor normative emise în aplicarea acesteia, Legii nr. 308/2017, cu condiția ca această cooperare și acest schimb de informații să nu afecteze o anchetă, o investigație sau o procedură aflată în curs de desfășurare în conformitate cu legislația națională aplicabilă.”.</w:t>
            </w:r>
          </w:p>
        </w:tc>
        <w:tc>
          <w:tcPr>
            <w:tcW w:w="1418" w:type="dxa"/>
            <w:gridSpan w:val="2"/>
            <w:shd w:val="clear" w:color="auto" w:fill="FFFFFF"/>
          </w:tcPr>
          <w:p w14:paraId="72D84B0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EC3D2EA"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97F46D4" w14:textId="77777777" w:rsidR="008E7C06" w:rsidRPr="005D6998" w:rsidRDefault="008E7C06" w:rsidP="00A46332">
            <w:pPr>
              <w:pStyle w:val="Default"/>
              <w:jc w:val="both"/>
              <w:rPr>
                <w:sz w:val="22"/>
                <w:szCs w:val="22"/>
              </w:rPr>
            </w:pPr>
            <w:r w:rsidRPr="005D6998">
              <w:rPr>
                <w:sz w:val="22"/>
                <w:szCs w:val="22"/>
              </w:rPr>
              <w:t xml:space="preserve">În pct. 97: </w:t>
            </w:r>
          </w:p>
          <w:p w14:paraId="52CD1B8A" w14:textId="77777777" w:rsidR="008E7C06" w:rsidRPr="005D6998" w:rsidRDefault="008E7C06" w:rsidP="00A46332">
            <w:pPr>
              <w:pStyle w:val="Default"/>
              <w:jc w:val="both"/>
              <w:rPr>
                <w:sz w:val="22"/>
                <w:szCs w:val="22"/>
              </w:rPr>
            </w:pPr>
            <w:r w:rsidRPr="005D6998">
              <w:rPr>
                <w:sz w:val="22"/>
                <w:szCs w:val="22"/>
              </w:rPr>
              <w:t xml:space="preserve">În partea ce vizează referințele la actele UE cuprinse în redacția art. 113 alin. (8), se va </w:t>
            </w:r>
            <w:r w:rsidRPr="005D6998">
              <w:rPr>
                <w:sz w:val="22"/>
                <w:szCs w:val="22"/>
              </w:rPr>
              <w:lastRenderedPageBreak/>
              <w:t xml:space="preserve">analiza oportunitatea substituirii, după caz, cu actele normative naționale care transpun aceste acte UE. </w:t>
            </w:r>
          </w:p>
          <w:p w14:paraId="21A665E2" w14:textId="77777777" w:rsidR="008E7C06" w:rsidRPr="005D6998" w:rsidRDefault="008E7C06" w:rsidP="00A46332">
            <w:pPr>
              <w:pStyle w:val="Default"/>
              <w:jc w:val="both"/>
              <w:rPr>
                <w:sz w:val="22"/>
                <w:szCs w:val="22"/>
              </w:rPr>
            </w:pPr>
          </w:p>
          <w:p w14:paraId="079F6666" w14:textId="77777777" w:rsidR="008E7C06" w:rsidRPr="005D6998" w:rsidRDefault="008E7C06" w:rsidP="00A46332">
            <w:pPr>
              <w:pStyle w:val="Default"/>
              <w:jc w:val="both"/>
              <w:rPr>
                <w:sz w:val="22"/>
                <w:szCs w:val="22"/>
              </w:rPr>
            </w:pPr>
            <w:r w:rsidRPr="005D6998">
              <w:rPr>
                <w:sz w:val="22"/>
                <w:szCs w:val="22"/>
              </w:rPr>
              <w:t xml:space="preserve">În redacția art. 113 alin. (9), textul „transmite autorităților competente din alte state membre, responsabile de supravegherea filialelor întreprinderilor-mamă respective, toate informațiile relevante. Pentru stabilirea sferei informațiilor relevante, se ține seama de importanța filialelor respective în cadrul sistemului financiar al statelor membre în cauză.” nu este suficient de previzibil. </w:t>
            </w:r>
          </w:p>
          <w:p w14:paraId="0927FBA0" w14:textId="77777777" w:rsidR="008E7C06" w:rsidRPr="005D6998" w:rsidRDefault="008E7C06" w:rsidP="00A46332">
            <w:pPr>
              <w:pStyle w:val="Default"/>
              <w:jc w:val="both"/>
              <w:rPr>
                <w:sz w:val="22"/>
                <w:szCs w:val="22"/>
              </w:rPr>
            </w:pPr>
            <w:r w:rsidRPr="005D6998">
              <w:rPr>
                <w:sz w:val="22"/>
                <w:szCs w:val="22"/>
              </w:rPr>
              <w:t xml:space="preserve">Or, nu este clar ce cuprinde termenul „toate informațiile relevante”. </w:t>
            </w:r>
          </w:p>
          <w:p w14:paraId="5DECCED0" w14:textId="77777777" w:rsidR="008E7C06" w:rsidRPr="005D6998" w:rsidRDefault="008E7C06" w:rsidP="00A46332">
            <w:pPr>
              <w:pStyle w:val="Default"/>
              <w:jc w:val="both"/>
              <w:rPr>
                <w:sz w:val="22"/>
                <w:szCs w:val="22"/>
              </w:rPr>
            </w:pPr>
          </w:p>
          <w:p w14:paraId="60C6E969" w14:textId="77777777" w:rsidR="008E7C06" w:rsidRPr="005D6998" w:rsidRDefault="008E7C06" w:rsidP="00A46332">
            <w:pPr>
              <w:pStyle w:val="Default"/>
              <w:jc w:val="both"/>
              <w:rPr>
                <w:sz w:val="22"/>
                <w:szCs w:val="22"/>
              </w:rPr>
            </w:pPr>
            <w:r w:rsidRPr="005D6998">
              <w:rPr>
                <w:sz w:val="22"/>
                <w:szCs w:val="22"/>
              </w:rPr>
              <w:t xml:space="preserve">În acest sens, pentru instituția care transmite anumite informații, acestea ar putea să fie relevante și suficiente, iar cea care le primește ar putea crede că acestea nu sunt suficiente și relevante și vice-versa. </w:t>
            </w:r>
          </w:p>
          <w:p w14:paraId="49F557E8" w14:textId="77777777" w:rsidR="008E7C06" w:rsidRPr="005D6998" w:rsidRDefault="008E7C06" w:rsidP="00A46332">
            <w:pPr>
              <w:pStyle w:val="Default"/>
              <w:jc w:val="both"/>
              <w:rPr>
                <w:sz w:val="22"/>
                <w:szCs w:val="22"/>
              </w:rPr>
            </w:pPr>
          </w:p>
          <w:p w14:paraId="643A354C" w14:textId="77777777" w:rsidR="008E7C06" w:rsidRPr="005D6998" w:rsidRDefault="008E7C06" w:rsidP="00A46332">
            <w:pPr>
              <w:pStyle w:val="Default"/>
              <w:jc w:val="both"/>
              <w:rPr>
                <w:sz w:val="22"/>
                <w:szCs w:val="22"/>
              </w:rPr>
            </w:pPr>
            <w:r w:rsidRPr="005D6998">
              <w:rPr>
                <w:sz w:val="22"/>
                <w:szCs w:val="22"/>
              </w:rPr>
              <w:t xml:space="preserve">Respectiv, considerăm necesar a detalia cuvintele „toate informațiile relevante”, eventual, se va face trimitere la articolele din lege care stabilesc aceste informații. Mai mult, se va indica dacă acestea se transmit la solicitare, periodic sau urmare unor acțiuni/evenimente. </w:t>
            </w:r>
          </w:p>
          <w:p w14:paraId="281B9288" w14:textId="77777777" w:rsidR="008E7C06" w:rsidRPr="005D6998" w:rsidRDefault="008E7C06" w:rsidP="00A46332">
            <w:pPr>
              <w:pStyle w:val="Default"/>
              <w:jc w:val="both"/>
              <w:rPr>
                <w:sz w:val="22"/>
                <w:szCs w:val="22"/>
              </w:rPr>
            </w:pPr>
          </w:p>
          <w:p w14:paraId="44D130CA" w14:textId="77777777" w:rsidR="008E7C06" w:rsidRPr="005D6998" w:rsidRDefault="008E7C06" w:rsidP="00A46332">
            <w:pPr>
              <w:pStyle w:val="Default"/>
              <w:jc w:val="both"/>
              <w:rPr>
                <w:sz w:val="22"/>
                <w:szCs w:val="22"/>
              </w:rPr>
            </w:pPr>
            <w:r w:rsidRPr="005D6998">
              <w:rPr>
                <w:sz w:val="22"/>
                <w:szCs w:val="22"/>
              </w:rPr>
              <w:t xml:space="preserve">De asemenea, se va analiza care este distincția dintre termenul „informații relevante”, utilizat în alin. (9), termenul „informații esențiale”, utilizat în redacția alin. (10) sau termenul „informații pertinente”, utilizat în alin. (11) al art. 113. În acest sens, se va reține, că în tot textul </w:t>
            </w:r>
            <w:r w:rsidRPr="005D6998">
              <w:rPr>
                <w:sz w:val="22"/>
                <w:szCs w:val="22"/>
              </w:rPr>
              <w:lastRenderedPageBreak/>
              <w:t>actului normativ este necesar a utiliza aceeași terminologie, care necesită a fi clară și previzibilă”.</w:t>
            </w:r>
          </w:p>
        </w:tc>
        <w:tc>
          <w:tcPr>
            <w:tcW w:w="4960" w:type="dxa"/>
            <w:gridSpan w:val="3"/>
            <w:shd w:val="clear" w:color="auto" w:fill="FFFFFF"/>
          </w:tcPr>
          <w:p w14:paraId="284996DE"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2A2D823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Referințele la actele juridice ale UE prevăzute la alin. (8) sunt menținute , întrucât dispoziția va produce efecte începând cu data aderării.</w:t>
            </w:r>
          </w:p>
          <w:p w14:paraId="2EE8467A" w14:textId="77777777" w:rsidR="008E7C06" w:rsidRPr="005D6998" w:rsidRDefault="008E7C06" w:rsidP="00A46332">
            <w:pPr>
              <w:spacing w:after="0" w:line="240" w:lineRule="auto"/>
              <w:jc w:val="both"/>
              <w:rPr>
                <w:rFonts w:ascii="Times New Roman" w:hAnsi="Times New Roman"/>
              </w:rPr>
            </w:pPr>
          </w:p>
          <w:p w14:paraId="1FE4846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În ceea ce privește alin. (9) sintagma „toate informațiile relevante” a fost transpusă din art. 117 alin. (1) teza a 5-a din Directiva 2013/36/UE. Respectiv,  informațiile care vor fi transmise se determină în funcție de circumstanțele concrete ale supravegherii și de importanța filialelor în cadrul sistemului financiar al statelor membre, astfel cum se expune în norma europeană. Stabilirea unei liste exhaustive sau a unei periodicități fixe nu ar reflecta natura mecanismului de cooperare și schimb de informații prevăzut de directivă.</w:t>
            </w:r>
          </w:p>
          <w:p w14:paraId="1CB7FADF"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Se menționează</w:t>
            </w:r>
            <w:r w:rsidRPr="005D6998">
              <w:rPr>
                <w:rFonts w:ascii="Times New Roman" w:hAnsi="Times New Roman"/>
                <w:lang w:val="ro-MD"/>
              </w:rPr>
              <w:t xml:space="preserve"> că schimbul de informații între autoritățile competente este însoțit de garanții privind păstrarea secretului profesional în condițiile legii.</w:t>
            </w:r>
          </w:p>
          <w:p w14:paraId="5920113B" w14:textId="77777777" w:rsidR="008E7C06" w:rsidRPr="005D6998" w:rsidRDefault="008E7C06" w:rsidP="00A46332">
            <w:pPr>
              <w:spacing w:after="0" w:line="240" w:lineRule="auto"/>
              <w:jc w:val="both"/>
              <w:rPr>
                <w:rFonts w:ascii="Times New Roman" w:hAnsi="Times New Roman"/>
                <w:lang w:val="ro-MD"/>
              </w:rPr>
            </w:pPr>
          </w:p>
          <w:p w14:paraId="3E41E491"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Pentru clarificarea tipurilor de informații – esențiale și relevante – și concordanță fidelă cu art. 117 din directivă, alin. (1) a art. 113 din Legea nr. 202/2013 se redactează după cum urmează:</w:t>
            </w:r>
          </w:p>
          <w:p w14:paraId="00EA6A3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ro-MD"/>
              </w:rPr>
              <w:t>“</w:t>
            </w:r>
            <w:r w:rsidRPr="005D6998">
              <w:rPr>
                <w:rFonts w:ascii="Times New Roman" w:hAnsi="Times New Roman"/>
              </w:rPr>
              <w:t xml:space="preserve">(1) Banca Naţională a Moldovei cooperează în mod strîns cu celelalte autorităţi competente. În acest sens, pentru exercitarea atribuţiilor de supraveghere pe bază individuală şi/sau consolidată ale respectivelor autorităţi şi ale Băncii Naţionale a Moldovei sînt furnizate, la cerere, toate informaţiile relevante </w:t>
            </w:r>
            <w:r w:rsidRPr="005D6998">
              <w:rPr>
                <w:rFonts w:ascii="Times New Roman" w:hAnsi="Times New Roman"/>
                <w:b/>
                <w:bCs/>
              </w:rPr>
              <w:t>și, din proprie inițiativă, orice informație esențială</w:t>
            </w:r>
            <w:r w:rsidRPr="005D6998">
              <w:rPr>
                <w:rFonts w:ascii="Times New Roman" w:hAnsi="Times New Roman"/>
              </w:rPr>
              <w:t xml:space="preserve"> potrivit acordurilor de cooperare dintre autorităţile competente.”</w:t>
            </w:r>
          </w:p>
          <w:p w14:paraId="3BFA7EA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Luând în considerare că directiva utilizează în versiunea din limba engleză în cazul art. 117 alin. (5), care a fost transpus prin alin. (11) din art. 113 introdus prin proiectul de lege, se substituie cuvântul “pertinente” cu cuvântul “relevante”.</w:t>
            </w:r>
          </w:p>
          <w:p w14:paraId="13D99401" w14:textId="77777777" w:rsidR="008E7C06" w:rsidRPr="005D6998" w:rsidRDefault="008E7C06" w:rsidP="00A46332">
            <w:pPr>
              <w:spacing w:after="0" w:line="240" w:lineRule="auto"/>
              <w:jc w:val="both"/>
              <w:rPr>
                <w:rFonts w:ascii="Times New Roman" w:hAnsi="Times New Roman"/>
                <w:lang w:val="it-CH"/>
              </w:rPr>
            </w:pPr>
            <w:r w:rsidRPr="005D6998">
              <w:rPr>
                <w:rFonts w:ascii="Times New Roman" w:hAnsi="Times New Roman"/>
                <w:lang w:val="it-CH"/>
              </w:rPr>
              <w:lastRenderedPageBreak/>
              <w:t>Având în vedere textul normei europene, informațiile care se vor transmite vor fi limitate la cele care sunt necesare pentru îndeplinirea atribuțiilor BNM, relevante situațiilor cazuale.</w:t>
            </w:r>
          </w:p>
          <w:p w14:paraId="1D0FA64F" w14:textId="77777777" w:rsidR="008E7C06" w:rsidRPr="005D6998" w:rsidRDefault="008E7C06" w:rsidP="00A46332">
            <w:pPr>
              <w:spacing w:after="0" w:line="240" w:lineRule="auto"/>
              <w:jc w:val="both"/>
              <w:rPr>
                <w:rFonts w:ascii="Times New Roman" w:hAnsi="Times New Roman"/>
              </w:rPr>
            </w:pPr>
          </w:p>
          <w:p w14:paraId="7C6BE429" w14:textId="77777777" w:rsidR="008E7C06" w:rsidRPr="005D6998" w:rsidRDefault="008E7C06" w:rsidP="00A46332">
            <w:pPr>
              <w:spacing w:after="0" w:line="240" w:lineRule="auto"/>
              <w:jc w:val="both"/>
              <w:rPr>
                <w:rFonts w:ascii="Times New Roman" w:hAnsi="Times New Roman"/>
              </w:rPr>
            </w:pPr>
          </w:p>
          <w:p w14:paraId="521CF354" w14:textId="77777777" w:rsidR="008E7C06" w:rsidRPr="005D6998" w:rsidRDefault="008E7C06" w:rsidP="00A46332">
            <w:pPr>
              <w:spacing w:after="0" w:line="240" w:lineRule="auto"/>
              <w:jc w:val="both"/>
              <w:rPr>
                <w:rFonts w:ascii="Times New Roman" w:hAnsi="Times New Roman"/>
              </w:rPr>
            </w:pPr>
          </w:p>
          <w:p w14:paraId="3BAFAFDD" w14:textId="77777777" w:rsidR="008E7C06" w:rsidRPr="005D6998" w:rsidRDefault="008E7C06" w:rsidP="00A46332">
            <w:pPr>
              <w:spacing w:after="0" w:line="240" w:lineRule="auto"/>
              <w:jc w:val="both"/>
              <w:rPr>
                <w:rFonts w:ascii="Times New Roman" w:hAnsi="Times New Roman"/>
              </w:rPr>
            </w:pPr>
          </w:p>
        </w:tc>
      </w:tr>
      <w:tr w:rsidR="008E7C06" w:rsidRPr="005D6998" w14:paraId="0C10CA9F" w14:textId="77777777" w:rsidTr="00651F58">
        <w:trPr>
          <w:gridAfter w:val="2"/>
          <w:wAfter w:w="153" w:type="dxa"/>
          <w:trHeight w:val="105"/>
        </w:trPr>
        <w:tc>
          <w:tcPr>
            <w:tcW w:w="899" w:type="dxa"/>
            <w:gridSpan w:val="3"/>
            <w:shd w:val="clear" w:color="auto" w:fill="FFFFFF"/>
          </w:tcPr>
          <w:p w14:paraId="6D8D5541"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20C9419"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99</w:t>
            </w:r>
            <w:r w:rsidRPr="005D6998">
              <w:rPr>
                <w:rFonts w:ascii="Times New Roman" w:hAnsi="Times New Roman"/>
              </w:rPr>
              <w:t>. Titlul IV,  capitolul 2, secțiunea 2-a se completează cu articolele 116</w:t>
            </w:r>
            <w:r w:rsidRPr="005D6998">
              <w:rPr>
                <w:rFonts w:ascii="Times New Roman" w:hAnsi="Times New Roman"/>
                <w:vertAlign w:val="superscript"/>
              </w:rPr>
              <w:t>1</w:t>
            </w:r>
            <w:r w:rsidRPr="005D6998">
              <w:rPr>
                <w:rFonts w:ascii="Times New Roman" w:hAnsi="Times New Roman"/>
              </w:rPr>
              <w:t xml:space="preserve"> – 116</w:t>
            </w:r>
            <w:r w:rsidRPr="005D6998">
              <w:rPr>
                <w:rFonts w:ascii="Times New Roman" w:hAnsi="Times New Roman"/>
                <w:vertAlign w:val="superscript"/>
              </w:rPr>
              <w:t>5</w:t>
            </w:r>
            <w:r w:rsidRPr="005D6998">
              <w:rPr>
                <w:rFonts w:ascii="Times New Roman" w:hAnsi="Times New Roman"/>
              </w:rPr>
              <w:t xml:space="preserve"> cu următorul cuprins:</w:t>
            </w:r>
          </w:p>
          <w:p w14:paraId="179A7C18"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bookmarkStart w:id="29" w:name="_Hlk215571431"/>
            <w:r w:rsidRPr="005D6998">
              <w:rPr>
                <w:rFonts w:ascii="Times New Roman" w:hAnsi="Times New Roman"/>
                <w:b/>
                <w:bCs/>
              </w:rPr>
              <w:t>Articolul 116</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Aprobarea societăţilor financiare holding şi a societăţilor financiare holding mixte</w:t>
            </w:r>
            <w:bookmarkEnd w:id="29"/>
          </w:p>
          <w:p w14:paraId="1C97659C"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w:t>
            </w:r>
            <w:r w:rsidRPr="005D6998" w:rsidDel="00866606">
              <w:rPr>
                <w:rFonts w:ascii="Times New Roman" w:hAnsi="Times New Roman"/>
              </w:rPr>
              <w:t xml:space="preserve"> </w:t>
            </w:r>
          </w:p>
          <w:p w14:paraId="7721D0AF" w14:textId="77777777" w:rsidR="008E7C06" w:rsidRPr="005D6998" w:rsidRDefault="008E7C06" w:rsidP="00A46332">
            <w:pPr>
              <w:spacing w:after="0" w:line="240" w:lineRule="auto"/>
              <w:ind w:firstLine="709"/>
              <w:jc w:val="both"/>
              <w:rPr>
                <w:rFonts w:ascii="Times New Roman" w:hAnsi="Times New Roman"/>
              </w:rPr>
            </w:pPr>
            <w:r w:rsidRPr="005D6998">
              <w:rPr>
                <w:rFonts w:ascii="Times New Roman" w:hAnsi="Times New Roman"/>
              </w:rPr>
              <w:t>(10) În cazul în care aprobarea sau exceptarea de la aprobare a unei societăți financiare holding sau a unei societăți financiare holding mixte prevăzută la art. 116</w:t>
            </w:r>
            <w:r w:rsidRPr="005D6998">
              <w:rPr>
                <w:rFonts w:ascii="Times New Roman" w:hAnsi="Times New Roman"/>
                <w:vertAlign w:val="superscript"/>
              </w:rPr>
              <w:t>1</w:t>
            </w:r>
            <w:r w:rsidRPr="005D6998">
              <w:rPr>
                <w:rFonts w:ascii="Times New Roman" w:hAnsi="Times New Roman"/>
              </w:rPr>
              <w:t>-116</w:t>
            </w:r>
            <w:r w:rsidRPr="005D6998">
              <w:rPr>
                <w:rFonts w:ascii="Times New Roman" w:hAnsi="Times New Roman"/>
                <w:vertAlign w:val="superscript"/>
              </w:rPr>
              <w:t>2</w:t>
            </w:r>
            <w:r w:rsidRPr="005D6998">
              <w:rPr>
                <w:rFonts w:ascii="Times New Roman" w:hAnsi="Times New Roman"/>
              </w:rPr>
              <w:t xml:space="preserve"> are loc în </w:t>
            </w:r>
            <w:r w:rsidRPr="005D6998">
              <w:rPr>
                <w:rFonts w:ascii="Times New Roman" w:hAnsi="Times New Roman"/>
              </w:rPr>
              <w:lastRenderedPageBreak/>
              <w:t>același timp cu evaluarea acționarilor menționată la art. 16, 47, 58</w:t>
            </w:r>
            <w:r w:rsidRPr="005D6998">
              <w:rPr>
                <w:rFonts w:ascii="Times New Roman" w:hAnsi="Times New Roman"/>
                <w:vertAlign w:val="superscript"/>
              </w:rPr>
              <w:t>1</w:t>
            </w:r>
            <w:r w:rsidRPr="005D6998">
              <w:rPr>
                <w:rFonts w:ascii="Times New Roman" w:hAnsi="Times New Roman"/>
              </w:rPr>
              <w:t>, Banca Națională a Moldovei coordonează, cu  autoritatea competentă din statul membru în care este stabilită societatea financiară holding sau societatea financiară holding mixtă. În acest caz, perioada de evaluare menționată la art. 47 alin. (4) sau la art. 58</w:t>
            </w:r>
            <w:r w:rsidRPr="005D6998">
              <w:rPr>
                <w:rFonts w:ascii="Times New Roman" w:hAnsi="Times New Roman"/>
                <w:vertAlign w:val="superscript"/>
              </w:rPr>
              <w:t>1</w:t>
            </w:r>
            <w:r w:rsidRPr="005D6998">
              <w:rPr>
                <w:rFonts w:ascii="Times New Roman" w:hAnsi="Times New Roman"/>
              </w:rPr>
              <w:t xml:space="preserve"> alin. (7) se suspendă până la încheierea procedurii prevăzute la art. 116</w:t>
            </w:r>
            <w:r w:rsidRPr="005D6998">
              <w:rPr>
                <w:rFonts w:ascii="Times New Roman" w:hAnsi="Times New Roman"/>
                <w:vertAlign w:val="superscript"/>
              </w:rPr>
              <w:t>1</w:t>
            </w:r>
            <w:r w:rsidRPr="005D6998">
              <w:rPr>
                <w:rFonts w:ascii="Times New Roman" w:hAnsi="Times New Roman"/>
              </w:rPr>
              <w:t>-116</w:t>
            </w:r>
            <w:r w:rsidRPr="005D6998">
              <w:rPr>
                <w:rFonts w:ascii="Times New Roman" w:hAnsi="Times New Roman"/>
                <w:vertAlign w:val="superscript"/>
              </w:rPr>
              <w:t>2</w:t>
            </w:r>
            <w:r w:rsidRPr="005D6998">
              <w:rPr>
                <w:rFonts w:ascii="Times New Roman" w:hAnsi="Times New Roman"/>
              </w:rPr>
              <w:t xml:space="preserve">. </w:t>
            </w:r>
          </w:p>
          <w:p w14:paraId="674FC08F"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w:t>
            </w:r>
            <w:r w:rsidRPr="005D6998" w:rsidDel="00866606">
              <w:rPr>
                <w:rFonts w:ascii="Times New Roman" w:hAnsi="Times New Roman"/>
              </w:rPr>
              <w:t xml:space="preserve"> </w:t>
            </w:r>
          </w:p>
          <w:p w14:paraId="799B18DE"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(12) În cazul în care Banca Națională a Moldovei, în calitate de supraveghetor consolidant, refuză aprobarea sau exceptarea de la aprobare unei societăţi financiare holding sau unei societăţi financiare holding mixte, aceasta notifică solicitantului decizia respectivă și motivele acesteia în termen de 4 luni de la primirea solicitării sau, în cazul în care solicitarea este incompletă, în termen de 4 luni de la primirea tuturor informaţiilor necesare pentru adoptarea deciziei. În orice caz, termenul în care se ia o decizie de acordare sau de refuz privind aprobarea nu depășește 6 luni de la primirea cererii iar refuzul poate fi însoţit, dacă este necesar, de oricare dintre măsurile menţionate la art. 116</w:t>
            </w:r>
            <w:r w:rsidRPr="005D6998">
              <w:rPr>
                <w:rFonts w:ascii="Times New Roman" w:hAnsi="Times New Roman"/>
                <w:vertAlign w:val="superscript"/>
              </w:rPr>
              <w:t xml:space="preserve">5 </w:t>
            </w:r>
            <w:r w:rsidRPr="005D6998">
              <w:rPr>
                <w:rFonts w:ascii="Times New Roman" w:hAnsi="Times New Roman"/>
              </w:rPr>
              <w:t xml:space="preserve">alin. (2). </w:t>
            </w:r>
          </w:p>
          <w:p w14:paraId="4E160491"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w:t>
            </w:r>
            <w:bookmarkStart w:id="30" w:name="_Hlk215571475"/>
            <w:r w:rsidRPr="005D6998" w:rsidDel="00866606">
              <w:rPr>
                <w:rFonts w:ascii="Times New Roman" w:hAnsi="Times New Roman"/>
                <w:b/>
                <w:bCs/>
              </w:rPr>
              <w:t xml:space="preserve"> </w:t>
            </w:r>
            <w:bookmarkEnd w:id="30"/>
          </w:p>
          <w:p w14:paraId="3DBA1BB2" w14:textId="77777777" w:rsidR="008E7C06" w:rsidRPr="005D6998" w:rsidRDefault="008E7C06" w:rsidP="00A46332">
            <w:pPr>
              <w:spacing w:after="0" w:line="240" w:lineRule="auto"/>
              <w:ind w:firstLine="851"/>
              <w:jc w:val="both"/>
              <w:rPr>
                <w:rFonts w:ascii="Times New Roman" w:hAnsi="Times New Roman"/>
                <w:b/>
                <w:bCs/>
              </w:rPr>
            </w:pPr>
            <w:r w:rsidRPr="005D6998">
              <w:rPr>
                <w:rFonts w:ascii="Times New Roman" w:hAnsi="Times New Roman"/>
              </w:rPr>
              <w:t xml:space="preserve">(6) În cazul societăţilor financiare holding mixte pentru care Banca Națională a Moldovei, în calitate de supraveghetor consolidant sau de autoritate competentă din statul </w:t>
            </w:r>
            <w:r w:rsidRPr="005D6998">
              <w:rPr>
                <w:rFonts w:ascii="Times New Roman" w:hAnsi="Times New Roman"/>
              </w:rPr>
              <w:lastRenderedPageBreak/>
              <w:t>membru în care este stabilită societatea financiară holding mixtă, Banca Națională a Moldovei, în cazul în care nu are calitatea de coordonator, solicită acordul coordonatorului pentru luarea deciziilor sau al deciziilor comune menţionate la art. 116</w:t>
            </w:r>
            <w:r w:rsidRPr="005D6998">
              <w:rPr>
                <w:rFonts w:ascii="Times New Roman" w:hAnsi="Times New Roman"/>
                <w:vertAlign w:val="superscript"/>
              </w:rPr>
              <w:t>1</w:t>
            </w:r>
            <w:r w:rsidRPr="005D6998">
              <w:rPr>
                <w:rFonts w:ascii="Times New Roman" w:hAnsi="Times New Roman"/>
              </w:rPr>
              <w:t xml:space="preserve"> alin. (7), 116</w:t>
            </w:r>
            <w:r w:rsidRPr="005D6998">
              <w:rPr>
                <w:rFonts w:ascii="Times New Roman" w:hAnsi="Times New Roman"/>
                <w:vertAlign w:val="superscript"/>
              </w:rPr>
              <w:t xml:space="preserve">2 </w:t>
            </w:r>
            <w:r w:rsidRPr="005D6998">
              <w:rPr>
                <w:rFonts w:ascii="Times New Roman" w:hAnsi="Times New Roman"/>
              </w:rPr>
              <w:t>alin. (1), art. 116</w:t>
            </w:r>
            <w:r w:rsidRPr="005D6998">
              <w:rPr>
                <w:rFonts w:ascii="Times New Roman" w:hAnsi="Times New Roman"/>
                <w:vertAlign w:val="superscript"/>
              </w:rPr>
              <w:t>5</w:t>
            </w:r>
            <w:r w:rsidRPr="005D6998">
              <w:rPr>
                <w:rFonts w:ascii="Times New Roman" w:hAnsi="Times New Roman"/>
              </w:rPr>
              <w:t xml:space="preserve"> alin. (1) și (3), după caz. În cazul în care este obligatoriu acordul coordonatorului, iar acesta nu este de acord cu deciziile Băncii Naționale a Moldovei, este necesară soluționarea conflictului dintre autoritățile respective prin decizia Autorității Bancare Europene sau a Autorității Europene de Asigurări și Pensii Ocupaţionale care trebuie luată în considerare. Orice decizie adoptată în conformitate cu prezentul alineat nu aduce atingere obligaţiilor Băncii Naționale a Moldovei stabilite în legislația aferentă supravegherii conglomeratelor și activității de asigurare și reasigurare.</w:t>
            </w:r>
          </w:p>
          <w:p w14:paraId="27C56085" w14:textId="77777777" w:rsidR="008E7C06" w:rsidRPr="005D6998" w:rsidRDefault="008E7C06" w:rsidP="00A46332">
            <w:pPr>
              <w:spacing w:after="0" w:line="240" w:lineRule="auto"/>
              <w:jc w:val="both"/>
              <w:rPr>
                <w:rFonts w:ascii="Times New Roman" w:hAnsi="Times New Roman"/>
                <w:b/>
                <w:bCs/>
              </w:rPr>
            </w:pPr>
          </w:p>
          <w:p w14:paraId="5A14948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Articolul 116</w:t>
            </w:r>
            <w:r w:rsidRPr="005D6998">
              <w:rPr>
                <w:rFonts w:ascii="Times New Roman" w:hAnsi="Times New Roman"/>
                <w:b/>
                <w:bCs/>
                <w:vertAlign w:val="superscript"/>
              </w:rPr>
              <w:t>4</w:t>
            </w:r>
            <w:r w:rsidRPr="005D6998">
              <w:rPr>
                <w:rFonts w:ascii="Times New Roman" w:hAnsi="Times New Roman"/>
                <w:b/>
                <w:bCs/>
              </w:rPr>
              <w:t>.</w:t>
            </w:r>
            <w:r w:rsidRPr="005D6998">
              <w:rPr>
                <w:rFonts w:ascii="Times New Roman" w:hAnsi="Times New Roman"/>
              </w:rPr>
              <w:t xml:space="preserve"> Monitorizarea condițiilor de aprobare a societăților financiare holding și a societăților financiare holding mixte, publicarea și transmiterea de informații</w:t>
            </w:r>
          </w:p>
          <w:p w14:paraId="6292BA16"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w:t>
            </w:r>
            <w:r w:rsidRPr="005D6998" w:rsidDel="00B32D70">
              <w:rPr>
                <w:rFonts w:ascii="Times New Roman" w:hAnsi="Times New Roman"/>
              </w:rPr>
              <w:t xml:space="preserve"> </w:t>
            </w:r>
          </w:p>
          <w:p w14:paraId="31F9BCED"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 xml:space="preserve">(3) Banca Națională a Moldovei publică pe pagina oficială și actualizează anual o listă a societăților financiare holding și a societăților financiare holding mixte cărora li s-a acordat aprobarea sau care au fost exceptate de la aprobare în </w:t>
            </w:r>
            <w:r w:rsidRPr="005D6998">
              <w:rPr>
                <w:rFonts w:ascii="Times New Roman" w:hAnsi="Times New Roman"/>
              </w:rPr>
              <w:lastRenderedPageBreak/>
              <w:t>conformitate cu prezentul articol. În cazul în care s-a acordat o exceptare de la aprobare potrivit alin. (11), în listă este indicată, de asemenea, entitatea desemnată.</w:t>
            </w:r>
            <w:r w:rsidRPr="005D6998">
              <w:rPr>
                <w:rFonts w:ascii="Times New Roman" w:hAnsi="Times New Roman"/>
                <w:b/>
                <w:bCs/>
              </w:rPr>
              <w:t xml:space="preserve"> </w:t>
            </w:r>
          </w:p>
        </w:tc>
        <w:tc>
          <w:tcPr>
            <w:tcW w:w="1418" w:type="dxa"/>
            <w:gridSpan w:val="2"/>
            <w:shd w:val="clear" w:color="auto" w:fill="FFFFFF"/>
          </w:tcPr>
          <w:p w14:paraId="54D1AF4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B3D44AE"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4880888C" w14:textId="77777777" w:rsidR="008E7C06" w:rsidRPr="005D6998" w:rsidRDefault="008E7C06" w:rsidP="00A46332">
            <w:pPr>
              <w:pStyle w:val="Default"/>
              <w:jc w:val="both"/>
              <w:rPr>
                <w:color w:val="auto"/>
                <w:sz w:val="22"/>
                <w:szCs w:val="22"/>
              </w:rPr>
            </w:pPr>
            <w:r w:rsidRPr="005D6998">
              <w:rPr>
                <w:sz w:val="22"/>
                <w:szCs w:val="22"/>
              </w:rPr>
              <w:t>La pct. 99:</w:t>
            </w:r>
          </w:p>
          <w:p w14:paraId="06034BB0" w14:textId="77777777" w:rsidR="008E7C06" w:rsidRPr="005D6998" w:rsidRDefault="008E7C06" w:rsidP="00A46332">
            <w:pPr>
              <w:pStyle w:val="Default"/>
              <w:pageBreakBefore/>
              <w:jc w:val="both"/>
              <w:rPr>
                <w:color w:val="auto"/>
                <w:sz w:val="22"/>
                <w:szCs w:val="22"/>
              </w:rPr>
            </w:pPr>
            <w:r w:rsidRPr="005D6998">
              <w:rPr>
                <w:color w:val="auto"/>
                <w:sz w:val="22"/>
                <w:szCs w:val="22"/>
              </w:rPr>
              <w:t xml:space="preserve">În dispoziția introductivă a acestui punct, textul „Titlul IV” se va substitui cu textul „Titlul V” (observație valabilă și pentru pct. 108). </w:t>
            </w:r>
          </w:p>
          <w:p w14:paraId="477B56D5" w14:textId="77777777" w:rsidR="008E7C06" w:rsidRPr="005D6998" w:rsidRDefault="008E7C06" w:rsidP="00A46332">
            <w:pPr>
              <w:pStyle w:val="Default"/>
              <w:pageBreakBefore/>
              <w:jc w:val="both"/>
              <w:rPr>
                <w:color w:val="auto"/>
                <w:sz w:val="22"/>
                <w:szCs w:val="22"/>
              </w:rPr>
            </w:pPr>
          </w:p>
          <w:p w14:paraId="61BF168C" w14:textId="77777777" w:rsidR="008E7C06" w:rsidRPr="005D6998" w:rsidRDefault="008E7C06" w:rsidP="00A46332">
            <w:pPr>
              <w:pStyle w:val="Default"/>
              <w:jc w:val="both"/>
              <w:rPr>
                <w:color w:val="auto"/>
                <w:sz w:val="22"/>
                <w:szCs w:val="22"/>
              </w:rPr>
            </w:pPr>
            <w:r w:rsidRPr="005D6998">
              <w:rPr>
                <w:color w:val="auto"/>
                <w:sz w:val="22"/>
                <w:szCs w:val="22"/>
              </w:rPr>
              <w:t>De asemenea, din punct de vedere redacțional, textul „prevăzută la art. 116</w:t>
            </w:r>
            <w:r w:rsidRPr="005D6998">
              <w:rPr>
                <w:color w:val="auto"/>
                <w:sz w:val="22"/>
                <w:szCs w:val="22"/>
                <w:vertAlign w:val="superscript"/>
              </w:rPr>
              <w:t>1</w:t>
            </w:r>
            <w:r w:rsidRPr="005D6998">
              <w:rPr>
                <w:color w:val="auto"/>
                <w:sz w:val="22"/>
                <w:szCs w:val="22"/>
              </w:rPr>
              <w:t>-116</w:t>
            </w:r>
            <w:r w:rsidRPr="005D6998">
              <w:rPr>
                <w:color w:val="auto"/>
                <w:sz w:val="22"/>
                <w:szCs w:val="22"/>
                <w:vertAlign w:val="superscript"/>
              </w:rPr>
              <w:t>2</w:t>
            </w:r>
            <w:r w:rsidRPr="005D6998">
              <w:rPr>
                <w:color w:val="auto"/>
                <w:sz w:val="22"/>
                <w:szCs w:val="22"/>
              </w:rPr>
              <w:t>” din redacția art. 116</w:t>
            </w:r>
            <w:r w:rsidRPr="005D6998">
              <w:rPr>
                <w:color w:val="auto"/>
                <w:sz w:val="22"/>
                <w:szCs w:val="22"/>
                <w:vertAlign w:val="superscript"/>
              </w:rPr>
              <w:t>1</w:t>
            </w:r>
            <w:r w:rsidRPr="005D6998">
              <w:rPr>
                <w:color w:val="auto"/>
                <w:sz w:val="22"/>
                <w:szCs w:val="22"/>
              </w:rPr>
              <w:t xml:space="preserve"> alin. (10), se va substitui cu textul „prevăzute în acest articol și în art. 116</w:t>
            </w:r>
            <w:r w:rsidRPr="005D6998">
              <w:rPr>
                <w:color w:val="auto"/>
                <w:sz w:val="22"/>
                <w:szCs w:val="22"/>
                <w:vertAlign w:val="superscript"/>
              </w:rPr>
              <w:t>2</w:t>
            </w:r>
            <w:r w:rsidRPr="005D6998">
              <w:rPr>
                <w:color w:val="auto"/>
                <w:sz w:val="22"/>
                <w:szCs w:val="22"/>
              </w:rPr>
              <w:t xml:space="preserve">”. </w:t>
            </w:r>
          </w:p>
          <w:p w14:paraId="7AD0EBA5" w14:textId="77777777" w:rsidR="008E7C06" w:rsidRPr="005D6998" w:rsidRDefault="008E7C06" w:rsidP="00A46332">
            <w:pPr>
              <w:pStyle w:val="Default"/>
              <w:jc w:val="both"/>
              <w:rPr>
                <w:color w:val="auto"/>
                <w:sz w:val="22"/>
                <w:szCs w:val="22"/>
              </w:rPr>
            </w:pPr>
          </w:p>
          <w:p w14:paraId="3BED23A2" w14:textId="77777777" w:rsidR="008E7C06" w:rsidRPr="005D6998" w:rsidRDefault="008E7C06" w:rsidP="00A46332">
            <w:pPr>
              <w:pStyle w:val="Default"/>
              <w:jc w:val="both"/>
              <w:rPr>
                <w:color w:val="auto"/>
                <w:sz w:val="22"/>
                <w:szCs w:val="22"/>
              </w:rPr>
            </w:pPr>
            <w:r w:rsidRPr="005D6998">
              <w:rPr>
                <w:color w:val="auto"/>
                <w:sz w:val="22"/>
                <w:szCs w:val="22"/>
              </w:rPr>
              <w:lastRenderedPageBreak/>
              <w:t>În redacția art. 116</w:t>
            </w:r>
            <w:r w:rsidRPr="005D6998">
              <w:rPr>
                <w:color w:val="auto"/>
                <w:sz w:val="22"/>
                <w:szCs w:val="22"/>
                <w:vertAlign w:val="superscript"/>
              </w:rPr>
              <w:t>1</w:t>
            </w:r>
            <w:r w:rsidRPr="005D6998">
              <w:rPr>
                <w:color w:val="auto"/>
                <w:sz w:val="22"/>
                <w:szCs w:val="22"/>
              </w:rPr>
              <w:t xml:space="preserve"> alin. (12), textul „art. 116</w:t>
            </w:r>
            <w:r w:rsidRPr="005D6998">
              <w:rPr>
                <w:color w:val="auto"/>
                <w:sz w:val="22"/>
                <w:szCs w:val="22"/>
                <w:vertAlign w:val="superscript"/>
              </w:rPr>
              <w:t>5</w:t>
            </w:r>
            <w:r w:rsidRPr="005D6998">
              <w:rPr>
                <w:color w:val="auto"/>
                <w:sz w:val="22"/>
                <w:szCs w:val="22"/>
              </w:rPr>
              <w:t xml:space="preserve"> alin. (2)” se va substitui cu textul „art. 116</w:t>
            </w:r>
            <w:r w:rsidRPr="005D6998">
              <w:rPr>
                <w:color w:val="auto"/>
                <w:sz w:val="22"/>
                <w:szCs w:val="22"/>
                <w:vertAlign w:val="superscript"/>
              </w:rPr>
              <w:t>5</w:t>
            </w:r>
            <w:r w:rsidRPr="005D6998">
              <w:rPr>
                <w:color w:val="auto"/>
                <w:sz w:val="22"/>
                <w:szCs w:val="22"/>
              </w:rPr>
              <w:t xml:space="preserve"> alin. (1)”. </w:t>
            </w:r>
          </w:p>
          <w:p w14:paraId="137CE016" w14:textId="77777777" w:rsidR="008E7C06" w:rsidRPr="005D6998" w:rsidRDefault="008E7C06" w:rsidP="00A46332">
            <w:pPr>
              <w:pStyle w:val="Default"/>
              <w:jc w:val="both"/>
              <w:rPr>
                <w:color w:val="auto"/>
                <w:sz w:val="22"/>
                <w:szCs w:val="22"/>
              </w:rPr>
            </w:pPr>
          </w:p>
          <w:p w14:paraId="38AD647D" w14:textId="77777777" w:rsidR="008E7C06" w:rsidRPr="005D6998" w:rsidRDefault="008E7C06" w:rsidP="00A46332">
            <w:pPr>
              <w:pStyle w:val="Default"/>
              <w:jc w:val="both"/>
              <w:rPr>
                <w:color w:val="auto"/>
                <w:sz w:val="22"/>
                <w:szCs w:val="22"/>
              </w:rPr>
            </w:pPr>
            <w:r w:rsidRPr="005D6998">
              <w:rPr>
                <w:color w:val="auto"/>
                <w:sz w:val="22"/>
                <w:szCs w:val="22"/>
              </w:rPr>
              <w:t>În redacția art. 116</w:t>
            </w:r>
            <w:r w:rsidRPr="005D6998">
              <w:rPr>
                <w:color w:val="auto"/>
                <w:sz w:val="22"/>
                <w:szCs w:val="22"/>
                <w:vertAlign w:val="superscript"/>
              </w:rPr>
              <w:t>3</w:t>
            </w:r>
            <w:r w:rsidRPr="005D6998">
              <w:rPr>
                <w:color w:val="auto"/>
                <w:sz w:val="22"/>
                <w:szCs w:val="22"/>
              </w:rPr>
              <w:t xml:space="preserve"> alin. (1) și (2), textul „art. 116</w:t>
            </w:r>
            <w:r w:rsidRPr="005D6998">
              <w:rPr>
                <w:color w:val="auto"/>
                <w:sz w:val="22"/>
                <w:szCs w:val="22"/>
                <w:vertAlign w:val="superscript"/>
              </w:rPr>
              <w:t>2</w:t>
            </w:r>
            <w:r w:rsidRPr="005D6998">
              <w:rPr>
                <w:color w:val="auto"/>
                <w:sz w:val="22"/>
                <w:szCs w:val="22"/>
              </w:rPr>
              <w:t xml:space="preserve"> alin. (1), art. 116</w:t>
            </w:r>
            <w:r w:rsidRPr="005D6998">
              <w:rPr>
                <w:color w:val="auto"/>
                <w:sz w:val="22"/>
                <w:szCs w:val="22"/>
                <w:vertAlign w:val="superscript"/>
              </w:rPr>
              <w:t>2</w:t>
            </w:r>
            <w:r w:rsidRPr="005D6998">
              <w:rPr>
                <w:color w:val="auto"/>
                <w:sz w:val="22"/>
                <w:szCs w:val="22"/>
              </w:rPr>
              <w:t xml:space="preserve"> alin. (3)” se va substitui cu textul „art. 116</w:t>
            </w:r>
            <w:r w:rsidRPr="005D6998">
              <w:rPr>
                <w:color w:val="auto"/>
                <w:sz w:val="22"/>
                <w:szCs w:val="22"/>
                <w:vertAlign w:val="superscript"/>
              </w:rPr>
              <w:t>2</w:t>
            </w:r>
            <w:r w:rsidRPr="005D6998">
              <w:rPr>
                <w:color w:val="auto"/>
                <w:sz w:val="22"/>
                <w:szCs w:val="22"/>
              </w:rPr>
              <w:t xml:space="preserve"> alin. (1) și alin. (3)”, întru respectarea regulilor de tehnică legislativă. </w:t>
            </w:r>
          </w:p>
          <w:p w14:paraId="6EF4E799" w14:textId="77777777" w:rsidR="008E7C06" w:rsidRPr="005D6998" w:rsidRDefault="008E7C06" w:rsidP="00A46332">
            <w:pPr>
              <w:pStyle w:val="Default"/>
              <w:jc w:val="both"/>
              <w:rPr>
                <w:color w:val="auto"/>
                <w:sz w:val="22"/>
                <w:szCs w:val="22"/>
              </w:rPr>
            </w:pPr>
          </w:p>
          <w:p w14:paraId="4465D0C4" w14:textId="77777777" w:rsidR="008E7C06" w:rsidRPr="005D6998" w:rsidRDefault="008E7C06" w:rsidP="00A46332">
            <w:pPr>
              <w:pStyle w:val="Default"/>
              <w:jc w:val="both"/>
              <w:rPr>
                <w:color w:val="auto"/>
                <w:sz w:val="22"/>
                <w:szCs w:val="22"/>
              </w:rPr>
            </w:pPr>
            <w:r w:rsidRPr="005D6998">
              <w:rPr>
                <w:color w:val="auto"/>
                <w:sz w:val="22"/>
                <w:szCs w:val="22"/>
              </w:rPr>
              <w:t>Primul enunț al art. 116</w:t>
            </w:r>
            <w:r w:rsidRPr="005D6998">
              <w:rPr>
                <w:color w:val="auto"/>
                <w:sz w:val="22"/>
                <w:szCs w:val="22"/>
                <w:vertAlign w:val="superscript"/>
              </w:rPr>
              <w:t>3</w:t>
            </w:r>
            <w:r w:rsidRPr="005D6998">
              <w:rPr>
                <w:color w:val="auto"/>
                <w:sz w:val="22"/>
                <w:szCs w:val="22"/>
              </w:rPr>
              <w:t xml:space="preserve"> alin. (6) se recomandă a fi reformulat, deoarece este ambiguu. </w:t>
            </w:r>
          </w:p>
          <w:p w14:paraId="1106D688" w14:textId="77777777" w:rsidR="008E7C06" w:rsidRPr="005D6998" w:rsidRDefault="008E7C06" w:rsidP="00A46332">
            <w:pPr>
              <w:pStyle w:val="Default"/>
              <w:jc w:val="both"/>
              <w:rPr>
                <w:color w:val="auto"/>
                <w:sz w:val="22"/>
                <w:szCs w:val="22"/>
              </w:rPr>
            </w:pPr>
          </w:p>
          <w:p w14:paraId="4E60E564" w14:textId="77777777" w:rsidR="008E7C06" w:rsidRPr="005D6998" w:rsidRDefault="008E7C06" w:rsidP="00A46332">
            <w:pPr>
              <w:pStyle w:val="Default"/>
              <w:jc w:val="both"/>
              <w:rPr>
                <w:sz w:val="22"/>
                <w:szCs w:val="22"/>
              </w:rPr>
            </w:pPr>
            <w:r w:rsidRPr="005D6998">
              <w:rPr>
                <w:color w:val="auto"/>
                <w:sz w:val="22"/>
                <w:szCs w:val="22"/>
              </w:rPr>
              <w:t>În redacția art. 116</w:t>
            </w:r>
            <w:r w:rsidRPr="005D6998">
              <w:rPr>
                <w:color w:val="auto"/>
                <w:sz w:val="22"/>
                <w:szCs w:val="22"/>
                <w:vertAlign w:val="superscript"/>
              </w:rPr>
              <w:t>4</w:t>
            </w:r>
            <w:r w:rsidRPr="005D6998">
              <w:rPr>
                <w:color w:val="auto"/>
                <w:sz w:val="22"/>
                <w:szCs w:val="22"/>
              </w:rPr>
              <w:t xml:space="preserve"> alin. (3), textul „potrivit alin. (11)” se va analiza suplimentar, întru indicarea articolului din care face parte alin. (11).</w:t>
            </w:r>
          </w:p>
        </w:tc>
        <w:tc>
          <w:tcPr>
            <w:tcW w:w="4960" w:type="dxa"/>
            <w:gridSpan w:val="3"/>
            <w:shd w:val="clear" w:color="auto" w:fill="FFFFFF"/>
          </w:tcPr>
          <w:p w14:paraId="764CF9D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0219255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pct. 99 și pct. 108, textul „Titlul IV” substituit cu textul „Titlul V”.</w:t>
            </w:r>
          </w:p>
          <w:p w14:paraId="19B94C1A" w14:textId="77777777" w:rsidR="008E7C06" w:rsidRPr="005D6998" w:rsidRDefault="008E7C06" w:rsidP="00A46332">
            <w:pPr>
              <w:spacing w:after="0" w:line="240" w:lineRule="auto"/>
              <w:jc w:val="both"/>
              <w:rPr>
                <w:rFonts w:ascii="Times New Roman" w:hAnsi="Times New Roman"/>
              </w:rPr>
            </w:pPr>
          </w:p>
          <w:p w14:paraId="74A9335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art. 116</w:t>
            </w:r>
            <w:r w:rsidRPr="005D6998">
              <w:rPr>
                <w:rFonts w:ascii="Times New Roman" w:hAnsi="Times New Roman"/>
                <w:vertAlign w:val="superscript"/>
              </w:rPr>
              <w:t>1</w:t>
            </w:r>
            <w:r w:rsidRPr="005D6998">
              <w:rPr>
                <w:rFonts w:ascii="Times New Roman" w:hAnsi="Times New Roman"/>
              </w:rPr>
              <w:t xml:space="preserve"> alin. (10), textul „prevăzută la art. 116</w:t>
            </w:r>
            <w:r w:rsidRPr="005D6998">
              <w:rPr>
                <w:rFonts w:ascii="Times New Roman" w:hAnsi="Times New Roman"/>
                <w:vertAlign w:val="superscript"/>
              </w:rPr>
              <w:t>1</w:t>
            </w:r>
            <w:r w:rsidRPr="005D6998">
              <w:rPr>
                <w:rFonts w:ascii="Times New Roman" w:hAnsi="Times New Roman"/>
              </w:rPr>
              <w:t>-116</w:t>
            </w:r>
            <w:r w:rsidRPr="005D6998">
              <w:rPr>
                <w:rFonts w:ascii="Times New Roman" w:hAnsi="Times New Roman"/>
                <w:vertAlign w:val="superscript"/>
              </w:rPr>
              <w:t>2</w:t>
            </w:r>
            <w:r w:rsidRPr="005D6998">
              <w:rPr>
                <w:rFonts w:ascii="Times New Roman" w:hAnsi="Times New Roman"/>
              </w:rPr>
              <w:t>” substituit cu textul „prevăzute în acest articol și în art. 116</w:t>
            </w:r>
            <w:r w:rsidRPr="005D6998">
              <w:rPr>
                <w:rFonts w:ascii="Times New Roman" w:hAnsi="Times New Roman"/>
                <w:vertAlign w:val="superscript"/>
              </w:rPr>
              <w:t>2</w:t>
            </w:r>
            <w:r w:rsidRPr="005D6998">
              <w:rPr>
                <w:rFonts w:ascii="Times New Roman" w:hAnsi="Times New Roman"/>
              </w:rPr>
              <w:t>”.</w:t>
            </w:r>
          </w:p>
          <w:p w14:paraId="1A23CD21" w14:textId="77777777" w:rsidR="008E7C06" w:rsidRPr="005D6998" w:rsidRDefault="008E7C06" w:rsidP="00A46332">
            <w:pPr>
              <w:spacing w:after="0" w:line="240" w:lineRule="auto"/>
              <w:jc w:val="both"/>
              <w:rPr>
                <w:rFonts w:ascii="Times New Roman" w:hAnsi="Times New Roman"/>
              </w:rPr>
            </w:pPr>
          </w:p>
          <w:p w14:paraId="6A811EC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art. 116</w:t>
            </w:r>
            <w:r w:rsidRPr="005D6998">
              <w:rPr>
                <w:rFonts w:ascii="Times New Roman" w:hAnsi="Times New Roman"/>
                <w:vertAlign w:val="superscript"/>
              </w:rPr>
              <w:t>1</w:t>
            </w:r>
            <w:r w:rsidRPr="005D6998">
              <w:rPr>
                <w:rFonts w:ascii="Times New Roman" w:hAnsi="Times New Roman"/>
              </w:rPr>
              <w:t xml:space="preserve"> alin. (12), textul „art. 116</w:t>
            </w:r>
            <w:r w:rsidRPr="005D6998">
              <w:rPr>
                <w:rFonts w:ascii="Times New Roman" w:hAnsi="Times New Roman"/>
                <w:vertAlign w:val="superscript"/>
              </w:rPr>
              <w:t>5</w:t>
            </w:r>
            <w:r w:rsidRPr="005D6998">
              <w:rPr>
                <w:rFonts w:ascii="Times New Roman" w:hAnsi="Times New Roman"/>
              </w:rPr>
              <w:t xml:space="preserve"> alin. (2)” substituit cu textul „art. 116</w:t>
            </w:r>
            <w:r w:rsidRPr="005D6998">
              <w:rPr>
                <w:rFonts w:ascii="Times New Roman" w:hAnsi="Times New Roman"/>
                <w:vertAlign w:val="superscript"/>
              </w:rPr>
              <w:t>5</w:t>
            </w:r>
            <w:r w:rsidRPr="005D6998">
              <w:rPr>
                <w:rFonts w:ascii="Times New Roman" w:hAnsi="Times New Roman"/>
              </w:rPr>
              <w:t xml:space="preserve"> alin. (1)”.</w:t>
            </w:r>
          </w:p>
          <w:p w14:paraId="76860C62" w14:textId="77777777" w:rsidR="008E7C06" w:rsidRPr="005D6998" w:rsidRDefault="008E7C06" w:rsidP="00A46332">
            <w:pPr>
              <w:spacing w:after="0" w:line="240" w:lineRule="auto"/>
              <w:jc w:val="both"/>
              <w:rPr>
                <w:rFonts w:ascii="Times New Roman" w:hAnsi="Times New Roman"/>
              </w:rPr>
            </w:pPr>
          </w:p>
          <w:p w14:paraId="0F95FAE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La art. 116</w:t>
            </w:r>
            <w:r w:rsidRPr="005D6998">
              <w:rPr>
                <w:rFonts w:ascii="Times New Roman" w:hAnsi="Times New Roman"/>
                <w:vertAlign w:val="superscript"/>
              </w:rPr>
              <w:t>3</w:t>
            </w:r>
            <w:r w:rsidRPr="005D6998">
              <w:rPr>
                <w:rFonts w:ascii="Times New Roman" w:hAnsi="Times New Roman"/>
              </w:rPr>
              <w:t xml:space="preserve"> alin. (1) și (2), textul „art. 116</w:t>
            </w:r>
            <w:r w:rsidRPr="005D6998">
              <w:rPr>
                <w:rFonts w:ascii="Times New Roman" w:hAnsi="Times New Roman"/>
                <w:vertAlign w:val="superscript"/>
              </w:rPr>
              <w:t>2</w:t>
            </w:r>
            <w:r w:rsidRPr="005D6998">
              <w:rPr>
                <w:rFonts w:ascii="Times New Roman" w:hAnsi="Times New Roman"/>
              </w:rPr>
              <w:t xml:space="preserve"> alin. (1), art. 116</w:t>
            </w:r>
            <w:r w:rsidRPr="005D6998">
              <w:rPr>
                <w:rFonts w:ascii="Times New Roman" w:hAnsi="Times New Roman"/>
                <w:vertAlign w:val="superscript"/>
              </w:rPr>
              <w:t>2</w:t>
            </w:r>
            <w:r w:rsidRPr="005D6998">
              <w:rPr>
                <w:rFonts w:ascii="Times New Roman" w:hAnsi="Times New Roman"/>
              </w:rPr>
              <w:t xml:space="preserve"> alin. (3)” substituit cu textul „art. 116</w:t>
            </w:r>
            <w:r w:rsidRPr="005D6998">
              <w:rPr>
                <w:rFonts w:ascii="Times New Roman" w:hAnsi="Times New Roman"/>
                <w:vertAlign w:val="superscript"/>
              </w:rPr>
              <w:t>2</w:t>
            </w:r>
            <w:r w:rsidRPr="005D6998">
              <w:rPr>
                <w:rFonts w:ascii="Times New Roman" w:hAnsi="Times New Roman"/>
              </w:rPr>
              <w:t xml:space="preserve"> alin. (1) și alin. (3)”.</w:t>
            </w:r>
          </w:p>
          <w:p w14:paraId="07C60CD0" w14:textId="77777777" w:rsidR="008E7C06" w:rsidRPr="005D6998" w:rsidRDefault="008E7C06" w:rsidP="00A46332">
            <w:pPr>
              <w:spacing w:after="0" w:line="240" w:lineRule="auto"/>
              <w:jc w:val="both"/>
              <w:rPr>
                <w:rFonts w:ascii="Times New Roman" w:hAnsi="Times New Roman"/>
              </w:rPr>
            </w:pPr>
          </w:p>
          <w:p w14:paraId="53E64C3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Primul enunț al art. 116</w:t>
            </w:r>
            <w:r w:rsidRPr="005D6998">
              <w:rPr>
                <w:rFonts w:ascii="Times New Roman" w:hAnsi="Times New Roman"/>
                <w:vertAlign w:val="superscript"/>
              </w:rPr>
              <w:t>3</w:t>
            </w:r>
            <w:r w:rsidRPr="005D6998">
              <w:rPr>
                <w:rFonts w:ascii="Times New Roman" w:hAnsi="Times New Roman"/>
              </w:rPr>
              <w:t xml:space="preserve"> alin. (6) redactat, după cum urmează:</w:t>
            </w:r>
          </w:p>
          <w:p w14:paraId="450602B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“(6) În cazul societăţilor financiare holding mixte pentru care Banca Națională a Moldovei are calitatea de supraveghetor consolidant </w:t>
            </w:r>
            <w:r w:rsidRPr="005D6998">
              <w:rPr>
                <w:rFonts w:ascii="Times New Roman" w:hAnsi="Times New Roman"/>
                <w:b/>
                <w:bCs/>
              </w:rPr>
              <w:t>și/</w:t>
            </w:r>
            <w:r w:rsidRPr="005D6998">
              <w:rPr>
                <w:rFonts w:ascii="Times New Roman" w:hAnsi="Times New Roman"/>
              </w:rPr>
              <w:t xml:space="preserve">sau de autoritate competentă din statul membru în care este stabilită societatea financiară holding mixtă, dar nu are și calitatea de coordonator </w:t>
            </w:r>
            <w:r w:rsidRPr="005D6998">
              <w:rPr>
                <w:rFonts w:ascii="Times New Roman" w:hAnsi="Times New Roman"/>
                <w:b/>
                <w:bCs/>
              </w:rPr>
              <w:t>potrivit art. 10 și 11 din Legea nr. 250/2017 cu privire la supravegherea suplimentară a băncilor, asigurătorilor/reasigurătorilor şi a societăţilor de investiţii care aparţin unui conglomerat financiar, Banca Națională a Moldovei trebuie să obțină</w:t>
            </w:r>
            <w:r w:rsidRPr="005D6998">
              <w:rPr>
                <w:rFonts w:ascii="Times New Roman" w:hAnsi="Times New Roman"/>
              </w:rPr>
              <w:t xml:space="preserve"> acordul coordonatorului pentru luarea deciziilor sau al deciziilor comune menţionate la art. 116</w:t>
            </w:r>
            <w:r w:rsidRPr="005D6998">
              <w:rPr>
                <w:rFonts w:ascii="Times New Roman" w:hAnsi="Times New Roman"/>
                <w:vertAlign w:val="superscript"/>
              </w:rPr>
              <w:t>1</w:t>
            </w:r>
            <w:r w:rsidRPr="005D6998">
              <w:rPr>
                <w:rFonts w:ascii="Times New Roman" w:hAnsi="Times New Roman"/>
              </w:rPr>
              <w:t xml:space="preserve"> alin. (7), 116</w:t>
            </w:r>
            <w:r w:rsidRPr="005D6998">
              <w:rPr>
                <w:rFonts w:ascii="Times New Roman" w:hAnsi="Times New Roman"/>
                <w:vertAlign w:val="superscript"/>
              </w:rPr>
              <w:t xml:space="preserve">2 </w:t>
            </w:r>
            <w:r w:rsidRPr="005D6998">
              <w:rPr>
                <w:rFonts w:ascii="Times New Roman" w:hAnsi="Times New Roman"/>
              </w:rPr>
              <w:t>alin. (1), art. 116</w:t>
            </w:r>
            <w:r w:rsidRPr="005D6998">
              <w:rPr>
                <w:rFonts w:ascii="Times New Roman" w:hAnsi="Times New Roman"/>
                <w:vertAlign w:val="superscript"/>
              </w:rPr>
              <w:t>5</w:t>
            </w:r>
            <w:r w:rsidRPr="005D6998">
              <w:rPr>
                <w:rFonts w:ascii="Times New Roman" w:hAnsi="Times New Roman"/>
              </w:rPr>
              <w:t xml:space="preserve"> alin. (1) și (3), după caz.”.</w:t>
            </w:r>
          </w:p>
          <w:p w14:paraId="12A202B1" w14:textId="77777777" w:rsidR="008E7C06" w:rsidRPr="005D6998" w:rsidRDefault="008E7C06" w:rsidP="00A46332">
            <w:pPr>
              <w:spacing w:after="0" w:line="240" w:lineRule="auto"/>
              <w:jc w:val="both"/>
              <w:rPr>
                <w:rFonts w:ascii="Times New Roman" w:hAnsi="Times New Roman"/>
              </w:rPr>
            </w:pPr>
          </w:p>
          <w:p w14:paraId="6C4DF13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În plus, la art. 116</w:t>
            </w:r>
            <w:r w:rsidRPr="005D6998">
              <w:rPr>
                <w:rFonts w:ascii="Times New Roman" w:hAnsi="Times New Roman"/>
                <w:vertAlign w:val="superscript"/>
              </w:rPr>
              <w:t>3</w:t>
            </w:r>
            <w:r w:rsidRPr="005D6998">
              <w:rPr>
                <w:rFonts w:ascii="Times New Roman" w:hAnsi="Times New Roman"/>
              </w:rPr>
              <w:t xml:space="preserve"> a fost introdus alin. (7), pentru claritate și pentru a reglementa situația în care coordonator, conform legislației este desemnat BNM.</w:t>
            </w:r>
          </w:p>
          <w:p w14:paraId="052C2F5E" w14:textId="77777777" w:rsidR="008E7C06" w:rsidRPr="005D6998" w:rsidRDefault="008E7C06" w:rsidP="00A46332">
            <w:pPr>
              <w:spacing w:after="0" w:line="240" w:lineRule="auto"/>
              <w:jc w:val="both"/>
              <w:rPr>
                <w:rFonts w:ascii="Times New Roman" w:hAnsi="Times New Roman"/>
              </w:rPr>
            </w:pPr>
          </w:p>
          <w:p w14:paraId="0B21CED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Art. 116</w:t>
            </w:r>
            <w:r w:rsidRPr="005D6998">
              <w:rPr>
                <w:rFonts w:ascii="Times New Roman" w:hAnsi="Times New Roman"/>
                <w:vertAlign w:val="superscript"/>
              </w:rPr>
              <w:t>4</w:t>
            </w:r>
            <w:r w:rsidRPr="005D6998">
              <w:rPr>
                <w:rFonts w:ascii="Times New Roman" w:hAnsi="Times New Roman"/>
              </w:rPr>
              <w:t xml:space="preserve"> alin. (3) redactat după cum urmează</w:t>
            </w:r>
          </w:p>
          <w:p w14:paraId="2B08CF98" w14:textId="77777777" w:rsidR="008E7C06" w:rsidRPr="005D6998" w:rsidRDefault="008E7C06" w:rsidP="00A46332">
            <w:pPr>
              <w:spacing w:after="0" w:line="240" w:lineRule="auto"/>
              <w:jc w:val="both"/>
              <w:rPr>
                <w:rFonts w:ascii="Times New Roman" w:hAnsi="Times New Roman"/>
                <w:lang w:val="it-CH"/>
              </w:rPr>
            </w:pPr>
            <w:r w:rsidRPr="005D6998">
              <w:rPr>
                <w:rFonts w:ascii="Times New Roman" w:hAnsi="Times New Roman"/>
              </w:rPr>
              <w:t xml:space="preserve">“Banca Națională a Moldovei publică pe pagina sa oficială și actualizează anual o listă a societăților financiare holding și a societăților financiare holding mixte cărora li s-a acordat aprobarea sau care au fost exceptate de la aprobare în </w:t>
            </w:r>
            <w:r w:rsidRPr="005D6998">
              <w:rPr>
                <w:rFonts w:ascii="Times New Roman" w:hAnsi="Times New Roman"/>
                <w:b/>
                <w:bCs/>
              </w:rPr>
              <w:t>conformitate cu art. 116</w:t>
            </w:r>
            <w:r w:rsidRPr="005D6998">
              <w:rPr>
                <w:rFonts w:ascii="Times New Roman" w:hAnsi="Times New Roman"/>
                <w:b/>
                <w:bCs/>
                <w:vertAlign w:val="superscript"/>
              </w:rPr>
              <w:t>2</w:t>
            </w:r>
            <w:r w:rsidRPr="005D6998">
              <w:rPr>
                <w:rFonts w:ascii="Times New Roman" w:hAnsi="Times New Roman"/>
                <w:b/>
                <w:bCs/>
              </w:rPr>
              <w:t xml:space="preserve"> alin. (1)</w:t>
            </w:r>
            <w:r w:rsidRPr="005D6998">
              <w:rPr>
                <w:rFonts w:ascii="Times New Roman" w:hAnsi="Times New Roman"/>
              </w:rPr>
              <w:t>. În cazul în care s-a acordat o exceptare de la aprobare, în listă este indicată, de asemenea, entitatea desemnată.</w:t>
            </w:r>
            <w:r w:rsidRPr="005D6998">
              <w:rPr>
                <w:rFonts w:ascii="Times New Roman" w:hAnsi="Times New Roman"/>
                <w:b/>
                <w:bCs/>
              </w:rPr>
              <w:t xml:space="preserve"> </w:t>
            </w:r>
            <w:r w:rsidRPr="005D6998">
              <w:rPr>
                <w:rFonts w:ascii="Times New Roman" w:hAnsi="Times New Roman"/>
                <w:lang w:val="it-CH"/>
              </w:rPr>
              <w:t>”.</w:t>
            </w:r>
          </w:p>
        </w:tc>
      </w:tr>
      <w:tr w:rsidR="008E7C06" w:rsidRPr="005D6998" w14:paraId="5A731561" w14:textId="77777777" w:rsidTr="00651F58">
        <w:trPr>
          <w:gridAfter w:val="2"/>
          <w:wAfter w:w="153" w:type="dxa"/>
          <w:trHeight w:val="105"/>
        </w:trPr>
        <w:tc>
          <w:tcPr>
            <w:tcW w:w="899" w:type="dxa"/>
            <w:gridSpan w:val="3"/>
            <w:shd w:val="clear" w:color="auto" w:fill="FFFFFF"/>
          </w:tcPr>
          <w:p w14:paraId="7B39E56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723016D"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b/>
                <w:bCs/>
              </w:rPr>
              <w:t>100</w:t>
            </w:r>
            <w:r w:rsidRPr="005D6998">
              <w:rPr>
                <w:rFonts w:ascii="Times New Roman" w:hAnsi="Times New Roman"/>
              </w:rPr>
              <w:t xml:space="preserve">. Articolul 117 </w:t>
            </w:r>
          </w:p>
          <w:p w14:paraId="14FA9E6C"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6D9C5765"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la alin. (1), cuvântul „Societățile” se substituie cu cuvintele „Sub rezerva art. 116</w:t>
            </w:r>
            <w:r w:rsidRPr="005D6998">
              <w:rPr>
                <w:rFonts w:ascii="Times New Roman" w:hAnsi="Times New Roman"/>
                <w:vertAlign w:val="superscript"/>
              </w:rPr>
              <w:t>1</w:t>
            </w:r>
            <w:r w:rsidRPr="005D6998">
              <w:rPr>
                <w:rFonts w:ascii="Times New Roman" w:hAnsi="Times New Roman"/>
              </w:rPr>
              <w:t>,”;</w:t>
            </w:r>
          </w:p>
          <w:p w14:paraId="21D1A671"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02EB147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F7DFEA4"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6F9E9D63" w14:textId="77777777" w:rsidR="008E7C06" w:rsidRPr="005D6998" w:rsidRDefault="008E7C06" w:rsidP="00A46332">
            <w:pPr>
              <w:pStyle w:val="Default"/>
              <w:jc w:val="both"/>
              <w:rPr>
                <w:sz w:val="22"/>
                <w:szCs w:val="22"/>
              </w:rPr>
            </w:pPr>
            <w:r w:rsidRPr="005D6998">
              <w:rPr>
                <w:sz w:val="22"/>
                <w:szCs w:val="22"/>
              </w:rPr>
              <w:t>La pct. 100, modificarea propusă la art. 117 alin. (1) urmează a fi revăzută, deoarece este ambiguă și nu asigură claritate normei, ca urmare a modificării. Astfel, se va analiza substituirea cuvântului „Societățile” cu textul „Sub rezerva art. 116</w:t>
            </w:r>
            <w:r w:rsidRPr="005D6998">
              <w:rPr>
                <w:sz w:val="22"/>
                <w:szCs w:val="22"/>
                <w:vertAlign w:val="superscript"/>
              </w:rPr>
              <w:t>1</w:t>
            </w:r>
            <w:r w:rsidRPr="005D6998">
              <w:rPr>
                <w:sz w:val="22"/>
                <w:szCs w:val="22"/>
              </w:rPr>
              <w:t>, Societățile”.</w:t>
            </w:r>
          </w:p>
        </w:tc>
        <w:tc>
          <w:tcPr>
            <w:tcW w:w="4960" w:type="dxa"/>
            <w:gridSpan w:val="3"/>
            <w:shd w:val="clear" w:color="auto" w:fill="FFFFFF"/>
          </w:tcPr>
          <w:p w14:paraId="3308DE9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Se</w:t>
            </w:r>
            <w:r w:rsidRPr="005D6998">
              <w:rPr>
                <w:rFonts w:ascii="Times New Roman" w:hAnsi="Times New Roman"/>
              </w:rPr>
              <w:t xml:space="preserve"> </w:t>
            </w:r>
            <w:r w:rsidRPr="005D6998">
              <w:rPr>
                <w:rFonts w:ascii="Times New Roman" w:hAnsi="Times New Roman"/>
                <w:b/>
                <w:bCs/>
              </w:rPr>
              <w:t>acceptă.</w:t>
            </w:r>
          </w:p>
          <w:p w14:paraId="764F476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tc>
      </w:tr>
      <w:tr w:rsidR="008E7C06" w:rsidRPr="005D6998" w14:paraId="0193B06F" w14:textId="77777777" w:rsidTr="00651F58">
        <w:trPr>
          <w:gridAfter w:val="2"/>
          <w:wAfter w:w="153" w:type="dxa"/>
          <w:trHeight w:val="105"/>
        </w:trPr>
        <w:tc>
          <w:tcPr>
            <w:tcW w:w="899" w:type="dxa"/>
            <w:gridSpan w:val="3"/>
            <w:shd w:val="clear" w:color="auto" w:fill="FFFFFF"/>
          </w:tcPr>
          <w:p w14:paraId="0C0817DD"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D8822CC"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101</w:t>
            </w:r>
            <w:r w:rsidRPr="005D6998">
              <w:rPr>
                <w:rFonts w:ascii="Times New Roman" w:hAnsi="Times New Roman"/>
              </w:rPr>
              <w:t>. Articolul 118,</w:t>
            </w:r>
          </w:p>
          <w:p w14:paraId="5AABB7B6"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la alineatul (2), textul „Legea nr.407/2006 cu privire la asigurări” se substituie cu textul „Legea nr. 92/2023 privind activitatea de asigurare sau de reasigurare” iar după cuvintele “sectorul de asigurări,” se completează cu textul „în cazul în care aceasta este dintr-un alt stat”;</w:t>
            </w:r>
          </w:p>
          <w:p w14:paraId="08B3A58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6EE1C870"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6D36AD2" w14:textId="77777777" w:rsidR="008E7C06" w:rsidRPr="005D6998" w:rsidRDefault="008E7C06" w:rsidP="008E7C06">
            <w:pPr>
              <w:pStyle w:val="a7"/>
              <w:numPr>
                <w:ilvl w:val="0"/>
                <w:numId w:val="41"/>
              </w:numPr>
              <w:tabs>
                <w:tab w:val="left" w:pos="346"/>
                <w:tab w:val="left" w:pos="884"/>
                <w:tab w:val="left" w:pos="1196"/>
              </w:tabs>
              <w:spacing w:after="0" w:line="240" w:lineRule="auto"/>
              <w:ind w:left="0"/>
              <w:jc w:val="right"/>
              <w:rPr>
                <w:rFonts w:ascii="Times New Roman" w:hAnsi="Times New Roman"/>
                <w:bCs/>
              </w:rPr>
            </w:pPr>
          </w:p>
        </w:tc>
        <w:tc>
          <w:tcPr>
            <w:tcW w:w="4110" w:type="dxa"/>
            <w:gridSpan w:val="2"/>
            <w:shd w:val="clear" w:color="auto" w:fill="FFFFFF"/>
          </w:tcPr>
          <w:p w14:paraId="57B5D720" w14:textId="77777777" w:rsidR="008E7C06" w:rsidRPr="005D6998" w:rsidRDefault="008E7C06" w:rsidP="00A46332">
            <w:pPr>
              <w:pStyle w:val="Default"/>
              <w:jc w:val="both"/>
              <w:rPr>
                <w:sz w:val="22"/>
                <w:szCs w:val="22"/>
              </w:rPr>
            </w:pPr>
            <w:r w:rsidRPr="005D6998">
              <w:rPr>
                <w:sz w:val="22"/>
                <w:szCs w:val="22"/>
              </w:rPr>
              <w:t>La pct. 101, textul „Legea nr. 92/2023” se va substitui cu textul „Legea nr. 92/2022”.</w:t>
            </w:r>
          </w:p>
        </w:tc>
        <w:tc>
          <w:tcPr>
            <w:tcW w:w="4960" w:type="dxa"/>
            <w:gridSpan w:val="3"/>
            <w:shd w:val="clear" w:color="auto" w:fill="FFFFFF"/>
          </w:tcPr>
          <w:p w14:paraId="760AC27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Se</w:t>
            </w:r>
            <w:r w:rsidRPr="005D6998">
              <w:rPr>
                <w:rFonts w:ascii="Times New Roman" w:hAnsi="Times New Roman"/>
              </w:rPr>
              <w:t xml:space="preserve"> </w:t>
            </w:r>
            <w:r w:rsidRPr="005D6998">
              <w:rPr>
                <w:rFonts w:ascii="Times New Roman" w:hAnsi="Times New Roman"/>
                <w:b/>
                <w:bCs/>
              </w:rPr>
              <w:t>acceptă.</w:t>
            </w:r>
          </w:p>
          <w:p w14:paraId="15D4036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tc>
      </w:tr>
      <w:tr w:rsidR="008E7C06" w:rsidRPr="005D6998" w14:paraId="7432EBCD" w14:textId="77777777" w:rsidTr="00651F58">
        <w:trPr>
          <w:gridAfter w:val="2"/>
          <w:wAfter w:w="153" w:type="dxa"/>
          <w:trHeight w:val="105"/>
        </w:trPr>
        <w:tc>
          <w:tcPr>
            <w:tcW w:w="899" w:type="dxa"/>
            <w:gridSpan w:val="3"/>
            <w:shd w:val="clear" w:color="auto" w:fill="FFFFFF"/>
          </w:tcPr>
          <w:p w14:paraId="19E44B46"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62871B4"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103</w:t>
            </w:r>
            <w:r w:rsidRPr="005D6998">
              <w:rPr>
                <w:rFonts w:ascii="Times New Roman" w:hAnsi="Times New Roman"/>
              </w:rPr>
              <w:t>. Articolul 120, după cuvintele „alt stat ” se completează cu cuvântul „membru”.</w:t>
            </w:r>
          </w:p>
        </w:tc>
        <w:tc>
          <w:tcPr>
            <w:tcW w:w="1418" w:type="dxa"/>
            <w:gridSpan w:val="2"/>
            <w:shd w:val="clear" w:color="auto" w:fill="FFFFFF"/>
          </w:tcPr>
          <w:p w14:paraId="389EF15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49DDB84" w14:textId="7C1F320A"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100</w:t>
            </w:r>
          </w:p>
        </w:tc>
        <w:tc>
          <w:tcPr>
            <w:tcW w:w="4110" w:type="dxa"/>
            <w:gridSpan w:val="2"/>
            <w:shd w:val="clear" w:color="auto" w:fill="FFFFFF"/>
          </w:tcPr>
          <w:p w14:paraId="76FB3E47" w14:textId="77777777" w:rsidR="008E7C06" w:rsidRPr="005D6998" w:rsidRDefault="008E7C06" w:rsidP="00A46332">
            <w:pPr>
              <w:pStyle w:val="Default"/>
              <w:jc w:val="both"/>
              <w:rPr>
                <w:sz w:val="22"/>
                <w:szCs w:val="22"/>
              </w:rPr>
            </w:pPr>
            <w:r w:rsidRPr="005D6998">
              <w:rPr>
                <w:sz w:val="22"/>
                <w:szCs w:val="22"/>
              </w:rPr>
              <w:t>La pct. 103, textul „Articolul 120” se va substitui cu textul „În tot textul articolului 120”.</w:t>
            </w:r>
          </w:p>
        </w:tc>
        <w:tc>
          <w:tcPr>
            <w:tcW w:w="4960" w:type="dxa"/>
            <w:gridSpan w:val="3"/>
            <w:shd w:val="clear" w:color="auto" w:fill="FFFFFF"/>
          </w:tcPr>
          <w:p w14:paraId="1F91162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Se</w:t>
            </w:r>
            <w:r w:rsidRPr="005D6998">
              <w:rPr>
                <w:rFonts w:ascii="Times New Roman" w:hAnsi="Times New Roman"/>
              </w:rPr>
              <w:t xml:space="preserve"> </w:t>
            </w:r>
            <w:r w:rsidRPr="005D6998">
              <w:rPr>
                <w:rFonts w:ascii="Times New Roman" w:hAnsi="Times New Roman"/>
                <w:b/>
                <w:bCs/>
              </w:rPr>
              <w:t>acceptă.</w:t>
            </w:r>
          </w:p>
          <w:p w14:paraId="1C0B2FB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tc>
      </w:tr>
      <w:tr w:rsidR="008E7C06" w:rsidRPr="005D6998" w14:paraId="6C406046" w14:textId="77777777" w:rsidTr="00651F58">
        <w:trPr>
          <w:gridAfter w:val="2"/>
          <w:wAfter w:w="153" w:type="dxa"/>
          <w:trHeight w:val="105"/>
        </w:trPr>
        <w:tc>
          <w:tcPr>
            <w:tcW w:w="899" w:type="dxa"/>
            <w:gridSpan w:val="3"/>
            <w:shd w:val="clear" w:color="auto" w:fill="FFFFFF"/>
          </w:tcPr>
          <w:p w14:paraId="608D13A1"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F36E095"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106</w:t>
            </w:r>
            <w:r w:rsidRPr="005D6998">
              <w:rPr>
                <w:rFonts w:ascii="Times New Roman" w:hAnsi="Times New Roman"/>
              </w:rPr>
              <w:t>. Articolul 124 va avea următorul cuprins:</w:t>
            </w:r>
          </w:p>
          <w:p w14:paraId="1752667C"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w:t>
            </w:r>
            <w:r w:rsidRPr="005D6998">
              <w:rPr>
                <w:rFonts w:ascii="Times New Roman" w:hAnsi="Times New Roman"/>
                <w:b/>
                <w:bCs/>
              </w:rPr>
              <w:t>Articolul 124.</w:t>
            </w:r>
            <w:r w:rsidRPr="005D6998">
              <w:rPr>
                <w:rFonts w:ascii="Times New Roman" w:hAnsi="Times New Roman"/>
              </w:rPr>
              <w:t xml:space="preserve"> Măsuri, penalități cu titlu cominatoriu şi sancţiuni aplicabile societăţilor financiare holding</w:t>
            </w:r>
            <w:bookmarkStart w:id="31" w:name="_Hlk215571545"/>
            <w:r w:rsidRPr="005D6998">
              <w:rPr>
                <w:rFonts w:ascii="Times New Roman" w:hAnsi="Times New Roman"/>
              </w:rPr>
              <w:t>, societăților financiare holding mixte și societăților holding cu activitate mixtă</w:t>
            </w:r>
            <w:bookmarkEnd w:id="31"/>
          </w:p>
          <w:p w14:paraId="4F3258EB"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În cazul în care o societate financiară holding, o societate financiară holding mixtă, o societate holding cu activitate mixtă sau membrii organului de conducere al acestora nu se conformează dispoziţiilor prezentului </w:t>
            </w:r>
            <w:r w:rsidRPr="005D6998">
              <w:rPr>
                <w:rFonts w:ascii="Times New Roman" w:hAnsi="Times New Roman"/>
              </w:rPr>
              <w:lastRenderedPageBreak/>
              <w:t>capitol şi ale actelor normative sau măsurilor adoptate în aplicarea prezentei legi, Banca Naţională a Moldovei, în calitate de autoritate competentă responsabilă cu supravegherea pe bază consolidată, poate dispune, măsurile, penalitățile cu titlu cominatoriu sau sancţiunile prevăzute la titlul V, capitolul V.”.</w:t>
            </w:r>
          </w:p>
        </w:tc>
        <w:tc>
          <w:tcPr>
            <w:tcW w:w="1418" w:type="dxa"/>
            <w:gridSpan w:val="2"/>
            <w:shd w:val="clear" w:color="auto" w:fill="FFFFFF"/>
          </w:tcPr>
          <w:p w14:paraId="598A2036"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302A697" w14:textId="308B52D0" w:rsidR="008E7C06" w:rsidRPr="005D6998" w:rsidRDefault="00244DE3" w:rsidP="00244DE3">
            <w:pPr>
              <w:pStyle w:val="a7"/>
              <w:tabs>
                <w:tab w:val="left" w:pos="346"/>
                <w:tab w:val="left" w:pos="884"/>
                <w:tab w:val="left" w:pos="1196"/>
              </w:tabs>
              <w:spacing w:after="0" w:line="240" w:lineRule="auto"/>
              <w:ind w:left="0"/>
              <w:rPr>
                <w:rFonts w:ascii="Times New Roman" w:hAnsi="Times New Roman"/>
                <w:b/>
                <w:bCs/>
              </w:rPr>
            </w:pPr>
            <w:r w:rsidRPr="005D6998">
              <w:rPr>
                <w:rFonts w:ascii="Times New Roman" w:hAnsi="Times New Roman"/>
                <w:b/>
                <w:bCs/>
              </w:rPr>
              <w:t>101</w:t>
            </w:r>
          </w:p>
        </w:tc>
        <w:tc>
          <w:tcPr>
            <w:tcW w:w="4110" w:type="dxa"/>
            <w:gridSpan w:val="2"/>
            <w:shd w:val="clear" w:color="auto" w:fill="FFFFFF"/>
          </w:tcPr>
          <w:p w14:paraId="37BDA2B5" w14:textId="77777777" w:rsidR="008E7C06" w:rsidRPr="005D6998" w:rsidRDefault="008E7C06" w:rsidP="00A46332">
            <w:pPr>
              <w:pStyle w:val="Default"/>
              <w:jc w:val="both"/>
              <w:rPr>
                <w:sz w:val="22"/>
                <w:szCs w:val="22"/>
              </w:rPr>
            </w:pPr>
            <w:r w:rsidRPr="005D6998">
              <w:rPr>
                <w:sz w:val="22"/>
                <w:szCs w:val="22"/>
              </w:rPr>
              <w:t>La pct. 106, în redacția propusă pentru art. 124, textul „capitolul V” se va substitui cu textul „capitolul 5”.</w:t>
            </w:r>
          </w:p>
        </w:tc>
        <w:tc>
          <w:tcPr>
            <w:tcW w:w="4960" w:type="dxa"/>
            <w:gridSpan w:val="3"/>
            <w:shd w:val="clear" w:color="auto" w:fill="FFFFFF"/>
          </w:tcPr>
          <w:p w14:paraId="0117C7E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Se</w:t>
            </w:r>
            <w:r w:rsidRPr="005D6998">
              <w:rPr>
                <w:rFonts w:ascii="Times New Roman" w:hAnsi="Times New Roman"/>
              </w:rPr>
              <w:t xml:space="preserve"> </w:t>
            </w:r>
            <w:r w:rsidRPr="005D6998">
              <w:rPr>
                <w:rFonts w:ascii="Times New Roman" w:hAnsi="Times New Roman"/>
                <w:b/>
                <w:bCs/>
              </w:rPr>
              <w:t>acceptă.</w:t>
            </w:r>
          </w:p>
          <w:p w14:paraId="085CD41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tc>
      </w:tr>
      <w:tr w:rsidR="008E7C06" w:rsidRPr="005D6998" w14:paraId="628E556A" w14:textId="77777777" w:rsidTr="00651F58">
        <w:trPr>
          <w:gridAfter w:val="2"/>
          <w:wAfter w:w="153" w:type="dxa"/>
          <w:trHeight w:val="105"/>
        </w:trPr>
        <w:tc>
          <w:tcPr>
            <w:tcW w:w="899" w:type="dxa"/>
            <w:gridSpan w:val="3"/>
            <w:shd w:val="clear" w:color="auto" w:fill="FFFFFF"/>
          </w:tcPr>
          <w:p w14:paraId="7CBA496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1A0346B"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111</w:t>
            </w:r>
            <w:r w:rsidRPr="005D6998">
              <w:rPr>
                <w:rFonts w:ascii="Times New Roman" w:hAnsi="Times New Roman"/>
              </w:rPr>
              <w:t>. Articolul 128:</w:t>
            </w:r>
          </w:p>
          <w:p w14:paraId="4A07A18C"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w:t>
            </w:r>
          </w:p>
          <w:p w14:paraId="21CD45F0"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se completează cu alineatele (3) – (5) cu următorul cuprins:</w:t>
            </w:r>
          </w:p>
          <w:p w14:paraId="5B00C601"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w:t>
            </w:r>
            <w:r w:rsidRPr="005D6998" w:rsidDel="00934389">
              <w:rPr>
                <w:rFonts w:ascii="Times New Roman" w:hAnsi="Times New Roman"/>
              </w:rPr>
              <w:t xml:space="preserve"> </w:t>
            </w:r>
          </w:p>
          <w:p w14:paraId="47B8E895"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(4) În cazul în care evaluează îndeplinirea cerințelor prevăzute la art. 43 – 43</w:t>
            </w:r>
            <w:r w:rsidRPr="005D6998">
              <w:rPr>
                <w:rFonts w:ascii="Times New Roman" w:hAnsi="Times New Roman"/>
                <w:vertAlign w:val="superscript"/>
              </w:rPr>
              <w:t>1</w:t>
            </w:r>
            <w:r w:rsidRPr="005D6998">
              <w:rPr>
                <w:rFonts w:ascii="Times New Roman" w:hAnsi="Times New Roman"/>
              </w:rPr>
              <w:t xml:space="preserve"> de către membrii organului de conducere, persoanele cu funcții cheie, Banca Națională a Moldovei poate consulta baza de date centrală aferentă combaterii spălării banilor şi finanţării terorismului, instituită de Autoritatea pentru Combaterea Spălării Banilor și a Finanțării Terorismului de la nivelul UE, dacă i s-a acordat acces la aceasta.</w:t>
            </w:r>
          </w:p>
          <w:p w14:paraId="1BBF7C44"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 xml:space="preserve">(5) Banca Națională a Moldovei are dreptul de a verifica existența unei condamnări relevante în cazierul judiciar al persoanelor menționate la alin. (4) în registrele criminalistice și criminologice stabilite de Guvern.”. </w:t>
            </w:r>
          </w:p>
        </w:tc>
        <w:tc>
          <w:tcPr>
            <w:tcW w:w="1418" w:type="dxa"/>
            <w:gridSpan w:val="2"/>
            <w:shd w:val="clear" w:color="auto" w:fill="FFFFFF"/>
          </w:tcPr>
          <w:p w14:paraId="1C0EF1E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463036A" w14:textId="08387BF8"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102</w:t>
            </w:r>
          </w:p>
        </w:tc>
        <w:tc>
          <w:tcPr>
            <w:tcW w:w="4110" w:type="dxa"/>
            <w:gridSpan w:val="2"/>
            <w:shd w:val="clear" w:color="auto" w:fill="FFFFFF"/>
          </w:tcPr>
          <w:p w14:paraId="65869A79" w14:textId="77777777" w:rsidR="008E7C06" w:rsidRPr="005D6998" w:rsidRDefault="008E7C06" w:rsidP="00A46332">
            <w:pPr>
              <w:pStyle w:val="Default"/>
              <w:jc w:val="both"/>
              <w:rPr>
                <w:sz w:val="22"/>
                <w:szCs w:val="22"/>
              </w:rPr>
            </w:pPr>
            <w:r w:rsidRPr="005D6998">
              <w:rPr>
                <w:sz w:val="22"/>
                <w:szCs w:val="22"/>
              </w:rPr>
              <w:t xml:space="preserve">La pct. 111: </w:t>
            </w:r>
          </w:p>
          <w:p w14:paraId="77E11129" w14:textId="77777777" w:rsidR="008E7C06" w:rsidRPr="005D6998" w:rsidRDefault="008E7C06" w:rsidP="00A46332">
            <w:pPr>
              <w:pStyle w:val="Default"/>
              <w:jc w:val="both"/>
              <w:rPr>
                <w:sz w:val="22"/>
                <w:szCs w:val="22"/>
              </w:rPr>
            </w:pPr>
            <w:r w:rsidRPr="005D6998">
              <w:rPr>
                <w:sz w:val="22"/>
                <w:szCs w:val="22"/>
              </w:rPr>
              <w:t xml:space="preserve">Dispoziția propusă la art. 128 alin. (4) considerăm necesar a fi reformulată, pentru a se expune cu mai multă claritate. </w:t>
            </w:r>
          </w:p>
          <w:p w14:paraId="105C3FBE" w14:textId="77777777" w:rsidR="008E7C06" w:rsidRPr="005D6998" w:rsidRDefault="008E7C06" w:rsidP="00A46332">
            <w:pPr>
              <w:pStyle w:val="Default"/>
              <w:jc w:val="both"/>
              <w:rPr>
                <w:sz w:val="22"/>
                <w:szCs w:val="22"/>
              </w:rPr>
            </w:pPr>
          </w:p>
          <w:p w14:paraId="3E061A97" w14:textId="77777777" w:rsidR="008E7C06" w:rsidRPr="005D6998" w:rsidRDefault="008E7C06" w:rsidP="00A46332">
            <w:pPr>
              <w:pStyle w:val="Default"/>
              <w:jc w:val="both"/>
              <w:rPr>
                <w:sz w:val="22"/>
                <w:szCs w:val="22"/>
              </w:rPr>
            </w:pPr>
            <w:r w:rsidRPr="005D6998">
              <w:rPr>
                <w:sz w:val="22"/>
                <w:szCs w:val="22"/>
              </w:rPr>
              <w:t>În alin. (5) al art. 128, expresia „registrele criminalistice și criminologice stabilite de Guvern” sugerăm a fi substituită cu expresia „Registrul informației criminalistice şi criminologice”, în corespundere cu dispozițiile Legii nr. 216/2003 cu privire la Sistemul informațional integrat automatizat de evidență a infracțiunilor, a cauzelor penale şi a persoanelor care au săvârșit infracțiuni. Mai mult, în contextul în care potrivit art. 23 alin. (2) din legea citată, modalitatea de eliberare a informației din Sistem se stabilește de către Ministerul Afacerilor Interne, considerăm necesară coordonarea proiectului în cauză, în mod special, a redacției propuse pentru art. 128 alin. (5) al Legii nr. 202/2017, cu Ministerul Afacerilor Interne.</w:t>
            </w:r>
          </w:p>
        </w:tc>
        <w:tc>
          <w:tcPr>
            <w:tcW w:w="4960" w:type="dxa"/>
            <w:gridSpan w:val="3"/>
            <w:shd w:val="clear" w:color="auto" w:fill="FFFFFF"/>
          </w:tcPr>
          <w:p w14:paraId="0B36E009"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533D703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Art. 128 alin. (4) redactat după cum urmează:</w:t>
            </w:r>
          </w:p>
          <w:p w14:paraId="7705E71B" w14:textId="77777777" w:rsidR="008E7C06" w:rsidRPr="005D6998" w:rsidRDefault="008E7C06" w:rsidP="00A46332">
            <w:pPr>
              <w:pStyle w:val="a7"/>
              <w:tabs>
                <w:tab w:val="left" w:pos="426"/>
              </w:tabs>
              <w:spacing w:after="0" w:line="240" w:lineRule="auto"/>
              <w:ind w:left="0"/>
              <w:jc w:val="both"/>
              <w:rPr>
                <w:rFonts w:ascii="Times New Roman" w:hAnsi="Times New Roman"/>
                <w:lang w:val="it-CH"/>
              </w:rPr>
            </w:pPr>
            <w:r w:rsidRPr="005D6998">
              <w:rPr>
                <w:rFonts w:ascii="Times New Roman" w:hAnsi="Times New Roman"/>
                <w:lang w:val="it-CH"/>
              </w:rPr>
              <w:t>“</w:t>
            </w:r>
            <w:r w:rsidRPr="005D6998">
              <w:rPr>
                <w:rFonts w:ascii="Times New Roman" w:hAnsi="Times New Roman"/>
                <w:b/>
                <w:bCs/>
              </w:rPr>
              <w:t>La evaluarea îndeplinirii</w:t>
            </w:r>
            <w:r w:rsidRPr="005D6998">
              <w:rPr>
                <w:rFonts w:ascii="Times New Roman" w:hAnsi="Times New Roman"/>
              </w:rPr>
              <w:t xml:space="preserve"> cerințelor prevăzute la art. 43 și43</w:t>
            </w:r>
            <w:r w:rsidRPr="005D6998">
              <w:rPr>
                <w:rFonts w:ascii="Times New Roman" w:hAnsi="Times New Roman"/>
                <w:vertAlign w:val="superscript"/>
              </w:rPr>
              <w:t>1</w:t>
            </w:r>
            <w:r w:rsidRPr="005D6998">
              <w:rPr>
                <w:rFonts w:ascii="Times New Roman" w:hAnsi="Times New Roman"/>
              </w:rPr>
              <w:t xml:space="preserve"> de către membrii organului de conducere, persoanele cu funcții cheie, Banca Națională a Moldovei poate consulta baza de date centrală aferentă combaterii spălării banilor şi finanţării terorismului, instituită de Autoritatea pentru Combaterea Spălării Banilor și a Finanțării Terorismului de la nivelul UE, dacă i s-a acordat acces la aceasta.</w:t>
            </w:r>
            <w:r w:rsidRPr="005D6998">
              <w:rPr>
                <w:rFonts w:ascii="Times New Roman" w:hAnsi="Times New Roman"/>
                <w:lang w:val="it-CH"/>
              </w:rPr>
              <w:t>”.</w:t>
            </w:r>
          </w:p>
          <w:p w14:paraId="387FF8CF" w14:textId="77777777" w:rsidR="008E7C06" w:rsidRPr="005D6998" w:rsidRDefault="008E7C06" w:rsidP="00A46332">
            <w:pPr>
              <w:pStyle w:val="a7"/>
              <w:tabs>
                <w:tab w:val="left" w:pos="426"/>
              </w:tabs>
              <w:spacing w:after="0" w:line="240" w:lineRule="auto"/>
              <w:ind w:left="0"/>
              <w:jc w:val="both"/>
              <w:rPr>
                <w:rFonts w:ascii="Times New Roman" w:hAnsi="Times New Roman"/>
                <w:lang w:val="it-CH"/>
              </w:rPr>
            </w:pPr>
          </w:p>
          <w:p w14:paraId="2078FCBC" w14:textId="77777777" w:rsidR="008E7C06" w:rsidRPr="005D6998" w:rsidRDefault="008E7C06" w:rsidP="00A46332">
            <w:pPr>
              <w:pStyle w:val="a7"/>
              <w:tabs>
                <w:tab w:val="left" w:pos="426"/>
              </w:tabs>
              <w:spacing w:after="0" w:line="240" w:lineRule="auto"/>
              <w:ind w:left="0"/>
              <w:jc w:val="both"/>
              <w:rPr>
                <w:rFonts w:ascii="Times New Roman" w:hAnsi="Times New Roman"/>
                <w:lang w:val="it-CH"/>
              </w:rPr>
            </w:pPr>
            <w:r w:rsidRPr="005D6998">
              <w:rPr>
                <w:rFonts w:ascii="Times New Roman" w:hAnsi="Times New Roman"/>
                <w:lang w:val="it-CH"/>
              </w:rPr>
              <w:t>Alin. (5) a art. 128 se redactează conform propunerii:</w:t>
            </w:r>
          </w:p>
          <w:p w14:paraId="5C848279" w14:textId="77777777" w:rsidR="008E7C06" w:rsidRPr="005D6998" w:rsidRDefault="008E7C06" w:rsidP="00A46332">
            <w:pPr>
              <w:spacing w:after="0" w:line="240" w:lineRule="auto"/>
              <w:jc w:val="both"/>
              <w:rPr>
                <w:rFonts w:ascii="Times New Roman" w:hAnsi="Times New Roman"/>
                <w:lang w:val="en-US"/>
              </w:rPr>
            </w:pPr>
            <w:r w:rsidRPr="005D6998">
              <w:rPr>
                <w:rFonts w:ascii="Times New Roman" w:hAnsi="Times New Roman"/>
                <w:lang w:val="it-CH"/>
              </w:rPr>
              <w:t>“</w:t>
            </w:r>
            <w:r w:rsidRPr="005D6998">
              <w:rPr>
                <w:rFonts w:ascii="Times New Roman" w:hAnsi="Times New Roman"/>
              </w:rPr>
              <w:t xml:space="preserve">(5) Banca Națională a Moldovei are dreptul de a verifica existența unei condamnări relevante în cazierul judiciar al persoanelor menționate la alin. (4) în Registrul informației criminalistice și criminologice stabilit de Guvern.”. </w:t>
            </w:r>
          </w:p>
        </w:tc>
      </w:tr>
      <w:tr w:rsidR="008E7C06" w:rsidRPr="005D6998" w14:paraId="76E7C5DE" w14:textId="77777777" w:rsidTr="00651F58">
        <w:trPr>
          <w:gridAfter w:val="2"/>
          <w:wAfter w:w="153" w:type="dxa"/>
          <w:trHeight w:val="105"/>
        </w:trPr>
        <w:tc>
          <w:tcPr>
            <w:tcW w:w="899" w:type="dxa"/>
            <w:gridSpan w:val="3"/>
            <w:shd w:val="clear" w:color="auto" w:fill="FFFFFF"/>
          </w:tcPr>
          <w:p w14:paraId="096FAE36"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C7AF3E8"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112</w:t>
            </w:r>
            <w:r w:rsidRPr="005D6998">
              <w:rPr>
                <w:rFonts w:ascii="Times New Roman" w:hAnsi="Times New Roman"/>
              </w:rPr>
              <w:t>. Se completează cu articolul 128</w:t>
            </w:r>
            <w:r w:rsidRPr="005D6998">
              <w:rPr>
                <w:rFonts w:ascii="Times New Roman" w:hAnsi="Times New Roman"/>
                <w:vertAlign w:val="superscript"/>
              </w:rPr>
              <w:t>1</w:t>
            </w:r>
            <w:r w:rsidRPr="005D6998">
              <w:rPr>
                <w:rFonts w:ascii="Times New Roman" w:hAnsi="Times New Roman"/>
              </w:rPr>
              <w:t xml:space="preserve"> cu următorul cuprins:</w:t>
            </w:r>
          </w:p>
          <w:p w14:paraId="33EBDE27"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w:t>
            </w:r>
            <w:r w:rsidRPr="005D6998">
              <w:rPr>
                <w:rFonts w:ascii="Times New Roman" w:hAnsi="Times New Roman"/>
                <w:b/>
                <w:bCs/>
              </w:rPr>
              <w:t>Articolul 128</w:t>
            </w:r>
            <w:r w:rsidRPr="005D6998">
              <w:rPr>
                <w:rFonts w:ascii="Times New Roman" w:hAnsi="Times New Roman"/>
                <w:b/>
                <w:bCs/>
                <w:vertAlign w:val="superscript"/>
              </w:rPr>
              <w:t>1</w:t>
            </w:r>
            <w:r w:rsidRPr="005D6998">
              <w:rPr>
                <w:rFonts w:ascii="Times New Roman" w:hAnsi="Times New Roman"/>
                <w:b/>
                <w:bCs/>
              </w:rPr>
              <w:t xml:space="preserve">. </w:t>
            </w:r>
            <w:r w:rsidRPr="005D6998">
              <w:rPr>
                <w:rFonts w:ascii="Times New Roman" w:hAnsi="Times New Roman"/>
              </w:rPr>
              <w:t>Cooperarea în cadrul Sistemului european al supraveghetorilor financiari</w:t>
            </w:r>
          </w:p>
          <w:p w14:paraId="7AB653F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w:t>
            </w:r>
            <w:r w:rsidRPr="005D6998" w:rsidDel="004C0B69">
              <w:rPr>
                <w:rFonts w:ascii="Times New Roman" w:hAnsi="Times New Roman"/>
              </w:rPr>
              <w:t xml:space="preserve"> </w:t>
            </w:r>
          </w:p>
          <w:p w14:paraId="3FBFDD6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lastRenderedPageBreak/>
              <w:t>(2) În scopul aplicării alin. (1), Banca Națională a Moldovei:</w:t>
            </w:r>
          </w:p>
          <w:p w14:paraId="3E9CCA59"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a) ca parte a Sistemului european al supraveghetorilor financiari, cooperează în spiritul încrederii și al respectului deplin și reciproc, în special pentru a asigura fluxul de informații corespunzătoare și credibile cu celelalte părţi ale Sistemului european al supraveghetorilor financiari, în conformitate cu principiul cooperării loiale prevăzut la art. 4 alin. (3) din Tratatul privind UE;</w:t>
            </w:r>
          </w:p>
        </w:tc>
        <w:tc>
          <w:tcPr>
            <w:tcW w:w="1418" w:type="dxa"/>
            <w:gridSpan w:val="2"/>
            <w:shd w:val="clear" w:color="auto" w:fill="FFFFFF"/>
          </w:tcPr>
          <w:p w14:paraId="200B98B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7ED8867" w14:textId="344B48D5"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103</w:t>
            </w:r>
          </w:p>
        </w:tc>
        <w:tc>
          <w:tcPr>
            <w:tcW w:w="4110" w:type="dxa"/>
            <w:gridSpan w:val="2"/>
            <w:shd w:val="clear" w:color="auto" w:fill="FFFFFF"/>
          </w:tcPr>
          <w:p w14:paraId="6E96C9E8" w14:textId="77777777" w:rsidR="008E7C06" w:rsidRPr="005D6998" w:rsidRDefault="008E7C06" w:rsidP="00A46332">
            <w:pPr>
              <w:pStyle w:val="Default"/>
              <w:jc w:val="both"/>
              <w:rPr>
                <w:sz w:val="22"/>
                <w:szCs w:val="22"/>
              </w:rPr>
            </w:pPr>
            <w:r w:rsidRPr="005D6998">
              <w:rPr>
                <w:sz w:val="22"/>
                <w:szCs w:val="22"/>
              </w:rPr>
              <w:t xml:space="preserve">La pct. 112: </w:t>
            </w:r>
          </w:p>
          <w:p w14:paraId="29CCB81A" w14:textId="77777777" w:rsidR="008E7C06" w:rsidRPr="005D6998" w:rsidRDefault="008E7C06" w:rsidP="00A46332">
            <w:pPr>
              <w:pStyle w:val="Default"/>
              <w:jc w:val="both"/>
              <w:rPr>
                <w:sz w:val="22"/>
                <w:szCs w:val="22"/>
              </w:rPr>
            </w:pPr>
            <w:r w:rsidRPr="005D6998">
              <w:rPr>
                <w:sz w:val="22"/>
                <w:szCs w:val="22"/>
              </w:rPr>
              <w:t>În redacția art. 128</w:t>
            </w:r>
            <w:r w:rsidRPr="005D6998">
              <w:rPr>
                <w:sz w:val="22"/>
                <w:szCs w:val="22"/>
                <w:vertAlign w:val="superscript"/>
              </w:rPr>
              <w:t>1</w:t>
            </w:r>
            <w:r w:rsidRPr="005D6998">
              <w:rPr>
                <w:sz w:val="22"/>
                <w:szCs w:val="22"/>
              </w:rPr>
              <w:t xml:space="preserve"> alin. (2) lit. a) al Legii nr. 202/2017, cuvintele „tratatul privind UE” se vor substitui cu referința la denumirea deplină a tratatului.</w:t>
            </w:r>
          </w:p>
        </w:tc>
        <w:tc>
          <w:tcPr>
            <w:tcW w:w="4960" w:type="dxa"/>
            <w:gridSpan w:val="3"/>
            <w:shd w:val="clear" w:color="auto" w:fill="FFFFFF"/>
          </w:tcPr>
          <w:p w14:paraId="2DBF89C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2816347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Referința redactată – Tratatul privind Uniunea Europeană.</w:t>
            </w:r>
          </w:p>
        </w:tc>
      </w:tr>
      <w:tr w:rsidR="008E7C06" w:rsidRPr="005D6998" w14:paraId="45B0B12C" w14:textId="77777777" w:rsidTr="00651F58">
        <w:trPr>
          <w:gridAfter w:val="2"/>
          <w:wAfter w:w="153" w:type="dxa"/>
          <w:trHeight w:val="105"/>
        </w:trPr>
        <w:tc>
          <w:tcPr>
            <w:tcW w:w="899" w:type="dxa"/>
            <w:gridSpan w:val="3"/>
            <w:shd w:val="clear" w:color="auto" w:fill="FFFFFF"/>
          </w:tcPr>
          <w:p w14:paraId="349ED38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C25C1E0"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114</w:t>
            </w:r>
            <w:r w:rsidRPr="005D6998">
              <w:rPr>
                <w:rFonts w:ascii="Times New Roman" w:hAnsi="Times New Roman"/>
              </w:rPr>
              <w:t xml:space="preserve">. Articolul 130, </w:t>
            </w:r>
          </w:p>
          <w:p w14:paraId="5F8B946D"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la alin. (1)-(5), după cuvintele „alte state” se completează cu cuvântul „membre”,  iar după cuvintele „alt stat” se completează cu cuvântul „membru”.</w:t>
            </w:r>
          </w:p>
        </w:tc>
        <w:tc>
          <w:tcPr>
            <w:tcW w:w="1418" w:type="dxa"/>
            <w:gridSpan w:val="2"/>
            <w:shd w:val="clear" w:color="auto" w:fill="FFFFFF"/>
          </w:tcPr>
          <w:p w14:paraId="08CA0293"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8D1873C" w14:textId="73D81CFB"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104</w:t>
            </w:r>
          </w:p>
        </w:tc>
        <w:tc>
          <w:tcPr>
            <w:tcW w:w="4110" w:type="dxa"/>
            <w:gridSpan w:val="2"/>
            <w:shd w:val="clear" w:color="auto" w:fill="FFFFFF"/>
          </w:tcPr>
          <w:p w14:paraId="293DEDBA" w14:textId="77777777" w:rsidR="008E7C06" w:rsidRPr="005D6998" w:rsidRDefault="008E7C06" w:rsidP="00A46332">
            <w:pPr>
              <w:pStyle w:val="Default"/>
              <w:jc w:val="both"/>
              <w:rPr>
                <w:sz w:val="22"/>
                <w:szCs w:val="22"/>
              </w:rPr>
            </w:pPr>
            <w:r w:rsidRPr="005D6998">
              <w:rPr>
                <w:sz w:val="22"/>
                <w:szCs w:val="22"/>
              </w:rPr>
              <w:t xml:space="preserve">La pct. 114, prima dispoziție se va reformula, după cum urmează: </w:t>
            </w:r>
          </w:p>
          <w:p w14:paraId="47D5C5BF" w14:textId="77777777" w:rsidR="008E7C06" w:rsidRPr="005D6998" w:rsidRDefault="008E7C06" w:rsidP="00A46332">
            <w:pPr>
              <w:pStyle w:val="Default"/>
              <w:jc w:val="both"/>
              <w:rPr>
                <w:color w:val="auto"/>
                <w:sz w:val="22"/>
                <w:szCs w:val="22"/>
              </w:rPr>
            </w:pPr>
            <w:r w:rsidRPr="005D6998">
              <w:rPr>
                <w:sz w:val="22"/>
                <w:szCs w:val="22"/>
              </w:rPr>
              <w:t>„La articolul 130:</w:t>
            </w:r>
          </w:p>
          <w:p w14:paraId="6F100DAB" w14:textId="77777777" w:rsidR="008E7C06" w:rsidRPr="005D6998" w:rsidRDefault="008E7C06" w:rsidP="00A46332">
            <w:pPr>
              <w:pStyle w:val="Default"/>
              <w:jc w:val="both"/>
              <w:rPr>
                <w:sz w:val="22"/>
                <w:szCs w:val="22"/>
              </w:rPr>
            </w:pPr>
            <w:r w:rsidRPr="005D6998">
              <w:rPr>
                <w:color w:val="auto"/>
                <w:sz w:val="22"/>
                <w:szCs w:val="22"/>
              </w:rPr>
              <w:t>în tot textul, cuvintele „alt stat”, la orice formă gramaticală, se completează cu cuvântul „membru”;”. Mai mult, având în vedere că această completare se propune a fi realizată, în principiu, în tot textul Legii nr. 202/2017, se propune ca aceasta să constituie o dispoziție cu caracter general, inclusă printre primele dispoziții ale art. III.</w:t>
            </w:r>
          </w:p>
        </w:tc>
        <w:tc>
          <w:tcPr>
            <w:tcW w:w="4960" w:type="dxa"/>
            <w:gridSpan w:val="3"/>
            <w:shd w:val="clear" w:color="auto" w:fill="FFFFFF"/>
          </w:tcPr>
          <w:p w14:paraId="55E95EC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 xml:space="preserve">Se acceptă. </w:t>
            </w:r>
          </w:p>
          <w:p w14:paraId="74E66D6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p w14:paraId="46FF280F" w14:textId="77777777" w:rsidR="008E7C06" w:rsidRPr="005D6998" w:rsidRDefault="008E7C06" w:rsidP="00A46332">
            <w:pPr>
              <w:pStyle w:val="a7"/>
              <w:tabs>
                <w:tab w:val="left" w:pos="426"/>
              </w:tabs>
              <w:spacing w:after="0" w:line="240" w:lineRule="auto"/>
              <w:ind w:left="0"/>
              <w:jc w:val="both"/>
              <w:rPr>
                <w:rFonts w:ascii="Times New Roman" w:hAnsi="Times New Roman"/>
                <w:lang w:val="it-CH"/>
              </w:rPr>
            </w:pPr>
            <w:r w:rsidRPr="005D6998">
              <w:rPr>
                <w:rFonts w:ascii="Times New Roman" w:hAnsi="Times New Roman"/>
                <w:lang w:val="it-CH"/>
              </w:rPr>
              <w:t>“</w:t>
            </w:r>
            <w:r w:rsidRPr="005D6998">
              <w:rPr>
                <w:rFonts w:ascii="Times New Roman" w:hAnsi="Times New Roman"/>
              </w:rPr>
              <w:t>în tot textul, cuvintele „alt stat”, la orice formă gramaticală, ” se completează cu cuvântul „membru” la forma gramaticală corespunzătoare;</w:t>
            </w:r>
            <w:r w:rsidRPr="005D6998">
              <w:rPr>
                <w:rFonts w:ascii="Times New Roman" w:hAnsi="Times New Roman"/>
                <w:lang w:val="it-CH"/>
              </w:rPr>
              <w:t>”.</w:t>
            </w:r>
          </w:p>
        </w:tc>
      </w:tr>
      <w:tr w:rsidR="008E7C06" w:rsidRPr="005D6998" w14:paraId="6CB3448D" w14:textId="77777777" w:rsidTr="00651F58">
        <w:trPr>
          <w:gridAfter w:val="2"/>
          <w:wAfter w:w="153" w:type="dxa"/>
          <w:trHeight w:val="105"/>
        </w:trPr>
        <w:tc>
          <w:tcPr>
            <w:tcW w:w="899" w:type="dxa"/>
            <w:gridSpan w:val="3"/>
            <w:shd w:val="clear" w:color="auto" w:fill="FFFFFF"/>
          </w:tcPr>
          <w:p w14:paraId="2689CA2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F1C82CD"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115</w:t>
            </w:r>
            <w:r w:rsidRPr="005D6998">
              <w:rPr>
                <w:rFonts w:ascii="Times New Roman" w:hAnsi="Times New Roman"/>
              </w:rPr>
              <w:t>. Articolul 131,</w:t>
            </w:r>
          </w:p>
          <w:p w14:paraId="53D29D08"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w:t>
            </w:r>
          </w:p>
          <w:p w14:paraId="51DF1C57"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se completează cu alineatul (1</w:t>
            </w:r>
            <w:r w:rsidRPr="005D6998">
              <w:rPr>
                <w:rFonts w:ascii="Times New Roman" w:hAnsi="Times New Roman"/>
                <w:vertAlign w:val="superscript"/>
              </w:rPr>
              <w:t>1</w:t>
            </w:r>
            <w:r w:rsidRPr="005D6998">
              <w:rPr>
                <w:rFonts w:ascii="Times New Roman" w:hAnsi="Times New Roman"/>
              </w:rPr>
              <w:t>) cu următorul cuprins:</w:t>
            </w:r>
          </w:p>
          <w:p w14:paraId="774F06AD"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„(1</w:t>
            </w:r>
            <w:r w:rsidRPr="005D6998">
              <w:rPr>
                <w:rFonts w:ascii="Times New Roman" w:hAnsi="Times New Roman"/>
                <w:vertAlign w:val="superscript"/>
              </w:rPr>
              <w:t>1</w:t>
            </w:r>
            <w:r w:rsidRPr="005D6998">
              <w:rPr>
                <w:rFonts w:ascii="Times New Roman" w:hAnsi="Times New Roman"/>
              </w:rPr>
              <w:t>) Banca Națională a Moldovei are dreptul de a transmite informațiile prevăzute la alin. (1) fără a fi supusă unor obstacole.”;</w:t>
            </w:r>
          </w:p>
        </w:tc>
        <w:tc>
          <w:tcPr>
            <w:tcW w:w="1418" w:type="dxa"/>
            <w:gridSpan w:val="2"/>
            <w:shd w:val="clear" w:color="auto" w:fill="FFFFFF"/>
          </w:tcPr>
          <w:p w14:paraId="2DC0093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3B2E7240" w14:textId="7AA651F7"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105</w:t>
            </w:r>
          </w:p>
        </w:tc>
        <w:tc>
          <w:tcPr>
            <w:tcW w:w="4110" w:type="dxa"/>
            <w:gridSpan w:val="2"/>
            <w:shd w:val="clear" w:color="auto" w:fill="FFFFFF"/>
          </w:tcPr>
          <w:p w14:paraId="7FE1D0F8" w14:textId="77777777" w:rsidR="008E7C06" w:rsidRPr="005D6998" w:rsidRDefault="008E7C06" w:rsidP="00A46332">
            <w:pPr>
              <w:pStyle w:val="Default"/>
              <w:jc w:val="both"/>
              <w:rPr>
                <w:sz w:val="22"/>
                <w:szCs w:val="22"/>
              </w:rPr>
            </w:pPr>
            <w:r w:rsidRPr="005D6998">
              <w:rPr>
                <w:sz w:val="22"/>
                <w:szCs w:val="22"/>
              </w:rPr>
              <w:t>La pct. 115, din redacția propusă pentru art. 131 alin. (1</w:t>
            </w:r>
            <w:r w:rsidRPr="005D6998">
              <w:rPr>
                <w:sz w:val="22"/>
                <w:szCs w:val="22"/>
                <w:vertAlign w:val="superscript"/>
              </w:rPr>
              <w:t>1</w:t>
            </w:r>
            <w:r w:rsidRPr="005D6998">
              <w:rPr>
                <w:sz w:val="22"/>
                <w:szCs w:val="22"/>
              </w:rPr>
              <w:t>), cuvântul „obstacole” sugerăm a fi substituit cu cuvântul „impedimente”.</w:t>
            </w:r>
          </w:p>
        </w:tc>
        <w:tc>
          <w:tcPr>
            <w:tcW w:w="4960" w:type="dxa"/>
            <w:gridSpan w:val="3"/>
            <w:shd w:val="clear" w:color="auto" w:fill="FFFFFF"/>
          </w:tcPr>
          <w:p w14:paraId="151AC47D"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 xml:space="preserve">Se acceptă. </w:t>
            </w:r>
          </w:p>
          <w:p w14:paraId="3EF0B5C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p w14:paraId="337A0F8C" w14:textId="77777777" w:rsidR="008E7C06" w:rsidRPr="005D6998" w:rsidRDefault="008E7C06" w:rsidP="00A46332">
            <w:pPr>
              <w:spacing w:after="0" w:line="240" w:lineRule="auto"/>
              <w:jc w:val="both"/>
              <w:rPr>
                <w:rFonts w:ascii="Times New Roman" w:hAnsi="Times New Roman"/>
              </w:rPr>
            </w:pPr>
          </w:p>
        </w:tc>
      </w:tr>
      <w:tr w:rsidR="008E7C06" w:rsidRPr="005D6998" w14:paraId="14FBD20A" w14:textId="77777777" w:rsidTr="00651F58">
        <w:trPr>
          <w:gridAfter w:val="2"/>
          <w:wAfter w:w="153" w:type="dxa"/>
          <w:trHeight w:val="105"/>
        </w:trPr>
        <w:tc>
          <w:tcPr>
            <w:tcW w:w="899" w:type="dxa"/>
            <w:gridSpan w:val="3"/>
            <w:shd w:val="clear" w:color="auto" w:fill="FFFFFF"/>
          </w:tcPr>
          <w:p w14:paraId="3459B522"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086A002"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120</w:t>
            </w:r>
            <w:r w:rsidRPr="005D6998">
              <w:rPr>
                <w:rFonts w:ascii="Times New Roman" w:hAnsi="Times New Roman"/>
              </w:rPr>
              <w:t>. Articolul 136</w:t>
            </w:r>
          </w:p>
          <w:p w14:paraId="77B55194"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alineatul (1),</w:t>
            </w:r>
          </w:p>
          <w:p w14:paraId="0207877E"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se completează cu litera a</w:t>
            </w:r>
            <w:r w:rsidRPr="005D6998">
              <w:rPr>
                <w:rFonts w:ascii="Times New Roman" w:hAnsi="Times New Roman"/>
                <w:vertAlign w:val="superscript"/>
              </w:rPr>
              <w:t>1</w:t>
            </w:r>
            <w:r w:rsidRPr="005D6998">
              <w:rPr>
                <w:rFonts w:ascii="Times New Roman" w:hAnsi="Times New Roman"/>
              </w:rPr>
              <w:t>) cu următorul cuprins:</w:t>
            </w:r>
          </w:p>
          <w:p w14:paraId="75E58F76"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lastRenderedPageBreak/>
              <w:t>„a</w:t>
            </w:r>
            <w:r w:rsidRPr="005D6998">
              <w:rPr>
                <w:rFonts w:ascii="Times New Roman" w:hAnsi="Times New Roman"/>
                <w:vertAlign w:val="superscript"/>
              </w:rPr>
              <w:t>1</w:t>
            </w:r>
            <w:r w:rsidRPr="005D6998">
              <w:rPr>
                <w:rFonts w:ascii="Times New Roman" w:hAnsi="Times New Roman"/>
              </w:rPr>
              <w:t>) modul de exercitare a opţiunilor prevăzute în legislaţia UE în domeniu;”;</w:t>
            </w:r>
          </w:p>
          <w:p w14:paraId="02BDA5E6"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w:t>
            </w:r>
          </w:p>
          <w:p w14:paraId="40920EB2"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la litera c), textul „din prezenta lege, precum și din actele normative aferente supravegherii prudențiale a societăților de investiții” se exclude;</w:t>
            </w:r>
          </w:p>
        </w:tc>
        <w:tc>
          <w:tcPr>
            <w:tcW w:w="1418" w:type="dxa"/>
            <w:gridSpan w:val="2"/>
            <w:shd w:val="clear" w:color="auto" w:fill="FFFFFF"/>
          </w:tcPr>
          <w:p w14:paraId="3E4A879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C40ED9F" w14:textId="254ED55B"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106</w:t>
            </w:r>
          </w:p>
        </w:tc>
        <w:tc>
          <w:tcPr>
            <w:tcW w:w="4110" w:type="dxa"/>
            <w:gridSpan w:val="2"/>
            <w:shd w:val="clear" w:color="auto" w:fill="FFFFFF"/>
          </w:tcPr>
          <w:p w14:paraId="71E8BBF5" w14:textId="77777777" w:rsidR="008E7C06" w:rsidRPr="005D6998" w:rsidRDefault="008E7C06" w:rsidP="00A46332">
            <w:pPr>
              <w:pStyle w:val="Default"/>
              <w:jc w:val="both"/>
              <w:rPr>
                <w:sz w:val="22"/>
                <w:szCs w:val="22"/>
              </w:rPr>
            </w:pPr>
            <w:r w:rsidRPr="005D6998">
              <w:rPr>
                <w:sz w:val="22"/>
                <w:szCs w:val="22"/>
              </w:rPr>
              <w:t>La pct. 120, completarea art. 136 alin. (1) cu lit. a</w:t>
            </w:r>
            <w:r w:rsidRPr="005D6998">
              <w:rPr>
                <w:sz w:val="22"/>
                <w:szCs w:val="22"/>
                <w:vertAlign w:val="superscript"/>
              </w:rPr>
              <w:t>1</w:t>
            </w:r>
            <w:r w:rsidRPr="005D6998">
              <w:rPr>
                <w:sz w:val="22"/>
                <w:szCs w:val="22"/>
              </w:rPr>
              <w:t xml:space="preserve">) „modul de exercitare a opțiunilor prevăzute în legislația Uniunii Europene în domeniu;” se va revizui, întrucât redacția propusă are un caracter general și nu asigură </w:t>
            </w:r>
            <w:r w:rsidRPr="005D6998">
              <w:rPr>
                <w:sz w:val="22"/>
                <w:szCs w:val="22"/>
              </w:rPr>
              <w:lastRenderedPageBreak/>
              <w:t xml:space="preserve">previzibilitatea în ceea ce privește informațiile care BNM ar trebui să le publice. </w:t>
            </w:r>
          </w:p>
          <w:p w14:paraId="087FA5FC" w14:textId="77777777" w:rsidR="008E7C06" w:rsidRPr="005D6998" w:rsidRDefault="008E7C06" w:rsidP="00A46332">
            <w:pPr>
              <w:pStyle w:val="Default"/>
              <w:jc w:val="both"/>
              <w:rPr>
                <w:sz w:val="22"/>
                <w:szCs w:val="22"/>
              </w:rPr>
            </w:pPr>
            <w:r w:rsidRPr="005D6998">
              <w:rPr>
                <w:sz w:val="22"/>
                <w:szCs w:val="22"/>
              </w:rPr>
              <w:t xml:space="preserve">Or, lipsa de claritate a normei poate atrage inaplicabilitatea acesteia. </w:t>
            </w:r>
          </w:p>
          <w:p w14:paraId="240F7151" w14:textId="77777777" w:rsidR="008E7C06" w:rsidRPr="005D6998" w:rsidRDefault="008E7C06" w:rsidP="00A46332">
            <w:pPr>
              <w:pStyle w:val="Default"/>
              <w:jc w:val="both"/>
              <w:rPr>
                <w:sz w:val="22"/>
                <w:szCs w:val="22"/>
              </w:rPr>
            </w:pPr>
            <w:r w:rsidRPr="005D6998">
              <w:rPr>
                <w:sz w:val="22"/>
                <w:szCs w:val="22"/>
              </w:rPr>
              <w:t>Subsecvent, modificarea propusă la lit. c) al aceluiași alineat se va revizui, întrucât în dispoziția acestei litere nu este prevăzut în mod nemijlocit textul „din prezenta lege, precum și din actele normative aferente supravegherii prudențiale a societăților de investiții”.</w:t>
            </w:r>
          </w:p>
        </w:tc>
        <w:tc>
          <w:tcPr>
            <w:tcW w:w="4960" w:type="dxa"/>
            <w:gridSpan w:val="3"/>
            <w:shd w:val="clear" w:color="auto" w:fill="FFFFFF"/>
          </w:tcPr>
          <w:p w14:paraId="7F7AEFD0"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2A4EF20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Sintagma „opțiunile prevăzute în legislația Uniunii Europene în domeniu” este suficient de clară, întrucât se referă la prevederi opționale și marjele de apreciere prevăzute expres în actele UE aplicabile supravegherii </w:t>
            </w:r>
            <w:r w:rsidRPr="005D6998">
              <w:rPr>
                <w:rFonts w:ascii="Times New Roman" w:hAnsi="Times New Roman"/>
              </w:rPr>
              <w:lastRenderedPageBreak/>
              <w:t xml:space="preserve">prudențiale, inclusiv Directiva 2013/36/UE și Regulamentul (UE) nr. 575/2013. </w:t>
            </w:r>
          </w:p>
          <w:p w14:paraId="31A7CCF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Acestea sunt identificabile în mod obiectiv prin raportare la actele UE relevante. </w:t>
            </w:r>
          </w:p>
          <w:p w14:paraId="0D6DD73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Redacția propusă asigură, astfel, transpunerea art. 143 alin. (1) lit. b) din Directiva 2013/36/UE.</w:t>
            </w:r>
          </w:p>
          <w:p w14:paraId="49E67CD9" w14:textId="77777777" w:rsidR="008E7C06" w:rsidRPr="005D6998" w:rsidRDefault="008E7C06" w:rsidP="00A46332">
            <w:pPr>
              <w:spacing w:after="0" w:line="240" w:lineRule="auto"/>
              <w:jc w:val="both"/>
              <w:rPr>
                <w:rFonts w:ascii="Times New Roman" w:hAnsi="Times New Roman"/>
              </w:rPr>
            </w:pPr>
          </w:p>
          <w:p w14:paraId="2A50743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Modificările propuse la lit. c) a art. 136 alin. (1) se exclud, având în vedere, că în forma existentă, lit. c) asigură transpunerea eficientă a art. 143 alin. (1) lit. d) din Directiva 2013/36/UE.</w:t>
            </w:r>
          </w:p>
          <w:p w14:paraId="6B8629BB" w14:textId="77777777" w:rsidR="008E7C06" w:rsidRPr="005D6998" w:rsidRDefault="008E7C06" w:rsidP="00A46332">
            <w:pPr>
              <w:spacing w:after="0" w:line="240" w:lineRule="auto"/>
              <w:jc w:val="both"/>
              <w:rPr>
                <w:rFonts w:ascii="Times New Roman" w:hAnsi="Times New Roman"/>
              </w:rPr>
            </w:pPr>
          </w:p>
        </w:tc>
      </w:tr>
      <w:tr w:rsidR="008E7C06" w:rsidRPr="005D6998" w14:paraId="4244D5F1" w14:textId="77777777" w:rsidTr="00651F58">
        <w:trPr>
          <w:gridAfter w:val="2"/>
          <w:wAfter w:w="153" w:type="dxa"/>
          <w:trHeight w:val="105"/>
        </w:trPr>
        <w:tc>
          <w:tcPr>
            <w:tcW w:w="899" w:type="dxa"/>
            <w:gridSpan w:val="3"/>
            <w:shd w:val="clear" w:color="auto" w:fill="FFFFFF"/>
          </w:tcPr>
          <w:p w14:paraId="1BB57AB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C3170FC"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122</w:t>
            </w:r>
            <w:r w:rsidRPr="005D6998">
              <w:rPr>
                <w:rFonts w:ascii="Times New Roman" w:hAnsi="Times New Roman"/>
              </w:rPr>
              <w:t>. Articolul 139 [...]</w:t>
            </w:r>
          </w:p>
          <w:p w14:paraId="2FC8375C"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 xml:space="preserve">la alineatul (3), </w:t>
            </w:r>
          </w:p>
          <w:p w14:paraId="2F0086A9"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textul  „art.102 alin.(6) și art. 103” se substituie cu textul „art. 101 alin. (1), art. 101 alin. (1</w:t>
            </w:r>
            <w:r w:rsidRPr="005D6998">
              <w:rPr>
                <w:rFonts w:ascii="Times New Roman" w:hAnsi="Times New Roman"/>
                <w:vertAlign w:val="superscript"/>
              </w:rPr>
              <w:t>3</w:t>
            </w:r>
            <w:r w:rsidRPr="005D6998">
              <w:rPr>
                <w:rFonts w:ascii="Times New Roman" w:hAnsi="Times New Roman"/>
              </w:rPr>
              <w:t>), art. 101 alin. (2) alin. (2) lit. b) – e), art. 102 alin. (4) și (6)”;</w:t>
            </w:r>
          </w:p>
          <w:p w14:paraId="423ACAC0"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la litera a), cuvintele „la un nivel mai mare decît” se substituie cu cuvintele „suplimentare față de” iar după textul “art.60” se completează cu textul “, inclusiv de fonduri proprii suplimentare în condițiile art. 139</w:t>
            </w:r>
            <w:r w:rsidRPr="005D6998">
              <w:rPr>
                <w:rFonts w:ascii="Times New Roman" w:hAnsi="Times New Roman"/>
                <w:vertAlign w:val="superscript"/>
              </w:rPr>
              <w:t>1</w:t>
            </w:r>
            <w:r w:rsidRPr="005D6998">
              <w:rPr>
                <w:rFonts w:ascii="Times New Roman" w:hAnsi="Times New Roman"/>
              </w:rPr>
              <w:t>”;</w:t>
            </w:r>
          </w:p>
          <w:p w14:paraId="6480FAEB"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w:t>
            </w:r>
          </w:p>
          <w:p w14:paraId="4326FB0A" w14:textId="77777777" w:rsidR="008E7C06" w:rsidRPr="005D6998" w:rsidRDefault="008E7C06" w:rsidP="00A46332">
            <w:pPr>
              <w:tabs>
                <w:tab w:val="left" w:pos="426"/>
              </w:tabs>
              <w:spacing w:after="0" w:line="240" w:lineRule="auto"/>
              <w:jc w:val="both"/>
              <w:rPr>
                <w:rFonts w:ascii="Times New Roman" w:hAnsi="Times New Roman"/>
                <w:b/>
                <w:bCs/>
              </w:rPr>
            </w:pPr>
          </w:p>
        </w:tc>
        <w:tc>
          <w:tcPr>
            <w:tcW w:w="1418" w:type="dxa"/>
            <w:gridSpan w:val="2"/>
            <w:shd w:val="clear" w:color="auto" w:fill="FFFFFF"/>
          </w:tcPr>
          <w:p w14:paraId="4979772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3DD5981" w14:textId="59831615"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107</w:t>
            </w:r>
          </w:p>
        </w:tc>
        <w:tc>
          <w:tcPr>
            <w:tcW w:w="4110" w:type="dxa"/>
            <w:gridSpan w:val="2"/>
            <w:shd w:val="clear" w:color="auto" w:fill="FFFFFF"/>
          </w:tcPr>
          <w:p w14:paraId="6DBF7C22" w14:textId="77777777" w:rsidR="008E7C06" w:rsidRPr="005D6998" w:rsidRDefault="008E7C06" w:rsidP="00A46332">
            <w:pPr>
              <w:pStyle w:val="Default"/>
              <w:jc w:val="both"/>
              <w:rPr>
                <w:sz w:val="22"/>
                <w:szCs w:val="22"/>
              </w:rPr>
            </w:pPr>
            <w:r w:rsidRPr="005D6998">
              <w:rPr>
                <w:sz w:val="22"/>
                <w:szCs w:val="22"/>
              </w:rPr>
              <w:t xml:space="preserve">La pct. 122: </w:t>
            </w:r>
          </w:p>
          <w:p w14:paraId="660A0F1F" w14:textId="77777777" w:rsidR="008E7C06" w:rsidRPr="005D6998" w:rsidRDefault="008E7C06" w:rsidP="00A46332">
            <w:pPr>
              <w:pStyle w:val="Default"/>
              <w:jc w:val="both"/>
              <w:rPr>
                <w:sz w:val="22"/>
                <w:szCs w:val="22"/>
              </w:rPr>
            </w:pPr>
            <w:r w:rsidRPr="005D6998">
              <w:rPr>
                <w:sz w:val="22"/>
                <w:szCs w:val="22"/>
              </w:rPr>
              <w:t>În dispoziția de modificare a art. 139 alin. (3) al Legii nr. 202/2017, textul „art. 101 alin. (1), art. 101 alin. (1</w:t>
            </w:r>
            <w:r w:rsidRPr="005D6998">
              <w:rPr>
                <w:sz w:val="22"/>
                <w:szCs w:val="22"/>
                <w:vertAlign w:val="superscript"/>
              </w:rPr>
              <w:t>3</w:t>
            </w:r>
            <w:r w:rsidRPr="005D6998">
              <w:rPr>
                <w:sz w:val="22"/>
                <w:szCs w:val="22"/>
              </w:rPr>
              <w:t>), art. 101 alin. (2) alin. (2) lit. b) – e), art. 102 alin. (4) și (6)” se va substitui cu textul „art. 101 alin. (1), alin. (1</w:t>
            </w:r>
            <w:r w:rsidRPr="005D6998">
              <w:rPr>
                <w:sz w:val="22"/>
                <w:szCs w:val="22"/>
                <w:vertAlign w:val="superscript"/>
              </w:rPr>
              <w:t>3</w:t>
            </w:r>
            <w:r w:rsidRPr="005D6998">
              <w:rPr>
                <w:sz w:val="22"/>
                <w:szCs w:val="22"/>
              </w:rPr>
              <w:t xml:space="preserve">), alin. (2) lit. b)-e), art. 102 alin. (4) și (6)”. </w:t>
            </w:r>
          </w:p>
          <w:p w14:paraId="2AF31252" w14:textId="77777777" w:rsidR="008E7C06" w:rsidRPr="005D6998" w:rsidRDefault="008E7C06" w:rsidP="00A46332">
            <w:pPr>
              <w:pStyle w:val="Default"/>
              <w:jc w:val="both"/>
              <w:rPr>
                <w:sz w:val="22"/>
                <w:szCs w:val="22"/>
              </w:rPr>
            </w:pPr>
          </w:p>
          <w:p w14:paraId="4A12A982" w14:textId="77777777" w:rsidR="008E7C06" w:rsidRPr="005D6998" w:rsidRDefault="008E7C06" w:rsidP="00A46332">
            <w:pPr>
              <w:pStyle w:val="Default"/>
              <w:jc w:val="both"/>
              <w:rPr>
                <w:sz w:val="22"/>
                <w:szCs w:val="22"/>
              </w:rPr>
            </w:pPr>
            <w:r w:rsidRPr="005D6998">
              <w:rPr>
                <w:sz w:val="22"/>
                <w:szCs w:val="22"/>
              </w:rPr>
              <w:t>În dispoziția de modificare a lit. a) din alin. (3) al aceluiași articol, textul „iar după textul „art. 60” se completează cu textul „ , inclusiv de fonduri proprii suplimentare în condițiile art. 139</w:t>
            </w:r>
            <w:r w:rsidRPr="005D6998">
              <w:rPr>
                <w:sz w:val="22"/>
                <w:szCs w:val="22"/>
                <w:vertAlign w:val="superscript"/>
              </w:rPr>
              <w:t>1</w:t>
            </w:r>
            <w:r w:rsidRPr="005D6998">
              <w:rPr>
                <w:sz w:val="22"/>
                <w:szCs w:val="22"/>
              </w:rPr>
              <w:t xml:space="preserve">” urmează a fi revăzut, întrucât textul „art. 60” se utilizează de două ori în dispoziția lit. a). În acest sens, nu este clar unde este necesar a se produce modificarea. Respectiv, se propune expunerea lit. a) a alin. (3) în redacție nouă. </w:t>
            </w:r>
          </w:p>
          <w:p w14:paraId="48FDB246" w14:textId="77777777" w:rsidR="008E7C06" w:rsidRPr="005D6998" w:rsidRDefault="008E7C06" w:rsidP="00A46332">
            <w:pPr>
              <w:pStyle w:val="Default"/>
              <w:jc w:val="both"/>
              <w:rPr>
                <w:sz w:val="22"/>
                <w:szCs w:val="22"/>
              </w:rPr>
            </w:pPr>
          </w:p>
        </w:tc>
        <w:tc>
          <w:tcPr>
            <w:tcW w:w="4960" w:type="dxa"/>
            <w:gridSpan w:val="3"/>
            <w:shd w:val="clear" w:color="auto" w:fill="FFFFFF"/>
          </w:tcPr>
          <w:p w14:paraId="47ACFD4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527E2C9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 - textul „art. 101 alin. (1), art. 101 alin. (1</w:t>
            </w:r>
            <w:r w:rsidRPr="005D6998">
              <w:rPr>
                <w:rFonts w:ascii="Times New Roman" w:hAnsi="Times New Roman"/>
                <w:vertAlign w:val="superscript"/>
              </w:rPr>
              <w:t>3</w:t>
            </w:r>
            <w:r w:rsidRPr="005D6998">
              <w:rPr>
                <w:rFonts w:ascii="Times New Roman" w:hAnsi="Times New Roman"/>
              </w:rPr>
              <w:t>), art. 101 alin. (2) alin. (2) lit. b) – e), art. 102 alin. (4) și (6)” substituit cu textul „art. 101 alin. (1), alin. (1</w:t>
            </w:r>
            <w:r w:rsidRPr="005D6998">
              <w:rPr>
                <w:rFonts w:ascii="Times New Roman" w:hAnsi="Times New Roman"/>
                <w:vertAlign w:val="superscript"/>
              </w:rPr>
              <w:t>3</w:t>
            </w:r>
            <w:r w:rsidRPr="005D6998">
              <w:rPr>
                <w:rFonts w:ascii="Times New Roman" w:hAnsi="Times New Roman"/>
              </w:rPr>
              <w:t>), alin. (2) lit. b)-e), art. 102 alin. (4) și (6)”.</w:t>
            </w:r>
          </w:p>
          <w:p w14:paraId="4D8190D8" w14:textId="77777777" w:rsidR="008E7C06" w:rsidRPr="005D6998" w:rsidRDefault="008E7C06" w:rsidP="00A46332">
            <w:pPr>
              <w:spacing w:after="0" w:line="240" w:lineRule="auto"/>
              <w:jc w:val="both"/>
              <w:rPr>
                <w:rFonts w:ascii="Times New Roman" w:hAnsi="Times New Roman"/>
              </w:rPr>
            </w:pPr>
          </w:p>
          <w:p w14:paraId="7E9E8F33"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Având în vedere că lit. a) din alin. (3) a art. 139 se completează la final cu textul „ , inclusiv de fonduri proprii suplimentare în condițiile art. 139</w:t>
            </w:r>
            <w:r w:rsidRPr="005D6998">
              <w:rPr>
                <w:rFonts w:ascii="Times New Roman" w:hAnsi="Times New Roman"/>
                <w:vertAlign w:val="superscript"/>
              </w:rPr>
              <w:t>1</w:t>
            </w:r>
            <w:r w:rsidRPr="005D6998">
              <w:rPr>
                <w:rFonts w:ascii="Times New Roman" w:hAnsi="Times New Roman"/>
              </w:rPr>
              <w:t>” modificarea lit. a) se redactează după cum urmează:</w:t>
            </w:r>
          </w:p>
          <w:p w14:paraId="23E8847A"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lang w:val="it-CH"/>
              </w:rPr>
              <w:t xml:space="preserve">“             </w:t>
            </w:r>
            <w:r w:rsidRPr="005D6998">
              <w:rPr>
                <w:rFonts w:ascii="Times New Roman" w:hAnsi="Times New Roman"/>
              </w:rPr>
              <w:t>la litera a),</w:t>
            </w:r>
          </w:p>
          <w:p w14:paraId="2A2EF3FE"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              cuvintele „la un nivel mai mare decît” se substituie cu cuvintele „suplimentare față de”</w:t>
            </w:r>
          </w:p>
          <w:p w14:paraId="66532F89"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              se completează cu textul “, inclusiv de fonduri proprii suplimentare în condițiile art. 139</w:t>
            </w:r>
            <w:r w:rsidRPr="005D6998">
              <w:rPr>
                <w:rFonts w:ascii="Times New Roman" w:hAnsi="Times New Roman"/>
                <w:vertAlign w:val="superscript"/>
              </w:rPr>
              <w:t>1</w:t>
            </w:r>
            <w:r w:rsidRPr="005D6998">
              <w:rPr>
                <w:rFonts w:ascii="Times New Roman" w:hAnsi="Times New Roman"/>
              </w:rPr>
              <w:t>”;”.</w:t>
            </w:r>
          </w:p>
          <w:p w14:paraId="205399ED" w14:textId="77777777" w:rsidR="008E7C06" w:rsidRPr="005D6998" w:rsidRDefault="008E7C06" w:rsidP="00A46332">
            <w:pPr>
              <w:spacing w:after="0" w:line="240" w:lineRule="auto"/>
              <w:jc w:val="both"/>
              <w:rPr>
                <w:rFonts w:ascii="Times New Roman" w:hAnsi="Times New Roman"/>
                <w:b/>
                <w:bCs/>
              </w:rPr>
            </w:pPr>
          </w:p>
        </w:tc>
      </w:tr>
      <w:tr w:rsidR="008E7C06" w:rsidRPr="005D6998" w14:paraId="1B6F3677" w14:textId="77777777" w:rsidTr="00651F58">
        <w:trPr>
          <w:gridAfter w:val="2"/>
          <w:wAfter w:w="153" w:type="dxa"/>
          <w:trHeight w:val="105"/>
        </w:trPr>
        <w:tc>
          <w:tcPr>
            <w:tcW w:w="899" w:type="dxa"/>
            <w:gridSpan w:val="3"/>
            <w:shd w:val="clear" w:color="auto" w:fill="FFFFFF"/>
          </w:tcPr>
          <w:p w14:paraId="65D044E8"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1F067A1"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p w14:paraId="7EC43BD0"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se completează cu alineatele (3</w:t>
            </w:r>
            <w:r w:rsidRPr="005D6998">
              <w:rPr>
                <w:rFonts w:ascii="Times New Roman" w:hAnsi="Times New Roman"/>
                <w:vertAlign w:val="superscript"/>
              </w:rPr>
              <w:t>1</w:t>
            </w:r>
            <w:r w:rsidRPr="005D6998">
              <w:rPr>
                <w:rFonts w:ascii="Times New Roman" w:hAnsi="Times New Roman"/>
              </w:rPr>
              <w:t>) – (3</w:t>
            </w:r>
            <w:r w:rsidRPr="005D6998">
              <w:rPr>
                <w:rFonts w:ascii="Times New Roman" w:hAnsi="Times New Roman"/>
                <w:vertAlign w:val="superscript"/>
              </w:rPr>
              <w:t>2</w:t>
            </w:r>
            <w:r w:rsidRPr="005D6998">
              <w:rPr>
                <w:rFonts w:ascii="Times New Roman" w:hAnsi="Times New Roman"/>
              </w:rPr>
              <w:t>) cu următorul cuprins:</w:t>
            </w:r>
          </w:p>
          <w:p w14:paraId="4937A0D6"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„(3</w:t>
            </w:r>
            <w:r w:rsidRPr="005D6998">
              <w:rPr>
                <w:rFonts w:ascii="Times New Roman" w:hAnsi="Times New Roman"/>
                <w:vertAlign w:val="superscript"/>
              </w:rPr>
              <w:t>1</w:t>
            </w:r>
            <w:r w:rsidRPr="005D6998">
              <w:rPr>
                <w:rFonts w:ascii="Times New Roman" w:hAnsi="Times New Roman"/>
              </w:rPr>
              <w:t xml:space="preserve">) În baza verificărilor și a evaluării prevăzute la art. 101 alin. (2) lit. b), Banca Națională dispune </w:t>
            </w:r>
            <w:r w:rsidRPr="005D6998">
              <w:rPr>
                <w:rFonts w:ascii="Times New Roman" w:hAnsi="Times New Roman"/>
              </w:rPr>
              <w:lastRenderedPageBreak/>
              <w:t>măsurile de supraveghere prevăzute la alin. (2) sau specifică ipoteze în materie de modelare și de parametri, altele decât cele stabilite prin actele normative ale Băncii Naționale a Moldovei, care trebuie reflectate de instituţia de credit în calculul valorii economice a capitalului propriu în conformitate cu actele normative emise în aplicarea prezentei legi cel puțin în următoarele cazuri:</w:t>
            </w:r>
            <w:r w:rsidRPr="005D6998" w:rsidDel="003216D5">
              <w:rPr>
                <w:rFonts w:ascii="Times New Roman" w:hAnsi="Times New Roman"/>
              </w:rPr>
              <w:t xml:space="preserve"> </w:t>
            </w:r>
          </w:p>
          <w:p w14:paraId="76220F79" w14:textId="77777777" w:rsidR="008E7C06" w:rsidRPr="005D6998" w:rsidRDefault="008E7C06" w:rsidP="00A46332">
            <w:pPr>
              <w:spacing w:after="0" w:line="240" w:lineRule="auto"/>
              <w:ind w:firstLine="851"/>
              <w:jc w:val="both"/>
              <w:rPr>
                <w:rFonts w:ascii="Times New Roman" w:hAnsi="Times New Roman"/>
              </w:rPr>
            </w:pPr>
            <w:r w:rsidRPr="005D6998">
              <w:rPr>
                <w:rFonts w:ascii="Times New Roman" w:hAnsi="Times New Roman"/>
              </w:rPr>
              <w:t xml:space="preserve">a) dacă valoarea economică a capitalului propriu al unei instituţii de credit, astfel cum este reglementată de actele normative emise în aplicarea prezentei legi, scade cu mai mult de 15% din fondurile sale proprii de nivel 1 ca urmare a unei variaţii bruște și neașteptate a ratelor dobânzii, astfel cum se prevede în oricare dintre cele șase scenarii de șoc în materie de supraveghere aplicate ratelor dobânzii; </w:t>
            </w:r>
          </w:p>
          <w:p w14:paraId="13B89E14" w14:textId="77777777" w:rsidR="008E7C06" w:rsidRPr="005D6998" w:rsidRDefault="008E7C06" w:rsidP="00A46332">
            <w:pPr>
              <w:spacing w:after="0" w:line="240" w:lineRule="auto"/>
              <w:ind w:firstLine="851"/>
              <w:jc w:val="both"/>
              <w:rPr>
                <w:rFonts w:ascii="Times New Roman" w:hAnsi="Times New Roman"/>
                <w:i/>
                <w:iCs/>
              </w:rPr>
            </w:pPr>
            <w:r w:rsidRPr="005D6998">
              <w:rPr>
                <w:rFonts w:ascii="Times New Roman" w:hAnsi="Times New Roman"/>
              </w:rPr>
              <w:t xml:space="preserve">b) dacă veniturile nete din dobânzi ale unei instituţii de credit, astfel cum sunt reglementate de actele normative emise în aplicarea prezentei legi, suferă o scădere semnificativă ca urmare a unei variaţii bruște și neașteptate a ratelor dobânzii, astfel cum este prevăzută în oricare dintre cele două scenarii de șoc în materie de supraveghere aplicate ratelor dobânzii. </w:t>
            </w:r>
          </w:p>
        </w:tc>
        <w:tc>
          <w:tcPr>
            <w:tcW w:w="1418" w:type="dxa"/>
            <w:gridSpan w:val="2"/>
            <w:shd w:val="clear" w:color="auto" w:fill="FFFFFF"/>
          </w:tcPr>
          <w:p w14:paraId="2C95285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138E7CB" w14:textId="79D126DF"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108</w:t>
            </w:r>
          </w:p>
        </w:tc>
        <w:tc>
          <w:tcPr>
            <w:tcW w:w="4110" w:type="dxa"/>
            <w:gridSpan w:val="2"/>
            <w:shd w:val="clear" w:color="auto" w:fill="FFFFFF"/>
          </w:tcPr>
          <w:p w14:paraId="2F214950" w14:textId="77777777" w:rsidR="008E7C06" w:rsidRPr="005D6998" w:rsidRDefault="008E7C06" w:rsidP="00A46332">
            <w:pPr>
              <w:pStyle w:val="Default"/>
              <w:jc w:val="both"/>
              <w:rPr>
                <w:sz w:val="22"/>
                <w:szCs w:val="22"/>
              </w:rPr>
            </w:pPr>
            <w:r w:rsidRPr="005D6998">
              <w:rPr>
                <w:sz w:val="22"/>
                <w:szCs w:val="22"/>
              </w:rPr>
              <w:t>În redacția propusă pentru art. 139 alin. (3</w:t>
            </w:r>
            <w:r w:rsidRPr="005D6998">
              <w:rPr>
                <w:sz w:val="22"/>
                <w:szCs w:val="22"/>
                <w:vertAlign w:val="superscript"/>
              </w:rPr>
              <w:t>1</w:t>
            </w:r>
            <w:r w:rsidRPr="005D6998">
              <w:rPr>
                <w:sz w:val="22"/>
                <w:szCs w:val="22"/>
              </w:rPr>
              <w:t xml:space="preserve">), textul „la alin. (2)” se va substitui cu textul „la alin. (3)”, întru expunerea corespunzătoare a referinței. </w:t>
            </w:r>
          </w:p>
          <w:p w14:paraId="2B065190" w14:textId="77777777" w:rsidR="008E7C06" w:rsidRPr="005D6998" w:rsidRDefault="008E7C06" w:rsidP="00A46332">
            <w:pPr>
              <w:pStyle w:val="Default"/>
              <w:jc w:val="both"/>
              <w:rPr>
                <w:sz w:val="22"/>
                <w:szCs w:val="22"/>
              </w:rPr>
            </w:pPr>
            <w:r w:rsidRPr="005D6998">
              <w:rPr>
                <w:sz w:val="22"/>
                <w:szCs w:val="22"/>
              </w:rPr>
              <w:t>Totodată, din dispozițiile lit. a) și b) a alin. (3</w:t>
            </w:r>
            <w:r w:rsidRPr="005D6998">
              <w:rPr>
                <w:sz w:val="22"/>
                <w:szCs w:val="22"/>
                <w:vertAlign w:val="superscript"/>
              </w:rPr>
              <w:t>1</w:t>
            </w:r>
            <w:r w:rsidRPr="005D6998">
              <w:rPr>
                <w:sz w:val="22"/>
                <w:szCs w:val="22"/>
              </w:rPr>
              <w:t xml:space="preserve">), cuvintele „se prevede în oricare din cele </w:t>
            </w:r>
            <w:r w:rsidRPr="005D6998">
              <w:rPr>
                <w:sz w:val="22"/>
                <w:szCs w:val="22"/>
              </w:rPr>
              <w:lastRenderedPageBreak/>
              <w:t xml:space="preserve">șase scenarii de șoc” și, respectiv, cuvintele „dintre cele două scenarii de șoc” se vor analiza suplimentar, în scopul indicării actului normativ și referința la elementele structurale din acesta, care stabilește scenariile de șoc, în măsura în care sunt prevăzute la nivel de lege. În caz contrar aceste scenarii de șoc urmează a fi detaliate, după caz, în această lege. </w:t>
            </w:r>
          </w:p>
          <w:p w14:paraId="2C73D070" w14:textId="77777777" w:rsidR="008E7C06" w:rsidRPr="005D6998" w:rsidRDefault="008E7C06" w:rsidP="00A46332">
            <w:pPr>
              <w:pStyle w:val="Default"/>
              <w:jc w:val="both"/>
              <w:rPr>
                <w:sz w:val="22"/>
                <w:szCs w:val="22"/>
              </w:rPr>
            </w:pPr>
          </w:p>
          <w:p w14:paraId="72102B55" w14:textId="77777777" w:rsidR="008E7C06" w:rsidRPr="005D6998" w:rsidRDefault="008E7C06" w:rsidP="00A46332">
            <w:pPr>
              <w:pStyle w:val="Default"/>
              <w:jc w:val="both"/>
              <w:rPr>
                <w:sz w:val="22"/>
                <w:szCs w:val="22"/>
              </w:rPr>
            </w:pPr>
            <w:r w:rsidRPr="005D6998">
              <w:rPr>
                <w:sz w:val="22"/>
                <w:szCs w:val="22"/>
              </w:rPr>
              <w:t>În dispoziția alin. (3</w:t>
            </w:r>
            <w:r w:rsidRPr="005D6998">
              <w:rPr>
                <w:sz w:val="22"/>
                <w:szCs w:val="22"/>
                <w:vertAlign w:val="superscript"/>
              </w:rPr>
              <w:t>1</w:t>
            </w:r>
            <w:r w:rsidRPr="005D6998">
              <w:rPr>
                <w:sz w:val="22"/>
                <w:szCs w:val="22"/>
              </w:rPr>
              <w:t xml:space="preserve">), cuvintele „În pofida”, nu sunt caracteristice limbajului normativ, motiv pentru care se vor revedea. </w:t>
            </w:r>
          </w:p>
          <w:p w14:paraId="715B4321" w14:textId="77777777" w:rsidR="008E7C06" w:rsidRPr="005D6998" w:rsidRDefault="008E7C06" w:rsidP="00A46332">
            <w:pPr>
              <w:pStyle w:val="Default"/>
              <w:jc w:val="both"/>
              <w:rPr>
                <w:sz w:val="22"/>
                <w:szCs w:val="22"/>
              </w:rPr>
            </w:pPr>
          </w:p>
        </w:tc>
        <w:tc>
          <w:tcPr>
            <w:tcW w:w="4960" w:type="dxa"/>
            <w:gridSpan w:val="3"/>
            <w:shd w:val="clear" w:color="auto" w:fill="FFFFFF"/>
          </w:tcPr>
          <w:p w14:paraId="552B2E8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 parțial.</w:t>
            </w:r>
          </w:p>
          <w:p w14:paraId="74A45C9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Art. 139 alin. (3</w:t>
            </w:r>
            <w:r w:rsidRPr="005D6998">
              <w:rPr>
                <w:rFonts w:ascii="Times New Roman" w:hAnsi="Times New Roman"/>
                <w:vertAlign w:val="superscript"/>
              </w:rPr>
              <w:t>1</w:t>
            </w:r>
            <w:r w:rsidRPr="005D6998">
              <w:rPr>
                <w:rFonts w:ascii="Times New Roman" w:hAnsi="Times New Roman"/>
              </w:rPr>
              <w:t>), redactat, conform propunerii – textul „la alin. (2)” substituit cu textul „la alin. (3)”.</w:t>
            </w:r>
          </w:p>
          <w:p w14:paraId="6080D024" w14:textId="77777777" w:rsidR="008E7C06" w:rsidRPr="005D6998" w:rsidRDefault="008E7C06" w:rsidP="00A46332">
            <w:pPr>
              <w:spacing w:after="0" w:line="240" w:lineRule="auto"/>
              <w:jc w:val="both"/>
              <w:rPr>
                <w:rFonts w:ascii="Times New Roman" w:hAnsi="Times New Roman"/>
              </w:rPr>
            </w:pPr>
          </w:p>
          <w:p w14:paraId="48BDD36A"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rPr>
              <w:t>La lit. a) și b) din alin. (3</w:t>
            </w:r>
            <w:r w:rsidRPr="005D6998">
              <w:rPr>
                <w:rFonts w:ascii="Times New Roman" w:hAnsi="Times New Roman"/>
                <w:vertAlign w:val="superscript"/>
              </w:rPr>
              <w:t>1</w:t>
            </w:r>
            <w:r w:rsidRPr="005D6998">
              <w:rPr>
                <w:rFonts w:ascii="Times New Roman" w:hAnsi="Times New Roman"/>
              </w:rPr>
              <w:t xml:space="preserve">), se precizează următoarele. </w:t>
            </w:r>
            <w:r w:rsidRPr="005D6998">
              <w:rPr>
                <w:rFonts w:ascii="Times New Roman" w:hAnsi="Times New Roman"/>
                <w:lang w:val="ro-MD"/>
              </w:rPr>
              <w:t xml:space="preserve">Acestea reprezintă o transpunere a art. 98 alin. (5) </w:t>
            </w:r>
            <w:r w:rsidRPr="005D6998">
              <w:rPr>
                <w:rFonts w:ascii="Times New Roman" w:hAnsi="Times New Roman"/>
                <w:lang w:val="ro-MD"/>
              </w:rPr>
              <w:lastRenderedPageBreak/>
              <w:t>primul, al doilea și al patrulea paragraf din Directiva 2013/36/UE, inclusiv în ceea ce privește referințele la cele șase, respectiv două scenarii de șoc.</w:t>
            </w:r>
          </w:p>
          <w:p w14:paraId="35645749"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 xml:space="preserve">De asemenea, art. 98 alin. (5a) din directivă stabilește că ABE elaborează proiecte de standarde tehnice de reglementare privind specificarea scenariilor de șoc, ceea ce confirmă caracterul tehnic și dinamic al acestora. </w:t>
            </w:r>
          </w:p>
          <w:p w14:paraId="657553D3" w14:textId="77777777" w:rsidR="008E7C06" w:rsidRPr="005D6998" w:rsidRDefault="008E7C06" w:rsidP="00A46332">
            <w:pPr>
              <w:spacing w:after="0" w:line="240" w:lineRule="auto"/>
              <w:jc w:val="both"/>
              <w:rPr>
                <w:rFonts w:ascii="Times New Roman" w:hAnsi="Times New Roman"/>
                <w:lang w:val="ro-MD"/>
              </w:rPr>
            </w:pPr>
            <w:r w:rsidRPr="005D6998">
              <w:rPr>
                <w:rFonts w:ascii="Times New Roman" w:hAnsi="Times New Roman"/>
                <w:lang w:val="ro-MD"/>
              </w:rPr>
              <w:t>Prin urmare, detalierea scenariilor urmează a fi realizată prin actele normative ale BNM emise în aplicarea legii,</w:t>
            </w:r>
            <w:r w:rsidRPr="005D6998">
              <w:rPr>
                <w:rFonts w:ascii="Times New Roman" w:hAnsi="Times New Roman"/>
              </w:rPr>
              <w:t xml:space="preserve"> în concordanță cu cadrul european aplicabil,</w:t>
            </w:r>
            <w:r w:rsidRPr="005D6998">
              <w:rPr>
                <w:rFonts w:ascii="Times New Roman" w:hAnsi="Times New Roman"/>
                <w:lang w:val="ro-MD"/>
              </w:rPr>
              <w:t xml:space="preserve"> fără a fi necesară includerea acestora în lege.</w:t>
            </w:r>
          </w:p>
          <w:p w14:paraId="611DAA5B" w14:textId="77777777" w:rsidR="008E7C06" w:rsidRPr="005D6998" w:rsidRDefault="008E7C06" w:rsidP="00A46332">
            <w:pPr>
              <w:spacing w:after="0" w:line="240" w:lineRule="auto"/>
              <w:jc w:val="both"/>
              <w:rPr>
                <w:rFonts w:ascii="Times New Roman" w:hAnsi="Times New Roman"/>
              </w:rPr>
            </w:pPr>
          </w:p>
          <w:p w14:paraId="4A1D43B1" w14:textId="0EFF5B3F"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art. 139 alin. (3</w:t>
            </w:r>
            <w:r w:rsidRPr="005D6998">
              <w:rPr>
                <w:rFonts w:ascii="Times New Roman" w:hAnsi="Times New Roman"/>
                <w:vertAlign w:val="superscript"/>
              </w:rPr>
              <w:t>2</w:t>
            </w:r>
            <w:r w:rsidRPr="005D6998">
              <w:rPr>
                <w:rFonts w:ascii="Times New Roman" w:hAnsi="Times New Roman"/>
              </w:rPr>
              <w:t xml:space="preserve">), cuvintele „În pofida” se substituie cu textul </w:t>
            </w:r>
            <w:r w:rsidRPr="005D6998">
              <w:rPr>
                <w:rFonts w:ascii="Times New Roman" w:hAnsi="Times New Roman"/>
                <w:lang w:val="it-CH"/>
              </w:rPr>
              <w:t>“</w:t>
            </w:r>
            <w:r w:rsidRPr="005D6998">
              <w:rPr>
                <w:rFonts w:ascii="Times New Roman" w:hAnsi="Times New Roman"/>
              </w:rPr>
              <w:t>Chiar și în cazul prevăzut la”.</w:t>
            </w:r>
          </w:p>
          <w:p w14:paraId="5FBAC6F3" w14:textId="77777777" w:rsidR="008E7C06" w:rsidRPr="005D6998" w:rsidRDefault="008E7C06" w:rsidP="00A46332">
            <w:pPr>
              <w:spacing w:after="0" w:line="240" w:lineRule="auto"/>
              <w:jc w:val="both"/>
              <w:rPr>
                <w:rFonts w:ascii="Times New Roman" w:hAnsi="Times New Roman"/>
                <w:b/>
                <w:bCs/>
              </w:rPr>
            </w:pPr>
          </w:p>
        </w:tc>
      </w:tr>
      <w:tr w:rsidR="008E7C06" w:rsidRPr="005D6998" w14:paraId="20B11521" w14:textId="77777777" w:rsidTr="00651F58">
        <w:trPr>
          <w:gridAfter w:val="2"/>
          <w:wAfter w:w="153" w:type="dxa"/>
          <w:trHeight w:val="105"/>
        </w:trPr>
        <w:tc>
          <w:tcPr>
            <w:tcW w:w="899" w:type="dxa"/>
            <w:gridSpan w:val="3"/>
            <w:shd w:val="clear" w:color="auto" w:fill="FFFFFF"/>
          </w:tcPr>
          <w:p w14:paraId="1489331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E790A16"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[...]alineatul (4) va avea următorul cuprins:</w:t>
            </w:r>
          </w:p>
          <w:p w14:paraId="3484D1F3"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 xml:space="preserve">„(4) Măsura de supraveghere prevăzută la alin.(3) lit. l) este dispusă de Banca Naţională a Moldovei față de o instituție de credit doar dacă cerințele </w:t>
            </w:r>
            <w:r w:rsidRPr="005D6998">
              <w:rPr>
                <w:rFonts w:ascii="Times New Roman" w:hAnsi="Times New Roman"/>
              </w:rPr>
              <w:lastRenderedPageBreak/>
              <w:t>respective sunt adecvate și proporționale în raport cu scopul în care sunt solicitate informațiile, iar informațiile solicitate nu sunt redundante. Banca Națională a Moldovei nu solicită unei instituţii de credit să raporteze informaţii suplimentare în cazul în care a primit anterior informaţiile respective într-un alt format sau la un alt nivel de granularitate și când respectivul format sau nivel de granularitate diferit nu împiedică Banca Națională a Moldovei să producă informaţii de aceeași calitate și fiabilitate precum cele produse pe baza informaţiilor suplimentare care ar fi raportate în alt mod.”;[...]</w:t>
            </w:r>
          </w:p>
          <w:p w14:paraId="667716BD" w14:textId="77777777" w:rsidR="008E7C06" w:rsidRPr="005D6998" w:rsidRDefault="008E7C06" w:rsidP="00A46332">
            <w:pPr>
              <w:pStyle w:val="a7"/>
              <w:tabs>
                <w:tab w:val="left" w:pos="426"/>
              </w:tabs>
              <w:spacing w:after="0" w:line="240" w:lineRule="auto"/>
              <w:ind w:firstLine="851"/>
              <w:jc w:val="both"/>
              <w:rPr>
                <w:rFonts w:ascii="Times New Roman" w:hAnsi="Times New Roman"/>
              </w:rPr>
            </w:pPr>
          </w:p>
        </w:tc>
        <w:tc>
          <w:tcPr>
            <w:tcW w:w="1418" w:type="dxa"/>
            <w:gridSpan w:val="2"/>
            <w:shd w:val="clear" w:color="auto" w:fill="FFFFFF"/>
          </w:tcPr>
          <w:p w14:paraId="01B04B19"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33DA9EA" w14:textId="3F477229"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109</w:t>
            </w:r>
          </w:p>
        </w:tc>
        <w:tc>
          <w:tcPr>
            <w:tcW w:w="4110" w:type="dxa"/>
            <w:gridSpan w:val="2"/>
            <w:shd w:val="clear" w:color="auto" w:fill="FFFFFF"/>
          </w:tcPr>
          <w:p w14:paraId="4FAC59D0" w14:textId="77777777" w:rsidR="008E7C06" w:rsidRPr="005D6998" w:rsidRDefault="008E7C06" w:rsidP="00A46332">
            <w:pPr>
              <w:pStyle w:val="Default"/>
              <w:jc w:val="both"/>
              <w:rPr>
                <w:color w:val="auto"/>
                <w:sz w:val="22"/>
                <w:szCs w:val="22"/>
              </w:rPr>
            </w:pPr>
            <w:r w:rsidRPr="005D6998">
              <w:rPr>
                <w:sz w:val="22"/>
                <w:szCs w:val="22"/>
              </w:rPr>
              <w:t xml:space="preserve">Aferent expunerii în redacție nouă a art. 139 alin. (4), menționăm că redacția propusă nu are același obiect de reglementare ca și redacția în vigoare. În context, în măsura în care dispozițiile alin. (4) nu mai sunt necesare, acesta se va abroga. Respectiv, </w:t>
            </w:r>
            <w:r w:rsidRPr="005D6998">
              <w:rPr>
                <w:sz w:val="22"/>
                <w:szCs w:val="22"/>
              </w:rPr>
              <w:lastRenderedPageBreak/>
              <w:t>dispozițiile propuse la acest alineat vor fi incluse într-un nou alineat, numerotat cu indice numeric. În partea ce vizează cuvintele „cerințele respective” din redacția alin.</w:t>
            </w:r>
            <w:r w:rsidRPr="005D6998">
              <w:rPr>
                <w:color w:val="auto"/>
                <w:sz w:val="22"/>
                <w:szCs w:val="22"/>
              </w:rPr>
              <w:t xml:space="preserve">(4), acestea recomandăm a fi substituite cu referința la cerințele concrete la care se face referire. </w:t>
            </w:r>
          </w:p>
          <w:p w14:paraId="21FE6F4F" w14:textId="77777777" w:rsidR="008E7C06" w:rsidRPr="005D6998" w:rsidRDefault="008E7C06" w:rsidP="00A46332">
            <w:pPr>
              <w:pStyle w:val="Default"/>
              <w:jc w:val="both"/>
              <w:rPr>
                <w:sz w:val="22"/>
                <w:szCs w:val="22"/>
              </w:rPr>
            </w:pPr>
          </w:p>
        </w:tc>
        <w:tc>
          <w:tcPr>
            <w:tcW w:w="4960" w:type="dxa"/>
            <w:gridSpan w:val="3"/>
            <w:shd w:val="clear" w:color="auto" w:fill="FFFFFF"/>
          </w:tcPr>
          <w:p w14:paraId="3900EF02"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73DDFA3D"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Alin. (4) al art. 139 devine alin. 4</w:t>
            </w:r>
            <w:r w:rsidRPr="005D6998">
              <w:rPr>
                <w:rFonts w:ascii="Times New Roman" w:hAnsi="Times New Roman"/>
                <w:vertAlign w:val="superscript"/>
              </w:rPr>
              <w:t>1</w:t>
            </w:r>
            <w:r w:rsidRPr="005D6998">
              <w:rPr>
                <w:rFonts w:ascii="Times New Roman" w:hAnsi="Times New Roman"/>
              </w:rPr>
              <w:t>, respectiv dispoziția de modificare se expune după cum urmează:</w:t>
            </w:r>
          </w:p>
          <w:p w14:paraId="25D5E030"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lang w:val="it-CH"/>
              </w:rPr>
              <w:t>“</w:t>
            </w:r>
            <w:r w:rsidRPr="005D6998">
              <w:rPr>
                <w:rFonts w:ascii="Times New Roman" w:hAnsi="Times New Roman"/>
              </w:rPr>
              <w:t>Se completează cu alineatul 4</w:t>
            </w:r>
            <w:r w:rsidRPr="005D6998">
              <w:rPr>
                <w:rFonts w:ascii="Times New Roman" w:hAnsi="Times New Roman"/>
                <w:vertAlign w:val="superscript"/>
              </w:rPr>
              <w:t>1</w:t>
            </w:r>
            <w:r w:rsidRPr="005D6998">
              <w:rPr>
                <w:rFonts w:ascii="Times New Roman" w:hAnsi="Times New Roman"/>
              </w:rPr>
              <w:t xml:space="preserve"> cu următorul cuprins: [...]” iar în textul alineatului cuvintele „cerințele </w:t>
            </w:r>
            <w:r w:rsidRPr="005D6998">
              <w:rPr>
                <w:rFonts w:ascii="Times New Roman" w:hAnsi="Times New Roman"/>
              </w:rPr>
              <w:lastRenderedPageBreak/>
              <w:t xml:space="preserve">respective” se substituie cu cuvintele </w:t>
            </w:r>
            <w:r w:rsidRPr="005D6998">
              <w:rPr>
                <w:rFonts w:ascii="Times New Roman" w:hAnsi="Times New Roman"/>
                <w:lang w:val="it-CH"/>
              </w:rPr>
              <w:t>“</w:t>
            </w:r>
            <w:r w:rsidRPr="005D6998">
              <w:rPr>
                <w:rFonts w:ascii="Times New Roman" w:hAnsi="Times New Roman"/>
              </w:rPr>
              <w:t>de raportare impuse”.</w:t>
            </w:r>
          </w:p>
          <w:p w14:paraId="190645D1" w14:textId="77777777" w:rsidR="008E7C06" w:rsidRPr="005D6998" w:rsidRDefault="008E7C06" w:rsidP="00A46332">
            <w:pPr>
              <w:spacing w:after="0" w:line="240" w:lineRule="auto"/>
              <w:jc w:val="both"/>
              <w:rPr>
                <w:rFonts w:ascii="Times New Roman" w:hAnsi="Times New Roman"/>
                <w:b/>
                <w:bCs/>
              </w:rPr>
            </w:pPr>
          </w:p>
        </w:tc>
      </w:tr>
      <w:tr w:rsidR="008E7C06" w:rsidRPr="005D6998" w14:paraId="7383B8B2" w14:textId="77777777" w:rsidTr="00651F58">
        <w:trPr>
          <w:gridAfter w:val="2"/>
          <w:wAfter w:w="153" w:type="dxa"/>
          <w:trHeight w:val="105"/>
        </w:trPr>
        <w:tc>
          <w:tcPr>
            <w:tcW w:w="899" w:type="dxa"/>
            <w:gridSpan w:val="3"/>
            <w:shd w:val="clear" w:color="auto" w:fill="FFFFFF"/>
          </w:tcPr>
          <w:p w14:paraId="4484614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595269B"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 xml:space="preserve">la alineatul (6), </w:t>
            </w:r>
          </w:p>
          <w:p w14:paraId="65F6D02A" w14:textId="77777777" w:rsidR="008E7C06" w:rsidRPr="005D6998" w:rsidRDefault="008E7C06" w:rsidP="00A46332">
            <w:pPr>
              <w:pStyle w:val="a7"/>
              <w:tabs>
                <w:tab w:val="left" w:pos="426"/>
              </w:tabs>
              <w:spacing w:after="0" w:line="240" w:lineRule="auto"/>
              <w:ind w:left="0" w:firstLine="851"/>
              <w:jc w:val="both"/>
              <w:rPr>
                <w:rFonts w:ascii="Times New Roman" w:hAnsi="Times New Roman"/>
              </w:rPr>
            </w:pPr>
            <w:r w:rsidRPr="005D6998">
              <w:rPr>
                <w:rFonts w:ascii="Times New Roman" w:hAnsi="Times New Roman"/>
              </w:rPr>
              <w:t>cuvântul „corespunzător” se substituie cu cuvântul „adecvat” litera d) se abrogă;</w:t>
            </w:r>
          </w:p>
          <w:p w14:paraId="489CBC84" w14:textId="77777777" w:rsidR="008E7C06" w:rsidRPr="005D6998" w:rsidRDefault="008E7C06" w:rsidP="00A46332">
            <w:pPr>
              <w:pStyle w:val="a7"/>
              <w:tabs>
                <w:tab w:val="left" w:pos="426"/>
              </w:tabs>
              <w:spacing w:after="0" w:line="240" w:lineRule="auto"/>
              <w:ind w:firstLine="851"/>
              <w:jc w:val="both"/>
              <w:rPr>
                <w:rFonts w:ascii="Times New Roman" w:hAnsi="Times New Roman"/>
              </w:rPr>
            </w:pPr>
          </w:p>
          <w:p w14:paraId="3FF8E4F3"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4A7425A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4D65129" w14:textId="4041865D"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110</w:t>
            </w:r>
          </w:p>
        </w:tc>
        <w:tc>
          <w:tcPr>
            <w:tcW w:w="4110" w:type="dxa"/>
            <w:gridSpan w:val="2"/>
            <w:shd w:val="clear" w:color="auto" w:fill="FFFFFF"/>
          </w:tcPr>
          <w:p w14:paraId="0CF480A4" w14:textId="77777777" w:rsidR="008E7C06" w:rsidRPr="005D6998" w:rsidRDefault="008E7C06" w:rsidP="00A46332">
            <w:pPr>
              <w:pStyle w:val="Default"/>
              <w:jc w:val="both"/>
              <w:rPr>
                <w:color w:val="auto"/>
                <w:sz w:val="22"/>
                <w:szCs w:val="22"/>
              </w:rPr>
            </w:pPr>
            <w:r w:rsidRPr="005D6998">
              <w:rPr>
                <w:color w:val="auto"/>
                <w:sz w:val="22"/>
                <w:szCs w:val="22"/>
              </w:rPr>
              <w:t xml:space="preserve">Dispoziția de abrogare a lit. d) a alin. (6) din art. 139 se va expune din alineat. </w:t>
            </w:r>
          </w:p>
          <w:p w14:paraId="1AF7D8E4" w14:textId="77777777" w:rsidR="008E7C06" w:rsidRPr="005D6998" w:rsidRDefault="008E7C06" w:rsidP="00A46332">
            <w:pPr>
              <w:pStyle w:val="Default"/>
              <w:jc w:val="both"/>
              <w:rPr>
                <w:sz w:val="22"/>
                <w:szCs w:val="22"/>
              </w:rPr>
            </w:pPr>
          </w:p>
        </w:tc>
        <w:tc>
          <w:tcPr>
            <w:tcW w:w="4960" w:type="dxa"/>
            <w:gridSpan w:val="3"/>
            <w:shd w:val="clear" w:color="auto" w:fill="FFFFFF"/>
          </w:tcPr>
          <w:p w14:paraId="314856F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3F3D9ED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p w14:paraId="3A039F22" w14:textId="77777777" w:rsidR="008E7C06" w:rsidRPr="005D6998" w:rsidRDefault="008E7C06" w:rsidP="00A46332">
            <w:pPr>
              <w:spacing w:after="0" w:line="240" w:lineRule="auto"/>
              <w:jc w:val="both"/>
              <w:rPr>
                <w:rFonts w:ascii="Times New Roman" w:hAnsi="Times New Roman"/>
              </w:rPr>
            </w:pPr>
          </w:p>
          <w:p w14:paraId="37FCACF3" w14:textId="77777777" w:rsidR="008E7C06" w:rsidRPr="005D6998" w:rsidRDefault="008E7C06" w:rsidP="00A46332">
            <w:pPr>
              <w:pStyle w:val="a7"/>
              <w:tabs>
                <w:tab w:val="left" w:pos="426"/>
              </w:tabs>
              <w:spacing w:after="0" w:line="240" w:lineRule="auto"/>
              <w:ind w:left="0"/>
              <w:jc w:val="both"/>
              <w:rPr>
                <w:rFonts w:ascii="Times New Roman" w:hAnsi="Times New Roman"/>
              </w:rPr>
            </w:pPr>
          </w:p>
        </w:tc>
      </w:tr>
      <w:tr w:rsidR="008E7C06" w:rsidRPr="005D6998" w14:paraId="3C57A13F" w14:textId="77777777" w:rsidTr="00651F58">
        <w:trPr>
          <w:gridAfter w:val="2"/>
          <w:wAfter w:w="153" w:type="dxa"/>
          <w:trHeight w:val="105"/>
        </w:trPr>
        <w:tc>
          <w:tcPr>
            <w:tcW w:w="899" w:type="dxa"/>
            <w:gridSpan w:val="3"/>
            <w:shd w:val="clear" w:color="auto" w:fill="FFFFFF"/>
          </w:tcPr>
          <w:p w14:paraId="1F517D60"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4439755"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122. Se completează cu articolele 139</w:t>
            </w:r>
            <w:r w:rsidRPr="005D6998">
              <w:rPr>
                <w:rFonts w:ascii="Times New Roman" w:hAnsi="Times New Roman"/>
                <w:vertAlign w:val="superscript"/>
              </w:rPr>
              <w:t>1</w:t>
            </w:r>
            <w:r w:rsidRPr="005D6998">
              <w:rPr>
                <w:rFonts w:ascii="Times New Roman" w:hAnsi="Times New Roman"/>
              </w:rPr>
              <w:t xml:space="preserve"> – 139</w:t>
            </w:r>
            <w:r w:rsidRPr="005D6998">
              <w:rPr>
                <w:rFonts w:ascii="Times New Roman" w:hAnsi="Times New Roman"/>
                <w:vertAlign w:val="superscript"/>
              </w:rPr>
              <w:t>3</w:t>
            </w:r>
            <w:r w:rsidRPr="005D6998">
              <w:rPr>
                <w:rFonts w:ascii="Times New Roman" w:hAnsi="Times New Roman"/>
              </w:rPr>
              <w:t xml:space="preserve"> cu următorul cuprins:</w:t>
            </w:r>
          </w:p>
          <w:p w14:paraId="001147FD" w14:textId="77777777" w:rsidR="008E7C06" w:rsidRPr="005D6998" w:rsidRDefault="008E7C06" w:rsidP="00A46332">
            <w:pPr>
              <w:spacing w:after="0" w:line="240" w:lineRule="auto"/>
              <w:ind w:firstLine="851"/>
              <w:jc w:val="both"/>
              <w:rPr>
                <w:rFonts w:ascii="Times New Roman" w:hAnsi="Times New Roman"/>
              </w:rPr>
            </w:pPr>
            <w:bookmarkStart w:id="32" w:name="_Hlk215571739"/>
            <w:r w:rsidRPr="005D6998">
              <w:rPr>
                <w:rFonts w:ascii="Times New Roman" w:hAnsi="Times New Roman"/>
              </w:rPr>
              <w:t>„</w:t>
            </w:r>
            <w:r w:rsidRPr="005D6998">
              <w:rPr>
                <w:rFonts w:ascii="Times New Roman" w:hAnsi="Times New Roman"/>
                <w:b/>
                <w:bCs/>
              </w:rPr>
              <w:t>Articolul 139</w:t>
            </w:r>
            <w:r w:rsidRPr="005D6998">
              <w:rPr>
                <w:rFonts w:ascii="Times New Roman" w:hAnsi="Times New Roman"/>
                <w:b/>
                <w:bCs/>
                <w:vertAlign w:val="superscript"/>
              </w:rPr>
              <w:t>1</w:t>
            </w:r>
            <w:r w:rsidRPr="005D6998">
              <w:rPr>
                <w:rFonts w:ascii="Times New Roman" w:hAnsi="Times New Roman"/>
                <w:b/>
                <w:bCs/>
              </w:rPr>
              <w:t>.</w:t>
            </w:r>
            <w:r w:rsidRPr="005D6998">
              <w:rPr>
                <w:rFonts w:ascii="Times New Roman" w:hAnsi="Times New Roman"/>
              </w:rPr>
              <w:t xml:space="preserve"> Cerinţa de fonduri proprii suplimentare</w:t>
            </w:r>
          </w:p>
          <w:p w14:paraId="3203598D" w14:textId="77777777" w:rsidR="008E7C06" w:rsidRPr="005D6998" w:rsidRDefault="008E7C06" w:rsidP="00A46332">
            <w:pPr>
              <w:spacing w:after="0" w:line="240" w:lineRule="auto"/>
              <w:ind w:firstLine="851"/>
              <w:jc w:val="both"/>
              <w:rPr>
                <w:rFonts w:ascii="Times New Roman" w:hAnsi="Times New Roman"/>
                <w:lang w:val="it-CH"/>
              </w:rPr>
            </w:pPr>
            <w:r w:rsidRPr="005D6998">
              <w:rPr>
                <w:rFonts w:ascii="Times New Roman" w:hAnsi="Times New Roman"/>
                <w:lang w:val="it-CH"/>
              </w:rPr>
              <w:t>[…]</w:t>
            </w:r>
          </w:p>
          <w:bookmarkEnd w:id="32"/>
          <w:p w14:paraId="458F493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(6) În aplicarea alin. (3), capitalul considerat adecvat acoperă toate riscurile sau elementele de risc identificate ca semnificative în temeiul evaluării prevăzute la alin. (4), care nu sunt acoperite deloc sau nu sunt acoperite suficient de cerinţele de fonduri proprii prevăzute în actele </w:t>
            </w:r>
            <w:r w:rsidRPr="005D6998">
              <w:rPr>
                <w:rFonts w:ascii="Times New Roman" w:hAnsi="Times New Roman"/>
              </w:rPr>
              <w:lastRenderedPageBreak/>
              <w:t xml:space="preserve">normative ale Băncii Naționale a Moldovei, inclusiv în cele cu privire la securitizare. </w:t>
            </w:r>
          </w:p>
          <w:p w14:paraId="24F9C0E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(7) Riscul de rată a dobânzii care decurge din poziţiile din afara portofoliului de tranzacţionare poate fi considerat a fi semnificativ în sensul alin. (4) cel puţin în cazurile prevăzute la art. 139 alin. (3</w:t>
            </w:r>
            <w:r w:rsidRPr="005D6998">
              <w:rPr>
                <w:rFonts w:ascii="Times New Roman" w:hAnsi="Times New Roman"/>
                <w:vertAlign w:val="superscript"/>
              </w:rPr>
              <w:t>1</w:t>
            </w:r>
            <w:r w:rsidRPr="005D6998">
              <w:rPr>
                <w:rFonts w:ascii="Times New Roman" w:hAnsi="Times New Roman"/>
              </w:rPr>
              <w:t xml:space="preserve">), cu excepţia cazului în care Banca Națională a Moldovei, efectuând verificarea și evaluarea, concluzionează că gestionarea de către instituţia de credit a riscului de rată a dobânzii la care este expusă ca urmare a unor activităţi din afara portofoliului de tranzacţionare este adecvată și că instituţia de credit nu este expusă în mod excesiv la riscul de rată a dobânzii ca urmare a unor activităţi din afara portofoliului de tranzacţionare. </w:t>
            </w:r>
          </w:p>
        </w:tc>
        <w:tc>
          <w:tcPr>
            <w:tcW w:w="1418" w:type="dxa"/>
            <w:gridSpan w:val="2"/>
            <w:shd w:val="clear" w:color="auto" w:fill="FFFFFF"/>
          </w:tcPr>
          <w:p w14:paraId="1C69BDD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FA51190" w14:textId="09F3A855"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111</w:t>
            </w:r>
          </w:p>
        </w:tc>
        <w:tc>
          <w:tcPr>
            <w:tcW w:w="4110" w:type="dxa"/>
            <w:gridSpan w:val="2"/>
            <w:shd w:val="clear" w:color="auto" w:fill="FFFFFF"/>
          </w:tcPr>
          <w:p w14:paraId="1A9F9216" w14:textId="77777777" w:rsidR="008E7C06" w:rsidRPr="005D6998" w:rsidRDefault="008E7C06" w:rsidP="00A46332">
            <w:pPr>
              <w:pStyle w:val="Default"/>
              <w:jc w:val="both"/>
              <w:rPr>
                <w:color w:val="auto"/>
                <w:sz w:val="22"/>
                <w:szCs w:val="22"/>
              </w:rPr>
            </w:pPr>
            <w:r w:rsidRPr="005D6998">
              <w:rPr>
                <w:color w:val="auto"/>
                <w:sz w:val="22"/>
                <w:szCs w:val="22"/>
              </w:rPr>
              <w:t>În redacția alin. (6) al art. 139</w:t>
            </w:r>
            <w:r w:rsidRPr="005D6998">
              <w:rPr>
                <w:color w:val="auto"/>
                <w:sz w:val="22"/>
                <w:szCs w:val="22"/>
                <w:vertAlign w:val="superscript"/>
              </w:rPr>
              <w:t>1</w:t>
            </w:r>
            <w:r w:rsidRPr="005D6998">
              <w:rPr>
                <w:color w:val="auto"/>
                <w:sz w:val="22"/>
                <w:szCs w:val="22"/>
              </w:rPr>
              <w:t xml:space="preserve">, textul „alin. (3)” se va substitui cu textul „alin. (4)”, iar textul „alin. (4)” se va substitui cu textul „alin. (5)”, întru corectitudinea indicării trimiterii. </w:t>
            </w:r>
          </w:p>
          <w:p w14:paraId="76B4287C" w14:textId="77777777" w:rsidR="008E7C06" w:rsidRPr="005D6998" w:rsidRDefault="008E7C06" w:rsidP="00A46332">
            <w:pPr>
              <w:pStyle w:val="Default"/>
              <w:jc w:val="both"/>
              <w:rPr>
                <w:color w:val="auto"/>
                <w:sz w:val="22"/>
                <w:szCs w:val="22"/>
              </w:rPr>
            </w:pPr>
          </w:p>
          <w:p w14:paraId="78821CB9" w14:textId="77777777" w:rsidR="008E7C06" w:rsidRPr="005D6998" w:rsidRDefault="008E7C06" w:rsidP="00A46332">
            <w:pPr>
              <w:pStyle w:val="Default"/>
              <w:jc w:val="both"/>
              <w:rPr>
                <w:color w:val="auto"/>
                <w:sz w:val="22"/>
                <w:szCs w:val="22"/>
              </w:rPr>
            </w:pPr>
            <w:r w:rsidRPr="005D6998">
              <w:rPr>
                <w:color w:val="auto"/>
                <w:sz w:val="22"/>
                <w:szCs w:val="22"/>
              </w:rPr>
              <w:t>În redacția alin. (7) al art. 139</w:t>
            </w:r>
            <w:r w:rsidRPr="005D6998">
              <w:rPr>
                <w:color w:val="auto"/>
                <w:sz w:val="22"/>
                <w:szCs w:val="22"/>
                <w:vertAlign w:val="superscript"/>
              </w:rPr>
              <w:t>1</w:t>
            </w:r>
            <w:r w:rsidRPr="005D6998">
              <w:rPr>
                <w:color w:val="auto"/>
                <w:sz w:val="22"/>
                <w:szCs w:val="22"/>
              </w:rPr>
              <w:t>, textul „alin. (4)” se va substitui cu textul „alin. (6)”. De asemenea, se vor corecta trimiterile expuse în alin. (11) și (12) ale art. 139</w:t>
            </w:r>
            <w:r w:rsidRPr="005D6998">
              <w:rPr>
                <w:color w:val="auto"/>
                <w:sz w:val="22"/>
                <w:szCs w:val="22"/>
                <w:vertAlign w:val="superscript"/>
              </w:rPr>
              <w:t>1</w:t>
            </w:r>
            <w:r w:rsidRPr="005D6998">
              <w:rPr>
                <w:color w:val="auto"/>
                <w:sz w:val="22"/>
                <w:szCs w:val="22"/>
              </w:rPr>
              <w:t>, întrucât nu sunt corespunzătoare.</w:t>
            </w:r>
          </w:p>
        </w:tc>
        <w:tc>
          <w:tcPr>
            <w:tcW w:w="4960" w:type="dxa"/>
            <w:gridSpan w:val="3"/>
            <w:shd w:val="clear" w:color="auto" w:fill="FFFFFF"/>
          </w:tcPr>
          <w:p w14:paraId="3294D2D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268DEF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alin. (6) al art. 139</w:t>
            </w:r>
            <w:r w:rsidRPr="005D6998">
              <w:rPr>
                <w:rFonts w:ascii="Times New Roman" w:hAnsi="Times New Roman"/>
                <w:vertAlign w:val="superscript"/>
              </w:rPr>
              <w:t>1</w:t>
            </w:r>
            <w:r w:rsidRPr="005D6998">
              <w:rPr>
                <w:rFonts w:ascii="Times New Roman" w:hAnsi="Times New Roman"/>
              </w:rPr>
              <w:t>, textul „alin. (3)” se substituie cu textul „alin. (4)”, iar textul „alin. (4)” se substituie cu textul „alin. (5)”.</w:t>
            </w:r>
          </w:p>
          <w:p w14:paraId="5C3E7C4D" w14:textId="77777777" w:rsidR="008E7C06" w:rsidRPr="005D6998" w:rsidRDefault="008E7C06" w:rsidP="00A46332">
            <w:pPr>
              <w:spacing w:after="0" w:line="240" w:lineRule="auto"/>
              <w:jc w:val="both"/>
              <w:rPr>
                <w:rFonts w:ascii="Times New Roman" w:hAnsi="Times New Roman"/>
              </w:rPr>
            </w:pPr>
          </w:p>
          <w:p w14:paraId="64337641"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Trimiterile din alin. (11) redactate după cum urmează: textul „alin. (3)” se substituie cu textul „alin. (6)”, textul “cu excepția alin. (8)” se exclude.</w:t>
            </w:r>
          </w:p>
          <w:p w14:paraId="254C851D" w14:textId="77777777" w:rsidR="008E7C06" w:rsidRPr="005D6998" w:rsidRDefault="008E7C06" w:rsidP="00A46332">
            <w:pPr>
              <w:spacing w:after="0" w:line="240" w:lineRule="auto"/>
              <w:jc w:val="both"/>
              <w:rPr>
                <w:rFonts w:ascii="Times New Roman" w:hAnsi="Times New Roman"/>
              </w:rPr>
            </w:pPr>
          </w:p>
          <w:p w14:paraId="039B79C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Trimiterile de la alin. (12) corespund cu alin. (4) teza a doua din art. 104a din Directiva 2013/36/UE.</w:t>
            </w:r>
          </w:p>
          <w:p w14:paraId="7E9BDC19" w14:textId="77777777" w:rsidR="008E7C06" w:rsidRPr="005D6998" w:rsidRDefault="008E7C06" w:rsidP="00A46332">
            <w:pPr>
              <w:spacing w:after="0" w:line="240" w:lineRule="auto"/>
              <w:jc w:val="both"/>
              <w:rPr>
                <w:rFonts w:ascii="Times New Roman" w:hAnsi="Times New Roman"/>
                <w:b/>
                <w:bCs/>
              </w:rPr>
            </w:pPr>
          </w:p>
        </w:tc>
      </w:tr>
      <w:tr w:rsidR="008E7C06" w:rsidRPr="005D6998" w14:paraId="37CDBD04" w14:textId="77777777" w:rsidTr="00651F58">
        <w:trPr>
          <w:gridAfter w:val="2"/>
          <w:wAfter w:w="153" w:type="dxa"/>
          <w:trHeight w:val="105"/>
        </w:trPr>
        <w:tc>
          <w:tcPr>
            <w:tcW w:w="899" w:type="dxa"/>
            <w:gridSpan w:val="3"/>
            <w:shd w:val="clear" w:color="auto" w:fill="FFFFFF"/>
          </w:tcPr>
          <w:p w14:paraId="08D1B29A"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6FBD60B6"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124</w:t>
            </w:r>
            <w:r w:rsidRPr="005D6998">
              <w:rPr>
                <w:rFonts w:ascii="Times New Roman" w:hAnsi="Times New Roman"/>
              </w:rPr>
              <w:t>. Articolul 140,</w:t>
            </w:r>
          </w:p>
          <w:p w14:paraId="4F340ABF" w14:textId="77777777" w:rsidR="008E7C06" w:rsidRPr="005D6998" w:rsidRDefault="008E7C06" w:rsidP="00A46332">
            <w:pPr>
              <w:pStyle w:val="a7"/>
              <w:tabs>
                <w:tab w:val="left" w:pos="426"/>
              </w:tabs>
              <w:spacing w:after="0" w:line="240" w:lineRule="auto"/>
              <w:ind w:firstLine="993"/>
              <w:jc w:val="both"/>
              <w:rPr>
                <w:rFonts w:ascii="Times New Roman" w:hAnsi="Times New Roman"/>
              </w:rPr>
            </w:pPr>
          </w:p>
          <w:p w14:paraId="1A8D1921"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[...]alineatul (2) [...]</w:t>
            </w:r>
          </w:p>
          <w:p w14:paraId="3209D55D"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 xml:space="preserve">se completează cu literele d) – h) cu următorul cuprins: </w:t>
            </w:r>
          </w:p>
          <w:p w14:paraId="3E4B2A7A" w14:textId="77777777" w:rsidR="008E7C06" w:rsidRPr="005D6998" w:rsidRDefault="008E7C06" w:rsidP="00A46332">
            <w:pPr>
              <w:pStyle w:val="a7"/>
              <w:tabs>
                <w:tab w:val="left" w:pos="426"/>
              </w:tabs>
              <w:spacing w:after="0" w:line="240" w:lineRule="auto"/>
              <w:ind w:firstLine="993"/>
              <w:jc w:val="both"/>
              <w:rPr>
                <w:rFonts w:ascii="Times New Roman" w:hAnsi="Times New Roman"/>
              </w:rPr>
            </w:pPr>
          </w:p>
          <w:p w14:paraId="64A94E0E" w14:textId="77777777" w:rsidR="008E7C06" w:rsidRPr="005D6998" w:rsidRDefault="008E7C06" w:rsidP="00A46332">
            <w:pPr>
              <w:spacing w:after="0" w:line="240" w:lineRule="auto"/>
              <w:ind w:firstLine="993"/>
              <w:jc w:val="both"/>
              <w:rPr>
                <w:rFonts w:ascii="Times New Roman" w:hAnsi="Times New Roman"/>
              </w:rPr>
            </w:pPr>
            <w:r w:rsidRPr="005D6998">
              <w:rPr>
                <w:rFonts w:ascii="Times New Roman" w:hAnsi="Times New Roman"/>
              </w:rPr>
              <w:t>[...]e) achiziționarea, direct sau indirect, a unei dețineri semnificative cu nerespectarea cerinței de notificare a Băncii Naționale a Moldovei potrivit art. 58</w:t>
            </w:r>
            <w:r w:rsidRPr="005D6998">
              <w:rPr>
                <w:rFonts w:ascii="Times New Roman" w:hAnsi="Times New Roman"/>
                <w:vertAlign w:val="superscript"/>
              </w:rPr>
              <w:t xml:space="preserve">1 </w:t>
            </w:r>
            <w:r w:rsidRPr="005D6998">
              <w:rPr>
                <w:rFonts w:ascii="Times New Roman" w:hAnsi="Times New Roman"/>
              </w:rPr>
              <w:t>și cu nerespectarea cerințelor din articolul respectiv;</w:t>
            </w:r>
          </w:p>
          <w:p w14:paraId="4E2450B8" w14:textId="77777777" w:rsidR="008E7C06" w:rsidRPr="005D6998" w:rsidRDefault="008E7C06" w:rsidP="00A46332">
            <w:pPr>
              <w:spacing w:after="0" w:line="240" w:lineRule="auto"/>
              <w:ind w:firstLine="993"/>
              <w:jc w:val="both"/>
              <w:rPr>
                <w:rFonts w:ascii="Times New Roman" w:hAnsi="Times New Roman"/>
              </w:rPr>
            </w:pPr>
            <w:r w:rsidRPr="005D6998">
              <w:rPr>
                <w:rFonts w:ascii="Times New Roman" w:hAnsi="Times New Roman"/>
              </w:rPr>
              <w:t>f) cedarea, direct sau indirect, a unei dețineri semnificative care depășește 15% din capitalul eligibil al oricărei dintre entitățile menționate la art. 58</w:t>
            </w:r>
            <w:r w:rsidRPr="005D6998">
              <w:rPr>
                <w:rFonts w:ascii="Times New Roman" w:hAnsi="Times New Roman"/>
                <w:vertAlign w:val="superscript"/>
              </w:rPr>
              <w:t xml:space="preserve">4 </w:t>
            </w:r>
            <w:r w:rsidRPr="005D6998">
              <w:rPr>
                <w:rFonts w:ascii="Times New Roman" w:hAnsi="Times New Roman"/>
              </w:rPr>
              <w:t xml:space="preserve">cu nerespectarea </w:t>
            </w:r>
            <w:r w:rsidRPr="005D6998">
              <w:rPr>
                <w:rFonts w:ascii="Times New Roman" w:hAnsi="Times New Roman"/>
              </w:rPr>
              <w:lastRenderedPageBreak/>
              <w:t>cerinței de notificare a Băncii Naționale a Moldovei potrivit articolului respectiv;</w:t>
            </w:r>
            <w:r w:rsidRPr="005D6998">
              <w:rPr>
                <w:rFonts w:ascii="Times New Roman" w:hAnsi="Times New Roman"/>
                <w:b/>
                <w:bCs/>
              </w:rPr>
              <w:t xml:space="preserve"> </w:t>
            </w:r>
          </w:p>
          <w:p w14:paraId="62397051" w14:textId="77777777" w:rsidR="008E7C06" w:rsidRPr="005D6998" w:rsidRDefault="008E7C06" w:rsidP="00A46332">
            <w:pPr>
              <w:pStyle w:val="a7"/>
              <w:tabs>
                <w:tab w:val="left" w:pos="426"/>
              </w:tabs>
              <w:spacing w:after="0" w:line="240" w:lineRule="auto"/>
              <w:ind w:left="0" w:firstLine="993"/>
              <w:jc w:val="both"/>
              <w:rPr>
                <w:rFonts w:ascii="Times New Roman" w:hAnsi="Times New Roman"/>
              </w:rPr>
            </w:pPr>
            <w:r w:rsidRPr="005D6998">
              <w:rPr>
                <w:rFonts w:ascii="Times New Roman" w:hAnsi="Times New Roman"/>
              </w:rPr>
              <w:t>[...]</w:t>
            </w:r>
          </w:p>
          <w:p w14:paraId="5096CC96" w14:textId="77777777" w:rsidR="008E7C06" w:rsidRPr="005D6998" w:rsidRDefault="008E7C06" w:rsidP="00A46332">
            <w:pPr>
              <w:pStyle w:val="a7"/>
              <w:tabs>
                <w:tab w:val="left" w:pos="426"/>
              </w:tabs>
              <w:spacing w:after="0" w:line="240" w:lineRule="auto"/>
              <w:ind w:left="0" w:firstLine="993"/>
              <w:jc w:val="both"/>
              <w:rPr>
                <w:rFonts w:ascii="Times New Roman" w:hAnsi="Times New Roman"/>
              </w:rPr>
            </w:pPr>
            <w:r w:rsidRPr="005D6998">
              <w:rPr>
                <w:rFonts w:ascii="Times New Roman" w:hAnsi="Times New Roman"/>
              </w:rPr>
              <w:t>h) participarea oricăreia dintre entitățile menționate la art. 34 alin. (2) la un proces de fuziune sau dezmembrare, cu nerespectarea art. 34.”.</w:t>
            </w:r>
          </w:p>
        </w:tc>
        <w:tc>
          <w:tcPr>
            <w:tcW w:w="1418" w:type="dxa"/>
            <w:gridSpan w:val="2"/>
            <w:shd w:val="clear" w:color="auto" w:fill="FFFFFF"/>
          </w:tcPr>
          <w:p w14:paraId="4433655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2C2B191" w14:textId="6DE1D2E8"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112</w:t>
            </w:r>
          </w:p>
        </w:tc>
        <w:tc>
          <w:tcPr>
            <w:tcW w:w="4110" w:type="dxa"/>
            <w:gridSpan w:val="2"/>
            <w:shd w:val="clear" w:color="auto" w:fill="FFFFFF"/>
          </w:tcPr>
          <w:p w14:paraId="0222B2B0" w14:textId="77777777" w:rsidR="008E7C06" w:rsidRPr="005D6998" w:rsidRDefault="008E7C06" w:rsidP="00A46332">
            <w:pPr>
              <w:pStyle w:val="Default"/>
              <w:jc w:val="both"/>
              <w:rPr>
                <w:sz w:val="22"/>
                <w:szCs w:val="22"/>
              </w:rPr>
            </w:pPr>
            <w:r w:rsidRPr="005D6998">
              <w:rPr>
                <w:sz w:val="22"/>
                <w:szCs w:val="22"/>
              </w:rPr>
              <w:t xml:space="preserve">La pct. 124: </w:t>
            </w:r>
          </w:p>
          <w:p w14:paraId="082DC776" w14:textId="77777777" w:rsidR="008E7C06" w:rsidRPr="005D6998" w:rsidRDefault="008E7C06" w:rsidP="00A46332">
            <w:pPr>
              <w:pStyle w:val="Default"/>
              <w:jc w:val="both"/>
              <w:rPr>
                <w:sz w:val="22"/>
                <w:szCs w:val="22"/>
              </w:rPr>
            </w:pPr>
            <w:r w:rsidRPr="005D6998">
              <w:rPr>
                <w:sz w:val="22"/>
                <w:szCs w:val="22"/>
              </w:rPr>
              <w:t xml:space="preserve">În vederea indicării corecte a trimiterii, precum și a evitării unor dublaje de conținut, se recomandă expunerea art. 140 alin. (2) lit. e) în următoarea redacție: „e) achiziționarea, direct sau indirect, a unei dețineri semnificative cu nerespectarea cerinței de notificare a Băncii Naționale a Moldovei și a altor cerințe prevăzute la art. 58;”. </w:t>
            </w:r>
          </w:p>
          <w:p w14:paraId="5F49A2D9" w14:textId="77777777" w:rsidR="008E7C06" w:rsidRPr="005D6998" w:rsidRDefault="008E7C06" w:rsidP="00A46332">
            <w:pPr>
              <w:pStyle w:val="Default"/>
              <w:jc w:val="both"/>
              <w:rPr>
                <w:sz w:val="22"/>
                <w:szCs w:val="22"/>
              </w:rPr>
            </w:pPr>
          </w:p>
          <w:p w14:paraId="26F93EC3" w14:textId="77777777" w:rsidR="008E7C06" w:rsidRPr="005D6998" w:rsidRDefault="008E7C06" w:rsidP="00A46332">
            <w:pPr>
              <w:pStyle w:val="Default"/>
              <w:jc w:val="both"/>
              <w:rPr>
                <w:sz w:val="22"/>
                <w:szCs w:val="22"/>
              </w:rPr>
            </w:pPr>
            <w:r w:rsidRPr="005D6998">
              <w:rPr>
                <w:sz w:val="22"/>
                <w:szCs w:val="22"/>
              </w:rPr>
              <w:t>În redacția propusă pentru art. 140 alin. (2) lit. f) al Legii nr. 202/2017, textul „art. 58</w:t>
            </w:r>
            <w:r w:rsidRPr="005D6998">
              <w:rPr>
                <w:sz w:val="22"/>
                <w:szCs w:val="22"/>
                <w:vertAlign w:val="superscript"/>
              </w:rPr>
              <w:t>4</w:t>
            </w:r>
            <w:r w:rsidRPr="005D6998">
              <w:rPr>
                <w:sz w:val="22"/>
                <w:szCs w:val="22"/>
              </w:rPr>
              <w:t>” se va substitui cu textul „art. 58</w:t>
            </w:r>
            <w:r w:rsidRPr="005D6998">
              <w:rPr>
                <w:sz w:val="22"/>
                <w:szCs w:val="22"/>
                <w:vertAlign w:val="superscript"/>
              </w:rPr>
              <w:t>3</w:t>
            </w:r>
            <w:r w:rsidRPr="005D6998">
              <w:rPr>
                <w:sz w:val="22"/>
                <w:szCs w:val="22"/>
              </w:rPr>
              <w:t>”, iar în redacția lit. h) a aceluiași alineat, textul „alin. (2)” se va substitui cu textul „alin. (4)”.</w:t>
            </w:r>
          </w:p>
        </w:tc>
        <w:tc>
          <w:tcPr>
            <w:tcW w:w="4960" w:type="dxa"/>
            <w:gridSpan w:val="3"/>
            <w:shd w:val="clear" w:color="auto" w:fill="FFFFFF"/>
          </w:tcPr>
          <w:p w14:paraId="42E97DA1"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2856B9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Redactat conform propunerii: </w:t>
            </w:r>
          </w:p>
          <w:p w14:paraId="237C90F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lang w:val="it-CH"/>
              </w:rPr>
              <w:t>“</w:t>
            </w:r>
            <w:r w:rsidRPr="005D6998">
              <w:rPr>
                <w:rFonts w:ascii="Times New Roman" w:hAnsi="Times New Roman"/>
              </w:rPr>
              <w:t>achiziționarea, direct sau indirect, a unei dețineri semnificative cu nerespectarea cerinței de notificare a Băncii Naționale a Moldovei potrivit art. 58</w:t>
            </w:r>
            <w:r w:rsidRPr="005D6998">
              <w:rPr>
                <w:rFonts w:ascii="Times New Roman" w:hAnsi="Times New Roman"/>
                <w:vertAlign w:val="superscript"/>
              </w:rPr>
              <w:t xml:space="preserve">1 </w:t>
            </w:r>
            <w:r w:rsidRPr="005D6998">
              <w:rPr>
                <w:rFonts w:ascii="Times New Roman" w:hAnsi="Times New Roman"/>
              </w:rPr>
              <w:t>și a altor cerințe prevăzute la art. 58</w:t>
            </w:r>
            <w:r w:rsidRPr="005D6998">
              <w:rPr>
                <w:rFonts w:ascii="Times New Roman" w:hAnsi="Times New Roman"/>
                <w:lang w:val="it-CH"/>
              </w:rPr>
              <w:t>”</w:t>
            </w:r>
            <w:r w:rsidRPr="005D6998">
              <w:rPr>
                <w:rFonts w:ascii="Times New Roman" w:hAnsi="Times New Roman"/>
              </w:rPr>
              <w:t>.</w:t>
            </w:r>
          </w:p>
          <w:p w14:paraId="7CD20DCC" w14:textId="77777777" w:rsidR="008E7C06" w:rsidRPr="005D6998" w:rsidRDefault="008E7C06" w:rsidP="00A46332">
            <w:pPr>
              <w:spacing w:after="0" w:line="240" w:lineRule="auto"/>
              <w:jc w:val="both"/>
              <w:rPr>
                <w:rFonts w:ascii="Times New Roman" w:hAnsi="Times New Roman"/>
              </w:rPr>
            </w:pPr>
          </w:p>
          <w:p w14:paraId="2168428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 art. 140 alin. (2) lit. f), textul „art. 58</w:t>
            </w:r>
            <w:r w:rsidRPr="005D6998">
              <w:rPr>
                <w:rFonts w:ascii="Times New Roman" w:hAnsi="Times New Roman"/>
                <w:vertAlign w:val="superscript"/>
              </w:rPr>
              <w:t>4</w:t>
            </w:r>
            <w:r w:rsidRPr="005D6998">
              <w:rPr>
                <w:rFonts w:ascii="Times New Roman" w:hAnsi="Times New Roman"/>
              </w:rPr>
              <w:t>” substituit cu textul „art. 58</w:t>
            </w:r>
            <w:r w:rsidRPr="005D6998">
              <w:rPr>
                <w:rFonts w:ascii="Times New Roman" w:hAnsi="Times New Roman"/>
                <w:vertAlign w:val="superscript"/>
              </w:rPr>
              <w:t xml:space="preserve">3 </w:t>
            </w:r>
            <w:r w:rsidRPr="005D6998">
              <w:rPr>
                <w:rFonts w:ascii="Times New Roman" w:hAnsi="Times New Roman"/>
              </w:rPr>
              <w:t>, iar la lit. h) a aceluiași alineat, textul „alin. (2)” substituit cu textul „alin. (1)” (în redacția proiectului referința la art.58</w:t>
            </w:r>
            <w:r w:rsidRPr="005D6998">
              <w:rPr>
                <w:rFonts w:ascii="Times New Roman" w:hAnsi="Times New Roman"/>
                <w:vertAlign w:val="superscript"/>
              </w:rPr>
              <w:t>4</w:t>
            </w:r>
            <w:r w:rsidRPr="005D6998">
              <w:rPr>
                <w:rFonts w:ascii="Times New Roman" w:hAnsi="Times New Roman"/>
              </w:rPr>
              <w:t xml:space="preserve"> și art.58</w:t>
            </w:r>
            <w:r w:rsidRPr="005D6998">
              <w:rPr>
                <w:rFonts w:ascii="Times New Roman" w:hAnsi="Times New Roman"/>
                <w:vertAlign w:val="superscript"/>
              </w:rPr>
              <w:t xml:space="preserve">3 </w:t>
            </w:r>
            <w:r w:rsidRPr="005D6998">
              <w:rPr>
                <w:rFonts w:ascii="Times New Roman" w:hAnsi="Times New Roman"/>
              </w:rPr>
              <w:t>a fost redactată în art. 57</w:t>
            </w:r>
            <w:r w:rsidRPr="005D6998">
              <w:rPr>
                <w:rFonts w:ascii="Times New Roman" w:hAnsi="Times New Roman"/>
                <w:vertAlign w:val="superscript"/>
              </w:rPr>
              <w:t xml:space="preserve">5 </w:t>
            </w:r>
            <w:r w:rsidRPr="005D6998">
              <w:rPr>
                <w:rFonts w:ascii="Times New Roman" w:hAnsi="Times New Roman"/>
              </w:rPr>
              <w:t>și respectiv în art. 57</w:t>
            </w:r>
            <w:r w:rsidRPr="005D6998">
              <w:rPr>
                <w:rFonts w:ascii="Times New Roman" w:hAnsi="Times New Roman"/>
                <w:vertAlign w:val="superscript"/>
              </w:rPr>
              <w:t>4</w:t>
            </w:r>
            <w:r w:rsidRPr="005D6998">
              <w:rPr>
                <w:rFonts w:ascii="Times New Roman" w:hAnsi="Times New Roman"/>
              </w:rPr>
              <w:t>).</w:t>
            </w:r>
          </w:p>
        </w:tc>
      </w:tr>
      <w:tr w:rsidR="008E7C06" w:rsidRPr="005D6998" w14:paraId="138485F7" w14:textId="77777777" w:rsidTr="00651F58">
        <w:trPr>
          <w:gridAfter w:val="2"/>
          <w:wAfter w:w="153" w:type="dxa"/>
          <w:trHeight w:val="105"/>
        </w:trPr>
        <w:tc>
          <w:tcPr>
            <w:tcW w:w="899" w:type="dxa"/>
            <w:gridSpan w:val="3"/>
            <w:shd w:val="clear" w:color="auto" w:fill="FFFFFF"/>
          </w:tcPr>
          <w:p w14:paraId="6AD91938"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5A96039"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125</w:t>
            </w:r>
            <w:r w:rsidRPr="005D6998">
              <w:rPr>
                <w:rFonts w:ascii="Times New Roman" w:hAnsi="Times New Roman"/>
              </w:rPr>
              <w:t>. Articolul 141, [...]</w:t>
            </w:r>
          </w:p>
          <w:p w14:paraId="6DDD2D51" w14:textId="77777777" w:rsidR="008E7C06" w:rsidRPr="005D6998" w:rsidRDefault="008E7C06" w:rsidP="00A46332">
            <w:pPr>
              <w:pStyle w:val="a7"/>
              <w:tabs>
                <w:tab w:val="left" w:pos="426"/>
              </w:tabs>
              <w:spacing w:after="0" w:line="240" w:lineRule="auto"/>
              <w:ind w:left="0" w:firstLine="993"/>
              <w:jc w:val="both"/>
              <w:rPr>
                <w:rFonts w:ascii="Times New Roman" w:hAnsi="Times New Roman"/>
              </w:rPr>
            </w:pPr>
            <w:r w:rsidRPr="005D6998">
              <w:rPr>
                <w:rFonts w:ascii="Times New Roman" w:hAnsi="Times New Roman"/>
              </w:rPr>
              <w:t>se completează cu alineatele (2</w:t>
            </w:r>
            <w:r w:rsidRPr="005D6998">
              <w:rPr>
                <w:rFonts w:ascii="Times New Roman" w:hAnsi="Times New Roman"/>
                <w:vertAlign w:val="superscript"/>
              </w:rPr>
              <w:t>1</w:t>
            </w:r>
            <w:r w:rsidRPr="005D6998">
              <w:rPr>
                <w:rFonts w:ascii="Times New Roman" w:hAnsi="Times New Roman"/>
              </w:rPr>
              <w:t>) – (2</w:t>
            </w:r>
            <w:r w:rsidRPr="005D6998">
              <w:rPr>
                <w:rFonts w:ascii="Times New Roman" w:hAnsi="Times New Roman"/>
                <w:vertAlign w:val="superscript"/>
              </w:rPr>
              <w:t>5</w:t>
            </w:r>
            <w:r w:rsidRPr="005D6998">
              <w:rPr>
                <w:rFonts w:ascii="Times New Roman" w:hAnsi="Times New Roman"/>
              </w:rPr>
              <w:t>) cu următorul cuprins:</w:t>
            </w:r>
          </w:p>
          <w:p w14:paraId="5920689F" w14:textId="77777777" w:rsidR="008E7C06" w:rsidRPr="005D6998" w:rsidRDefault="008E7C06" w:rsidP="00A46332">
            <w:pPr>
              <w:spacing w:after="0" w:line="240" w:lineRule="auto"/>
              <w:ind w:firstLine="993"/>
              <w:jc w:val="both"/>
              <w:rPr>
                <w:rFonts w:ascii="Times New Roman" w:hAnsi="Times New Roman"/>
              </w:rPr>
            </w:pPr>
            <w:r w:rsidRPr="005D6998">
              <w:rPr>
                <w:rFonts w:ascii="Times New Roman" w:hAnsi="Times New Roman"/>
              </w:rPr>
              <w:t>„(2</w:t>
            </w:r>
            <w:r w:rsidRPr="005D6998">
              <w:rPr>
                <w:rFonts w:ascii="Times New Roman" w:hAnsi="Times New Roman"/>
                <w:vertAlign w:val="superscript"/>
              </w:rPr>
              <w:t>1</w:t>
            </w:r>
            <w:r w:rsidRPr="005D6998">
              <w:rPr>
                <w:rFonts w:ascii="Times New Roman" w:hAnsi="Times New Roman"/>
              </w:rPr>
              <w:t>) Penalitățile cu titlu cominatoriu potrivit prezentei legi sunt:[...]</w:t>
            </w:r>
          </w:p>
          <w:p w14:paraId="4B5A80B1" w14:textId="77777777" w:rsidR="008E7C06" w:rsidRPr="005D6998" w:rsidRDefault="008E7C06" w:rsidP="00A46332">
            <w:pPr>
              <w:spacing w:after="0" w:line="240" w:lineRule="auto"/>
              <w:ind w:firstLine="993"/>
              <w:jc w:val="both"/>
              <w:rPr>
                <w:rFonts w:ascii="Times New Roman" w:hAnsi="Times New Roman"/>
              </w:rPr>
            </w:pPr>
            <w:r w:rsidRPr="005D6998">
              <w:rPr>
                <w:rFonts w:ascii="Times New Roman" w:hAnsi="Times New Roman"/>
              </w:rPr>
              <w:t>b) penalități cu titlu cominatoriu aplicabile unei persoane fizice, de până la 1 milion MDL, pe care, în cazul unei încălcări continue, persoana fizică este obligată să le plătească pentru fiecare zi de încălcare până la restabilirea situației de respectare a unei obligații.</w:t>
            </w:r>
            <w:r w:rsidRPr="005D6998">
              <w:rPr>
                <w:rFonts w:ascii="Times New Roman" w:hAnsi="Times New Roman"/>
                <w:i/>
                <w:iCs/>
              </w:rPr>
              <w:t xml:space="preserve"> </w:t>
            </w:r>
          </w:p>
          <w:p w14:paraId="6A07D37A" w14:textId="77777777" w:rsidR="008E7C06" w:rsidRPr="005D6998" w:rsidRDefault="008E7C06" w:rsidP="00A46332">
            <w:pPr>
              <w:spacing w:after="0" w:line="240" w:lineRule="auto"/>
              <w:ind w:firstLine="993"/>
              <w:jc w:val="both"/>
              <w:rPr>
                <w:rFonts w:ascii="Times New Roman" w:hAnsi="Times New Roman"/>
              </w:rPr>
            </w:pPr>
            <w:r w:rsidRPr="005D6998">
              <w:rPr>
                <w:rFonts w:ascii="Times New Roman" w:hAnsi="Times New Roman"/>
              </w:rPr>
              <w:t>[...]</w:t>
            </w:r>
            <w:r w:rsidRPr="005D6998" w:rsidDel="00931885">
              <w:rPr>
                <w:rFonts w:ascii="Times New Roman" w:hAnsi="Times New Roman"/>
              </w:rPr>
              <w:t xml:space="preserve"> </w:t>
            </w:r>
          </w:p>
          <w:p w14:paraId="4948CC9B" w14:textId="77777777" w:rsidR="008E7C06" w:rsidRPr="005D6998" w:rsidRDefault="008E7C06" w:rsidP="00A46332">
            <w:pPr>
              <w:spacing w:after="0" w:line="240" w:lineRule="auto"/>
              <w:ind w:firstLine="993"/>
              <w:jc w:val="both"/>
              <w:rPr>
                <w:rFonts w:ascii="Times New Roman" w:hAnsi="Times New Roman"/>
              </w:rPr>
            </w:pPr>
            <w:r w:rsidRPr="005D6998">
              <w:rPr>
                <w:rFonts w:ascii="Times New Roman" w:hAnsi="Times New Roman"/>
              </w:rPr>
              <w:t>(2</w:t>
            </w:r>
            <w:r w:rsidRPr="005D6998">
              <w:rPr>
                <w:rFonts w:ascii="Times New Roman" w:hAnsi="Times New Roman"/>
                <w:vertAlign w:val="superscript"/>
              </w:rPr>
              <w:t>4</w:t>
            </w:r>
            <w:r w:rsidRPr="005D6998">
              <w:rPr>
                <w:rFonts w:ascii="Times New Roman" w:hAnsi="Times New Roman"/>
              </w:rPr>
              <w:t xml:space="preserve">) În sensul prezentului articol, baza de calcul o reprezintă cele mai recente informații financiare anuale în materie de supraveghere care generează un indicator mai mare decât zero. În cazul în care persoana juridică menționată la alin. (2) din prezentul articol nu intră sub incidența actelor normative ale Băncii Naționale a Moldovei care stabilesc cerințe de raportare în scopuri de supraveghere, valoarea totală anuală netă relevantă a cifrei de afaceri este valoarea totală </w:t>
            </w:r>
            <w:r w:rsidRPr="005D6998">
              <w:rPr>
                <w:rFonts w:ascii="Times New Roman" w:hAnsi="Times New Roman"/>
              </w:rPr>
              <w:lastRenderedPageBreak/>
              <w:t>anuală netă a cifrei de afaceri sau tipul de venit corespunzător în conformitate cu cadrul contabil aplicabil. În cazul în care întreprinderea în cauză face parte dintr-un grup, valoarea totală anuală netă relevantă a cifrei de afaceri este valoarea totală anuală netă a cifrei de afaceri care rezultă din conturile consolidate ale întreprinderii-mamă de cel mai înalt rang.</w:t>
            </w:r>
          </w:p>
          <w:p w14:paraId="08DE359F" w14:textId="77777777" w:rsidR="008E7C06" w:rsidRPr="005D6998" w:rsidRDefault="008E7C06" w:rsidP="00A46332">
            <w:pPr>
              <w:pStyle w:val="a7"/>
              <w:tabs>
                <w:tab w:val="left" w:pos="426"/>
              </w:tabs>
              <w:spacing w:after="0" w:line="240" w:lineRule="auto"/>
              <w:ind w:left="0" w:firstLine="1134"/>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4FBBCA09"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2429ABA" w14:textId="5862D05F"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113</w:t>
            </w:r>
          </w:p>
        </w:tc>
        <w:tc>
          <w:tcPr>
            <w:tcW w:w="4110" w:type="dxa"/>
            <w:gridSpan w:val="2"/>
            <w:shd w:val="clear" w:color="auto" w:fill="FFFFFF"/>
          </w:tcPr>
          <w:p w14:paraId="0036BB26" w14:textId="77777777" w:rsidR="008E7C06" w:rsidRPr="005D6998" w:rsidRDefault="008E7C06" w:rsidP="00A46332">
            <w:pPr>
              <w:pStyle w:val="Default"/>
              <w:jc w:val="both"/>
              <w:rPr>
                <w:sz w:val="22"/>
                <w:szCs w:val="22"/>
              </w:rPr>
            </w:pPr>
            <w:r w:rsidRPr="005D6998">
              <w:rPr>
                <w:sz w:val="22"/>
                <w:szCs w:val="22"/>
              </w:rPr>
              <w:t xml:space="preserve">La pct. 125: </w:t>
            </w:r>
          </w:p>
          <w:p w14:paraId="4EB651BB" w14:textId="77777777" w:rsidR="008E7C06" w:rsidRPr="005D6998" w:rsidRDefault="008E7C06" w:rsidP="00A46332">
            <w:pPr>
              <w:pStyle w:val="Default"/>
              <w:jc w:val="both"/>
              <w:rPr>
                <w:sz w:val="22"/>
                <w:szCs w:val="22"/>
              </w:rPr>
            </w:pPr>
            <w:r w:rsidRPr="005D6998">
              <w:rPr>
                <w:sz w:val="22"/>
                <w:szCs w:val="22"/>
              </w:rPr>
              <w:t>În redacția propusă pentru art. 141 alin. (2</w:t>
            </w:r>
            <w:r w:rsidRPr="005D6998">
              <w:rPr>
                <w:sz w:val="22"/>
                <w:szCs w:val="22"/>
                <w:vertAlign w:val="superscript"/>
              </w:rPr>
              <w:t>1</w:t>
            </w:r>
            <w:r w:rsidRPr="005D6998">
              <w:rPr>
                <w:sz w:val="22"/>
                <w:szCs w:val="22"/>
              </w:rPr>
              <w:t xml:space="preserve">), textul „de până la 1 milion MDL” sugerăm a fi substituit cu textul „ce nu depășesc echivalentul în lei moldovenești a 50 000 EUR”, întru uniformizarea referinței la valută în tot textul proiectului. </w:t>
            </w:r>
          </w:p>
          <w:p w14:paraId="436A643A" w14:textId="77777777" w:rsidR="008E7C06" w:rsidRPr="005D6998" w:rsidRDefault="008E7C06" w:rsidP="00A46332">
            <w:pPr>
              <w:pStyle w:val="Default"/>
              <w:jc w:val="both"/>
              <w:rPr>
                <w:sz w:val="22"/>
                <w:szCs w:val="22"/>
              </w:rPr>
            </w:pPr>
          </w:p>
          <w:p w14:paraId="6393DF82" w14:textId="77777777" w:rsidR="008E7C06" w:rsidRPr="005D6998" w:rsidRDefault="008E7C06" w:rsidP="00A46332">
            <w:pPr>
              <w:pStyle w:val="Default"/>
              <w:jc w:val="both"/>
              <w:rPr>
                <w:sz w:val="22"/>
                <w:szCs w:val="22"/>
              </w:rPr>
            </w:pPr>
            <w:r w:rsidRPr="005D6998">
              <w:rPr>
                <w:sz w:val="22"/>
                <w:szCs w:val="22"/>
              </w:rPr>
              <w:t>În redacția propusă pentru art. 141 alin. (2</w:t>
            </w:r>
            <w:r w:rsidRPr="005D6998">
              <w:rPr>
                <w:sz w:val="22"/>
                <w:szCs w:val="22"/>
                <w:vertAlign w:val="superscript"/>
              </w:rPr>
              <w:t>4</w:t>
            </w:r>
            <w:r w:rsidRPr="005D6998">
              <w:rPr>
                <w:sz w:val="22"/>
                <w:szCs w:val="22"/>
              </w:rPr>
              <w:t>), textul „persoana juridică menționată la alin. (2) din prezentul articol” se va revedea, deoarece în alin. (2) al art. 141 nu se face referire la persoane juridice.</w:t>
            </w:r>
          </w:p>
        </w:tc>
        <w:tc>
          <w:tcPr>
            <w:tcW w:w="4960" w:type="dxa"/>
            <w:gridSpan w:val="3"/>
            <w:shd w:val="clear" w:color="auto" w:fill="FFFFFF"/>
          </w:tcPr>
          <w:p w14:paraId="3AF26148"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7F8AE5F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 - ce nu depășesc echivalentul în lei moldovenești a 50 000 euro.</w:t>
            </w:r>
          </w:p>
          <w:p w14:paraId="0EA41FC7" w14:textId="77777777" w:rsidR="008E7C06" w:rsidRPr="005D6998" w:rsidRDefault="008E7C06" w:rsidP="00A46332">
            <w:pPr>
              <w:spacing w:after="0" w:line="240" w:lineRule="auto"/>
              <w:jc w:val="both"/>
              <w:rPr>
                <w:rFonts w:ascii="Times New Roman" w:hAnsi="Times New Roman"/>
              </w:rPr>
            </w:pPr>
          </w:p>
          <w:p w14:paraId="4963C4DF" w14:textId="77777777" w:rsidR="008E7C06" w:rsidRPr="005D6998" w:rsidRDefault="008E7C06" w:rsidP="00A46332">
            <w:pPr>
              <w:spacing w:after="0" w:line="240" w:lineRule="auto"/>
              <w:jc w:val="both"/>
              <w:rPr>
                <w:rFonts w:ascii="Times New Roman" w:hAnsi="Times New Roman"/>
              </w:rPr>
            </w:pPr>
          </w:p>
        </w:tc>
      </w:tr>
      <w:tr w:rsidR="008E7C06" w:rsidRPr="005D6998" w14:paraId="205DF226" w14:textId="77777777" w:rsidTr="00651F58">
        <w:trPr>
          <w:gridAfter w:val="2"/>
          <w:wAfter w:w="153" w:type="dxa"/>
          <w:trHeight w:val="105"/>
        </w:trPr>
        <w:tc>
          <w:tcPr>
            <w:tcW w:w="899" w:type="dxa"/>
            <w:gridSpan w:val="3"/>
            <w:shd w:val="clear" w:color="auto" w:fill="FFFFFF"/>
          </w:tcPr>
          <w:p w14:paraId="5E141E3C"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4D8C4E7"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126</w:t>
            </w:r>
            <w:r w:rsidRPr="005D6998">
              <w:rPr>
                <w:rFonts w:ascii="Times New Roman" w:hAnsi="Times New Roman"/>
              </w:rPr>
              <w:t>. Articolul 142,</w:t>
            </w:r>
          </w:p>
          <w:p w14:paraId="4B06BB57" w14:textId="77777777" w:rsidR="008E7C06" w:rsidRPr="005D6998" w:rsidRDefault="008E7C06" w:rsidP="00A46332">
            <w:pPr>
              <w:pStyle w:val="a7"/>
              <w:tabs>
                <w:tab w:val="left" w:pos="426"/>
              </w:tabs>
              <w:spacing w:after="0" w:line="240" w:lineRule="auto"/>
              <w:ind w:left="0" w:firstLine="1134"/>
              <w:jc w:val="both"/>
              <w:rPr>
                <w:rFonts w:ascii="Times New Roman" w:hAnsi="Times New Roman"/>
              </w:rPr>
            </w:pPr>
            <w:r w:rsidRPr="005D6998">
              <w:rPr>
                <w:rFonts w:ascii="Times New Roman" w:hAnsi="Times New Roman"/>
              </w:rPr>
              <w:t>[...]alineatul (2),</w:t>
            </w:r>
          </w:p>
          <w:p w14:paraId="5C4DE83F" w14:textId="77777777" w:rsidR="008E7C06" w:rsidRPr="005D6998" w:rsidRDefault="008E7C06" w:rsidP="00A46332">
            <w:pPr>
              <w:pStyle w:val="a7"/>
              <w:tabs>
                <w:tab w:val="left" w:pos="426"/>
              </w:tabs>
              <w:spacing w:after="0" w:line="240" w:lineRule="auto"/>
              <w:ind w:left="0" w:firstLine="1134"/>
              <w:jc w:val="both"/>
              <w:rPr>
                <w:rFonts w:ascii="Times New Roman" w:hAnsi="Times New Roman"/>
              </w:rPr>
            </w:pPr>
            <w:r w:rsidRPr="005D6998">
              <w:rPr>
                <w:rFonts w:ascii="Times New Roman" w:hAnsi="Times New Roman"/>
              </w:rPr>
              <w:t>după textul „cuantumului amenzii” se completează cu textul „ sau penalității cu titlu cominatoriu“;</w:t>
            </w:r>
          </w:p>
          <w:p w14:paraId="33D3AB74" w14:textId="77777777" w:rsidR="008E7C06" w:rsidRPr="005D6998" w:rsidRDefault="008E7C06" w:rsidP="00A46332">
            <w:pPr>
              <w:pStyle w:val="a7"/>
              <w:tabs>
                <w:tab w:val="left" w:pos="426"/>
              </w:tabs>
              <w:spacing w:after="0" w:line="240" w:lineRule="auto"/>
              <w:ind w:firstLine="1134"/>
              <w:jc w:val="both"/>
              <w:rPr>
                <w:rFonts w:ascii="Times New Roman" w:hAnsi="Times New Roman"/>
              </w:rPr>
            </w:pPr>
          </w:p>
          <w:p w14:paraId="5A655090" w14:textId="77777777" w:rsidR="008E7C06" w:rsidRPr="005D6998" w:rsidRDefault="008E7C06" w:rsidP="00A46332">
            <w:pPr>
              <w:pStyle w:val="a7"/>
              <w:tabs>
                <w:tab w:val="left" w:pos="426"/>
              </w:tabs>
              <w:spacing w:after="0" w:line="240" w:lineRule="auto"/>
              <w:ind w:left="0" w:firstLine="1134"/>
              <w:jc w:val="both"/>
              <w:rPr>
                <w:rFonts w:ascii="Times New Roman" w:hAnsi="Times New Roman"/>
              </w:rPr>
            </w:pPr>
            <w:r w:rsidRPr="005D6998">
              <w:rPr>
                <w:rFonts w:ascii="Times New Roman" w:hAnsi="Times New Roman"/>
              </w:rPr>
              <w:t>[...]se completează cu alineatele (6) – (8) cu următorul cuprins:</w:t>
            </w:r>
          </w:p>
          <w:p w14:paraId="7BD092D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„(6) În exercitarea competențelor Băncii Naționale a Moldovei de a dispune măsuri de supraveghere potrivit art. 139 și/sau să aplice sancțiuni sau măsuri sancționatoare conform prezentei legi, Banca Națională a Moldovei cooperează îndeaproape cu alte autorități competente pentru a se asigura că sancțiunile și măsurile respective produc rezultatele urmărite de prezenta lege. Banca Națională a Moldovei își coordonează, de asemenea, acțiunile pentru a preveni acumularea și suprapunerea măsurilor și sancțiunilor pe care le aplică în cazuri transfrontaliere.</w:t>
            </w:r>
            <w:r w:rsidRPr="005D6998">
              <w:rPr>
                <w:rFonts w:ascii="Times New Roman" w:hAnsi="Times New Roman"/>
                <w:b/>
                <w:bCs/>
              </w:rPr>
              <w:t xml:space="preserve"> </w:t>
            </w:r>
          </w:p>
          <w:p w14:paraId="0B9DCC26" w14:textId="77777777" w:rsidR="008E7C06" w:rsidRPr="005D6998" w:rsidRDefault="008E7C06" w:rsidP="00A46332">
            <w:pPr>
              <w:spacing w:after="0" w:line="240" w:lineRule="auto"/>
              <w:ind w:firstLine="1134"/>
              <w:jc w:val="both"/>
              <w:rPr>
                <w:rFonts w:ascii="Times New Roman" w:hAnsi="Times New Roman"/>
                <w:b/>
                <w:bCs/>
              </w:rPr>
            </w:pPr>
            <w:r w:rsidRPr="005D6998">
              <w:rPr>
                <w:rFonts w:ascii="Times New Roman" w:hAnsi="Times New Roman"/>
              </w:rPr>
              <w:lastRenderedPageBreak/>
              <w:t>(7) Banca Națională a Moldovei poate aplica sancțiuni unei persoane fizice sau juridice responsabile de aceleași fapte sau omisiuni în cazul cumulării unor proceduri administrative și penale referitoare la aceeași încălcare. Cu toate acestea, o astfel de cumulare de proceduri și de sancțiuni este strict necesară și proporțională pentru a se urmări obiective de interes general diferite și complementare.</w:t>
            </w:r>
            <w:r w:rsidRPr="005D6998">
              <w:rPr>
                <w:rFonts w:ascii="Times New Roman" w:hAnsi="Times New Roman"/>
                <w:b/>
                <w:bCs/>
              </w:rPr>
              <w:t xml:space="preserve"> </w:t>
            </w:r>
          </w:p>
          <w:p w14:paraId="3FAD8E78" w14:textId="77777777" w:rsidR="008E7C06" w:rsidRPr="005D6998" w:rsidRDefault="008E7C06" w:rsidP="00A46332">
            <w:pPr>
              <w:pStyle w:val="a7"/>
              <w:tabs>
                <w:tab w:val="left" w:pos="426"/>
              </w:tabs>
              <w:spacing w:after="0" w:line="240" w:lineRule="auto"/>
              <w:ind w:left="0" w:firstLine="1134"/>
              <w:jc w:val="both"/>
              <w:rPr>
                <w:rFonts w:ascii="Times New Roman" w:hAnsi="Times New Roman"/>
              </w:rPr>
            </w:pPr>
            <w:r w:rsidRPr="005D6998">
              <w:rPr>
                <w:rFonts w:ascii="Times New Roman" w:hAnsi="Times New Roman"/>
              </w:rPr>
              <w:t>(8) Banca Națională a Moldovei utilizează toate mecanismele necesare pentru a se asigura că este informată în mod corespunzător, în timp util, în cazul în care sunt inițiate proceduri administrative și penale împotriva unei persoane fizice sau juridice care poate fi considerată responsabilă de același comportament în cadrul ambelor proceduri.”.</w:t>
            </w:r>
          </w:p>
        </w:tc>
        <w:tc>
          <w:tcPr>
            <w:tcW w:w="1418" w:type="dxa"/>
            <w:gridSpan w:val="2"/>
            <w:shd w:val="clear" w:color="auto" w:fill="FFFFFF"/>
          </w:tcPr>
          <w:p w14:paraId="003F6212"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AA2032A" w14:textId="6E7BCA1E"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114</w:t>
            </w:r>
          </w:p>
        </w:tc>
        <w:tc>
          <w:tcPr>
            <w:tcW w:w="4110" w:type="dxa"/>
            <w:gridSpan w:val="2"/>
            <w:shd w:val="clear" w:color="auto" w:fill="FFFFFF"/>
          </w:tcPr>
          <w:p w14:paraId="546025B2" w14:textId="77777777" w:rsidR="008E7C06" w:rsidRPr="005D6998" w:rsidRDefault="008E7C06" w:rsidP="00A46332">
            <w:pPr>
              <w:pStyle w:val="Default"/>
              <w:jc w:val="both"/>
              <w:rPr>
                <w:sz w:val="22"/>
                <w:szCs w:val="22"/>
              </w:rPr>
            </w:pPr>
            <w:r w:rsidRPr="005D6998">
              <w:rPr>
                <w:sz w:val="22"/>
                <w:szCs w:val="22"/>
              </w:rPr>
              <w:t xml:space="preserve">La pct. 126: </w:t>
            </w:r>
          </w:p>
          <w:p w14:paraId="0792F1CB" w14:textId="77777777" w:rsidR="008E7C06" w:rsidRPr="005D6998" w:rsidRDefault="008E7C06" w:rsidP="00A46332">
            <w:pPr>
              <w:pStyle w:val="Default"/>
              <w:jc w:val="both"/>
              <w:rPr>
                <w:sz w:val="22"/>
                <w:szCs w:val="22"/>
              </w:rPr>
            </w:pPr>
            <w:r w:rsidRPr="005D6998">
              <w:rPr>
                <w:sz w:val="22"/>
                <w:szCs w:val="22"/>
              </w:rPr>
              <w:t xml:space="preserve">În dispoziția de modificare a alin. (2) al art. 142, cuvintele „cuantumul amenzii” se vor substitui cu cuvintele „cuantumului amenzii”. </w:t>
            </w:r>
          </w:p>
          <w:p w14:paraId="2B52B36B" w14:textId="77777777" w:rsidR="008E7C06" w:rsidRPr="005D6998" w:rsidRDefault="008E7C06" w:rsidP="00A46332">
            <w:pPr>
              <w:pStyle w:val="Default"/>
              <w:jc w:val="both"/>
              <w:rPr>
                <w:sz w:val="22"/>
                <w:szCs w:val="22"/>
              </w:rPr>
            </w:pPr>
            <w:r w:rsidRPr="005D6998">
              <w:rPr>
                <w:sz w:val="22"/>
                <w:szCs w:val="22"/>
              </w:rPr>
              <w:t xml:space="preserve">În redacția art. 142 alin. (6), considerăm necesar a fi detaliate cuvintele „cu alte autorități competente”, pentru înțelegerea justă, precum și aplicarea comodă și uniformă a reglementării. Tot din același considerent se vor detalia cuvintele „utilizează toate mecanismele necesare”, prevăzute în alin. (8) al aceluiași articol. </w:t>
            </w:r>
          </w:p>
          <w:p w14:paraId="1EB9CBF7" w14:textId="77777777" w:rsidR="008E7C06" w:rsidRPr="005D6998" w:rsidRDefault="008E7C06" w:rsidP="00A46332">
            <w:pPr>
              <w:pStyle w:val="Default"/>
              <w:jc w:val="both"/>
              <w:rPr>
                <w:sz w:val="22"/>
                <w:szCs w:val="22"/>
              </w:rPr>
            </w:pPr>
          </w:p>
          <w:p w14:paraId="58D29021" w14:textId="77777777" w:rsidR="008E7C06" w:rsidRPr="005D6998" w:rsidRDefault="008E7C06" w:rsidP="00A46332">
            <w:pPr>
              <w:pStyle w:val="Default"/>
              <w:jc w:val="both"/>
              <w:rPr>
                <w:sz w:val="22"/>
                <w:szCs w:val="22"/>
              </w:rPr>
            </w:pPr>
            <w:r w:rsidRPr="005D6998">
              <w:rPr>
                <w:sz w:val="22"/>
                <w:szCs w:val="22"/>
              </w:rPr>
              <w:t>În redacția art. 142 alin. (7), după cuvintele „cumulare de proceduri și sancțiuni” sugerăm a fi incluse cuvintele „se aplică în cazul în care”.</w:t>
            </w:r>
          </w:p>
        </w:tc>
        <w:tc>
          <w:tcPr>
            <w:tcW w:w="4960" w:type="dxa"/>
            <w:gridSpan w:val="3"/>
            <w:shd w:val="clear" w:color="auto" w:fill="FFFFFF"/>
          </w:tcPr>
          <w:p w14:paraId="20F0342E"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aceeptă parțial.</w:t>
            </w:r>
          </w:p>
          <w:p w14:paraId="3A0E9BA8"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Dispoziția de modificare a alin. (2) –  după textul „cuantumului amenzii” se completează cu textul „ sau penalității cu titlu cominatoriu“; cuvântul „cuantum” nu este în alin. (2) al art. 142 dar este “cuantumului”.</w:t>
            </w:r>
          </w:p>
          <w:p w14:paraId="5D7658CA" w14:textId="77777777" w:rsidR="008E7C06" w:rsidRPr="005D6998" w:rsidRDefault="008E7C06" w:rsidP="00A46332">
            <w:pPr>
              <w:pStyle w:val="a7"/>
              <w:tabs>
                <w:tab w:val="left" w:pos="426"/>
              </w:tabs>
              <w:spacing w:after="0" w:line="240" w:lineRule="auto"/>
              <w:ind w:left="0"/>
              <w:jc w:val="both"/>
              <w:rPr>
                <w:rFonts w:ascii="Times New Roman" w:hAnsi="Times New Roman"/>
              </w:rPr>
            </w:pPr>
          </w:p>
          <w:p w14:paraId="203938A4" w14:textId="77777777" w:rsidR="008E7C06" w:rsidRPr="005D6998" w:rsidRDefault="008E7C06" w:rsidP="00A46332">
            <w:pPr>
              <w:pStyle w:val="a7"/>
              <w:tabs>
                <w:tab w:val="left" w:pos="426"/>
              </w:tabs>
              <w:spacing w:after="0" w:line="240" w:lineRule="auto"/>
              <w:ind w:left="0"/>
              <w:jc w:val="both"/>
              <w:rPr>
                <w:rFonts w:ascii="Times New Roman" w:hAnsi="Times New Roman"/>
              </w:rPr>
            </w:pPr>
            <w:r w:rsidRPr="005D6998">
              <w:rPr>
                <w:rFonts w:ascii="Times New Roman" w:hAnsi="Times New Roman"/>
              </w:rPr>
              <w:t>Dispozițiile alin. (6) și (8) transpun cadrul de cooperare și coordonare prevăzut de art. 70 alin. (2) din Directiva 2013/36/UE, iar sintagmele „alte autorități competente” și „utilizează toate mecanismele necesare” corespund terminologiei europene și nu necesită detaliere sau enumerare exhaustivă, acestea urmând a fi aplicate în funcție de competențele și circumstanțele cazului concret.</w:t>
            </w:r>
          </w:p>
          <w:p w14:paraId="4E3EBDB3" w14:textId="77777777" w:rsidR="008E7C06" w:rsidRPr="005D6998" w:rsidRDefault="008E7C06" w:rsidP="00A46332">
            <w:pPr>
              <w:pStyle w:val="a7"/>
              <w:tabs>
                <w:tab w:val="left" w:pos="426"/>
              </w:tabs>
              <w:spacing w:after="0" w:line="240" w:lineRule="auto"/>
              <w:ind w:left="0"/>
              <w:jc w:val="both"/>
              <w:rPr>
                <w:rFonts w:ascii="Times New Roman" w:hAnsi="Times New Roman"/>
              </w:rPr>
            </w:pPr>
          </w:p>
          <w:p w14:paraId="580058DD"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La alin. (7), după cuvintele „cumulare de proceduri și sancțiuni” au fost incluse cuvintele „se aplică în cazul în care”.</w:t>
            </w:r>
          </w:p>
        </w:tc>
      </w:tr>
      <w:tr w:rsidR="008E7C06" w:rsidRPr="005D6998" w14:paraId="6D2A3356" w14:textId="77777777" w:rsidTr="00651F58">
        <w:trPr>
          <w:gridAfter w:val="2"/>
          <w:wAfter w:w="153" w:type="dxa"/>
          <w:trHeight w:val="105"/>
        </w:trPr>
        <w:tc>
          <w:tcPr>
            <w:tcW w:w="899" w:type="dxa"/>
            <w:gridSpan w:val="3"/>
            <w:shd w:val="clear" w:color="auto" w:fill="FFFFFF"/>
          </w:tcPr>
          <w:p w14:paraId="4F1F69C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32AE10D"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b/>
                <w:bCs/>
              </w:rPr>
              <w:t>128</w:t>
            </w:r>
            <w:r w:rsidRPr="005D6998">
              <w:rPr>
                <w:rFonts w:ascii="Times New Roman" w:hAnsi="Times New Roman"/>
              </w:rPr>
              <w:t xml:space="preserve">. Articolul 144 alineatul (4), la literele c) și d), cuvântul „angajații” și „angajate” se substituie cu cuvântul „salariații”, respectiv, „salariate”. </w:t>
            </w:r>
          </w:p>
        </w:tc>
        <w:tc>
          <w:tcPr>
            <w:tcW w:w="1418" w:type="dxa"/>
            <w:gridSpan w:val="2"/>
            <w:shd w:val="clear" w:color="auto" w:fill="FFFFFF"/>
          </w:tcPr>
          <w:p w14:paraId="1F0861B4"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F98EFCA" w14:textId="285529F3"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115</w:t>
            </w:r>
          </w:p>
        </w:tc>
        <w:tc>
          <w:tcPr>
            <w:tcW w:w="4110" w:type="dxa"/>
            <w:gridSpan w:val="2"/>
            <w:shd w:val="clear" w:color="auto" w:fill="FFFFFF"/>
          </w:tcPr>
          <w:p w14:paraId="4933E81B" w14:textId="77777777" w:rsidR="008E7C06" w:rsidRPr="005D6998" w:rsidRDefault="008E7C06" w:rsidP="00A46332">
            <w:pPr>
              <w:pStyle w:val="Default"/>
              <w:jc w:val="both"/>
              <w:rPr>
                <w:sz w:val="22"/>
                <w:szCs w:val="22"/>
              </w:rPr>
            </w:pPr>
            <w:r w:rsidRPr="005D6998">
              <w:rPr>
                <w:sz w:val="22"/>
                <w:szCs w:val="22"/>
              </w:rPr>
              <w:t>La pct. 128, textul „ , la literele c) și d)” se va substitui cu textul „litera d)”.</w:t>
            </w:r>
          </w:p>
        </w:tc>
        <w:tc>
          <w:tcPr>
            <w:tcW w:w="4960" w:type="dxa"/>
            <w:gridSpan w:val="3"/>
            <w:shd w:val="clear" w:color="auto" w:fill="FFFFFF"/>
          </w:tcPr>
          <w:p w14:paraId="675C37D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57D6F96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Redactat conform propunerii.</w:t>
            </w:r>
          </w:p>
        </w:tc>
      </w:tr>
      <w:tr w:rsidR="008E7C06" w:rsidRPr="005D6998" w14:paraId="3B77917E" w14:textId="77777777" w:rsidTr="00651F58">
        <w:trPr>
          <w:gridAfter w:val="2"/>
          <w:wAfter w:w="153" w:type="dxa"/>
          <w:trHeight w:val="105"/>
        </w:trPr>
        <w:tc>
          <w:tcPr>
            <w:tcW w:w="899" w:type="dxa"/>
            <w:gridSpan w:val="3"/>
            <w:shd w:val="clear" w:color="auto" w:fill="FFFFFF"/>
          </w:tcPr>
          <w:p w14:paraId="07006B6C"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625C768"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625FAAF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B2E7277" w14:textId="10EAE41B"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116</w:t>
            </w:r>
          </w:p>
        </w:tc>
        <w:tc>
          <w:tcPr>
            <w:tcW w:w="4110" w:type="dxa"/>
            <w:gridSpan w:val="2"/>
            <w:shd w:val="clear" w:color="auto" w:fill="FFFFFF"/>
          </w:tcPr>
          <w:p w14:paraId="0FEA0391" w14:textId="77777777" w:rsidR="008E7C06" w:rsidRPr="005D6998" w:rsidRDefault="008E7C06" w:rsidP="00A46332">
            <w:pPr>
              <w:pStyle w:val="Default"/>
              <w:jc w:val="both"/>
              <w:rPr>
                <w:sz w:val="22"/>
                <w:szCs w:val="22"/>
              </w:rPr>
            </w:pPr>
            <w:r w:rsidRPr="005D6998">
              <w:rPr>
                <w:sz w:val="22"/>
                <w:szCs w:val="22"/>
              </w:rPr>
              <w:t xml:space="preserve">Suplimentar la art. III: </w:t>
            </w:r>
          </w:p>
          <w:p w14:paraId="1F979E54" w14:textId="77777777" w:rsidR="008E7C06" w:rsidRPr="005D6998" w:rsidDel="0098636B" w:rsidRDefault="008E7C06" w:rsidP="00A46332">
            <w:pPr>
              <w:pStyle w:val="Default"/>
              <w:jc w:val="both"/>
              <w:rPr>
                <w:sz w:val="22"/>
                <w:szCs w:val="22"/>
              </w:rPr>
            </w:pPr>
            <w:r w:rsidRPr="005D6998">
              <w:rPr>
                <w:sz w:val="22"/>
                <w:szCs w:val="22"/>
              </w:rPr>
              <w:t>Având în vedere că Legea nr. 202/2017 se propune a fi modificată substanțial, fiind incluse modificări multiple și esențiale, în mai mult de 80% din articole, ce schimbă întregul conținut al acestora, cu o abordare mult mai complexă bazată pe reglementări aplicabile Republicii Moldova, în calitate de stat membru UE, se recomandă expunerea legii în redacție nouă.</w:t>
            </w:r>
          </w:p>
        </w:tc>
        <w:tc>
          <w:tcPr>
            <w:tcW w:w="4960" w:type="dxa"/>
            <w:gridSpan w:val="3"/>
            <w:shd w:val="clear" w:color="auto" w:fill="FFFFFF"/>
          </w:tcPr>
          <w:p w14:paraId="16A1CF6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Comentariu</w:t>
            </w:r>
          </w:p>
          <w:p w14:paraId="589DDEC2" w14:textId="77777777" w:rsidR="008E7C06" w:rsidRPr="005D6998" w:rsidRDefault="008E7C06" w:rsidP="00A46332">
            <w:pPr>
              <w:spacing w:after="0" w:line="240" w:lineRule="auto"/>
              <w:jc w:val="both"/>
              <w:rPr>
                <w:rFonts w:ascii="Times New Roman" w:hAnsi="Times New Roman"/>
              </w:rPr>
            </w:pPr>
          </w:p>
        </w:tc>
      </w:tr>
      <w:tr w:rsidR="008E7C06" w:rsidRPr="005D6998" w14:paraId="69A9C77A" w14:textId="77777777" w:rsidTr="00651F58">
        <w:trPr>
          <w:gridAfter w:val="2"/>
          <w:wAfter w:w="153" w:type="dxa"/>
          <w:trHeight w:val="105"/>
        </w:trPr>
        <w:tc>
          <w:tcPr>
            <w:tcW w:w="899" w:type="dxa"/>
            <w:gridSpan w:val="3"/>
            <w:shd w:val="clear" w:color="auto" w:fill="FFFFFF"/>
          </w:tcPr>
          <w:p w14:paraId="75156084"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024AEAC"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2A4DED1A"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0A8DD883" w14:textId="356CADE8"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117</w:t>
            </w:r>
          </w:p>
        </w:tc>
        <w:tc>
          <w:tcPr>
            <w:tcW w:w="4110" w:type="dxa"/>
            <w:gridSpan w:val="2"/>
            <w:shd w:val="clear" w:color="auto" w:fill="FFFFFF"/>
          </w:tcPr>
          <w:p w14:paraId="7EB7D9CD" w14:textId="77777777" w:rsidR="008E7C06" w:rsidRPr="005D6998" w:rsidDel="0098636B" w:rsidRDefault="008E7C06" w:rsidP="00A46332">
            <w:pPr>
              <w:pStyle w:val="Default"/>
              <w:jc w:val="both"/>
              <w:rPr>
                <w:sz w:val="22"/>
                <w:szCs w:val="22"/>
              </w:rPr>
            </w:pPr>
            <w:r w:rsidRPr="005D6998">
              <w:rPr>
                <w:sz w:val="22"/>
                <w:szCs w:val="22"/>
              </w:rPr>
              <w:t xml:space="preserve">Aferent structurării dispozițiilor din articol, în special a alineatului, se va reține că </w:t>
            </w:r>
            <w:r w:rsidRPr="005D6998">
              <w:rPr>
                <w:sz w:val="22"/>
                <w:szCs w:val="22"/>
              </w:rPr>
              <w:lastRenderedPageBreak/>
              <w:t xml:space="preserve">potrivit art. 51 alin. (6) al Legii nr. 100/2017, alineatele sunt însemnate succesiv cu numere ordinare, exprimate prin cifre arabe, luate între paranteze rotunde. Alineatul poate fi divizat în litere, care sunt însemnate succesiv cu litere latine mici, urmate de o paranteză. În cazul unei structuri complexe a actului normativ, alineatul poate fi divizat mai întâi în puncte însemnate cu numere ordinare, exprimate prin cifre arabe, urmate de o paranteză. La rândul lor, punctele pot fi divizate în litere, însemnate succesiv cu litere latine mici, urmate de o paranteză. Prin urmare, întregul proiect al legii va fi conformat acestei prevederi. </w:t>
            </w:r>
          </w:p>
        </w:tc>
        <w:tc>
          <w:tcPr>
            <w:tcW w:w="4960" w:type="dxa"/>
            <w:gridSpan w:val="3"/>
            <w:shd w:val="clear" w:color="auto" w:fill="FFFFFF"/>
          </w:tcPr>
          <w:p w14:paraId="6E2B80D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15FB6DA3" w14:textId="77777777" w:rsidR="008E7C06" w:rsidRPr="005D6998" w:rsidRDefault="008E7C06" w:rsidP="00A46332">
            <w:pPr>
              <w:spacing w:after="0" w:line="240" w:lineRule="auto"/>
              <w:jc w:val="both"/>
              <w:rPr>
                <w:rFonts w:ascii="Times New Roman" w:hAnsi="Times New Roman"/>
              </w:rPr>
            </w:pPr>
          </w:p>
        </w:tc>
      </w:tr>
      <w:tr w:rsidR="008E7C06" w:rsidRPr="005D6998" w14:paraId="09EE51C8" w14:textId="77777777" w:rsidTr="00651F58">
        <w:trPr>
          <w:gridAfter w:val="2"/>
          <w:wAfter w:w="153" w:type="dxa"/>
          <w:trHeight w:val="105"/>
        </w:trPr>
        <w:tc>
          <w:tcPr>
            <w:tcW w:w="899" w:type="dxa"/>
            <w:gridSpan w:val="3"/>
            <w:shd w:val="clear" w:color="auto" w:fill="FFFFFF"/>
          </w:tcPr>
          <w:p w14:paraId="3156752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CDA21BA"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374CC95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7D5EB1A" w14:textId="4AE72CE4"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118</w:t>
            </w:r>
          </w:p>
        </w:tc>
        <w:tc>
          <w:tcPr>
            <w:tcW w:w="4110" w:type="dxa"/>
            <w:gridSpan w:val="2"/>
            <w:shd w:val="clear" w:color="auto" w:fill="FFFFFF"/>
          </w:tcPr>
          <w:p w14:paraId="04A8F0A8" w14:textId="77777777" w:rsidR="008E7C06" w:rsidRPr="005D6998" w:rsidDel="0098636B" w:rsidRDefault="008E7C06" w:rsidP="00A46332">
            <w:pPr>
              <w:pStyle w:val="Default"/>
              <w:jc w:val="both"/>
              <w:rPr>
                <w:sz w:val="22"/>
                <w:szCs w:val="22"/>
              </w:rPr>
            </w:pPr>
            <w:r w:rsidRPr="005D6998">
              <w:rPr>
                <w:sz w:val="22"/>
                <w:szCs w:val="22"/>
              </w:rPr>
              <w:t xml:space="preserve">Totodată, la definitivarea proiectului de lege se vor respecta regulile de tehnică legislativă, potrivit cărora, la schimbarea unor cuvinte din conținutul textului unui act normativ, pentru exprimarea corectă, se menționează despre substituirea „cuvintelor” respective, iar la schimbarea unor cifre/semne și cuvinte din conținutul textului unui act normativ, pentru exprimarea corectă, se menționează despre substituirea „textului” respectiv. </w:t>
            </w:r>
          </w:p>
        </w:tc>
        <w:tc>
          <w:tcPr>
            <w:tcW w:w="4960" w:type="dxa"/>
            <w:gridSpan w:val="3"/>
            <w:shd w:val="clear" w:color="auto" w:fill="FFFFFF"/>
          </w:tcPr>
          <w:p w14:paraId="602516F3"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tc>
      </w:tr>
      <w:tr w:rsidR="008E7C06" w:rsidRPr="005D6998" w14:paraId="3D921C68" w14:textId="77777777" w:rsidTr="00651F58">
        <w:trPr>
          <w:gridAfter w:val="2"/>
          <w:wAfter w:w="153" w:type="dxa"/>
          <w:trHeight w:val="105"/>
        </w:trPr>
        <w:tc>
          <w:tcPr>
            <w:tcW w:w="899" w:type="dxa"/>
            <w:gridSpan w:val="3"/>
            <w:shd w:val="clear" w:color="auto" w:fill="FFFFFF"/>
          </w:tcPr>
          <w:p w14:paraId="16C40F8B"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A950F93"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43837090"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4822F63" w14:textId="0F5F24CB"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119</w:t>
            </w:r>
          </w:p>
        </w:tc>
        <w:tc>
          <w:tcPr>
            <w:tcW w:w="4110" w:type="dxa"/>
            <w:gridSpan w:val="2"/>
            <w:shd w:val="clear" w:color="auto" w:fill="FFFFFF"/>
          </w:tcPr>
          <w:p w14:paraId="3160B219" w14:textId="77777777" w:rsidR="008E7C06" w:rsidRPr="005D6998" w:rsidRDefault="008E7C06" w:rsidP="00A46332">
            <w:pPr>
              <w:pStyle w:val="Default"/>
              <w:jc w:val="both"/>
              <w:rPr>
                <w:sz w:val="22"/>
                <w:szCs w:val="22"/>
              </w:rPr>
            </w:pPr>
            <w:r w:rsidRPr="005D6998">
              <w:rPr>
                <w:sz w:val="22"/>
                <w:szCs w:val="22"/>
              </w:rPr>
              <w:t>De asemenea, se va reține că, potrivit regulilor de tehnică legislativă, într-o enumerare de referințe consecutive denumirea elementului structural nu se repetă (ex. „articolele 44</w:t>
            </w:r>
            <w:r w:rsidRPr="005D6998">
              <w:rPr>
                <w:sz w:val="22"/>
                <w:szCs w:val="22"/>
                <w:vertAlign w:val="superscript"/>
              </w:rPr>
              <w:t>1</w:t>
            </w:r>
            <w:r w:rsidRPr="005D6998">
              <w:rPr>
                <w:sz w:val="22"/>
                <w:szCs w:val="22"/>
              </w:rPr>
              <w:t xml:space="preserve"> și 44</w:t>
            </w:r>
            <w:r w:rsidRPr="005D6998">
              <w:rPr>
                <w:sz w:val="22"/>
                <w:szCs w:val="22"/>
                <w:vertAlign w:val="superscript"/>
              </w:rPr>
              <w:t>2</w:t>
            </w:r>
            <w:r w:rsidRPr="005D6998">
              <w:rPr>
                <w:sz w:val="22"/>
                <w:szCs w:val="22"/>
              </w:rPr>
              <w:t>”, în loc de „articolul 44</w:t>
            </w:r>
            <w:r w:rsidRPr="005D6998">
              <w:rPr>
                <w:sz w:val="22"/>
                <w:szCs w:val="22"/>
                <w:vertAlign w:val="superscript"/>
              </w:rPr>
              <w:t>1</w:t>
            </w:r>
            <w:r w:rsidRPr="005D6998">
              <w:rPr>
                <w:sz w:val="22"/>
                <w:szCs w:val="22"/>
              </w:rPr>
              <w:t xml:space="preserve"> și articolul 44</w:t>
            </w:r>
            <w:r w:rsidRPr="005D6998">
              <w:rPr>
                <w:sz w:val="22"/>
                <w:szCs w:val="22"/>
                <w:vertAlign w:val="superscript"/>
              </w:rPr>
              <w:t>2</w:t>
            </w:r>
            <w:r w:rsidRPr="005D6998">
              <w:rPr>
                <w:sz w:val="22"/>
                <w:szCs w:val="22"/>
              </w:rPr>
              <w:t>”, sau alineatele „(1</w:t>
            </w:r>
            <w:r w:rsidRPr="005D6998">
              <w:rPr>
                <w:sz w:val="22"/>
                <w:szCs w:val="22"/>
                <w:vertAlign w:val="superscript"/>
              </w:rPr>
              <w:t>1</w:t>
            </w:r>
            <w:r w:rsidRPr="005D6998">
              <w:rPr>
                <w:sz w:val="22"/>
                <w:szCs w:val="22"/>
              </w:rPr>
              <w:t>) și (1</w:t>
            </w:r>
            <w:r w:rsidRPr="005D6998">
              <w:rPr>
                <w:sz w:val="22"/>
                <w:szCs w:val="22"/>
                <w:vertAlign w:val="superscript"/>
              </w:rPr>
              <w:t>2</w:t>
            </w:r>
            <w:r w:rsidRPr="005D6998">
              <w:rPr>
                <w:sz w:val="22"/>
                <w:szCs w:val="22"/>
              </w:rPr>
              <w:t>)” în loc de „alineatul (1</w:t>
            </w:r>
            <w:r w:rsidRPr="005D6998">
              <w:rPr>
                <w:sz w:val="22"/>
                <w:szCs w:val="22"/>
                <w:vertAlign w:val="superscript"/>
              </w:rPr>
              <w:t>1</w:t>
            </w:r>
            <w:r w:rsidRPr="005D6998">
              <w:rPr>
                <w:sz w:val="22"/>
                <w:szCs w:val="22"/>
              </w:rPr>
              <w:t>) și alineatul (1</w:t>
            </w:r>
            <w:r w:rsidRPr="005D6998">
              <w:rPr>
                <w:sz w:val="22"/>
                <w:szCs w:val="22"/>
                <w:vertAlign w:val="superscript"/>
              </w:rPr>
              <w:t>2</w:t>
            </w:r>
            <w:r w:rsidRPr="005D6998">
              <w:rPr>
                <w:sz w:val="22"/>
                <w:szCs w:val="22"/>
              </w:rPr>
              <w:t xml:space="preserve">)”, sau „lit. b) și c)” în loc de „litera b) și litera c)”). </w:t>
            </w:r>
          </w:p>
          <w:p w14:paraId="659D2758" w14:textId="77777777" w:rsidR="008E7C06" w:rsidRPr="005D6998" w:rsidDel="0098636B" w:rsidRDefault="008E7C06" w:rsidP="00A46332">
            <w:pPr>
              <w:pStyle w:val="Default"/>
              <w:jc w:val="both"/>
              <w:rPr>
                <w:sz w:val="22"/>
                <w:szCs w:val="22"/>
              </w:rPr>
            </w:pPr>
            <w:r w:rsidRPr="005D6998">
              <w:rPr>
                <w:sz w:val="22"/>
                <w:szCs w:val="22"/>
              </w:rPr>
              <w:t xml:space="preserve">În subsidiar, la enumerarea unor referințe acestea se scriu prin cratimă doar dacă se face referire la 3 sau mai multe elemente </w:t>
            </w:r>
            <w:r w:rsidRPr="005D6998">
              <w:rPr>
                <w:sz w:val="22"/>
                <w:szCs w:val="22"/>
              </w:rPr>
              <w:lastRenderedPageBreak/>
              <w:t xml:space="preserve">structurale consecutive (ex. alin. (1)-(5)”). Astfel în cazul în care se face referire doar la două elemente structurale consecutive se va utiliza prepoziția „și” (ex. alin. (8) și (9)). </w:t>
            </w:r>
          </w:p>
        </w:tc>
        <w:tc>
          <w:tcPr>
            <w:tcW w:w="4960" w:type="dxa"/>
            <w:gridSpan w:val="3"/>
            <w:shd w:val="clear" w:color="auto" w:fill="FFFFFF"/>
          </w:tcPr>
          <w:p w14:paraId="58FB58F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lastRenderedPageBreak/>
              <w:t>Se acceptă.</w:t>
            </w:r>
          </w:p>
        </w:tc>
      </w:tr>
      <w:tr w:rsidR="008E7C06" w:rsidRPr="005D6998" w14:paraId="3CD232F6" w14:textId="77777777" w:rsidTr="00651F58">
        <w:trPr>
          <w:gridAfter w:val="2"/>
          <w:wAfter w:w="153" w:type="dxa"/>
          <w:trHeight w:val="105"/>
        </w:trPr>
        <w:tc>
          <w:tcPr>
            <w:tcW w:w="899" w:type="dxa"/>
            <w:gridSpan w:val="3"/>
            <w:shd w:val="clear" w:color="auto" w:fill="FFFFFF"/>
          </w:tcPr>
          <w:p w14:paraId="29589F98"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7EF4D94"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42800BE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5561874" w14:textId="0274BE1B"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120</w:t>
            </w:r>
          </w:p>
        </w:tc>
        <w:tc>
          <w:tcPr>
            <w:tcW w:w="4110" w:type="dxa"/>
            <w:gridSpan w:val="2"/>
            <w:shd w:val="clear" w:color="auto" w:fill="FFFFFF"/>
          </w:tcPr>
          <w:p w14:paraId="12F4EB11" w14:textId="77777777" w:rsidR="008E7C06" w:rsidRPr="005D6998" w:rsidDel="0098636B" w:rsidRDefault="008E7C06" w:rsidP="00A46332">
            <w:pPr>
              <w:pStyle w:val="Default"/>
              <w:jc w:val="both"/>
              <w:rPr>
                <w:sz w:val="22"/>
                <w:szCs w:val="22"/>
              </w:rPr>
            </w:pPr>
            <w:r w:rsidRPr="005D6998">
              <w:rPr>
                <w:sz w:val="22"/>
                <w:szCs w:val="22"/>
              </w:rPr>
              <w:t xml:space="preserve">La fel, în vederea respectării regulilor de tehnică legislativă și a uzanțelor de redactare, în contextul în care în textul unei dispoziții se operează mai multe modificări (a se vedea de ex. art. III pct. 33, cu referire la modificarea art. 39 alin. (1) lit. d), pct. 43, cu referire la modificarea art. 47 alin. (2)-(4) și alin. (7) din Legea nr. 202/2017, ș.a.), dispoziția se recomandă a fi expusă în întregime în redacție nouă. </w:t>
            </w:r>
          </w:p>
        </w:tc>
        <w:tc>
          <w:tcPr>
            <w:tcW w:w="4960" w:type="dxa"/>
            <w:gridSpan w:val="3"/>
            <w:shd w:val="clear" w:color="auto" w:fill="FFFFFF"/>
          </w:tcPr>
          <w:p w14:paraId="58EAA53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Se acceptă.</w:t>
            </w:r>
          </w:p>
        </w:tc>
      </w:tr>
      <w:tr w:rsidR="008E7C06" w:rsidRPr="005D6998" w14:paraId="107371AA" w14:textId="77777777" w:rsidTr="00651F58">
        <w:trPr>
          <w:gridAfter w:val="2"/>
          <w:wAfter w:w="153" w:type="dxa"/>
          <w:trHeight w:val="105"/>
        </w:trPr>
        <w:tc>
          <w:tcPr>
            <w:tcW w:w="899" w:type="dxa"/>
            <w:gridSpan w:val="3"/>
            <w:shd w:val="clear" w:color="auto" w:fill="FFFFFF"/>
          </w:tcPr>
          <w:p w14:paraId="66F9CF5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8955EB5"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355F0E83"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ABC7961" w14:textId="686A57EE"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121</w:t>
            </w:r>
          </w:p>
        </w:tc>
        <w:tc>
          <w:tcPr>
            <w:tcW w:w="4110" w:type="dxa"/>
            <w:gridSpan w:val="2"/>
            <w:shd w:val="clear" w:color="auto" w:fill="FFFFFF"/>
          </w:tcPr>
          <w:p w14:paraId="4B894425" w14:textId="77777777" w:rsidR="008E7C06" w:rsidRPr="005D6998" w:rsidRDefault="008E7C06" w:rsidP="00A46332">
            <w:pPr>
              <w:pStyle w:val="Default"/>
              <w:jc w:val="both"/>
              <w:rPr>
                <w:sz w:val="22"/>
                <w:szCs w:val="22"/>
              </w:rPr>
            </w:pPr>
            <w:r w:rsidRPr="005D6998">
              <w:rPr>
                <w:sz w:val="22"/>
                <w:szCs w:val="22"/>
              </w:rPr>
              <w:t>Complementar la proiectul legii, se va asigura suplimentar corespunderea oricărei referințe la elementele structurale din proiect cu norma la care se face trimitere. Or, sesizăm că erorile de trimitere identificate și expuse în prezentul raport de expertiză nu sunt unicele.</w:t>
            </w:r>
          </w:p>
        </w:tc>
        <w:tc>
          <w:tcPr>
            <w:tcW w:w="4960" w:type="dxa"/>
            <w:gridSpan w:val="3"/>
            <w:shd w:val="clear" w:color="auto" w:fill="FFFFFF"/>
          </w:tcPr>
          <w:p w14:paraId="6C082B56"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Se acceptă.</w:t>
            </w:r>
          </w:p>
        </w:tc>
      </w:tr>
      <w:tr w:rsidR="008E7C06" w:rsidRPr="005D6998" w14:paraId="4F6476E4" w14:textId="77777777" w:rsidTr="00651F58">
        <w:trPr>
          <w:gridAfter w:val="2"/>
          <w:wAfter w:w="153" w:type="dxa"/>
          <w:trHeight w:val="105"/>
        </w:trPr>
        <w:tc>
          <w:tcPr>
            <w:tcW w:w="899" w:type="dxa"/>
            <w:gridSpan w:val="3"/>
            <w:shd w:val="clear" w:color="auto" w:fill="FFFFFF"/>
          </w:tcPr>
          <w:p w14:paraId="37DC3E21"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7485ABF" w14:textId="77777777" w:rsidR="008E7C06" w:rsidRPr="005D6998" w:rsidRDefault="008E7C06" w:rsidP="00A46332">
            <w:pPr>
              <w:spacing w:after="0" w:line="240" w:lineRule="auto"/>
              <w:jc w:val="both"/>
              <w:rPr>
                <w:rFonts w:ascii="Times New Roman" w:hAnsi="Times New Roman"/>
                <w:b/>
              </w:rPr>
            </w:pPr>
            <w:r w:rsidRPr="005D6998">
              <w:rPr>
                <w:rFonts w:ascii="Times New Roman" w:hAnsi="Times New Roman"/>
                <w:b/>
                <w:bCs/>
              </w:rPr>
              <w:t>Art. I</w:t>
            </w:r>
            <w:r w:rsidRPr="005D6998">
              <w:rPr>
                <w:rFonts w:ascii="Times New Roman" w:hAnsi="Times New Roman"/>
                <w:b/>
              </w:rPr>
              <w:t xml:space="preserve">V. Dispoziții finale </w:t>
            </w:r>
          </w:p>
          <w:p w14:paraId="4DCE144C" w14:textId="77777777" w:rsidR="008E7C06" w:rsidRPr="005D6998" w:rsidRDefault="008E7C06" w:rsidP="00A46332">
            <w:pPr>
              <w:spacing w:after="0" w:line="240" w:lineRule="auto"/>
              <w:ind w:firstLine="1134"/>
              <w:jc w:val="both"/>
              <w:rPr>
                <w:rFonts w:ascii="Times New Roman" w:eastAsiaTheme="minorHAnsi" w:hAnsi="Times New Roman"/>
                <w:bCs/>
                <w:kern w:val="2"/>
                <w:lang w:eastAsia="en-US"/>
                <w14:ligatures w14:val="standardContextual"/>
              </w:rPr>
            </w:pPr>
            <w:r w:rsidRPr="005D6998">
              <w:rPr>
                <w:rFonts w:ascii="Times New Roman" w:eastAsiaTheme="minorHAnsi" w:hAnsi="Times New Roman"/>
                <w:kern w:val="2"/>
                <w:lang w:eastAsia="en-US"/>
                <w14:ligatures w14:val="standardContextual"/>
              </w:rPr>
              <w:t>(1) Prezenta lege intră în vigoare în termen de șase luni de la data publicării în Monitorul Oficial al Republicii Moldova, cu excepțiile prevăzute la alin. (2)-(3).</w:t>
            </w:r>
          </w:p>
          <w:p w14:paraId="75ED8950" w14:textId="77777777" w:rsidR="008E7C06" w:rsidRPr="005D6998" w:rsidRDefault="008E7C06" w:rsidP="00A46332">
            <w:pPr>
              <w:spacing w:after="0" w:line="240" w:lineRule="auto"/>
              <w:ind w:firstLine="1134"/>
              <w:jc w:val="both"/>
              <w:rPr>
                <w:rFonts w:ascii="Times New Roman" w:eastAsiaTheme="minorHAnsi" w:hAnsi="Times New Roman"/>
                <w:bCs/>
                <w:kern w:val="2"/>
                <w:lang w:eastAsia="en-US"/>
                <w14:ligatures w14:val="standardContextual"/>
              </w:rPr>
            </w:pPr>
            <w:r w:rsidRPr="005D6998">
              <w:rPr>
                <w:rFonts w:ascii="Times New Roman" w:eastAsiaTheme="minorHAnsi" w:hAnsi="Times New Roman"/>
                <w:bCs/>
                <w:kern w:val="2"/>
                <w:lang w:eastAsia="en-US"/>
                <w14:ligatures w14:val="standardContextual"/>
              </w:rPr>
              <w:t>[...]</w:t>
            </w:r>
            <w:r w:rsidRPr="005D6998" w:rsidDel="002F1304">
              <w:rPr>
                <w:rFonts w:ascii="Times New Roman" w:eastAsiaTheme="minorHAnsi" w:hAnsi="Times New Roman"/>
                <w:bCs/>
                <w:kern w:val="2"/>
                <w:lang w:eastAsia="en-US"/>
                <w14:ligatures w14:val="standardContextual"/>
              </w:rPr>
              <w:t xml:space="preserve"> </w:t>
            </w:r>
          </w:p>
          <w:p w14:paraId="34B9BCDF" w14:textId="77777777" w:rsidR="008E7C06" w:rsidRPr="005D6998" w:rsidRDefault="008E7C06" w:rsidP="00A46332">
            <w:pPr>
              <w:spacing w:after="0" w:line="240" w:lineRule="auto"/>
              <w:ind w:firstLine="1134"/>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(3) Prin derogare de la prevederile alin. (1), următoarele prevederi ale Art. III vor intra în vigoare: </w:t>
            </w:r>
          </w:p>
          <w:p w14:paraId="548F85C3" w14:textId="77777777" w:rsidR="008E7C06" w:rsidRPr="005D6998" w:rsidRDefault="008E7C06" w:rsidP="008E7C06">
            <w:pPr>
              <w:numPr>
                <w:ilvl w:val="0"/>
                <w:numId w:val="37"/>
              </w:numPr>
              <w:tabs>
                <w:tab w:val="left" w:pos="426"/>
                <w:tab w:val="left" w:pos="993"/>
              </w:tabs>
              <w:spacing w:after="0" w:line="240" w:lineRule="auto"/>
              <w:ind w:left="0" w:firstLine="1134"/>
              <w:contextualSpacing/>
              <w:jc w:val="both"/>
              <w:rPr>
                <w:rFonts w:ascii="Times New Roman" w:eastAsiaTheme="minorHAnsi" w:hAnsi="Times New Roman"/>
                <w:kern w:val="2"/>
                <w:lang w:eastAsia="en-US"/>
                <w14:ligatures w14:val="standardContextual"/>
              </w:rPr>
            </w:pPr>
          </w:p>
          <w:p w14:paraId="210B6002" w14:textId="77777777" w:rsidR="008E7C06" w:rsidRPr="005D6998" w:rsidRDefault="008E7C06" w:rsidP="008E7C06">
            <w:pPr>
              <w:numPr>
                <w:ilvl w:val="0"/>
                <w:numId w:val="37"/>
              </w:numPr>
              <w:tabs>
                <w:tab w:val="left" w:pos="1134"/>
              </w:tabs>
              <w:spacing w:after="0" w:line="240" w:lineRule="auto"/>
              <w:ind w:left="0" w:firstLine="709"/>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 xml:space="preserve">[...]în termen de cinci ani de la data intrării în vigoare a Tratatului de aderare a Republicii Moldova la UE – pct. </w:t>
            </w:r>
            <w:r w:rsidRPr="005D6998">
              <w:rPr>
                <w:rFonts w:ascii="Times New Roman" w:eastAsiaTheme="minorHAnsi" w:hAnsi="Times New Roman"/>
                <w:kern w:val="2"/>
                <w:lang w:val="en-US" w:eastAsia="en-US"/>
                <w14:ligatures w14:val="standardContextual"/>
              </w:rPr>
              <w:t>[…]</w:t>
            </w:r>
          </w:p>
          <w:p w14:paraId="4C6F0238" w14:textId="77777777" w:rsidR="008E7C06" w:rsidRPr="005D6998" w:rsidRDefault="008E7C06" w:rsidP="00A46332">
            <w:pPr>
              <w:spacing w:after="0" w:line="240" w:lineRule="auto"/>
              <w:ind w:firstLine="708"/>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lastRenderedPageBreak/>
              <w:t>c) în termen de o lună de la data publicării în Monitorul Oficial al Republicii Moldova - pct. 53, pct. 54, pct. 55, cu excepția completării cu art. 58</w:t>
            </w:r>
            <w:r w:rsidRPr="005D6998">
              <w:rPr>
                <w:rFonts w:ascii="Times New Roman" w:eastAsiaTheme="minorHAnsi" w:hAnsi="Times New Roman"/>
                <w:kern w:val="2"/>
                <w:vertAlign w:val="superscript"/>
                <w:lang w:eastAsia="en-US"/>
                <w14:ligatures w14:val="standardContextual"/>
              </w:rPr>
              <w:t>2</w:t>
            </w:r>
            <w:r w:rsidRPr="005D6998">
              <w:rPr>
                <w:rFonts w:ascii="Times New Roman" w:eastAsiaTheme="minorHAnsi" w:hAnsi="Times New Roman"/>
                <w:kern w:val="2"/>
                <w:lang w:eastAsia="en-US"/>
                <w14:ligatures w14:val="standardContextual"/>
              </w:rPr>
              <w:t xml:space="preserve"> alin. (6);</w:t>
            </w:r>
          </w:p>
          <w:p w14:paraId="59B501D9" w14:textId="77777777" w:rsidR="008E7C06" w:rsidRPr="005D6998" w:rsidRDefault="008E7C06" w:rsidP="00A46332">
            <w:pPr>
              <w:spacing w:after="0" w:line="240" w:lineRule="auto"/>
              <w:ind w:firstLine="708"/>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d) în termen de patru luni de la data publicării în Monitorul Oficial – pct....</w:t>
            </w:r>
          </w:p>
          <w:p w14:paraId="1014C411" w14:textId="77777777" w:rsidR="008E7C06" w:rsidRPr="005D6998" w:rsidRDefault="008E7C06" w:rsidP="00A46332">
            <w:pPr>
              <w:spacing w:after="0" w:line="240" w:lineRule="auto"/>
              <w:contextualSpacing/>
              <w:jc w:val="both"/>
              <w:rPr>
                <w:rFonts w:ascii="Times New Roman" w:eastAsiaTheme="minorHAnsi" w:hAnsi="Times New Roman"/>
                <w:kern w:val="2"/>
                <w:lang w:eastAsia="en-US"/>
                <w14:ligatures w14:val="standardContextual"/>
              </w:rPr>
            </w:pPr>
            <w:r w:rsidRPr="005D6998">
              <w:rPr>
                <w:rFonts w:ascii="Times New Roman" w:eastAsiaTheme="minorHAnsi" w:hAnsi="Times New Roman"/>
                <w:kern w:val="2"/>
                <w:lang w:eastAsia="en-US"/>
                <w14:ligatures w14:val="standardContextual"/>
              </w:rPr>
              <w:t>[...]</w:t>
            </w:r>
          </w:p>
        </w:tc>
        <w:tc>
          <w:tcPr>
            <w:tcW w:w="1418" w:type="dxa"/>
            <w:gridSpan w:val="2"/>
            <w:shd w:val="clear" w:color="auto" w:fill="FFFFFF"/>
          </w:tcPr>
          <w:p w14:paraId="07B278AD"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4CC36AC" w14:textId="79730AE3"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122</w:t>
            </w:r>
          </w:p>
        </w:tc>
        <w:tc>
          <w:tcPr>
            <w:tcW w:w="4110" w:type="dxa"/>
            <w:gridSpan w:val="2"/>
            <w:shd w:val="clear" w:color="auto" w:fill="FFFFFF"/>
          </w:tcPr>
          <w:p w14:paraId="095A5CAC" w14:textId="77777777" w:rsidR="008E7C06" w:rsidRPr="005D6998" w:rsidRDefault="008E7C06" w:rsidP="00A46332">
            <w:pPr>
              <w:pStyle w:val="Default"/>
              <w:jc w:val="both"/>
              <w:rPr>
                <w:sz w:val="22"/>
                <w:szCs w:val="22"/>
              </w:rPr>
            </w:pPr>
            <w:r w:rsidRPr="005D6998">
              <w:rPr>
                <w:sz w:val="22"/>
                <w:szCs w:val="22"/>
              </w:rPr>
              <w:t xml:space="preserve">La art. IV – Dispoziții finale: </w:t>
            </w:r>
          </w:p>
          <w:p w14:paraId="6AA1F372" w14:textId="77777777" w:rsidR="008E7C06" w:rsidRPr="005D6998" w:rsidRDefault="008E7C06" w:rsidP="00A46332">
            <w:pPr>
              <w:pStyle w:val="Default"/>
              <w:jc w:val="both"/>
              <w:rPr>
                <w:sz w:val="22"/>
                <w:szCs w:val="22"/>
              </w:rPr>
            </w:pPr>
            <w:r w:rsidRPr="005D6998">
              <w:rPr>
                <w:sz w:val="22"/>
                <w:szCs w:val="22"/>
              </w:rPr>
              <w:t xml:space="preserve">În alin. (1) și alin. (3) lit. b)-d), cuvintele „în termen de” se vor substitui cu cuvintele „la expirarea a”. </w:t>
            </w:r>
          </w:p>
          <w:p w14:paraId="620548C2" w14:textId="77777777" w:rsidR="008E7C06" w:rsidRPr="005D6998" w:rsidRDefault="008E7C06" w:rsidP="00A46332">
            <w:pPr>
              <w:pStyle w:val="Default"/>
              <w:jc w:val="both"/>
              <w:rPr>
                <w:sz w:val="22"/>
                <w:szCs w:val="22"/>
              </w:rPr>
            </w:pPr>
          </w:p>
          <w:p w14:paraId="7FC52D57" w14:textId="77777777" w:rsidR="008E7C06" w:rsidRPr="005D6998" w:rsidRDefault="008E7C06" w:rsidP="00A46332">
            <w:pPr>
              <w:pStyle w:val="Default"/>
              <w:jc w:val="both"/>
              <w:rPr>
                <w:sz w:val="22"/>
                <w:szCs w:val="22"/>
              </w:rPr>
            </w:pPr>
            <w:r w:rsidRPr="005D6998">
              <w:rPr>
                <w:sz w:val="22"/>
                <w:szCs w:val="22"/>
              </w:rPr>
              <w:t>În acest sens, menționăm că expresia „intră în vigoare în termen de” de fapt se referă nu la o dată concretă, ci la o anumită perioadă, ceea ce este conceptual inacceptabil, deoarece legea nu poate intra în vigoare la diferite momente în interiorul unei perioade.</w:t>
            </w:r>
          </w:p>
          <w:p w14:paraId="4A694DE7" w14:textId="77777777" w:rsidR="008E7C06" w:rsidRPr="005D6998" w:rsidRDefault="008E7C06" w:rsidP="00A46332">
            <w:pPr>
              <w:pStyle w:val="Default"/>
              <w:jc w:val="both"/>
              <w:rPr>
                <w:sz w:val="22"/>
                <w:szCs w:val="22"/>
              </w:rPr>
            </w:pPr>
          </w:p>
          <w:p w14:paraId="44DE74F4" w14:textId="77777777" w:rsidR="008E7C06" w:rsidRPr="005D6998" w:rsidRDefault="008E7C06" w:rsidP="00A46332">
            <w:pPr>
              <w:pStyle w:val="Default"/>
              <w:jc w:val="both"/>
              <w:rPr>
                <w:sz w:val="22"/>
                <w:szCs w:val="22"/>
              </w:rPr>
            </w:pPr>
            <w:r w:rsidRPr="005D6998">
              <w:rPr>
                <w:sz w:val="22"/>
                <w:szCs w:val="22"/>
              </w:rPr>
              <w:t>Pentru indicarea exactă a momentului intrării în vigoare a actului normativ recomandăm utilizarea cuvintelor „la expirarea a”, urmată de perioada rezervată pentru intrarea în vigoare a actului.</w:t>
            </w:r>
          </w:p>
        </w:tc>
        <w:tc>
          <w:tcPr>
            <w:tcW w:w="4960" w:type="dxa"/>
            <w:gridSpan w:val="3"/>
            <w:shd w:val="clear" w:color="auto" w:fill="FFFFFF"/>
          </w:tcPr>
          <w:p w14:paraId="25398CE8"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2BDF7913" w14:textId="77777777" w:rsidR="008E7C06" w:rsidRPr="005D6998" w:rsidRDefault="008E7C06" w:rsidP="00A46332">
            <w:pPr>
              <w:spacing w:line="240" w:lineRule="auto"/>
              <w:jc w:val="both"/>
              <w:rPr>
                <w:rFonts w:ascii="Times New Roman" w:hAnsi="Times New Roman"/>
              </w:rPr>
            </w:pPr>
            <w:r w:rsidRPr="005D6998">
              <w:rPr>
                <w:rFonts w:ascii="Times New Roman" w:hAnsi="Times New Roman"/>
              </w:rPr>
              <w:t>La alin. (1) – la expirarea a șase luni.</w:t>
            </w:r>
          </w:p>
          <w:p w14:paraId="37348ABF" w14:textId="77777777" w:rsidR="008E7C06" w:rsidRPr="005D6998" w:rsidRDefault="008E7C06" w:rsidP="00A46332">
            <w:pPr>
              <w:spacing w:line="240" w:lineRule="auto"/>
              <w:jc w:val="both"/>
              <w:rPr>
                <w:rFonts w:ascii="Times New Roman" w:hAnsi="Times New Roman"/>
              </w:rPr>
            </w:pPr>
            <w:r w:rsidRPr="005D6998">
              <w:rPr>
                <w:rFonts w:ascii="Times New Roman" w:hAnsi="Times New Roman"/>
              </w:rPr>
              <w:t>La alin. (2):</w:t>
            </w:r>
          </w:p>
          <w:p w14:paraId="75BB87BE" w14:textId="77777777" w:rsidR="008E7C06" w:rsidRPr="005D6998" w:rsidRDefault="008E7C06" w:rsidP="00A46332">
            <w:pPr>
              <w:pStyle w:val="a7"/>
              <w:spacing w:line="240" w:lineRule="auto"/>
              <w:jc w:val="both"/>
              <w:rPr>
                <w:rFonts w:ascii="Times New Roman" w:hAnsi="Times New Roman"/>
              </w:rPr>
            </w:pPr>
            <w:r w:rsidRPr="005D6998">
              <w:rPr>
                <w:rFonts w:ascii="Times New Roman" w:hAnsi="Times New Roman"/>
              </w:rPr>
              <w:t>b) la expirarea a cinci ani...</w:t>
            </w:r>
          </w:p>
          <w:p w14:paraId="3653735E" w14:textId="77777777" w:rsidR="008E7C06" w:rsidRPr="005D6998" w:rsidRDefault="008E7C06" w:rsidP="00A46332">
            <w:pPr>
              <w:pStyle w:val="a7"/>
              <w:spacing w:line="240" w:lineRule="auto"/>
              <w:jc w:val="both"/>
              <w:rPr>
                <w:rFonts w:ascii="Times New Roman" w:hAnsi="Times New Roman"/>
              </w:rPr>
            </w:pPr>
            <w:r w:rsidRPr="005D6998">
              <w:rPr>
                <w:rFonts w:ascii="Times New Roman" w:hAnsi="Times New Roman"/>
              </w:rPr>
              <w:t>c) la expirarea unei luni...</w:t>
            </w:r>
          </w:p>
          <w:p w14:paraId="3A7DB3FE" w14:textId="77777777" w:rsidR="008E7C06" w:rsidRPr="005D6998" w:rsidRDefault="008E7C06" w:rsidP="00A46332">
            <w:pPr>
              <w:pStyle w:val="a7"/>
              <w:spacing w:line="240" w:lineRule="auto"/>
              <w:jc w:val="both"/>
              <w:rPr>
                <w:rFonts w:ascii="Times New Roman" w:hAnsi="Times New Roman"/>
              </w:rPr>
            </w:pPr>
            <w:r w:rsidRPr="005D6998">
              <w:rPr>
                <w:rFonts w:ascii="Times New Roman" w:hAnsi="Times New Roman"/>
              </w:rPr>
              <w:t>d) la expirarea a patru luni...</w:t>
            </w:r>
          </w:p>
          <w:p w14:paraId="036EDEC2" w14:textId="77777777" w:rsidR="008E7C06" w:rsidRPr="005D6998" w:rsidRDefault="008E7C06" w:rsidP="00A46332">
            <w:pPr>
              <w:spacing w:after="0" w:line="240" w:lineRule="auto"/>
              <w:jc w:val="both"/>
              <w:rPr>
                <w:rFonts w:ascii="Times New Roman" w:hAnsi="Times New Roman"/>
              </w:rPr>
            </w:pPr>
          </w:p>
        </w:tc>
      </w:tr>
      <w:tr w:rsidR="008E7C06" w:rsidRPr="005D6998" w14:paraId="09948F85" w14:textId="77777777" w:rsidTr="00651F58">
        <w:trPr>
          <w:gridAfter w:val="2"/>
          <w:wAfter w:w="153" w:type="dxa"/>
          <w:trHeight w:val="105"/>
        </w:trPr>
        <w:tc>
          <w:tcPr>
            <w:tcW w:w="899" w:type="dxa"/>
            <w:gridSpan w:val="3"/>
            <w:shd w:val="clear" w:color="auto" w:fill="FFFFFF"/>
          </w:tcPr>
          <w:p w14:paraId="5C31EE6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294D77E" w14:textId="77777777" w:rsidR="008E7C06" w:rsidRPr="005D6998" w:rsidRDefault="008E7C06" w:rsidP="00A46332">
            <w:pPr>
              <w:spacing w:after="0" w:line="240" w:lineRule="auto"/>
              <w:jc w:val="both"/>
              <w:rPr>
                <w:rFonts w:ascii="Times New Roman" w:hAnsi="Times New Roman"/>
                <w:bCs/>
              </w:rPr>
            </w:pPr>
            <w:r w:rsidRPr="005D6998">
              <w:rPr>
                <w:rFonts w:ascii="Times New Roman" w:hAnsi="Times New Roman"/>
                <w:bCs/>
              </w:rPr>
              <w:t>[...]</w:t>
            </w:r>
          </w:p>
          <w:p w14:paraId="231BB4F9" w14:textId="77777777" w:rsidR="008E7C06" w:rsidRPr="005D6998" w:rsidRDefault="008E7C06" w:rsidP="00A46332">
            <w:pPr>
              <w:spacing w:after="0" w:line="240" w:lineRule="auto"/>
              <w:jc w:val="both"/>
              <w:rPr>
                <w:rFonts w:ascii="Times New Roman" w:hAnsi="Times New Roman"/>
                <w:bCs/>
              </w:rPr>
            </w:pPr>
            <w:r w:rsidRPr="005D6998">
              <w:rPr>
                <w:rFonts w:ascii="Times New Roman" w:hAnsi="Times New Roman"/>
                <w:bCs/>
              </w:rPr>
              <w:t xml:space="preserve">                     (2)</w:t>
            </w:r>
            <w:r w:rsidRPr="005D6998">
              <w:rPr>
                <w:rFonts w:ascii="Times New Roman" w:hAnsi="Times New Roman"/>
              </w:rPr>
              <w:t xml:space="preserve"> Prin derogare de la prevederile alin. (1), prevederile Art. I pct. 2 vor intra în vigoare la data intrării în vigoare a Tratatului de aderare a Republicii Moldova la UE.</w:t>
            </w:r>
          </w:p>
          <w:p w14:paraId="78FA70C6" w14:textId="77777777" w:rsidR="008E7C06" w:rsidRPr="005D6998" w:rsidRDefault="008E7C06" w:rsidP="00A46332">
            <w:pPr>
              <w:spacing w:after="0" w:line="240" w:lineRule="auto"/>
              <w:ind w:firstLine="1134"/>
              <w:jc w:val="both"/>
              <w:rPr>
                <w:rFonts w:ascii="Times New Roman" w:hAnsi="Times New Roman"/>
              </w:rPr>
            </w:pPr>
            <w:r w:rsidRPr="005D6998">
              <w:rPr>
                <w:rFonts w:ascii="Times New Roman" w:hAnsi="Times New Roman"/>
              </w:rPr>
              <w:t xml:space="preserve">(3) Prin derogare de la prevederile alin. (1), următoarele prevederi ale Art. III vor intra în vigoare: </w:t>
            </w:r>
          </w:p>
          <w:p w14:paraId="3AC5553D" w14:textId="77777777" w:rsidR="008E7C06" w:rsidRPr="005D6998" w:rsidRDefault="008E7C06" w:rsidP="00A46332">
            <w:pPr>
              <w:tabs>
                <w:tab w:val="left" w:pos="426"/>
              </w:tabs>
              <w:spacing w:after="0" w:line="240" w:lineRule="auto"/>
              <w:ind w:firstLine="1126"/>
              <w:jc w:val="both"/>
              <w:rPr>
                <w:rFonts w:ascii="Times New Roman" w:hAnsi="Times New Roman"/>
              </w:rPr>
            </w:pPr>
            <w:r w:rsidRPr="005D6998">
              <w:rPr>
                <w:rFonts w:ascii="Times New Roman" w:hAnsi="Times New Roman"/>
              </w:rPr>
              <w:t xml:space="preserve">a) la data intrării în vigoare a Tratatului de aderare a Republicii Moldova la UE – [...] </w:t>
            </w:r>
          </w:p>
          <w:p w14:paraId="3F63E1FF" w14:textId="77777777" w:rsidR="008E7C06" w:rsidRPr="005D6998" w:rsidRDefault="008E7C06" w:rsidP="00A46332">
            <w:pPr>
              <w:tabs>
                <w:tab w:val="left" w:pos="1134"/>
              </w:tabs>
              <w:spacing w:after="0" w:line="240" w:lineRule="auto"/>
              <w:ind w:firstLine="1126"/>
              <w:jc w:val="both"/>
              <w:rPr>
                <w:rFonts w:ascii="Times New Roman" w:hAnsi="Times New Roman"/>
                <w:lang w:val="it-CH"/>
              </w:rPr>
            </w:pPr>
            <w:r w:rsidRPr="005D6998">
              <w:rPr>
                <w:rFonts w:ascii="Times New Roman" w:hAnsi="Times New Roman"/>
              </w:rPr>
              <w:t xml:space="preserve">b) în termen de cinci ani de la data intrării în vigoare a Tratatului de aderare a Republicii Moldova la UE – </w:t>
            </w:r>
            <w:r w:rsidRPr="005D6998">
              <w:rPr>
                <w:rFonts w:ascii="Times New Roman" w:hAnsi="Times New Roman"/>
                <w:lang w:val="it-CH"/>
              </w:rPr>
              <w:t>[...]</w:t>
            </w:r>
          </w:p>
          <w:p w14:paraId="75E1CF7F"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hAnsi="Times New Roman"/>
              </w:rPr>
              <w:t>[...]</w:t>
            </w:r>
          </w:p>
        </w:tc>
        <w:tc>
          <w:tcPr>
            <w:tcW w:w="1418" w:type="dxa"/>
            <w:gridSpan w:val="2"/>
            <w:shd w:val="clear" w:color="auto" w:fill="FFFFFF"/>
          </w:tcPr>
          <w:p w14:paraId="72E22F7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A451EC9" w14:textId="4A88DC70"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123</w:t>
            </w:r>
          </w:p>
        </w:tc>
        <w:tc>
          <w:tcPr>
            <w:tcW w:w="4110" w:type="dxa"/>
            <w:gridSpan w:val="2"/>
            <w:shd w:val="clear" w:color="auto" w:fill="FFFFFF"/>
          </w:tcPr>
          <w:p w14:paraId="78BAE466" w14:textId="77777777" w:rsidR="008E7C06" w:rsidRPr="005D6998" w:rsidRDefault="008E7C06" w:rsidP="00A46332">
            <w:pPr>
              <w:pStyle w:val="Default"/>
              <w:jc w:val="both"/>
              <w:rPr>
                <w:sz w:val="22"/>
                <w:szCs w:val="22"/>
              </w:rPr>
            </w:pPr>
            <w:r w:rsidRPr="005D6998">
              <w:rPr>
                <w:sz w:val="22"/>
                <w:szCs w:val="22"/>
              </w:rPr>
              <w:t>La alin. (2) și (3), abrevierea „UE” se va substitui cu cuvintele „Uniunea Europeană”.</w:t>
            </w:r>
          </w:p>
        </w:tc>
        <w:tc>
          <w:tcPr>
            <w:tcW w:w="4960" w:type="dxa"/>
            <w:gridSpan w:val="3"/>
            <w:shd w:val="clear" w:color="auto" w:fill="FFFFFF"/>
          </w:tcPr>
          <w:p w14:paraId="34D92606"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tc>
      </w:tr>
      <w:tr w:rsidR="008E7C06" w:rsidRPr="005D6998" w14:paraId="2F33493C" w14:textId="77777777" w:rsidTr="00651F58">
        <w:trPr>
          <w:gridAfter w:val="2"/>
          <w:wAfter w:w="153" w:type="dxa"/>
          <w:trHeight w:val="105"/>
        </w:trPr>
        <w:tc>
          <w:tcPr>
            <w:tcW w:w="899" w:type="dxa"/>
            <w:gridSpan w:val="3"/>
            <w:shd w:val="clear" w:color="auto" w:fill="FFFFFF"/>
          </w:tcPr>
          <w:p w14:paraId="2352A4E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48D059D" w14:textId="77777777" w:rsidR="008E7C06" w:rsidRPr="005D6998" w:rsidRDefault="008E7C06" w:rsidP="00A46332">
            <w:pPr>
              <w:spacing w:after="0" w:line="240" w:lineRule="auto"/>
              <w:jc w:val="both"/>
              <w:rPr>
                <w:rFonts w:ascii="Times New Roman" w:hAnsi="Times New Roman"/>
                <w:bCs/>
              </w:rPr>
            </w:pPr>
            <w:r w:rsidRPr="005D6998">
              <w:rPr>
                <w:rFonts w:ascii="Times New Roman" w:hAnsi="Times New Roman"/>
                <w:b/>
              </w:rPr>
              <w:t>(2)</w:t>
            </w:r>
            <w:r w:rsidRPr="005D6998">
              <w:rPr>
                <w:rFonts w:ascii="Times New Roman" w:hAnsi="Times New Roman"/>
              </w:rPr>
              <w:t xml:space="preserve"> Prin derogare de la prevederile alin. (1), prevederile Art. I pct. 2 vor intra în vigoare la data intrării în vigoare a Tratatului de aderare a Republicii Moldova la UE.</w:t>
            </w:r>
          </w:p>
          <w:p w14:paraId="211D2DC1" w14:textId="77777777" w:rsidR="008E7C06" w:rsidRPr="005D6998" w:rsidRDefault="008E7C06" w:rsidP="00A46332">
            <w:pPr>
              <w:tabs>
                <w:tab w:val="left" w:pos="426"/>
              </w:tabs>
              <w:spacing w:after="0" w:line="240" w:lineRule="auto"/>
              <w:ind w:firstLine="708"/>
              <w:jc w:val="both"/>
              <w:rPr>
                <w:rFonts w:ascii="Times New Roman" w:hAnsi="Times New Roman"/>
              </w:rPr>
            </w:pPr>
          </w:p>
        </w:tc>
        <w:tc>
          <w:tcPr>
            <w:tcW w:w="1418" w:type="dxa"/>
            <w:gridSpan w:val="2"/>
            <w:shd w:val="clear" w:color="auto" w:fill="FFFFFF"/>
          </w:tcPr>
          <w:p w14:paraId="77711728"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89255C3" w14:textId="6AC415C7"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124</w:t>
            </w:r>
          </w:p>
        </w:tc>
        <w:tc>
          <w:tcPr>
            <w:tcW w:w="4110" w:type="dxa"/>
            <w:gridSpan w:val="2"/>
            <w:shd w:val="clear" w:color="auto" w:fill="FFFFFF"/>
          </w:tcPr>
          <w:p w14:paraId="30F0F9F9" w14:textId="77777777" w:rsidR="008E7C06" w:rsidRPr="005D6998" w:rsidRDefault="008E7C06" w:rsidP="00A46332">
            <w:pPr>
              <w:pStyle w:val="Default"/>
              <w:jc w:val="both"/>
              <w:rPr>
                <w:sz w:val="22"/>
                <w:szCs w:val="22"/>
              </w:rPr>
            </w:pPr>
            <w:r w:rsidRPr="005D6998">
              <w:rPr>
                <w:sz w:val="22"/>
                <w:szCs w:val="22"/>
              </w:rPr>
              <w:t xml:space="preserve">La alin. (2), considerăm necesar a indica actul normativ supus modificării conform art. II din proiect (se va face referire nemijlocită la Legea nr. 548/1995). </w:t>
            </w:r>
          </w:p>
          <w:p w14:paraId="27B2A105" w14:textId="77777777" w:rsidR="008E7C06" w:rsidRPr="005D6998" w:rsidRDefault="008E7C06" w:rsidP="00A46332">
            <w:pPr>
              <w:pStyle w:val="Default"/>
              <w:jc w:val="both"/>
              <w:rPr>
                <w:sz w:val="22"/>
                <w:szCs w:val="22"/>
              </w:rPr>
            </w:pPr>
            <w:r w:rsidRPr="005D6998">
              <w:rPr>
                <w:sz w:val="22"/>
                <w:szCs w:val="22"/>
              </w:rPr>
              <w:t>De asemenea, se va indica obiectul de reglementare a pct. 2 din acest articol (observație similară și pentru alin. (3), în care este necesar a face referință concretă la Legea nr. 202/2017 și la obiectul de reglementare a fiecărui punct care va intra în vigoare conform dispozițiilor alin. (3)).</w:t>
            </w:r>
          </w:p>
        </w:tc>
        <w:tc>
          <w:tcPr>
            <w:tcW w:w="4960" w:type="dxa"/>
            <w:gridSpan w:val="3"/>
            <w:shd w:val="clear" w:color="auto" w:fill="FFFFFF"/>
          </w:tcPr>
          <w:p w14:paraId="0AD8154F"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EB63F09" w14:textId="77777777" w:rsidR="008E7C06" w:rsidRPr="005D6998" w:rsidRDefault="008E7C06" w:rsidP="00A46332">
            <w:pPr>
              <w:spacing w:after="0" w:line="240" w:lineRule="auto"/>
              <w:jc w:val="both"/>
              <w:rPr>
                <w:rFonts w:ascii="Times New Roman" w:hAnsi="Times New Roman"/>
                <w:bCs/>
              </w:rPr>
            </w:pPr>
            <w:r w:rsidRPr="005D6998">
              <w:rPr>
                <w:rFonts w:ascii="Times New Roman" w:hAnsi="Times New Roman"/>
                <w:bCs/>
              </w:rPr>
              <w:t>Redactat după cum urmează:</w:t>
            </w:r>
          </w:p>
          <w:p w14:paraId="509CECBF" w14:textId="77777777" w:rsidR="008E7C06" w:rsidRPr="005D6998" w:rsidRDefault="008E7C06" w:rsidP="00A46332">
            <w:pPr>
              <w:spacing w:after="0" w:line="240" w:lineRule="auto"/>
              <w:jc w:val="both"/>
              <w:rPr>
                <w:rFonts w:ascii="Times New Roman" w:hAnsi="Times New Roman"/>
                <w:bCs/>
                <w:lang w:val="it-CH"/>
              </w:rPr>
            </w:pPr>
            <w:r w:rsidRPr="005D6998">
              <w:rPr>
                <w:rFonts w:ascii="Times New Roman" w:hAnsi="Times New Roman"/>
                <w:bCs/>
                <w:lang w:val="it-CH"/>
              </w:rPr>
              <w:t>“</w:t>
            </w:r>
            <w:r w:rsidRPr="005D6998">
              <w:rPr>
                <w:rFonts w:ascii="Times New Roman" w:hAnsi="Times New Roman"/>
                <w:bCs/>
              </w:rPr>
              <w:t xml:space="preserve">(2) Prin derogare de la prevederile alin. (1), prevederile Art. I pct. 2 </w:t>
            </w:r>
            <w:r w:rsidRPr="005D6998">
              <w:rPr>
                <w:rFonts w:ascii="Times New Roman" w:hAnsi="Times New Roman"/>
                <w:b/>
              </w:rPr>
              <w:t>prin care se modifică art. 2 din Legea nr. 548/1995</w:t>
            </w:r>
            <w:r w:rsidRPr="005D6998">
              <w:rPr>
                <w:rFonts w:ascii="Times New Roman" w:hAnsi="Times New Roman"/>
                <w:bCs/>
              </w:rPr>
              <w:t xml:space="preserve">  vor intra în vigoare la data intrării în vigoare a Tratatului de aderare a Republicii Moldova la Uniunea Europeană.</w:t>
            </w:r>
            <w:r w:rsidRPr="005D6998">
              <w:rPr>
                <w:rFonts w:ascii="Times New Roman" w:hAnsi="Times New Roman"/>
                <w:bCs/>
                <w:lang w:val="it-CH"/>
              </w:rPr>
              <w:t>”.</w:t>
            </w:r>
          </w:p>
        </w:tc>
      </w:tr>
      <w:tr w:rsidR="008E7C06" w:rsidRPr="005D6998" w14:paraId="53508581" w14:textId="77777777" w:rsidTr="00651F58">
        <w:trPr>
          <w:gridAfter w:val="2"/>
          <w:wAfter w:w="153" w:type="dxa"/>
          <w:trHeight w:val="105"/>
        </w:trPr>
        <w:tc>
          <w:tcPr>
            <w:tcW w:w="899" w:type="dxa"/>
            <w:gridSpan w:val="3"/>
            <w:shd w:val="clear" w:color="auto" w:fill="FFFFFF"/>
          </w:tcPr>
          <w:p w14:paraId="5D8D4136"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F0B9A3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(3)</w:t>
            </w:r>
            <w:r w:rsidRPr="005D6998">
              <w:rPr>
                <w:rFonts w:ascii="Times New Roman" w:hAnsi="Times New Roman"/>
              </w:rPr>
              <w:t xml:space="preserve"> Prin derogare de la prevederile alin. (1), următoarele prevederi ale Art. III vor intra în vigoare:</w:t>
            </w:r>
          </w:p>
          <w:p w14:paraId="4B283BDF"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 la data intrării în vigoare a Tratatului de aderare a Republicii Moldova la UE – [...]  pct. 35, în partea care se referă la completarea art. 41 cu lit. i</w:t>
            </w:r>
            <w:r w:rsidRPr="005D6998">
              <w:rPr>
                <w:rFonts w:ascii="Times New Roman" w:hAnsi="Times New Roman"/>
                <w:vertAlign w:val="superscript"/>
              </w:rPr>
              <w:t>2</w:t>
            </w:r>
            <w:r w:rsidRPr="005D6998">
              <w:rPr>
                <w:rFonts w:ascii="Times New Roman" w:hAnsi="Times New Roman"/>
              </w:rPr>
              <w:t>) ultima teză, pct. 37, în partea care se referă la completarea cu art. 43 alin. (7)-(8), precum și în partea care se referă la trimiterile la alin. (7) a art. 43;</w:t>
            </w:r>
          </w:p>
          <w:p w14:paraId="618DB89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pct. 38, în partea care se referă la obligația Băncii Naționale a Moldovei de transmitere Autorității Bancare Europene a informațiilor pentru compararea practicilor în materie de diversitate la nivelul UE din completarea cu art. 43</w:t>
            </w:r>
            <w:r w:rsidRPr="005D6998">
              <w:rPr>
                <w:rFonts w:ascii="Times New Roman" w:hAnsi="Times New Roman"/>
                <w:vertAlign w:val="superscript"/>
              </w:rPr>
              <w:t>1</w:t>
            </w:r>
            <w:r w:rsidRPr="005D6998">
              <w:rPr>
                <w:rFonts w:ascii="Times New Roman" w:hAnsi="Times New Roman"/>
              </w:rPr>
              <w:t xml:space="preserve"> alin. (13); pct. 41, cu excepția modificărilor de la lit. b) a alin. (1) și completarea cu alin. (9) a art. 45; pct. 42, cu excepția substituirii textului cu cuvintele “acționarului achizitor de către Banca Națională a Moldovei” efectuată la alin. (1) a art. 46, precum și completarea cu alin. (5) a art. 46; pct. 43, cu excepția părții care se referă la modificarea termenului de 5 zile lucrătoare în 10 zile lucrătoare de la alin. (3) a art. 47, care intră în vigoare în termen de 6 luni de la data intrării în vigoare a prezentei legi; pct. 44, în partea care se referă la completarea cu alin. (1</w:t>
            </w:r>
            <w:r w:rsidRPr="005D6998">
              <w:rPr>
                <w:rFonts w:ascii="Times New Roman" w:hAnsi="Times New Roman"/>
                <w:vertAlign w:val="superscript"/>
              </w:rPr>
              <w:t>1</w:t>
            </w:r>
            <w:r w:rsidRPr="005D6998">
              <w:rPr>
                <w:rFonts w:ascii="Times New Roman" w:hAnsi="Times New Roman"/>
              </w:rPr>
              <w:t>), în partea care se referă la modificările la alin. (3), în partea care se referă la completarea cu alin. (3</w:t>
            </w:r>
            <w:r w:rsidRPr="005D6998">
              <w:rPr>
                <w:rFonts w:ascii="Times New Roman" w:hAnsi="Times New Roman"/>
                <w:vertAlign w:val="superscript"/>
              </w:rPr>
              <w:t>1</w:t>
            </w:r>
            <w:r w:rsidRPr="005D6998">
              <w:rPr>
                <w:rFonts w:ascii="Times New Roman" w:hAnsi="Times New Roman"/>
              </w:rPr>
              <w:t>) în ceea ce privește sintagma “luând în considerare prevederile alin. (1</w:t>
            </w:r>
            <w:r w:rsidRPr="005D6998">
              <w:rPr>
                <w:rFonts w:ascii="Times New Roman" w:hAnsi="Times New Roman"/>
                <w:vertAlign w:val="superscript"/>
              </w:rPr>
              <w:t>1</w:t>
            </w:r>
            <w:r w:rsidRPr="005D6998">
              <w:rPr>
                <w:rFonts w:ascii="Times New Roman" w:hAnsi="Times New Roman"/>
              </w:rPr>
              <w:t xml:space="preserve">) și </w:t>
            </w:r>
            <w:r w:rsidRPr="005D6998">
              <w:rPr>
                <w:rFonts w:ascii="Times New Roman" w:hAnsi="Times New Roman"/>
              </w:rPr>
              <w:lastRenderedPageBreak/>
              <w:t>modificările alin. (7) a art. 48; pct. 46; pct.47, în partea care se referă la excluderea pragurilor de 1% și 5% și modificările la alin. (4) a art. 51; pct. 48, în partea care se referă la modificările de la alin. (1) și (2) ale art. 52, cu excepția modificărilor la alin. (1) referitoare la “beneficiarul efectiv”; pct. 49, pct. 50, în partea care se referă la pragul de 15% de la alin. (1) și la modificarea la alin. (2) în ceea ce privește pragul de 60% a art. 55; pct. 55, în partea care se referă la completarea cu alin. (6) a art. 58</w:t>
            </w:r>
            <w:r w:rsidRPr="005D6998">
              <w:rPr>
                <w:rFonts w:ascii="Times New Roman" w:hAnsi="Times New Roman"/>
                <w:vertAlign w:val="superscript"/>
              </w:rPr>
              <w:t>2</w:t>
            </w:r>
            <w:r w:rsidRPr="005D6998">
              <w:rPr>
                <w:rFonts w:ascii="Times New Roman" w:hAnsi="Times New Roman"/>
              </w:rPr>
              <w:t>; pct. 58; pct. 73, în partea care se referă la modificările aferente paginii oficiale a Autorității Bancare Europene pentru publicările centralizate de la alin. (1) lit. b) din art. 94 și la completarea cu lit. c) a alin. (1) din art. 94; pct. 74; pct. 77, cu excepția modificărilor în partea care se referă la la “statele membre” și completarea cu alin. (1</w:t>
            </w:r>
            <w:r w:rsidRPr="005D6998">
              <w:rPr>
                <w:rFonts w:ascii="Times New Roman" w:hAnsi="Times New Roman"/>
                <w:vertAlign w:val="superscript"/>
              </w:rPr>
              <w:t>2</w:t>
            </w:r>
            <w:r w:rsidRPr="005D6998">
              <w:rPr>
                <w:rFonts w:ascii="Times New Roman" w:hAnsi="Times New Roman"/>
              </w:rPr>
              <w:t>); pct. 82, în partea care se referă la completarea cu alin. (3)-(5) referitoare la Autoritatea Bancară Europeană a art. 103; pct. 83, în partea care se referă la completarea cu alin. (1</w:t>
            </w:r>
            <w:r w:rsidRPr="005D6998">
              <w:rPr>
                <w:rFonts w:ascii="Times New Roman" w:hAnsi="Times New Roman"/>
                <w:vertAlign w:val="superscript"/>
              </w:rPr>
              <w:t>4</w:t>
            </w:r>
            <w:r w:rsidRPr="005D6998">
              <w:rPr>
                <w:rFonts w:ascii="Times New Roman" w:hAnsi="Times New Roman"/>
              </w:rPr>
              <w:t>) a art. 104; pct. 84; pct. 88; pct. 90; pct. 91, în partea care se referă la completarea cu alin. (1</w:t>
            </w:r>
            <w:r w:rsidRPr="005D6998">
              <w:rPr>
                <w:rFonts w:ascii="Times New Roman" w:hAnsi="Times New Roman"/>
                <w:vertAlign w:val="superscript"/>
              </w:rPr>
              <w:t>8</w:t>
            </w:r>
            <w:r w:rsidRPr="005D6998">
              <w:rPr>
                <w:rFonts w:ascii="Times New Roman" w:hAnsi="Times New Roman"/>
              </w:rPr>
              <w:t xml:space="preserve">) a art. 109 și completarea cu alin. (4) a art. 109, în ceea ce privește obligația Băncii Națională a Moldovei de transmitere a informațiilor Autorității Bancare Europene; pct. 93, în partea care se referă la băncile centrale din cadrul Sistemului European al Băncilor Centrale din alin. (1) lit. c) a art. 110 și </w:t>
            </w:r>
            <w:r w:rsidRPr="005D6998">
              <w:rPr>
                <w:rFonts w:ascii="Times New Roman" w:hAnsi="Times New Roman"/>
              </w:rPr>
              <w:lastRenderedPageBreak/>
              <w:t>în partea care se referă la completarea cu alin. (2), (4), (5) a art. 110; pct. 94, în partea care se referă la completarea cu alin. (3</w:t>
            </w:r>
            <w:r w:rsidRPr="005D6998">
              <w:rPr>
                <w:rFonts w:ascii="Times New Roman" w:hAnsi="Times New Roman"/>
                <w:vertAlign w:val="superscript"/>
              </w:rPr>
              <w:t>1</w:t>
            </w:r>
            <w:r w:rsidRPr="005D6998">
              <w:rPr>
                <w:rFonts w:ascii="Times New Roman" w:hAnsi="Times New Roman"/>
              </w:rPr>
              <w:t>) a art. 111; pct. 95, în partea care se referă la modificările alin. (1) din art. 112 și modificările alin. (6) care se referă la calitatea Băncii Naționale a Moldovei de bancă centrală, membră a Sistemului European al Băncilor Centrale, în partea care se referă la alin. (9) din art. 112, în partea care se referă la completarea cu alin. (11)-(12) a art. 112; pct. 97– 98; pct. 99, în partea care se referă la completarea cu art. 116</w:t>
            </w:r>
            <w:r w:rsidRPr="005D6998">
              <w:rPr>
                <w:rFonts w:ascii="Times New Roman" w:hAnsi="Times New Roman"/>
                <w:vertAlign w:val="superscript"/>
              </w:rPr>
              <w:t>1</w:t>
            </w:r>
            <w:r w:rsidRPr="005D6998">
              <w:rPr>
                <w:rFonts w:ascii="Times New Roman" w:hAnsi="Times New Roman"/>
              </w:rPr>
              <w:t xml:space="preserve"> alin. (13), cu art. 116</w:t>
            </w:r>
            <w:r w:rsidRPr="005D6998">
              <w:rPr>
                <w:rFonts w:ascii="Times New Roman" w:hAnsi="Times New Roman"/>
                <w:vertAlign w:val="superscript"/>
              </w:rPr>
              <w:t>3</w:t>
            </w:r>
            <w:r w:rsidRPr="005D6998">
              <w:rPr>
                <w:rFonts w:ascii="Times New Roman" w:hAnsi="Times New Roman"/>
              </w:rPr>
              <w:t xml:space="preserve"> alin. (5)-(6); pct. 100, în partea care se referă la modificările alin. (2)-(3) ale art. 117; pct. 101, în partea care se referă la completarea cu alin. (3) a art. 118; pct. 104; pct. 105, în partea care se referă la modificările alin. (3) al art. 123; pct. 107; </w:t>
            </w:r>
          </w:p>
          <w:p w14:paraId="14EE9BB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pct. 108; pct. 110, în partea care se referă la modificările alin. (4) și completarea cu alin. (4</w:t>
            </w:r>
            <w:r w:rsidRPr="005D6998">
              <w:rPr>
                <w:rFonts w:ascii="Times New Roman" w:hAnsi="Times New Roman"/>
                <w:vertAlign w:val="superscript"/>
              </w:rPr>
              <w:t>1</w:t>
            </w:r>
            <w:r w:rsidRPr="005D6998">
              <w:rPr>
                <w:rFonts w:ascii="Times New Roman" w:hAnsi="Times New Roman"/>
              </w:rPr>
              <w:t>) a art. 126; pct. 111, cu excepția completării cu alin. (5) a art. 128; pct. 112; pct. 113, în partea care se referă la completarea cu cuvântul „membre”  de la alin. (1) și alin. (5) ale art. 129; pct. 114; pct. 115; pct. 117, în partea care se referă la completarea cu cuvântul „membru” a alin. (1) din art. 132; pct. 120, în partea care se referă la completarea alin. (1) din art. 136 cu lit. a</w:t>
            </w:r>
            <w:r w:rsidRPr="005D6998">
              <w:rPr>
                <w:rFonts w:ascii="Times New Roman" w:hAnsi="Times New Roman"/>
                <w:vertAlign w:val="superscript"/>
              </w:rPr>
              <w:t>1</w:t>
            </w:r>
            <w:r w:rsidRPr="005D6998">
              <w:rPr>
                <w:rFonts w:ascii="Times New Roman" w:hAnsi="Times New Roman"/>
              </w:rPr>
              <w:t xml:space="preserve">); pct. 122, în partea care se referă la modificările de la lit. d) a alin. (3) din art. 139, în ceea ce privește deschiderea sucursalelor în </w:t>
            </w:r>
            <w:r w:rsidRPr="005D6998">
              <w:rPr>
                <w:rFonts w:ascii="Times New Roman" w:hAnsi="Times New Roman"/>
              </w:rPr>
              <w:lastRenderedPageBreak/>
              <w:t>state terțe și completarea alin. (7) din art. 139; pct. 123, în partea care se referă la completarea cu art. 139</w:t>
            </w:r>
            <w:r w:rsidRPr="005D6998">
              <w:rPr>
                <w:rFonts w:ascii="Times New Roman" w:hAnsi="Times New Roman"/>
                <w:vertAlign w:val="superscript"/>
              </w:rPr>
              <w:t>3</w:t>
            </w:r>
            <w:r w:rsidRPr="005D6998">
              <w:rPr>
                <w:rFonts w:ascii="Times New Roman" w:hAnsi="Times New Roman"/>
              </w:rPr>
              <w:t>; pct. 124, în partea care se referă la modificările alin. (2) lit. a)-b) din art. 140; pct. 127, în partea care se referă la modificările alin. (2) din art. 143.</w:t>
            </w:r>
          </w:p>
          <w:p w14:paraId="20D8C42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b) UE în termen de cinci ani de la data intrării în vigoare a Tratatului de aderare a Republicii Moldova la UE – pct. 20, în partea care se referă la completarea cu alin. (5) a art. 22, pct. 22; pct. 25; pct. 77, în partea care se referă la modificarea titlului art. 99 referitoare la statele membre, la modificările alin. (1) din art. 99 care se referă la statele membre, precum și la completarea cu alin. (1</w:t>
            </w:r>
            <w:r w:rsidRPr="005D6998">
              <w:rPr>
                <w:rFonts w:ascii="Times New Roman" w:hAnsi="Times New Roman"/>
                <w:vertAlign w:val="superscript"/>
              </w:rPr>
              <w:t>1</w:t>
            </w:r>
            <w:r w:rsidRPr="005D6998">
              <w:rPr>
                <w:rFonts w:ascii="Times New Roman" w:hAnsi="Times New Roman"/>
              </w:rPr>
              <w:t>)-(1</w:t>
            </w:r>
            <w:r w:rsidRPr="005D6998">
              <w:rPr>
                <w:rFonts w:ascii="Times New Roman" w:hAnsi="Times New Roman"/>
                <w:vertAlign w:val="superscript"/>
              </w:rPr>
              <w:t>3</w:t>
            </w:r>
            <w:r w:rsidRPr="005D6998">
              <w:rPr>
                <w:rFonts w:ascii="Times New Roman" w:hAnsi="Times New Roman"/>
              </w:rPr>
              <w:t>) din art. 99; pct. 85, în partea care se referă la completarea cu alin. (4</w:t>
            </w:r>
            <w:r w:rsidRPr="005D6998">
              <w:rPr>
                <w:rFonts w:ascii="Times New Roman" w:hAnsi="Times New Roman"/>
                <w:vertAlign w:val="superscript"/>
              </w:rPr>
              <w:t>1</w:t>
            </w:r>
            <w:r w:rsidRPr="005D6998">
              <w:rPr>
                <w:rFonts w:ascii="Times New Roman" w:hAnsi="Times New Roman"/>
              </w:rPr>
              <w:t>) a art. 106; pct. 86, cu excepția modificărilor alin. (3) din art. 107, care se referă la includerea sintagmei „după caz” și „în lipsa acestora”; pct. 89; pct. 122, în partea care se referă la modificările lit. d) a alin. (3) din art. 139, în ceea ce privește restricționarea activității pe teritoriul statelor membre prin intermediul unei sucursale sau prin prestarea serviciilor în mod direct;</w:t>
            </w:r>
          </w:p>
          <w:p w14:paraId="36E9CBA2" w14:textId="77777777" w:rsidR="008E7C06" w:rsidRPr="005D6998" w:rsidRDefault="008E7C06" w:rsidP="00A46332">
            <w:pPr>
              <w:pStyle w:val="a7"/>
              <w:spacing w:after="0" w:line="240" w:lineRule="auto"/>
              <w:ind w:left="0"/>
              <w:jc w:val="both"/>
              <w:rPr>
                <w:rFonts w:ascii="Times New Roman" w:hAnsi="Times New Roman"/>
              </w:rPr>
            </w:pPr>
            <w:r w:rsidRPr="005D6998">
              <w:rPr>
                <w:rFonts w:ascii="Times New Roman" w:hAnsi="Times New Roman"/>
              </w:rPr>
              <w:t>UE</w:t>
            </w:r>
          </w:p>
          <w:p w14:paraId="4235D9EC" w14:textId="77777777" w:rsidR="008E7C06" w:rsidRPr="005D6998" w:rsidRDefault="008E7C06" w:rsidP="00A46332">
            <w:pPr>
              <w:pStyle w:val="a7"/>
              <w:spacing w:after="0" w:line="240" w:lineRule="auto"/>
              <w:ind w:left="0"/>
              <w:jc w:val="both"/>
              <w:rPr>
                <w:rFonts w:ascii="Times New Roman" w:hAnsi="Times New Roman"/>
              </w:rPr>
            </w:pPr>
            <w:r w:rsidRPr="005D6998">
              <w:rPr>
                <w:rFonts w:ascii="Times New Roman" w:hAnsi="Times New Roman"/>
              </w:rPr>
              <w:t>c) în termen de o lună de la data publicării în Monitorul Oficial al Republicii Moldova - pct. 53, pct. 54, pct. 55, cu excepția completării cu art. 58</w:t>
            </w:r>
            <w:r w:rsidRPr="005D6998">
              <w:rPr>
                <w:rFonts w:ascii="Times New Roman" w:hAnsi="Times New Roman"/>
                <w:vertAlign w:val="superscript"/>
              </w:rPr>
              <w:t>2</w:t>
            </w:r>
            <w:r w:rsidRPr="005D6998">
              <w:rPr>
                <w:rFonts w:ascii="Times New Roman" w:hAnsi="Times New Roman"/>
              </w:rPr>
              <w:t xml:space="preserve"> alin. (6);</w:t>
            </w:r>
          </w:p>
          <w:p w14:paraId="26F604EF" w14:textId="77777777" w:rsidR="008E7C06" w:rsidRPr="005D6998" w:rsidRDefault="008E7C06" w:rsidP="00A46332">
            <w:pPr>
              <w:pStyle w:val="a7"/>
              <w:spacing w:after="0" w:line="240" w:lineRule="auto"/>
              <w:ind w:left="0"/>
              <w:jc w:val="both"/>
              <w:rPr>
                <w:rFonts w:ascii="Times New Roman" w:hAnsi="Times New Roman"/>
              </w:rPr>
            </w:pPr>
            <w:r w:rsidRPr="005D6998">
              <w:rPr>
                <w:rFonts w:ascii="Times New Roman" w:hAnsi="Times New Roman"/>
              </w:rPr>
              <w:t xml:space="preserve">d) în termen de patru luni de la data publicării în Monitorul Oficial – pct. </w:t>
            </w:r>
            <w:r w:rsidRPr="005D6998">
              <w:rPr>
                <w:rFonts w:ascii="Times New Roman" w:hAnsi="Times New Roman"/>
              </w:rPr>
              <w:lastRenderedPageBreak/>
              <w:t>31, în partea care se referă la modificarea alin. (1) și (4) din art. 38; pct. 32; pct. 33, în partea care se referă la completarea lit. a) de la alin. (1) din art. 39 și în partea care se referă la riscurile de mediu, sociale și de guvernanță din modificarea lit. a) a alin. (2) din art. 39; pct. 35, în partea care se referă la completarea cu lit. i</w:t>
            </w:r>
            <w:r w:rsidRPr="005D6998">
              <w:rPr>
                <w:rFonts w:ascii="Times New Roman" w:hAnsi="Times New Roman"/>
                <w:vertAlign w:val="superscript"/>
              </w:rPr>
              <w:t>1</w:t>
            </w:r>
            <w:r w:rsidRPr="005D6998">
              <w:rPr>
                <w:rFonts w:ascii="Times New Roman" w:hAnsi="Times New Roman"/>
              </w:rPr>
              <w:t>)-i</w:t>
            </w:r>
            <w:r w:rsidRPr="005D6998">
              <w:rPr>
                <w:rFonts w:ascii="Times New Roman" w:hAnsi="Times New Roman"/>
                <w:vertAlign w:val="superscript"/>
              </w:rPr>
              <w:t>2</w:t>
            </w:r>
            <w:r w:rsidRPr="005D6998">
              <w:rPr>
                <w:rFonts w:ascii="Times New Roman" w:hAnsi="Times New Roman"/>
              </w:rPr>
              <w:t>) a alin. (3) și completarea cu alin. (8) a art. 41; pct. 36; pct. 57, pct. 66; pct. 70, în partea care se referă la completarea alin. (1) cu expunerile la riscurile de mediu, sociale și de guvernanță din art. 84; pct. 72, în partea care se referă la completarea alin. (1) cu riscurile de mediu, sociale și de guvernanță și completarea cu alin. (1</w:t>
            </w:r>
            <w:r w:rsidRPr="005D6998">
              <w:rPr>
                <w:rFonts w:ascii="Times New Roman" w:hAnsi="Times New Roman"/>
                <w:vertAlign w:val="superscript"/>
              </w:rPr>
              <w:t>1</w:t>
            </w:r>
            <w:r w:rsidRPr="005D6998">
              <w:rPr>
                <w:rFonts w:ascii="Times New Roman" w:hAnsi="Times New Roman"/>
              </w:rPr>
              <w:t xml:space="preserve">) din art. 91; pct. 78, în partea care se referă la completarea cu riscurile de mediu, sociale și de guvernanță de la lit. a) a alin. (1) din art. 100; pct. 79, în partea care se referă la completarea lit. a) a alin. (1) și completarea cu lit. j) și k) a alin. (1) din art. 101; pct. 122, în partea care se referă la completarea cu lit. q) a alin. (3) din art. 139; </w:t>
            </w:r>
          </w:p>
          <w:p w14:paraId="4728024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e) la 10 ianuarie 2030 – pct. 96.</w:t>
            </w:r>
          </w:p>
        </w:tc>
        <w:tc>
          <w:tcPr>
            <w:tcW w:w="1418" w:type="dxa"/>
            <w:gridSpan w:val="2"/>
            <w:shd w:val="clear" w:color="auto" w:fill="FFFFFF"/>
          </w:tcPr>
          <w:p w14:paraId="64EBC271"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38F5DCA" w14:textId="55049C88"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125</w:t>
            </w:r>
          </w:p>
        </w:tc>
        <w:tc>
          <w:tcPr>
            <w:tcW w:w="4110" w:type="dxa"/>
            <w:gridSpan w:val="2"/>
            <w:shd w:val="clear" w:color="auto" w:fill="FFFFFF"/>
          </w:tcPr>
          <w:p w14:paraId="6E0DE812" w14:textId="77777777" w:rsidR="008E7C06" w:rsidRPr="005D6998" w:rsidRDefault="008E7C06" w:rsidP="00A46332">
            <w:pPr>
              <w:pStyle w:val="Default"/>
              <w:jc w:val="both"/>
              <w:rPr>
                <w:sz w:val="22"/>
                <w:szCs w:val="22"/>
              </w:rPr>
            </w:pPr>
            <w:r w:rsidRPr="005D6998">
              <w:rPr>
                <w:sz w:val="22"/>
                <w:szCs w:val="22"/>
              </w:rPr>
              <w:t>Alin. (3) lit. a) necesită a fi revăzut suplimentar, întru asigurarea că au fost incluse toate elementele structurale, dispozițiile cărora vor intra în vigoarea la data aderării Republicii Moldova la Uniunea Europeană (a se vedea de ex. pct. 35, în partea care se referă la completarea art. 41 alin. (3), cu lit. i</w:t>
            </w:r>
            <w:r w:rsidRPr="005D6998">
              <w:rPr>
                <w:sz w:val="22"/>
                <w:szCs w:val="22"/>
                <w:vertAlign w:val="superscript"/>
              </w:rPr>
              <w:t>3</w:t>
            </w:r>
            <w:r w:rsidRPr="005D6998">
              <w:rPr>
                <w:sz w:val="22"/>
                <w:szCs w:val="22"/>
              </w:rPr>
              <w:t>), pct. 45, în partea ce se referă la completarea art. 49 alin. (1) cu textul „ , inclusiv alt stat membru” din Legea nr. 202/2017, ș.a.). Totodată, acestea se vor analiza suplimentar, întru corespunderea referințelor cu norma de trimitere.</w:t>
            </w:r>
          </w:p>
          <w:p w14:paraId="268CE4A4" w14:textId="77777777" w:rsidR="008E7C06" w:rsidRPr="005D6998" w:rsidRDefault="008E7C06" w:rsidP="00A46332">
            <w:pPr>
              <w:pStyle w:val="Default"/>
              <w:jc w:val="both"/>
              <w:rPr>
                <w:sz w:val="22"/>
                <w:szCs w:val="22"/>
              </w:rPr>
            </w:pPr>
            <w:r w:rsidRPr="005D6998">
              <w:rPr>
                <w:sz w:val="22"/>
                <w:szCs w:val="22"/>
              </w:rPr>
              <w:t xml:space="preserve"> </w:t>
            </w:r>
          </w:p>
          <w:p w14:paraId="062C22DA" w14:textId="77777777" w:rsidR="008E7C06" w:rsidRPr="005D6998" w:rsidRDefault="008E7C06" w:rsidP="00A46332">
            <w:pPr>
              <w:pStyle w:val="Default"/>
              <w:jc w:val="both"/>
              <w:rPr>
                <w:sz w:val="22"/>
                <w:szCs w:val="22"/>
              </w:rPr>
            </w:pPr>
            <w:r w:rsidRPr="005D6998">
              <w:rPr>
                <w:sz w:val="22"/>
                <w:szCs w:val="22"/>
              </w:rPr>
              <w:t xml:space="preserve">Din dispoziția alin. (3): </w:t>
            </w:r>
          </w:p>
          <w:p w14:paraId="6641AC4E" w14:textId="77777777" w:rsidR="008E7C06" w:rsidRPr="005D6998" w:rsidRDefault="008E7C06" w:rsidP="00A46332">
            <w:pPr>
              <w:pStyle w:val="Default"/>
              <w:jc w:val="both"/>
              <w:rPr>
                <w:sz w:val="22"/>
                <w:szCs w:val="22"/>
              </w:rPr>
            </w:pPr>
            <w:r w:rsidRPr="005D6998">
              <w:rPr>
                <w:sz w:val="22"/>
                <w:szCs w:val="22"/>
              </w:rPr>
              <w:t xml:space="preserve">- la lit. b), abrevierea „UE” se va exclude, ca fiind inutilă; </w:t>
            </w:r>
          </w:p>
          <w:p w14:paraId="007C2580" w14:textId="77777777" w:rsidR="008E7C06" w:rsidRPr="005D6998" w:rsidRDefault="008E7C06" w:rsidP="00A46332">
            <w:pPr>
              <w:pStyle w:val="Default"/>
              <w:jc w:val="both"/>
              <w:rPr>
                <w:sz w:val="22"/>
                <w:szCs w:val="22"/>
              </w:rPr>
            </w:pPr>
            <w:r w:rsidRPr="005D6998">
              <w:rPr>
                <w:sz w:val="22"/>
                <w:szCs w:val="22"/>
              </w:rPr>
              <w:t>- la lit. d), cuvintele „În Monitorul Oficial” se vor completa cu cuvintele „al Republicii Moldova”.</w:t>
            </w:r>
          </w:p>
        </w:tc>
        <w:tc>
          <w:tcPr>
            <w:tcW w:w="4960" w:type="dxa"/>
            <w:gridSpan w:val="3"/>
            <w:shd w:val="clear" w:color="auto" w:fill="FFFFFF"/>
          </w:tcPr>
          <w:p w14:paraId="35B747F6" w14:textId="77777777" w:rsidR="008E7C06" w:rsidRPr="005D6998" w:rsidRDefault="008E7C06" w:rsidP="00A46332">
            <w:pPr>
              <w:spacing w:after="0" w:line="240" w:lineRule="auto"/>
              <w:jc w:val="both"/>
              <w:rPr>
                <w:rFonts w:ascii="Times New Roman" w:hAnsi="Times New Roman"/>
                <w:b/>
              </w:rPr>
            </w:pPr>
            <w:r w:rsidRPr="005D6998">
              <w:rPr>
                <w:rFonts w:ascii="Times New Roman" w:hAnsi="Times New Roman"/>
                <w:b/>
                <w:bCs/>
              </w:rPr>
              <w:t>Se acceptă.</w:t>
            </w:r>
          </w:p>
        </w:tc>
      </w:tr>
      <w:tr w:rsidR="008E7C06" w:rsidRPr="005D6998" w14:paraId="5BD6AA3A" w14:textId="77777777" w:rsidTr="00651F58">
        <w:trPr>
          <w:gridAfter w:val="2"/>
          <w:wAfter w:w="153" w:type="dxa"/>
          <w:trHeight w:val="105"/>
        </w:trPr>
        <w:tc>
          <w:tcPr>
            <w:tcW w:w="899" w:type="dxa"/>
            <w:gridSpan w:val="3"/>
            <w:shd w:val="clear" w:color="auto" w:fill="FFFFFF"/>
          </w:tcPr>
          <w:p w14:paraId="531E82B3"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5488E8E3" w14:textId="77777777" w:rsidR="008E7C06" w:rsidRPr="005D6998" w:rsidRDefault="008E7C06" w:rsidP="00A46332">
            <w:pPr>
              <w:tabs>
                <w:tab w:val="left" w:pos="426"/>
              </w:tabs>
              <w:spacing w:after="0" w:line="240" w:lineRule="auto"/>
              <w:jc w:val="both"/>
              <w:rPr>
                <w:rFonts w:ascii="Times New Roman" w:hAnsi="Times New Roman"/>
              </w:rPr>
            </w:pPr>
            <w:r w:rsidRPr="005D6998">
              <w:rPr>
                <w:rFonts w:ascii="Times New Roman" w:eastAsiaTheme="minorHAnsi" w:hAnsi="Times New Roman"/>
                <w:b/>
                <w:bCs/>
                <w:kern w:val="2"/>
                <w:lang w:eastAsia="en-US"/>
                <w14:ligatures w14:val="standardContextual"/>
              </w:rPr>
              <w:t>(4)</w:t>
            </w:r>
            <w:r w:rsidRPr="005D6998">
              <w:rPr>
                <w:rFonts w:ascii="Times New Roman" w:eastAsiaTheme="minorHAnsi" w:hAnsi="Times New Roman"/>
                <w:kern w:val="2"/>
                <w:lang w:eastAsia="en-US"/>
                <w14:ligatures w14:val="standardContextual"/>
              </w:rPr>
              <w:t xml:space="preserve"> </w:t>
            </w:r>
            <w:r w:rsidRPr="005D6998">
              <w:rPr>
                <w:rFonts w:ascii="Times New Roman" w:eastAsiaTheme="minorHAnsi" w:hAnsi="Times New Roman"/>
              </w:rPr>
              <w:t xml:space="preserve">Fără a aduce atingere prevederilor alin. (1), orice referințe din prezenta lege la “state membre” și „state terțe” la orice formă gramaticală intră în vigoare </w:t>
            </w:r>
            <w:r w:rsidRPr="005D6998">
              <w:rPr>
                <w:rFonts w:ascii="Times New Roman" w:hAnsi="Times New Roman"/>
              </w:rPr>
              <w:t xml:space="preserve">la data aderării Republicii Moldova la Uniunea Europeană. Până la data intrării în vigoare a Tratatului de aderare a Republicii Moldova la Uniunea Europeană, referințele din prezenta lege la „state membre” și </w:t>
            </w:r>
            <w:r w:rsidRPr="005D6998">
              <w:rPr>
                <w:rFonts w:ascii="Times New Roman" w:hAnsi="Times New Roman"/>
              </w:rPr>
              <w:lastRenderedPageBreak/>
              <w:t>„state terțe”, la orice formă gramaticală vor fi citite drept referinţe la „alte state”, la forma gramaticală corespunzătoare.</w:t>
            </w:r>
          </w:p>
        </w:tc>
        <w:tc>
          <w:tcPr>
            <w:tcW w:w="1418" w:type="dxa"/>
            <w:gridSpan w:val="2"/>
            <w:shd w:val="clear" w:color="auto" w:fill="FFFFFF"/>
          </w:tcPr>
          <w:p w14:paraId="235B40D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ED2E239" w14:textId="25C4354D"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126</w:t>
            </w:r>
          </w:p>
        </w:tc>
        <w:tc>
          <w:tcPr>
            <w:tcW w:w="4110" w:type="dxa"/>
            <w:gridSpan w:val="2"/>
            <w:shd w:val="clear" w:color="auto" w:fill="FFFFFF"/>
          </w:tcPr>
          <w:p w14:paraId="7B3DA368" w14:textId="77777777" w:rsidR="008E7C06" w:rsidRPr="005D6998" w:rsidRDefault="008E7C06" w:rsidP="00A46332">
            <w:pPr>
              <w:pStyle w:val="Default"/>
              <w:jc w:val="both"/>
              <w:rPr>
                <w:sz w:val="22"/>
                <w:szCs w:val="22"/>
              </w:rPr>
            </w:pPr>
            <w:r w:rsidRPr="005D6998">
              <w:rPr>
                <w:sz w:val="22"/>
                <w:szCs w:val="22"/>
              </w:rPr>
              <w:t>Alin. (4), după textul „alin. (1)” sugerăm a fi inclus textul „și a alin. (3) lit. b)”.</w:t>
            </w:r>
          </w:p>
        </w:tc>
        <w:tc>
          <w:tcPr>
            <w:tcW w:w="4960" w:type="dxa"/>
            <w:gridSpan w:val="3"/>
            <w:shd w:val="clear" w:color="auto" w:fill="FFFFFF"/>
          </w:tcPr>
          <w:p w14:paraId="06B2D2FB"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1554A6F3"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Menționarea prevederilor alin. (1) în alin. (4) din art. IV </w:t>
            </w:r>
            <w:r w:rsidRPr="005D6998">
              <w:rPr>
                <w:rFonts w:ascii="Times New Roman" w:hAnsi="Times New Roman"/>
                <w:i/>
                <w:iCs/>
              </w:rPr>
              <w:t>Dispoziții finale</w:t>
            </w:r>
            <w:r w:rsidRPr="005D6998">
              <w:rPr>
                <w:rFonts w:ascii="Times New Roman" w:hAnsi="Times New Roman"/>
              </w:rPr>
              <w:t xml:space="preserve"> este suficientă.</w:t>
            </w:r>
          </w:p>
          <w:p w14:paraId="6B9581D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Se menționează că Alin. (1) din art. IV </w:t>
            </w:r>
            <w:r w:rsidRPr="005D6998">
              <w:rPr>
                <w:rFonts w:ascii="Times New Roman" w:hAnsi="Times New Roman"/>
                <w:i/>
                <w:iCs/>
              </w:rPr>
              <w:t>Dispoziții finale</w:t>
            </w:r>
            <w:r w:rsidRPr="005D6998">
              <w:rPr>
                <w:rFonts w:ascii="Times New Roman" w:hAnsi="Times New Roman"/>
              </w:rPr>
              <w:t xml:space="preserve"> prevede exceptarea alin. (2) și (3) de la același articol de la intrarea în vigoare în termen de 6 luni a întregii legi.</w:t>
            </w:r>
          </w:p>
          <w:p w14:paraId="61A396A2" w14:textId="77777777" w:rsidR="008E7C06" w:rsidRPr="005D6998" w:rsidRDefault="008E7C06" w:rsidP="00A46332">
            <w:pPr>
              <w:spacing w:after="0" w:line="240" w:lineRule="auto"/>
              <w:jc w:val="both"/>
              <w:rPr>
                <w:rFonts w:ascii="Times New Roman" w:hAnsi="Times New Roman"/>
              </w:rPr>
            </w:pPr>
          </w:p>
        </w:tc>
      </w:tr>
      <w:tr w:rsidR="008E7C06" w:rsidRPr="005D6998" w14:paraId="154ACF41" w14:textId="77777777" w:rsidTr="00651F58">
        <w:trPr>
          <w:gridAfter w:val="2"/>
          <w:wAfter w:w="153" w:type="dxa"/>
          <w:trHeight w:val="105"/>
        </w:trPr>
        <w:tc>
          <w:tcPr>
            <w:tcW w:w="899" w:type="dxa"/>
            <w:gridSpan w:val="3"/>
            <w:shd w:val="clear" w:color="auto" w:fill="FFFFFF"/>
          </w:tcPr>
          <w:p w14:paraId="554D6A0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5EA8603"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b/>
                <w:bCs/>
              </w:rPr>
              <w:t>(7)</w:t>
            </w:r>
            <w:r w:rsidRPr="005D6998">
              <w:rPr>
                <w:rFonts w:ascii="Times New Roman" w:hAnsi="Times New Roman"/>
              </w:rPr>
              <w:t xml:space="preserve"> Pe parcursul a douăsprezece luni de la data intrării în vigoare a prezentei legi, prevederile art. 141 din Legea nr. 202/2017 nu se aplică în ceea ce privește cerințele de publicare referitoare la riscurile de mediu, sociale și de guvernanță prevăzute la pct. 72 a Art. III.</w:t>
            </w:r>
          </w:p>
          <w:p w14:paraId="6123DC48"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37C6A30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A691A75" w14:textId="2EC9FC98"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127</w:t>
            </w:r>
          </w:p>
        </w:tc>
        <w:tc>
          <w:tcPr>
            <w:tcW w:w="4110" w:type="dxa"/>
            <w:gridSpan w:val="2"/>
            <w:shd w:val="clear" w:color="auto" w:fill="FFFFFF"/>
          </w:tcPr>
          <w:p w14:paraId="0D28EF52" w14:textId="77777777" w:rsidR="008E7C06" w:rsidRPr="005D6998" w:rsidRDefault="008E7C06" w:rsidP="00A46332">
            <w:pPr>
              <w:pStyle w:val="Default"/>
              <w:jc w:val="both"/>
              <w:rPr>
                <w:sz w:val="22"/>
                <w:szCs w:val="22"/>
              </w:rPr>
            </w:pPr>
            <w:r w:rsidRPr="005D6998">
              <w:rPr>
                <w:sz w:val="22"/>
                <w:szCs w:val="22"/>
              </w:rPr>
              <w:t>Dispoziția alin. (7) este lipsită de claritate și previzibilitate, motiv pentru care se va reformula. În acest sens, se va asigura momentul începerii exacte a curgerii termenului de 12 luni, având în vedere că respectiva lege intră în vigoare în mai multe etape (la expirarea unei luni de la data publicării; la expirarea a 4 luni de la data publicării; la data aderării Republicii Moldova la UE, ș. a). De asemenea se vor revedea referințele la art. 141 din Legea nr. 121/2017 și legătura cauzală între acesta și pct. 72 din art. III al proiectului de lege examinat.</w:t>
            </w:r>
          </w:p>
        </w:tc>
        <w:tc>
          <w:tcPr>
            <w:tcW w:w="4960" w:type="dxa"/>
            <w:gridSpan w:val="3"/>
            <w:shd w:val="clear" w:color="auto" w:fill="FFFFFF"/>
          </w:tcPr>
          <w:p w14:paraId="7671D71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0855269C" w14:textId="77777777" w:rsidR="008E7C06" w:rsidRPr="005D6998" w:rsidRDefault="008E7C06" w:rsidP="00A46332">
            <w:pPr>
              <w:spacing w:after="0" w:line="240" w:lineRule="auto"/>
              <w:jc w:val="both"/>
              <w:rPr>
                <w:rFonts w:ascii="Times New Roman" w:hAnsi="Times New Roman"/>
              </w:rPr>
            </w:pPr>
          </w:p>
          <w:p w14:paraId="45B6EA64"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Alineatul a fost modificat în vederea aducerii clarității momentului începerii aplicării prevederilor prezentului aliniat, La fel, a fost modificată și referința la pct.72 din art. III.</w:t>
            </w:r>
          </w:p>
        </w:tc>
      </w:tr>
      <w:tr w:rsidR="008E7C06" w:rsidRPr="005D6998" w14:paraId="53417AD2" w14:textId="77777777" w:rsidTr="00651F58">
        <w:trPr>
          <w:gridAfter w:val="2"/>
          <w:wAfter w:w="153" w:type="dxa"/>
          <w:trHeight w:val="105"/>
        </w:trPr>
        <w:tc>
          <w:tcPr>
            <w:tcW w:w="899" w:type="dxa"/>
            <w:gridSpan w:val="3"/>
            <w:shd w:val="clear" w:color="auto" w:fill="FFFFFF"/>
          </w:tcPr>
          <w:p w14:paraId="71FDAAA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B89CCA6" w14:textId="77777777" w:rsidR="008E7C06" w:rsidRPr="005D6998" w:rsidRDefault="008E7C06" w:rsidP="00A46332">
            <w:pPr>
              <w:spacing w:after="0" w:line="240" w:lineRule="auto"/>
              <w:ind w:firstLine="708"/>
              <w:jc w:val="both"/>
              <w:rPr>
                <w:rFonts w:ascii="Times New Roman" w:hAnsi="Times New Roman"/>
              </w:rPr>
            </w:pPr>
            <w:r w:rsidRPr="005D6998">
              <w:rPr>
                <w:rFonts w:ascii="Times New Roman" w:hAnsi="Times New Roman"/>
                <w:b/>
                <w:bCs/>
              </w:rPr>
              <w:t>(8)</w:t>
            </w:r>
            <w:r w:rsidRPr="005D6998">
              <w:rPr>
                <w:rFonts w:ascii="Times New Roman" w:hAnsi="Times New Roman"/>
              </w:rPr>
              <w:t xml:space="preserve"> Actele normative emise de Banca Naţională a Moldovei în baza Legii nr. 202/2017 privind activitatea băncilor, până la intrarea în vigoare a prezentei legi, se aplică în continuare, până la abrogarea sau modificarea lor.</w:t>
            </w:r>
            <w:r w:rsidRPr="005D6998" w:rsidDel="009117A8">
              <w:rPr>
                <w:rStyle w:val="af3"/>
                <w:rFonts w:ascii="Times New Roman" w:hAnsi="Times New Roman"/>
                <w:sz w:val="22"/>
                <w:szCs w:val="22"/>
              </w:rPr>
              <w:t xml:space="preserve"> </w:t>
            </w:r>
          </w:p>
        </w:tc>
        <w:tc>
          <w:tcPr>
            <w:tcW w:w="1418" w:type="dxa"/>
            <w:gridSpan w:val="2"/>
            <w:shd w:val="clear" w:color="auto" w:fill="FFFFFF"/>
          </w:tcPr>
          <w:p w14:paraId="607CC47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D89B9A3" w14:textId="63B81022"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128</w:t>
            </w:r>
          </w:p>
        </w:tc>
        <w:tc>
          <w:tcPr>
            <w:tcW w:w="4110" w:type="dxa"/>
            <w:gridSpan w:val="2"/>
            <w:shd w:val="clear" w:color="auto" w:fill="FFFFFF"/>
          </w:tcPr>
          <w:p w14:paraId="17A362BB" w14:textId="77777777" w:rsidR="008E7C06" w:rsidRPr="005D6998" w:rsidRDefault="008E7C06" w:rsidP="00A46332">
            <w:pPr>
              <w:pStyle w:val="Default"/>
              <w:jc w:val="both"/>
              <w:rPr>
                <w:sz w:val="22"/>
                <w:szCs w:val="22"/>
              </w:rPr>
            </w:pPr>
            <w:r w:rsidRPr="005D6998">
              <w:rPr>
                <w:sz w:val="22"/>
                <w:szCs w:val="22"/>
              </w:rPr>
              <w:t>Dispozițiile alin. (8) considerăm necesar a fi prevăzute în dispozițiile tranzitorii ale proiectului de lege. Totodată, norma se propune a fi completată cu textul „ , în măsura în care nu contravin prezentei legi”.</w:t>
            </w:r>
          </w:p>
        </w:tc>
        <w:tc>
          <w:tcPr>
            <w:tcW w:w="4960" w:type="dxa"/>
            <w:gridSpan w:val="3"/>
            <w:shd w:val="clear" w:color="auto" w:fill="FFFFFF"/>
          </w:tcPr>
          <w:p w14:paraId="720F6278" w14:textId="77777777" w:rsidR="008E7C06" w:rsidRPr="005D6998" w:rsidRDefault="008E7C06" w:rsidP="00A46332">
            <w:pPr>
              <w:spacing w:after="0" w:line="240" w:lineRule="auto"/>
              <w:jc w:val="both"/>
              <w:rPr>
                <w:rFonts w:ascii="Times New Roman" w:hAnsi="Times New Roman"/>
              </w:rPr>
            </w:pPr>
          </w:p>
        </w:tc>
      </w:tr>
      <w:tr w:rsidR="008E7C06" w:rsidRPr="005D6998" w14:paraId="1B34F6E7" w14:textId="77777777" w:rsidTr="00651F58">
        <w:trPr>
          <w:gridAfter w:val="2"/>
          <w:wAfter w:w="153" w:type="dxa"/>
          <w:trHeight w:val="105"/>
        </w:trPr>
        <w:tc>
          <w:tcPr>
            <w:tcW w:w="899" w:type="dxa"/>
            <w:gridSpan w:val="3"/>
            <w:shd w:val="clear" w:color="auto" w:fill="FFFFFF"/>
          </w:tcPr>
          <w:p w14:paraId="1211B36B"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C1CBD47"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Art. IV.</w:t>
            </w:r>
            <w:r w:rsidRPr="005D6998">
              <w:rPr>
                <w:rFonts w:ascii="Times New Roman" w:hAnsi="Times New Roman"/>
              </w:rPr>
              <w:t xml:space="preserve"> Dispoziţii tranzitorii</w:t>
            </w:r>
          </w:p>
          <w:p w14:paraId="0596297C"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6CC2219B"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E9033E9" w14:textId="00F9FEF0"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129</w:t>
            </w:r>
          </w:p>
        </w:tc>
        <w:tc>
          <w:tcPr>
            <w:tcW w:w="4110" w:type="dxa"/>
            <w:gridSpan w:val="2"/>
            <w:shd w:val="clear" w:color="auto" w:fill="FFFFFF"/>
          </w:tcPr>
          <w:p w14:paraId="2D24748C" w14:textId="77777777" w:rsidR="008E7C06" w:rsidRPr="005D6998" w:rsidRDefault="008E7C06" w:rsidP="00A46332">
            <w:pPr>
              <w:pStyle w:val="Default"/>
              <w:jc w:val="both"/>
              <w:rPr>
                <w:sz w:val="22"/>
                <w:szCs w:val="22"/>
              </w:rPr>
            </w:pPr>
            <w:r w:rsidRPr="005D6998">
              <w:rPr>
                <w:sz w:val="22"/>
                <w:szCs w:val="22"/>
              </w:rPr>
              <w:t xml:space="preserve">La art. IV - Dispoziții tranzitorii: </w:t>
            </w:r>
          </w:p>
          <w:p w14:paraId="6A97DEEC" w14:textId="77777777" w:rsidR="008E7C06" w:rsidRPr="005D6998" w:rsidRDefault="008E7C06" w:rsidP="00A46332">
            <w:pPr>
              <w:pStyle w:val="Default"/>
              <w:jc w:val="both"/>
              <w:rPr>
                <w:sz w:val="22"/>
                <w:szCs w:val="22"/>
              </w:rPr>
            </w:pPr>
            <w:r w:rsidRPr="005D6998">
              <w:rPr>
                <w:sz w:val="22"/>
                <w:szCs w:val="22"/>
              </w:rPr>
              <w:t>Articolul se va renumerota art. V, având în vedere că dispozițiile finale ale proiectului de lege au fost însemnate prin art. IV. În caz contrar, dispozițiile ambelor articole se vor comasa, fiind însoțită de denumirea „Dispoziții finale și tranzitorii”.</w:t>
            </w:r>
          </w:p>
        </w:tc>
        <w:tc>
          <w:tcPr>
            <w:tcW w:w="4960" w:type="dxa"/>
            <w:gridSpan w:val="3"/>
            <w:shd w:val="clear" w:color="auto" w:fill="FFFFFF"/>
          </w:tcPr>
          <w:p w14:paraId="5F4FE930"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7B1AE08" w14:textId="77777777" w:rsidR="008E7C06" w:rsidRPr="005D6998" w:rsidRDefault="008E7C06" w:rsidP="00A46332">
            <w:pPr>
              <w:spacing w:after="0" w:line="240" w:lineRule="auto"/>
              <w:jc w:val="both"/>
              <w:rPr>
                <w:rFonts w:ascii="Times New Roman" w:hAnsi="Times New Roman"/>
                <w:b/>
                <w:bCs/>
              </w:rPr>
            </w:pPr>
          </w:p>
          <w:p w14:paraId="166E295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Articolul a fost renumerotat.</w:t>
            </w:r>
          </w:p>
        </w:tc>
      </w:tr>
      <w:tr w:rsidR="008E7C06" w:rsidRPr="005D6998" w14:paraId="4055129C" w14:textId="77777777" w:rsidTr="00651F58">
        <w:trPr>
          <w:gridAfter w:val="2"/>
          <w:wAfter w:w="153" w:type="dxa"/>
          <w:trHeight w:val="105"/>
        </w:trPr>
        <w:tc>
          <w:tcPr>
            <w:tcW w:w="899" w:type="dxa"/>
            <w:gridSpan w:val="3"/>
            <w:shd w:val="clear" w:color="auto" w:fill="FFFFFF"/>
          </w:tcPr>
          <w:p w14:paraId="59F0BEE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03D88C9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(3)</w:t>
            </w:r>
            <w:r w:rsidRPr="005D6998">
              <w:rPr>
                <w:rFonts w:ascii="Times New Roman" w:hAnsi="Times New Roman"/>
              </w:rPr>
              <w:t xml:space="preserve"> Licențele eliberate anterior intrării în vigoare a prezentei legi își păstrează valabilitatea până la obținerea autorizațiilor de către instituțiile de credit în conformitate cu prevederile prezentei legi.</w:t>
            </w:r>
          </w:p>
          <w:p w14:paraId="2596738B"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17DB6A8C"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7934889" w14:textId="075D2F6C"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130</w:t>
            </w:r>
          </w:p>
        </w:tc>
        <w:tc>
          <w:tcPr>
            <w:tcW w:w="4110" w:type="dxa"/>
            <w:gridSpan w:val="2"/>
            <w:shd w:val="clear" w:color="auto" w:fill="FFFFFF"/>
          </w:tcPr>
          <w:p w14:paraId="48529B24" w14:textId="77777777" w:rsidR="008E7C06" w:rsidRPr="005D6998" w:rsidRDefault="008E7C06" w:rsidP="00A46332">
            <w:pPr>
              <w:pStyle w:val="Default"/>
              <w:jc w:val="both"/>
              <w:rPr>
                <w:sz w:val="22"/>
                <w:szCs w:val="22"/>
              </w:rPr>
            </w:pPr>
            <w:r w:rsidRPr="005D6998">
              <w:rPr>
                <w:sz w:val="22"/>
                <w:szCs w:val="22"/>
              </w:rPr>
              <w:t>Reglementările alin. (3) urmează a fi excluse, întrucât dublează dispozițiile alin. (1) al aceluiași articol.</w:t>
            </w:r>
          </w:p>
        </w:tc>
        <w:tc>
          <w:tcPr>
            <w:tcW w:w="4960" w:type="dxa"/>
            <w:gridSpan w:val="3"/>
            <w:shd w:val="clear" w:color="auto" w:fill="FFFFFF"/>
          </w:tcPr>
          <w:p w14:paraId="2416991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11FB8EC7" w14:textId="77777777" w:rsidR="008E7C06" w:rsidRPr="005D6998" w:rsidRDefault="008E7C06" w:rsidP="00A46332">
            <w:pPr>
              <w:spacing w:after="0" w:line="240" w:lineRule="auto"/>
              <w:jc w:val="both"/>
              <w:rPr>
                <w:rFonts w:ascii="Times New Roman" w:hAnsi="Times New Roman"/>
                <w:b/>
                <w:bCs/>
              </w:rPr>
            </w:pPr>
          </w:p>
          <w:p w14:paraId="7AA11B17"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rPr>
              <w:t>Alin. (3) a fost exclus.</w:t>
            </w:r>
          </w:p>
          <w:p w14:paraId="11994768" w14:textId="77777777" w:rsidR="008E7C06" w:rsidRPr="005D6998" w:rsidRDefault="008E7C06" w:rsidP="00A46332">
            <w:pPr>
              <w:spacing w:after="0" w:line="240" w:lineRule="auto"/>
              <w:jc w:val="both"/>
              <w:rPr>
                <w:rFonts w:ascii="Times New Roman" w:hAnsi="Times New Roman"/>
              </w:rPr>
            </w:pPr>
          </w:p>
        </w:tc>
      </w:tr>
      <w:tr w:rsidR="008E7C06" w:rsidRPr="005D6998" w14:paraId="4922D671" w14:textId="77777777" w:rsidTr="00651F58">
        <w:trPr>
          <w:gridAfter w:val="2"/>
          <w:wAfter w:w="153" w:type="dxa"/>
          <w:trHeight w:val="105"/>
        </w:trPr>
        <w:tc>
          <w:tcPr>
            <w:tcW w:w="899" w:type="dxa"/>
            <w:gridSpan w:val="3"/>
            <w:shd w:val="clear" w:color="auto" w:fill="FFFFFF"/>
          </w:tcPr>
          <w:p w14:paraId="1AB7BC7F"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15C7151A"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(5)</w:t>
            </w:r>
            <w:r w:rsidRPr="005D6998">
              <w:rPr>
                <w:rFonts w:ascii="Times New Roman" w:hAnsi="Times New Roman"/>
              </w:rPr>
              <w:t xml:space="preserve"> Achiziţia sau deţinerea unei dețineri calificate în capitalul instituțiilor de credit fără aprobarea prealabilă a Băncii Naţionale a Moldovei, în calitate de beneficiar real al deținerii/beneficiari reali ai deținerii, astfel cum este definit de prezenta lege, pînă la intrarea în vigoare a prezentei legi, conduce la incidenţa prevederilor art. 46 alin. (2)-(4) din Legea nr. 202/2017 şi „data achiziţiei” se va considera data intrării în vigoare a prezentei legi.</w:t>
            </w:r>
          </w:p>
        </w:tc>
        <w:tc>
          <w:tcPr>
            <w:tcW w:w="1418" w:type="dxa"/>
            <w:gridSpan w:val="2"/>
            <w:shd w:val="clear" w:color="auto" w:fill="FFFFFF"/>
          </w:tcPr>
          <w:p w14:paraId="11814C6E"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285DE477" w14:textId="044352BD"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131</w:t>
            </w:r>
          </w:p>
        </w:tc>
        <w:tc>
          <w:tcPr>
            <w:tcW w:w="4110" w:type="dxa"/>
            <w:gridSpan w:val="2"/>
            <w:shd w:val="clear" w:color="auto" w:fill="FFFFFF"/>
          </w:tcPr>
          <w:p w14:paraId="35126E2A" w14:textId="77777777" w:rsidR="008E7C06" w:rsidRPr="005D6998" w:rsidRDefault="008E7C06" w:rsidP="00A46332">
            <w:pPr>
              <w:pStyle w:val="Default"/>
              <w:jc w:val="both"/>
              <w:rPr>
                <w:sz w:val="22"/>
                <w:szCs w:val="22"/>
              </w:rPr>
            </w:pPr>
            <w:r w:rsidRPr="005D6998">
              <w:rPr>
                <w:sz w:val="22"/>
                <w:szCs w:val="22"/>
              </w:rPr>
              <w:t>În redacția alin. (5) considerăm necesar a fac referire inclusiv la pct. 42 din art. III al proiectului de lege examinat.</w:t>
            </w:r>
          </w:p>
        </w:tc>
        <w:tc>
          <w:tcPr>
            <w:tcW w:w="4960" w:type="dxa"/>
            <w:gridSpan w:val="3"/>
            <w:shd w:val="clear" w:color="auto" w:fill="FFFFFF"/>
          </w:tcPr>
          <w:p w14:paraId="1F191F4C"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Nu se acceptă</w:t>
            </w:r>
          </w:p>
          <w:p w14:paraId="21D25884" w14:textId="77777777" w:rsidR="008E7C06" w:rsidRPr="005D6998" w:rsidRDefault="008E7C06" w:rsidP="00A46332">
            <w:pPr>
              <w:spacing w:after="0" w:line="240" w:lineRule="auto"/>
              <w:jc w:val="both"/>
              <w:rPr>
                <w:rFonts w:ascii="Times New Roman" w:hAnsi="Times New Roman"/>
              </w:rPr>
            </w:pPr>
          </w:p>
          <w:p w14:paraId="1D9A7262"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Nu este necesar de inclus și referințele la pct. 42 din art. III al proiectului de lege examinat, deoarece prin referințele la art. 46 alin. (2)-(4) din Legea nr. 202/2017  autorul a avut intenția de a specifica obligațiile acționarilor și consecințele stabilite de cadrul normativ în cazul în care nu se se vor conforma prevederilor prezentului punct.</w:t>
            </w:r>
          </w:p>
        </w:tc>
      </w:tr>
      <w:tr w:rsidR="008E7C06" w:rsidRPr="005D6998" w14:paraId="7BBB9B95" w14:textId="77777777" w:rsidTr="00651F58">
        <w:trPr>
          <w:gridAfter w:val="2"/>
          <w:wAfter w:w="153" w:type="dxa"/>
          <w:trHeight w:val="105"/>
        </w:trPr>
        <w:tc>
          <w:tcPr>
            <w:tcW w:w="899" w:type="dxa"/>
            <w:gridSpan w:val="3"/>
            <w:shd w:val="clear" w:color="auto" w:fill="FFFFFF"/>
          </w:tcPr>
          <w:p w14:paraId="588999C5"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31DD09E9"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(7)</w:t>
            </w:r>
            <w:r w:rsidRPr="005D6998">
              <w:rPr>
                <w:rFonts w:ascii="Times New Roman" w:hAnsi="Times New Roman"/>
              </w:rPr>
              <w:t xml:space="preserve"> Orice referire sau trimitere, în actele normative existente, la data intrării în vigoare a prezentei legi, la termenul de „bancă” și „societate financiară nonbancară” la orice formă gramaticală  se va considera ca referire şi/sau trimitere la termenul de „instituție de credit”, respectiv „instituție financiară” la forma gramaticală corespunzătoare, astfel cum sunt definite la art. 3 din prezenta lege.”.</w:t>
            </w:r>
          </w:p>
        </w:tc>
        <w:tc>
          <w:tcPr>
            <w:tcW w:w="1418" w:type="dxa"/>
            <w:gridSpan w:val="2"/>
            <w:shd w:val="clear" w:color="auto" w:fill="FFFFFF"/>
          </w:tcPr>
          <w:p w14:paraId="07D20657"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1F49F127" w14:textId="12469B01"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132</w:t>
            </w:r>
          </w:p>
        </w:tc>
        <w:tc>
          <w:tcPr>
            <w:tcW w:w="4110" w:type="dxa"/>
            <w:gridSpan w:val="2"/>
            <w:shd w:val="clear" w:color="auto" w:fill="FFFFFF"/>
          </w:tcPr>
          <w:p w14:paraId="72B52BD3" w14:textId="77777777" w:rsidR="008E7C06" w:rsidRPr="005D6998" w:rsidRDefault="008E7C06" w:rsidP="00A46332">
            <w:pPr>
              <w:pStyle w:val="Default"/>
              <w:jc w:val="both"/>
              <w:rPr>
                <w:sz w:val="22"/>
                <w:szCs w:val="22"/>
              </w:rPr>
            </w:pPr>
            <w:r w:rsidRPr="005D6998">
              <w:rPr>
                <w:sz w:val="22"/>
                <w:szCs w:val="22"/>
              </w:rPr>
              <w:t>La alin. (7), textul „art. 3” se va substitui cu textul „art. III pct. 5”.</w:t>
            </w:r>
          </w:p>
        </w:tc>
        <w:tc>
          <w:tcPr>
            <w:tcW w:w="4960" w:type="dxa"/>
            <w:gridSpan w:val="3"/>
            <w:shd w:val="clear" w:color="auto" w:fill="FFFFFF"/>
          </w:tcPr>
          <w:p w14:paraId="2B5F2282" w14:textId="77777777" w:rsidR="008E7C06" w:rsidRPr="005D6998" w:rsidRDefault="008E7C06" w:rsidP="00A46332">
            <w:pPr>
              <w:spacing w:after="0" w:line="240" w:lineRule="auto"/>
              <w:jc w:val="both"/>
              <w:rPr>
                <w:rFonts w:ascii="Times New Roman" w:hAnsi="Times New Roman"/>
                <w:b/>
              </w:rPr>
            </w:pPr>
            <w:r w:rsidRPr="005D6998">
              <w:rPr>
                <w:rFonts w:ascii="Times New Roman" w:hAnsi="Times New Roman"/>
                <w:b/>
                <w:bCs/>
              </w:rPr>
              <w:t>Se acceptă.</w:t>
            </w:r>
          </w:p>
        </w:tc>
      </w:tr>
      <w:tr w:rsidR="008E7C06" w:rsidRPr="005D6998" w14:paraId="5FE01C07" w14:textId="77777777" w:rsidTr="00651F58">
        <w:trPr>
          <w:gridAfter w:val="2"/>
          <w:wAfter w:w="153" w:type="dxa"/>
          <w:trHeight w:val="105"/>
        </w:trPr>
        <w:tc>
          <w:tcPr>
            <w:tcW w:w="899" w:type="dxa"/>
            <w:gridSpan w:val="3"/>
            <w:shd w:val="clear" w:color="auto" w:fill="FFFFFF"/>
          </w:tcPr>
          <w:p w14:paraId="674C9278"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7F9C02CC"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(8)</w:t>
            </w:r>
            <w:r w:rsidRPr="005D6998">
              <w:rPr>
                <w:rFonts w:ascii="Times New Roman" w:hAnsi="Times New Roman"/>
              </w:rPr>
              <w:t xml:space="preserve"> Până la 1 iunie 2027, orice referințe din prezenta lege la “firme de investiții” la orice formă gramaticală se vor considera ca referințe la “societăți de investiții, precum și orice referințe la termenul de “piață reglementată” la orice formă gramaticală se vor considera referințe la noțiunea corespunzătoare din Legea nr. 171/2012.”.</w:t>
            </w:r>
          </w:p>
        </w:tc>
        <w:tc>
          <w:tcPr>
            <w:tcW w:w="1418" w:type="dxa"/>
            <w:gridSpan w:val="2"/>
            <w:shd w:val="clear" w:color="auto" w:fill="FFFFFF"/>
          </w:tcPr>
          <w:p w14:paraId="1F2439F5"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4BD02A92" w14:textId="1A80EE95"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133</w:t>
            </w:r>
          </w:p>
        </w:tc>
        <w:tc>
          <w:tcPr>
            <w:tcW w:w="4110" w:type="dxa"/>
            <w:gridSpan w:val="2"/>
            <w:shd w:val="clear" w:color="auto" w:fill="FFFFFF"/>
          </w:tcPr>
          <w:p w14:paraId="0BFDF038" w14:textId="77777777" w:rsidR="008E7C06" w:rsidRPr="005D6998" w:rsidRDefault="008E7C06" w:rsidP="00A46332">
            <w:pPr>
              <w:pStyle w:val="Default"/>
              <w:jc w:val="both"/>
              <w:rPr>
                <w:sz w:val="22"/>
                <w:szCs w:val="22"/>
              </w:rPr>
            </w:pPr>
            <w:r w:rsidRPr="005D6998">
              <w:rPr>
                <w:sz w:val="22"/>
                <w:szCs w:val="22"/>
              </w:rPr>
              <w:t xml:space="preserve">Dispoziția alin. (8) se va revedea, deoarece se consideră inadecvată. Mai mult, se va analiza ca dispozițiile finale ale proiectului (art. IV-Dispoziții finale), să prevadă </w:t>
            </w:r>
            <w:r w:rsidRPr="005D6998">
              <w:rPr>
                <w:color w:val="auto"/>
                <w:sz w:val="22"/>
                <w:szCs w:val="22"/>
              </w:rPr>
              <w:t xml:space="preserve">că art. III pct. 5, în partea ce se referă la noțiunea „firme de investiții” și orice referire în textul legii la această noțiune, precum și în partea ce se referă la noțiunea „piață reglementată”, intră în vigoare la 1 iunie 2027. De altfel, acest termen poate fi similar cu termenul prevăzut la art. IV alin. (1), care prevede că această lege intră în vigoare la expirarea a șase luni de la data publicării. În acest ultim </w:t>
            </w:r>
            <w:r w:rsidRPr="005D6998">
              <w:rPr>
                <w:color w:val="auto"/>
                <w:sz w:val="22"/>
                <w:szCs w:val="22"/>
              </w:rPr>
              <w:lastRenderedPageBreak/>
              <w:t>caz, dispozițiile alin. (8) își pierd din relevanță.</w:t>
            </w:r>
          </w:p>
        </w:tc>
        <w:tc>
          <w:tcPr>
            <w:tcW w:w="4960" w:type="dxa"/>
            <w:gridSpan w:val="3"/>
            <w:shd w:val="clear" w:color="auto" w:fill="FFFFFF"/>
          </w:tcPr>
          <w:p w14:paraId="27F54B4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lastRenderedPageBreak/>
              <w:t>Se acceptă.</w:t>
            </w:r>
          </w:p>
          <w:p w14:paraId="08554F04" w14:textId="77777777" w:rsidR="008E7C06" w:rsidRPr="005D6998" w:rsidRDefault="008E7C06" w:rsidP="00A46332">
            <w:pPr>
              <w:pStyle w:val="a7"/>
              <w:spacing w:after="0" w:line="240" w:lineRule="auto"/>
              <w:ind w:left="0"/>
              <w:jc w:val="both"/>
              <w:rPr>
                <w:rFonts w:ascii="Times New Roman" w:hAnsi="Times New Roman"/>
              </w:rPr>
            </w:pPr>
            <w:r w:rsidRPr="005D6998">
              <w:rPr>
                <w:rFonts w:ascii="Times New Roman" w:hAnsi="Times New Roman"/>
                <w:b/>
                <w:bCs/>
              </w:rPr>
              <w:t>Art. IV Dispoziții finale alin.(3) a fost suplimentat cu lit. e) „</w:t>
            </w:r>
            <w:r w:rsidRPr="005D6998">
              <w:rPr>
                <w:rFonts w:ascii="Times New Roman" w:hAnsi="Times New Roman"/>
              </w:rPr>
              <w:t>e) la 1 iunie 2027 - pct. 5, în partea ce se referă la noțiunea „firme de investiții” și la noțiunea „piață reglementată”</w:t>
            </w:r>
          </w:p>
          <w:p w14:paraId="4BC501BA" w14:textId="77777777" w:rsidR="008E7C06" w:rsidRPr="005D6998" w:rsidRDefault="008E7C06" w:rsidP="00A46332">
            <w:pPr>
              <w:spacing w:after="0" w:line="240" w:lineRule="auto"/>
              <w:jc w:val="both"/>
              <w:rPr>
                <w:rFonts w:ascii="Times New Roman" w:hAnsi="Times New Roman"/>
                <w:b/>
              </w:rPr>
            </w:pPr>
          </w:p>
        </w:tc>
      </w:tr>
      <w:tr w:rsidR="008E7C06" w:rsidRPr="005D6998" w14:paraId="7199C75E" w14:textId="77777777" w:rsidTr="00651F58">
        <w:trPr>
          <w:gridAfter w:val="2"/>
          <w:wAfter w:w="153" w:type="dxa"/>
          <w:trHeight w:val="105"/>
        </w:trPr>
        <w:tc>
          <w:tcPr>
            <w:tcW w:w="899" w:type="dxa"/>
            <w:gridSpan w:val="3"/>
            <w:shd w:val="clear" w:color="auto" w:fill="FFFFFF"/>
          </w:tcPr>
          <w:p w14:paraId="33A0221E"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149B01E"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(9)</w:t>
            </w:r>
            <w:r w:rsidRPr="005D6998">
              <w:rPr>
                <w:rFonts w:ascii="Times New Roman" w:hAnsi="Times New Roman"/>
              </w:rPr>
              <w:t xml:space="preserve"> Pe parcursul a cinci ani de la data aderării, Art. III pct. 23, respectiv pct. 74, se aplică în mod corespunzător instituțiilor de credit din alte state membre care intenționează să își desfășoare activitatea pe teritoriul Republicii Moldova prin intermediul unei sucursale.</w:t>
            </w:r>
          </w:p>
        </w:tc>
        <w:tc>
          <w:tcPr>
            <w:tcW w:w="1418" w:type="dxa"/>
            <w:gridSpan w:val="2"/>
            <w:shd w:val="clear" w:color="auto" w:fill="FFFFFF"/>
          </w:tcPr>
          <w:p w14:paraId="22F632DC"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5A09F218" w14:textId="4EC4BDA9" w:rsidR="008E7C06" w:rsidRPr="005D6998" w:rsidRDefault="00244DE3" w:rsidP="00244DE3">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13</w:t>
            </w:r>
            <w:r w:rsidR="004E67DD" w:rsidRPr="005D6998">
              <w:rPr>
                <w:rFonts w:ascii="Times New Roman" w:hAnsi="Times New Roman"/>
                <w:b/>
                <w:bCs/>
              </w:rPr>
              <w:t>4</w:t>
            </w:r>
          </w:p>
        </w:tc>
        <w:tc>
          <w:tcPr>
            <w:tcW w:w="4110" w:type="dxa"/>
            <w:gridSpan w:val="2"/>
            <w:shd w:val="clear" w:color="auto" w:fill="FFFFFF"/>
          </w:tcPr>
          <w:p w14:paraId="4A996A32" w14:textId="77777777" w:rsidR="008E7C06" w:rsidRPr="005D6998" w:rsidRDefault="008E7C06" w:rsidP="00A46332">
            <w:pPr>
              <w:pStyle w:val="Default"/>
              <w:jc w:val="both"/>
              <w:rPr>
                <w:sz w:val="22"/>
                <w:szCs w:val="22"/>
              </w:rPr>
            </w:pPr>
            <w:r w:rsidRPr="005D6998">
              <w:rPr>
                <w:sz w:val="22"/>
                <w:szCs w:val="22"/>
              </w:rPr>
              <w:t>Referitor la alin. (9), acesta necesită a fi exclus din alineat. Totodată, textul „art. I” se va substitui cu textul „art. III”.</w:t>
            </w:r>
          </w:p>
        </w:tc>
        <w:tc>
          <w:tcPr>
            <w:tcW w:w="4960" w:type="dxa"/>
            <w:gridSpan w:val="3"/>
            <w:shd w:val="clear" w:color="auto" w:fill="FFFFFF"/>
          </w:tcPr>
          <w:p w14:paraId="7A8BD415"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1541440"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Alin. (9) a fost exclus.</w:t>
            </w:r>
          </w:p>
        </w:tc>
      </w:tr>
      <w:tr w:rsidR="008E7C06" w:rsidRPr="005D6998" w14:paraId="0B974936" w14:textId="77777777" w:rsidTr="00651F58">
        <w:trPr>
          <w:gridAfter w:val="2"/>
          <w:wAfter w:w="153" w:type="dxa"/>
          <w:trHeight w:val="105"/>
        </w:trPr>
        <w:tc>
          <w:tcPr>
            <w:tcW w:w="899" w:type="dxa"/>
            <w:gridSpan w:val="3"/>
            <w:shd w:val="clear" w:color="auto" w:fill="FFFFFF"/>
          </w:tcPr>
          <w:p w14:paraId="33826579"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2C7BA46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b/>
                <w:bCs/>
              </w:rPr>
              <w:t>(5)</w:t>
            </w:r>
            <w:r w:rsidRPr="005D6998">
              <w:rPr>
                <w:rFonts w:ascii="Times New Roman" w:hAnsi="Times New Roman"/>
              </w:rPr>
              <w:t xml:space="preserve"> Achiziţia sau deţinerea unei dețineri calificate în capitalul instituțiilor de credit fără aprobarea prealabilă a Băncii Naţionale a Moldovei, în calitate de beneficiar real al deținerii/beneficiari reali ai deținerii, astfel cum este definit de prezenta lege, pînă la intrarea în vigoare a prezentei legi, conduce la incidenţa prevederilor art. 46 alin. (2)-(4) din Legea nr. 202/2017 şi „data achiziţiei” se va considera data intrării în vigoare a prezentei legi.</w:t>
            </w:r>
          </w:p>
          <w:p w14:paraId="1E5EEE45"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(8) Până la 1 iunie 2027, orice referințe din prezenta lege la “firme de investiții” la orice formă gramaticală se vor considera ca referințe la “societăți de investiții, precum și orice referințe la termenul de “piață reglementată” la orice formă gramaticală se vor considera referințe la noțiunea corespunzătoare din Legea nr. 171/2012.”.</w:t>
            </w:r>
          </w:p>
          <w:p w14:paraId="3AE7814B"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(9) Pe parcursul a cinci ani de la data aderării, Art. III pct. 23, respectiv pct. 74, se aplică în mod corespunzător instituțiilor de credit din alte state membre care intenționează să își </w:t>
            </w:r>
            <w:r w:rsidRPr="005D6998">
              <w:rPr>
                <w:rFonts w:ascii="Times New Roman" w:hAnsi="Times New Roman"/>
              </w:rPr>
              <w:lastRenderedPageBreak/>
              <w:t>desfășoare activitatea pe teritoriul Republicii Moldova prin intermediul unei sucursale.</w:t>
            </w:r>
          </w:p>
        </w:tc>
        <w:tc>
          <w:tcPr>
            <w:tcW w:w="1418" w:type="dxa"/>
            <w:gridSpan w:val="2"/>
            <w:shd w:val="clear" w:color="auto" w:fill="FFFFFF"/>
          </w:tcPr>
          <w:p w14:paraId="5E57E4E0"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6CF43BEA" w14:textId="4F0FFD96" w:rsidR="008E7C06" w:rsidRPr="005D6998" w:rsidRDefault="004E67DD" w:rsidP="004E67DD">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135</w:t>
            </w:r>
          </w:p>
        </w:tc>
        <w:tc>
          <w:tcPr>
            <w:tcW w:w="4110" w:type="dxa"/>
            <w:gridSpan w:val="2"/>
            <w:shd w:val="clear" w:color="auto" w:fill="FFFFFF"/>
          </w:tcPr>
          <w:p w14:paraId="70AB7857" w14:textId="77777777" w:rsidR="008E7C06" w:rsidRPr="005D6998" w:rsidRDefault="008E7C06" w:rsidP="00A46332">
            <w:pPr>
              <w:pStyle w:val="Default"/>
              <w:jc w:val="both"/>
              <w:rPr>
                <w:sz w:val="22"/>
                <w:szCs w:val="22"/>
              </w:rPr>
            </w:pPr>
            <w:r w:rsidRPr="005D6998">
              <w:rPr>
                <w:sz w:val="22"/>
                <w:szCs w:val="22"/>
              </w:rPr>
              <w:t>La alin. (5), alin. (8) și (9), denumirea actelor normative la care se face referire se va indica pe deplin.</w:t>
            </w:r>
          </w:p>
        </w:tc>
        <w:tc>
          <w:tcPr>
            <w:tcW w:w="4960" w:type="dxa"/>
            <w:gridSpan w:val="3"/>
            <w:shd w:val="clear" w:color="auto" w:fill="FFFFFF"/>
          </w:tcPr>
          <w:p w14:paraId="7D349704"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Se acceptă</w:t>
            </w:r>
          </w:p>
          <w:p w14:paraId="65926691" w14:textId="77777777" w:rsidR="008E7C06" w:rsidRPr="005D6998" w:rsidRDefault="008E7C06" w:rsidP="00A46332">
            <w:pPr>
              <w:spacing w:after="0" w:line="240" w:lineRule="auto"/>
              <w:jc w:val="both"/>
              <w:rPr>
                <w:rFonts w:ascii="Times New Roman" w:hAnsi="Times New Roman"/>
              </w:rPr>
            </w:pPr>
          </w:p>
          <w:p w14:paraId="3C75BB18" w14:textId="77777777" w:rsidR="008E7C06" w:rsidRPr="005D6998" w:rsidRDefault="008E7C06" w:rsidP="00A46332">
            <w:pPr>
              <w:spacing w:after="0" w:line="240" w:lineRule="auto"/>
              <w:jc w:val="both"/>
              <w:rPr>
                <w:rFonts w:ascii="Times New Roman" w:hAnsi="Times New Roman"/>
              </w:rPr>
            </w:pPr>
            <w:r w:rsidRPr="005D6998">
              <w:rPr>
                <w:rFonts w:ascii="Times New Roman" w:hAnsi="Times New Roman"/>
              </w:rPr>
              <w:t xml:space="preserve">Alineatele (5) și (8) au fost completate cu denumirea actelor normative la care se face referire, iar alin.(9) a fost exclus din proiectul de lege, </w:t>
            </w:r>
          </w:p>
        </w:tc>
      </w:tr>
      <w:tr w:rsidR="008E7C06" w:rsidRPr="00D52B8E" w14:paraId="2EA054D4" w14:textId="77777777" w:rsidTr="00651F58">
        <w:trPr>
          <w:gridAfter w:val="2"/>
          <w:wAfter w:w="153" w:type="dxa"/>
          <w:trHeight w:val="105"/>
        </w:trPr>
        <w:tc>
          <w:tcPr>
            <w:tcW w:w="899" w:type="dxa"/>
            <w:gridSpan w:val="3"/>
            <w:shd w:val="clear" w:color="auto" w:fill="FFFFFF"/>
          </w:tcPr>
          <w:p w14:paraId="45E046A7" w14:textId="77777777" w:rsidR="008E7C06" w:rsidRPr="005D6998" w:rsidRDefault="008E7C06" w:rsidP="008E7C06">
            <w:pPr>
              <w:pStyle w:val="a7"/>
              <w:numPr>
                <w:ilvl w:val="0"/>
                <w:numId w:val="38"/>
              </w:numPr>
              <w:tabs>
                <w:tab w:val="left" w:pos="884"/>
                <w:tab w:val="left" w:pos="1196"/>
              </w:tabs>
              <w:spacing w:after="0" w:line="240" w:lineRule="auto"/>
              <w:jc w:val="both"/>
              <w:rPr>
                <w:rFonts w:ascii="Times New Roman" w:hAnsi="Times New Roman"/>
                <w:b/>
              </w:rPr>
            </w:pPr>
          </w:p>
        </w:tc>
        <w:tc>
          <w:tcPr>
            <w:tcW w:w="3637" w:type="dxa"/>
            <w:shd w:val="clear" w:color="auto" w:fill="FFFFFF"/>
          </w:tcPr>
          <w:p w14:paraId="48034AAF" w14:textId="77777777" w:rsidR="008E7C06" w:rsidRPr="005D6998" w:rsidRDefault="008E7C06" w:rsidP="00A46332">
            <w:pPr>
              <w:tabs>
                <w:tab w:val="left" w:pos="426"/>
              </w:tabs>
              <w:spacing w:after="0" w:line="240" w:lineRule="auto"/>
              <w:jc w:val="both"/>
              <w:rPr>
                <w:rFonts w:ascii="Times New Roman" w:hAnsi="Times New Roman"/>
              </w:rPr>
            </w:pPr>
          </w:p>
        </w:tc>
        <w:tc>
          <w:tcPr>
            <w:tcW w:w="1418" w:type="dxa"/>
            <w:gridSpan w:val="2"/>
            <w:shd w:val="clear" w:color="auto" w:fill="FFFFFF"/>
          </w:tcPr>
          <w:p w14:paraId="4155097F" w14:textId="77777777" w:rsidR="008E7C06" w:rsidRPr="005D6998" w:rsidRDefault="008E7C06" w:rsidP="00A46332">
            <w:pPr>
              <w:tabs>
                <w:tab w:val="left" w:pos="884"/>
                <w:tab w:val="left" w:pos="1196"/>
              </w:tabs>
              <w:spacing w:after="0" w:line="240" w:lineRule="auto"/>
              <w:jc w:val="both"/>
              <w:rPr>
                <w:rFonts w:ascii="Times New Roman" w:hAnsi="Times New Roman"/>
                <w:b/>
              </w:rPr>
            </w:pPr>
          </w:p>
        </w:tc>
        <w:tc>
          <w:tcPr>
            <w:tcW w:w="567" w:type="dxa"/>
            <w:gridSpan w:val="2"/>
            <w:shd w:val="clear" w:color="auto" w:fill="FFFFFF"/>
          </w:tcPr>
          <w:p w14:paraId="765A1284" w14:textId="5E4A2784" w:rsidR="008E7C06" w:rsidRPr="005D6998" w:rsidRDefault="004E67DD" w:rsidP="004E67DD">
            <w:pPr>
              <w:pStyle w:val="a7"/>
              <w:tabs>
                <w:tab w:val="left" w:pos="346"/>
                <w:tab w:val="left" w:pos="884"/>
                <w:tab w:val="left" w:pos="1196"/>
              </w:tabs>
              <w:spacing w:after="0" w:line="240" w:lineRule="auto"/>
              <w:ind w:left="0"/>
              <w:jc w:val="center"/>
              <w:rPr>
                <w:rFonts w:ascii="Times New Roman" w:hAnsi="Times New Roman"/>
                <w:b/>
                <w:bCs/>
              </w:rPr>
            </w:pPr>
            <w:r w:rsidRPr="005D6998">
              <w:rPr>
                <w:rFonts w:ascii="Times New Roman" w:hAnsi="Times New Roman"/>
                <w:b/>
                <w:bCs/>
              </w:rPr>
              <w:t>136</w:t>
            </w:r>
          </w:p>
        </w:tc>
        <w:tc>
          <w:tcPr>
            <w:tcW w:w="4110" w:type="dxa"/>
            <w:gridSpan w:val="2"/>
            <w:shd w:val="clear" w:color="auto" w:fill="FFFFFF"/>
          </w:tcPr>
          <w:p w14:paraId="788559CC" w14:textId="77777777" w:rsidR="008E7C06" w:rsidRPr="005D6998" w:rsidRDefault="008E7C06" w:rsidP="00A46332">
            <w:pPr>
              <w:pStyle w:val="Default"/>
              <w:jc w:val="both"/>
              <w:rPr>
                <w:sz w:val="22"/>
                <w:szCs w:val="22"/>
              </w:rPr>
            </w:pPr>
            <w:r w:rsidRPr="005D6998">
              <w:rPr>
                <w:sz w:val="22"/>
                <w:szCs w:val="22"/>
              </w:rPr>
              <w:t>Suplimentar, se recomandă consultarea proiectului în cauză cu Serviciul Prevenirea și Combaterea Spălării Banilor.</w:t>
            </w:r>
          </w:p>
        </w:tc>
        <w:tc>
          <w:tcPr>
            <w:tcW w:w="4960" w:type="dxa"/>
            <w:gridSpan w:val="3"/>
            <w:shd w:val="clear" w:color="auto" w:fill="FFFFFF"/>
          </w:tcPr>
          <w:p w14:paraId="2ED2CD17" w14:textId="77777777" w:rsidR="008E7C06" w:rsidRPr="005D6998" w:rsidRDefault="008E7C06" w:rsidP="00A46332">
            <w:pPr>
              <w:spacing w:after="0" w:line="240" w:lineRule="auto"/>
              <w:jc w:val="both"/>
              <w:rPr>
                <w:rFonts w:ascii="Times New Roman" w:hAnsi="Times New Roman"/>
                <w:b/>
                <w:bCs/>
              </w:rPr>
            </w:pPr>
            <w:r w:rsidRPr="005D6998">
              <w:rPr>
                <w:rFonts w:ascii="Times New Roman" w:hAnsi="Times New Roman"/>
                <w:b/>
                <w:bCs/>
              </w:rPr>
              <w:t>Comentariu</w:t>
            </w:r>
          </w:p>
          <w:p w14:paraId="6812A712" w14:textId="77777777" w:rsidR="008E7C06" w:rsidRPr="00D52B8E" w:rsidRDefault="008E7C06" w:rsidP="00A46332">
            <w:pPr>
              <w:spacing w:after="0" w:line="240" w:lineRule="auto"/>
              <w:jc w:val="both"/>
              <w:rPr>
                <w:rFonts w:ascii="Times New Roman" w:hAnsi="Times New Roman"/>
              </w:rPr>
            </w:pPr>
            <w:r w:rsidRPr="005D6998">
              <w:rPr>
                <w:rFonts w:ascii="Times New Roman" w:hAnsi="Times New Roman"/>
              </w:rPr>
              <w:t>Proiectul de lege a fost consultat cu SPCSB în cadrul procesului de consultare publică.</w:t>
            </w:r>
          </w:p>
        </w:tc>
      </w:tr>
    </w:tbl>
    <w:p w14:paraId="57E30315" w14:textId="77777777" w:rsidR="008E7C06" w:rsidRPr="00D52B8E" w:rsidRDefault="008E7C06" w:rsidP="008E7C06">
      <w:pPr>
        <w:spacing w:line="240" w:lineRule="auto"/>
        <w:jc w:val="both"/>
        <w:rPr>
          <w:rFonts w:ascii="Times New Roman" w:hAnsi="Times New Roman"/>
        </w:rPr>
      </w:pPr>
    </w:p>
    <w:p w14:paraId="0EED6EE0" w14:textId="77777777" w:rsidR="003C7277" w:rsidRPr="00882FEA" w:rsidRDefault="003C7277" w:rsidP="001B4DCB">
      <w:pPr>
        <w:rPr>
          <w:rFonts w:ascii="Times New Roman" w:hAnsi="Times New Roman"/>
        </w:rPr>
      </w:pPr>
    </w:p>
    <w:sectPr w:rsidR="003C7277" w:rsidRPr="00882FEA" w:rsidSect="00FF075F">
      <w:headerReference w:type="even" r:id="rId20"/>
      <w:headerReference w:type="default" r:id="rId21"/>
      <w:footerReference w:type="even" r:id="rId22"/>
      <w:footerReference w:type="default" r:id="rId23"/>
      <w:headerReference w:type="first" r:id="rId24"/>
      <w:footerReference w:type="first" r:id="rId25"/>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615E5F" w14:textId="77777777" w:rsidR="00023BE5" w:rsidRPr="00E25923" w:rsidRDefault="00023BE5" w:rsidP="00737575">
      <w:pPr>
        <w:spacing w:after="0" w:line="240" w:lineRule="auto"/>
      </w:pPr>
      <w:r w:rsidRPr="00E25923">
        <w:separator/>
      </w:r>
    </w:p>
  </w:endnote>
  <w:endnote w:type="continuationSeparator" w:id="0">
    <w:p w14:paraId="65738F64" w14:textId="77777777" w:rsidR="00023BE5" w:rsidRPr="00E25923" w:rsidRDefault="00023BE5" w:rsidP="00737575">
      <w:pPr>
        <w:spacing w:after="0" w:line="240" w:lineRule="auto"/>
      </w:pPr>
      <w:r w:rsidRPr="00E25923">
        <w:continuationSeparator/>
      </w:r>
    </w:p>
  </w:endnote>
  <w:endnote w:type="continuationNotice" w:id="1">
    <w:p w14:paraId="3F704639" w14:textId="77777777" w:rsidR="00023BE5" w:rsidRDefault="00023B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11DBD" w14:textId="69EBC339" w:rsidR="00AE6E19" w:rsidRPr="00E25923" w:rsidRDefault="00AE6E19">
    <w:pPr>
      <w:pStyle w:val="af"/>
    </w:pPr>
    <w:r w:rsidRPr="00E25923">
      <w:rPr>
        <w:noProof/>
        <w:lang w:val="en-US" w:eastAsia="en-US"/>
      </w:rPr>
      <mc:AlternateContent>
        <mc:Choice Requires="wps">
          <w:drawing>
            <wp:anchor distT="0" distB="0" distL="0" distR="0" simplePos="0" relativeHeight="251658244" behindDoc="0" locked="0" layoutInCell="1" allowOverlap="1" wp14:anchorId="14AD44FD" wp14:editId="019C6A09">
              <wp:simplePos x="635" y="635"/>
              <wp:positionH relativeFrom="page">
                <wp:align>center</wp:align>
              </wp:positionH>
              <wp:positionV relativeFrom="page">
                <wp:align>bottom</wp:align>
              </wp:positionV>
              <wp:extent cx="2147570" cy="334010"/>
              <wp:effectExtent l="0" t="0" r="5080" b="0"/>
              <wp:wrapNone/>
              <wp:docPr id="1579589891" name="Text Box 5" descr="Informaţie Publică – Document creat în cadrul BNM.">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2147570" cy="334010"/>
                      </a:xfrm>
                      <a:prstGeom prst="rect">
                        <a:avLst/>
                      </a:prstGeom>
                      <a:noFill/>
                      <a:ln>
                        <a:noFill/>
                      </a:ln>
                    </wps:spPr>
                    <wps:txbx>
                      <w:txbxContent>
                        <w:p w14:paraId="58083EE2" w14:textId="4F61407D" w:rsidR="00AE6E19" w:rsidRPr="00E25923" w:rsidRDefault="00AE6E19" w:rsidP="00737575">
                          <w:pPr>
                            <w:spacing w:after="0"/>
                            <w:rPr>
                              <w:rFonts w:eastAsia="Calibri" w:cs="Calibri"/>
                              <w:color w:val="000000"/>
                              <w:sz w:val="16"/>
                              <w:szCs w:val="16"/>
                            </w:rPr>
                          </w:pPr>
                          <w:r w:rsidRPr="00E25923">
                            <w:rPr>
                              <w:rFonts w:eastAsia="Calibri" w:cs="Calibri"/>
                              <w:color w:val="000000"/>
                              <w:sz w:val="16"/>
                              <w:szCs w:val="16"/>
                            </w:rPr>
                            <w:t>Informaţie Publică – Document creat în cadrul BNM.</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AD44FD" id="_x0000_t202" coordsize="21600,21600" o:spt="202" path="m,l,21600r21600,l21600,xe">
              <v:stroke joinstyle="miter"/>
              <v:path gradientshapeok="t" o:connecttype="rect"/>
            </v:shapetype>
            <v:shape id="Text Box 5" o:spid="_x0000_s1028" type="#_x0000_t202" alt="Informaţie Publică – Document creat în cadrul BNM." style="position:absolute;margin-left:0;margin-top:0;width:169.1pt;height:26.3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" filled="f" stroked="f">
              <v:textbox style="mso-fit-shape-to-text:t" inset="0,0,0,15pt">
                <w:txbxContent>
                  <w:p w14:paraId="58083EE2" w14:textId="4F61407D" w:rsidR="00AE6E19" w:rsidRPr="00E25923" w:rsidRDefault="00AE6E19" w:rsidP="00737575">
                    <w:pPr>
                      <w:spacing w:after="0"/>
                      <w:rPr>
                        <w:rFonts w:eastAsia="Calibri" w:cs="Calibri"/>
                        <w:color w:val="000000"/>
                        <w:sz w:val="16"/>
                        <w:szCs w:val="16"/>
                      </w:rPr>
                    </w:pPr>
                    <w:r w:rsidRPr="00E25923">
                      <w:rPr>
                        <w:rFonts w:eastAsia="Calibri" w:cs="Calibri"/>
                        <w:color w:val="000000"/>
                        <w:sz w:val="16"/>
                        <w:szCs w:val="16"/>
                      </w:rPr>
                      <w:t>Informaţie Publică – Document creat în cadrul BNM.</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558272"/>
      <w:docPartObj>
        <w:docPartGallery w:val="Page Numbers (Bottom of Page)"/>
        <w:docPartUnique/>
      </w:docPartObj>
    </w:sdtPr>
    <w:sdtEndPr/>
    <w:sdtContent>
      <w:p w14:paraId="3F58DF9D" w14:textId="13654256" w:rsidR="00AE6E19" w:rsidRPr="00E25923" w:rsidRDefault="00AE6E19">
        <w:pPr>
          <w:pStyle w:val="af"/>
          <w:jc w:val="center"/>
        </w:pPr>
        <w:r w:rsidRPr="00E25923">
          <w:fldChar w:fldCharType="begin"/>
        </w:r>
        <w:r w:rsidRPr="00E25923">
          <w:instrText xml:space="preserve"> PAGE   \* MERGEFORMAT </w:instrText>
        </w:r>
        <w:r w:rsidRPr="00E25923">
          <w:fldChar w:fldCharType="separate"/>
        </w:r>
        <w:r w:rsidR="00333CEE">
          <w:rPr>
            <w:noProof/>
          </w:rPr>
          <w:t>120</w:t>
        </w:r>
        <w:r w:rsidRPr="00E25923">
          <w:fldChar w:fldCharType="end"/>
        </w:r>
      </w:p>
    </w:sdtContent>
  </w:sdt>
  <w:p w14:paraId="438207D4" w14:textId="45ED656D" w:rsidR="00AE6E19" w:rsidRPr="00E25923" w:rsidRDefault="00AE6E19">
    <w:pPr>
      <w:pStyle w:val="a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1930" w14:textId="50144B05" w:rsidR="00AE6E19" w:rsidRPr="00E25923" w:rsidRDefault="00AE6E19">
    <w:pPr>
      <w:pStyle w:val="af"/>
    </w:pPr>
    <w:r w:rsidRPr="00E25923">
      <w:rPr>
        <w:noProof/>
        <w:lang w:val="en-US" w:eastAsia="en-US"/>
      </w:rPr>
      <mc:AlternateContent>
        <mc:Choice Requires="wps">
          <w:drawing>
            <wp:anchor distT="0" distB="0" distL="0" distR="0" simplePos="0" relativeHeight="251658243" behindDoc="0" locked="0" layoutInCell="1" allowOverlap="1" wp14:anchorId="358ED450" wp14:editId="45FF7563">
              <wp:simplePos x="635" y="635"/>
              <wp:positionH relativeFrom="page">
                <wp:align>center</wp:align>
              </wp:positionH>
              <wp:positionV relativeFrom="page">
                <wp:align>bottom</wp:align>
              </wp:positionV>
              <wp:extent cx="2147570" cy="334010"/>
              <wp:effectExtent l="0" t="0" r="5080" b="0"/>
              <wp:wrapNone/>
              <wp:docPr id="708243933" name="Text Box 4" descr="Informaţie Publică – Document creat în cadrul BNM.">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2147570" cy="334010"/>
                      </a:xfrm>
                      <a:prstGeom prst="rect">
                        <a:avLst/>
                      </a:prstGeom>
                      <a:noFill/>
                      <a:ln>
                        <a:noFill/>
                      </a:ln>
                    </wps:spPr>
                    <wps:txbx>
                      <w:txbxContent>
                        <w:p w14:paraId="2E688B1F" w14:textId="7BADFC73" w:rsidR="00AE6E19" w:rsidRPr="00E25923" w:rsidRDefault="00AE6E19" w:rsidP="00737575">
                          <w:pPr>
                            <w:spacing w:after="0"/>
                            <w:rPr>
                              <w:rFonts w:eastAsia="Calibri" w:cs="Calibri"/>
                              <w:color w:val="000000"/>
                              <w:sz w:val="16"/>
                              <w:szCs w:val="16"/>
                            </w:rPr>
                          </w:pPr>
                          <w:r w:rsidRPr="00E25923">
                            <w:rPr>
                              <w:rFonts w:eastAsia="Calibri" w:cs="Calibri"/>
                              <w:color w:val="000000"/>
                              <w:sz w:val="16"/>
                              <w:szCs w:val="16"/>
                            </w:rPr>
                            <w:t>Informaţie Publică – Document creat în cadrul BNM.</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8ED450" id="_x0000_t202" coordsize="21600,21600" o:spt="202" path="m,l,21600r21600,l21600,xe">
              <v:stroke joinstyle="miter"/>
              <v:path gradientshapeok="t" o:connecttype="rect"/>
            </v:shapetype>
            <v:shape id="Text Box 4" o:spid="_x0000_s1030" type="#_x0000_t202" alt="Informaţie Publică – Document creat în cadrul BNM." style="position:absolute;margin-left:0;margin-top:0;width:169.1pt;height:26.3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" filled="f" stroked="f">
              <v:textbox style="mso-fit-shape-to-text:t" inset="0,0,0,15pt">
                <w:txbxContent>
                  <w:p w14:paraId="2E688B1F" w14:textId="7BADFC73" w:rsidR="00AE6E19" w:rsidRPr="00E25923" w:rsidRDefault="00AE6E19" w:rsidP="00737575">
                    <w:pPr>
                      <w:spacing w:after="0"/>
                      <w:rPr>
                        <w:rFonts w:eastAsia="Calibri" w:cs="Calibri"/>
                        <w:color w:val="000000"/>
                        <w:sz w:val="16"/>
                        <w:szCs w:val="16"/>
                      </w:rPr>
                    </w:pPr>
                    <w:r w:rsidRPr="00E25923">
                      <w:rPr>
                        <w:rFonts w:eastAsia="Calibri" w:cs="Calibri"/>
                        <w:color w:val="000000"/>
                        <w:sz w:val="16"/>
                        <w:szCs w:val="16"/>
                      </w:rPr>
                      <w:t>Informaţie Publică – Document creat în cadrul BNM.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6ED27" w14:textId="77777777" w:rsidR="00023BE5" w:rsidRPr="00E25923" w:rsidRDefault="00023BE5" w:rsidP="00737575">
      <w:pPr>
        <w:spacing w:after="0" w:line="240" w:lineRule="auto"/>
      </w:pPr>
      <w:r w:rsidRPr="00E25923">
        <w:separator/>
      </w:r>
    </w:p>
  </w:footnote>
  <w:footnote w:type="continuationSeparator" w:id="0">
    <w:p w14:paraId="7ACC164D" w14:textId="77777777" w:rsidR="00023BE5" w:rsidRPr="00E25923" w:rsidRDefault="00023BE5" w:rsidP="00737575">
      <w:pPr>
        <w:spacing w:after="0" w:line="240" w:lineRule="auto"/>
      </w:pPr>
      <w:r w:rsidRPr="00E25923">
        <w:continuationSeparator/>
      </w:r>
    </w:p>
  </w:footnote>
  <w:footnote w:type="continuationNotice" w:id="1">
    <w:p w14:paraId="172041AB" w14:textId="77777777" w:rsidR="00023BE5" w:rsidRDefault="00023BE5">
      <w:pPr>
        <w:spacing w:after="0" w:line="240" w:lineRule="auto"/>
      </w:pPr>
    </w:p>
  </w:footnote>
  <w:footnote w:id="2">
    <w:p w14:paraId="163A0959" w14:textId="77777777" w:rsidR="00AE6E19" w:rsidRDefault="00AE6E19" w:rsidP="00AE6E19">
      <w:pPr>
        <w:pStyle w:val="af8"/>
      </w:pPr>
      <w:r w:rsidRPr="00E25923">
        <w:rPr>
          <w:rStyle w:val="afa"/>
        </w:rPr>
        <w:footnoteRef/>
      </w:r>
      <w:r w:rsidRPr="00E25923">
        <w:t xml:space="preserve"> </w:t>
      </w:r>
      <w:r w:rsidRPr="00E25923">
        <w:rPr>
          <w:rFonts w:ascii="Times New Roman" w:hAnsi="Times New Roman"/>
        </w:rPr>
        <w:t>Adopt and begin implementing an Action Plan for the full alignment and full implementation in the area of banking and financial conglomerates up to the accession date and report regularly on its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099CC" w14:textId="4F970AD0" w:rsidR="00AE6E19" w:rsidRPr="00E25923" w:rsidRDefault="00AE6E19">
    <w:pPr>
      <w:pStyle w:val="ad"/>
    </w:pPr>
    <w:r w:rsidRPr="00E25923">
      <w:rPr>
        <w:noProof/>
        <w:lang w:val="en-US" w:eastAsia="en-US"/>
      </w:rPr>
      <mc:AlternateContent>
        <mc:Choice Requires="wps">
          <w:drawing>
            <wp:anchor distT="0" distB="0" distL="0" distR="0" simplePos="0" relativeHeight="251658241" behindDoc="0" locked="0" layoutInCell="1" allowOverlap="1" wp14:anchorId="7086B64F" wp14:editId="37437C07">
              <wp:simplePos x="635" y="635"/>
              <wp:positionH relativeFrom="page">
                <wp:align>right</wp:align>
              </wp:positionH>
              <wp:positionV relativeFrom="page">
                <wp:align>top</wp:align>
              </wp:positionV>
              <wp:extent cx="627380" cy="405765"/>
              <wp:effectExtent l="0" t="0" r="0" b="13335"/>
              <wp:wrapNone/>
              <wp:docPr id="1112180879" name="Text Box 2" descr="Public">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627380" cy="405765"/>
                      </a:xfrm>
                      <a:prstGeom prst="rect">
                        <a:avLst/>
                      </a:prstGeom>
                      <a:noFill/>
                      <a:ln>
                        <a:noFill/>
                      </a:ln>
                    </wps:spPr>
                    <wps:txbx>
                      <w:txbxContent>
                        <w:p w14:paraId="19D130E9" w14:textId="094E1EFC" w:rsidR="00AE6E19" w:rsidRPr="00E25923" w:rsidRDefault="00AE6E19" w:rsidP="00737575">
                          <w:pPr>
                            <w:spacing w:after="0"/>
                            <w:rPr>
                              <w:rFonts w:eastAsia="Calibri" w:cs="Calibri"/>
                              <w:color w:val="000000"/>
                            </w:rPr>
                          </w:pPr>
                          <w:r w:rsidRPr="00E25923">
                            <w:rPr>
                              <w:rFonts w:eastAsia="Calibri" w:cs="Calibri"/>
                              <w:color w:val="00000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086B64F" id="_x0000_t202" coordsize="21600,21600" o:spt="202" path="m,l,21600r21600,l21600,xe">
              <v:stroke joinstyle="miter"/>
              <v:path gradientshapeok="t" o:connecttype="rect"/>
            </v:shapetype>
            <v:shape id="Text Box 2" o:spid="_x0000_s1026" type="#_x0000_t202" alt="Public" style="position:absolute;margin-left:-1.8pt;margin-top:0;width:49.4pt;height:31.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" filled="f" stroked="f">
              <v:textbox style="mso-fit-shape-to-text:t" inset="0,15pt,20pt,0">
                <w:txbxContent>
                  <w:p w14:paraId="19D130E9" w14:textId="094E1EFC" w:rsidR="00AE6E19" w:rsidRPr="00E25923" w:rsidRDefault="00AE6E19" w:rsidP="00737575">
                    <w:pPr>
                      <w:spacing w:after="0"/>
                      <w:rPr>
                        <w:rFonts w:eastAsia="Calibri" w:cs="Calibri"/>
                        <w:color w:val="000000"/>
                      </w:rPr>
                    </w:pPr>
                    <w:r w:rsidRPr="00E25923">
                      <w:rPr>
                        <w:rFonts w:eastAsia="Calibri" w:cs="Calibri"/>
                        <w:color w:val="00000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2993C" w14:textId="3778C66F" w:rsidR="00AE6E19" w:rsidRPr="00E25923" w:rsidRDefault="00AE6E19">
    <w:pPr>
      <w:pStyle w:val="ad"/>
    </w:pPr>
    <w:r w:rsidRPr="00E25923">
      <w:rPr>
        <w:noProof/>
        <w:lang w:val="en-US" w:eastAsia="en-US"/>
      </w:rPr>
      <mc:AlternateContent>
        <mc:Choice Requires="wps">
          <w:drawing>
            <wp:anchor distT="0" distB="0" distL="0" distR="0" simplePos="0" relativeHeight="251658242" behindDoc="0" locked="0" layoutInCell="1" allowOverlap="1" wp14:anchorId="2F6158C8" wp14:editId="4F115AD7">
              <wp:simplePos x="1076325" y="447675"/>
              <wp:positionH relativeFrom="page">
                <wp:align>right</wp:align>
              </wp:positionH>
              <wp:positionV relativeFrom="page">
                <wp:align>top</wp:align>
              </wp:positionV>
              <wp:extent cx="627380" cy="405765"/>
              <wp:effectExtent l="0" t="0" r="0" b="13335"/>
              <wp:wrapNone/>
              <wp:docPr id="1363400716" name="Text Box 3" descr="Public">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627380" cy="405765"/>
                      </a:xfrm>
                      <a:prstGeom prst="rect">
                        <a:avLst/>
                      </a:prstGeom>
                      <a:noFill/>
                      <a:ln>
                        <a:noFill/>
                      </a:ln>
                    </wps:spPr>
                    <wps:txbx>
                      <w:txbxContent>
                        <w:p w14:paraId="597A6F61" w14:textId="65972DB9" w:rsidR="00AE6E19" w:rsidRPr="00E25923" w:rsidRDefault="00AE6E19" w:rsidP="00737575">
                          <w:pPr>
                            <w:spacing w:after="0"/>
                            <w:rPr>
                              <w:rFonts w:eastAsia="Calibri" w:cs="Calibri"/>
                              <w:color w:val="00000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F6158C8" id="_x0000_t202" coordsize="21600,21600" o:spt="202" path="m,l,21600r21600,l21600,xe">
              <v:stroke joinstyle="miter"/>
              <v:path gradientshapeok="t" o:connecttype="rect"/>
            </v:shapetype>
            <v:shape id="Text Box 3" o:spid="_x0000_s1027" type="#_x0000_t202" alt="Public" style="position:absolute;margin-left:-1.8pt;margin-top:0;width:49.4pt;height:31.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" filled="f" stroked="f">
              <v:textbox style="mso-fit-shape-to-text:t" inset="0,15pt,20pt,0">
                <w:txbxContent>
                  <w:p w14:paraId="597A6F61" w14:textId="65972DB9" w:rsidR="00AE6E19" w:rsidRPr="00E25923" w:rsidRDefault="00AE6E19" w:rsidP="00737575">
                    <w:pPr>
                      <w:spacing w:after="0"/>
                      <w:rPr>
                        <w:rFonts w:eastAsia="Calibri" w:cs="Calibri"/>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4ECD5" w14:textId="323184D6" w:rsidR="00AE6E19" w:rsidRPr="00E25923" w:rsidRDefault="00AE6E19">
    <w:pPr>
      <w:pStyle w:val="ad"/>
    </w:pPr>
    <w:r w:rsidRPr="00E25923">
      <w:rPr>
        <w:noProof/>
        <w:lang w:val="en-US" w:eastAsia="en-US"/>
      </w:rPr>
      <mc:AlternateContent>
        <mc:Choice Requires="wps">
          <w:drawing>
            <wp:anchor distT="0" distB="0" distL="0" distR="0" simplePos="0" relativeHeight="251658240" behindDoc="0" locked="0" layoutInCell="1" allowOverlap="1" wp14:anchorId="30C1C702" wp14:editId="6D1063EF">
              <wp:simplePos x="635" y="635"/>
              <wp:positionH relativeFrom="page">
                <wp:align>right</wp:align>
              </wp:positionH>
              <wp:positionV relativeFrom="page">
                <wp:align>top</wp:align>
              </wp:positionV>
              <wp:extent cx="627380" cy="405765"/>
              <wp:effectExtent l="0" t="0" r="0" b="13335"/>
              <wp:wrapNone/>
              <wp:docPr id="62306426" name="Text Box 1" descr="Public">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hdr"/>
                  </a:ext>
                </a:extLst>
              </wp:docPr>
              <wp:cNvGraphicFramePr/>
              <a:graphic xmlns:a="http://schemas.openxmlformats.org/drawingml/2006/main">
                <a:graphicData uri="http://schemas.microsoft.com/office/word/2010/wordprocessingShape">
                  <wps:wsp>
                    <wps:cNvSpPr txBox="1"/>
                    <wps:spPr>
                      <a:xfrm>
                        <a:off x="0" y="0"/>
                        <a:ext cx="627380" cy="405765"/>
                      </a:xfrm>
                      <a:prstGeom prst="rect">
                        <a:avLst/>
                      </a:prstGeom>
                      <a:noFill/>
                      <a:ln>
                        <a:noFill/>
                      </a:ln>
                    </wps:spPr>
                    <wps:txbx>
                      <w:txbxContent>
                        <w:p w14:paraId="4AAB3F01" w14:textId="269CD950" w:rsidR="00AE6E19" w:rsidRPr="00E25923" w:rsidRDefault="00AE6E19" w:rsidP="00737575">
                          <w:pPr>
                            <w:spacing w:after="0"/>
                            <w:rPr>
                              <w:rFonts w:eastAsia="Calibri" w:cs="Calibri"/>
                              <w:color w:val="000000"/>
                            </w:rPr>
                          </w:pPr>
                          <w:r w:rsidRPr="00E25923">
                            <w:rPr>
                              <w:rFonts w:eastAsia="Calibri" w:cs="Calibri"/>
                              <w:color w:val="000000"/>
                            </w:rPr>
                            <w:t>Public</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0C1C702" id="_x0000_t202" coordsize="21600,21600" o:spt="202" path="m,l,21600r21600,l21600,xe">
              <v:stroke joinstyle="miter"/>
              <v:path gradientshapeok="t" o:connecttype="rect"/>
            </v:shapetype>
            <v:shape id="Text Box 1" o:spid="_x0000_s1029" type="#_x0000_t202" alt="Public" style="position:absolute;margin-left:-1.8pt;margin-top:0;width:49.4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" filled="f" stroked="f">
              <v:textbox style="mso-fit-shape-to-text:t" inset="0,15pt,20pt,0">
                <w:txbxContent>
                  <w:p w14:paraId="4AAB3F01" w14:textId="269CD950" w:rsidR="00AE6E19" w:rsidRPr="00E25923" w:rsidRDefault="00AE6E19" w:rsidP="00737575">
                    <w:pPr>
                      <w:spacing w:after="0"/>
                      <w:rPr>
                        <w:rFonts w:eastAsia="Calibri" w:cs="Calibri"/>
                        <w:color w:val="000000"/>
                      </w:rPr>
                    </w:pPr>
                    <w:r w:rsidRPr="00E25923">
                      <w:rPr>
                        <w:rFonts w:eastAsia="Calibri" w:cs="Calibri"/>
                        <w:color w:val="00000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BD3DFE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65F1F"/>
    <w:multiLevelType w:val="hybridMultilevel"/>
    <w:tmpl w:val="C2F6D22C"/>
    <w:lvl w:ilvl="0" w:tplc="622C91C6">
      <w:start w:val="1"/>
      <w:numFmt w:val="lowerLetter"/>
      <w:lvlText w:val="%1)"/>
      <w:lvlJc w:val="left"/>
      <w:pPr>
        <w:ind w:left="720" w:hanging="360"/>
      </w:pPr>
      <w:rPr>
        <w:rFonts w:ascii="Times New Roman" w:eastAsiaTheme="minorHAnsi" w:hAnsi="Times New Roman" w:cs="Times New Roman"/>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04031AFB"/>
    <w:multiLevelType w:val="hybridMultilevel"/>
    <w:tmpl w:val="915E3ABA"/>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05316192"/>
    <w:multiLevelType w:val="hybridMultilevel"/>
    <w:tmpl w:val="D1FAF6C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4" w15:restartNumberingAfterBreak="0">
    <w:nsid w:val="0BAD0E7C"/>
    <w:multiLevelType w:val="hybridMultilevel"/>
    <w:tmpl w:val="C3286170"/>
    <w:lvl w:ilvl="0" w:tplc="08180001">
      <w:start w:val="1"/>
      <w:numFmt w:val="bullet"/>
      <w:lvlText w:val=""/>
      <w:lvlJc w:val="left"/>
      <w:pPr>
        <w:ind w:left="1080" w:hanging="360"/>
      </w:pPr>
      <w:rPr>
        <w:rFonts w:ascii="Symbol" w:hAnsi="Symbol" w:hint="default"/>
      </w:rPr>
    </w:lvl>
    <w:lvl w:ilvl="1" w:tplc="08180003" w:tentative="1">
      <w:start w:val="1"/>
      <w:numFmt w:val="bullet"/>
      <w:lvlText w:val="o"/>
      <w:lvlJc w:val="left"/>
      <w:pPr>
        <w:ind w:left="1800" w:hanging="360"/>
      </w:pPr>
      <w:rPr>
        <w:rFonts w:ascii="Courier New" w:hAnsi="Courier New" w:cs="Courier New" w:hint="default"/>
      </w:rPr>
    </w:lvl>
    <w:lvl w:ilvl="2" w:tplc="08180005" w:tentative="1">
      <w:start w:val="1"/>
      <w:numFmt w:val="bullet"/>
      <w:lvlText w:val=""/>
      <w:lvlJc w:val="left"/>
      <w:pPr>
        <w:ind w:left="2520" w:hanging="360"/>
      </w:pPr>
      <w:rPr>
        <w:rFonts w:ascii="Wingdings" w:hAnsi="Wingdings" w:hint="default"/>
      </w:rPr>
    </w:lvl>
    <w:lvl w:ilvl="3" w:tplc="08180001" w:tentative="1">
      <w:start w:val="1"/>
      <w:numFmt w:val="bullet"/>
      <w:lvlText w:val=""/>
      <w:lvlJc w:val="left"/>
      <w:pPr>
        <w:ind w:left="3240" w:hanging="360"/>
      </w:pPr>
      <w:rPr>
        <w:rFonts w:ascii="Symbol" w:hAnsi="Symbol" w:hint="default"/>
      </w:rPr>
    </w:lvl>
    <w:lvl w:ilvl="4" w:tplc="08180003" w:tentative="1">
      <w:start w:val="1"/>
      <w:numFmt w:val="bullet"/>
      <w:lvlText w:val="o"/>
      <w:lvlJc w:val="left"/>
      <w:pPr>
        <w:ind w:left="3960" w:hanging="360"/>
      </w:pPr>
      <w:rPr>
        <w:rFonts w:ascii="Courier New" w:hAnsi="Courier New" w:cs="Courier New" w:hint="default"/>
      </w:rPr>
    </w:lvl>
    <w:lvl w:ilvl="5" w:tplc="08180005" w:tentative="1">
      <w:start w:val="1"/>
      <w:numFmt w:val="bullet"/>
      <w:lvlText w:val=""/>
      <w:lvlJc w:val="left"/>
      <w:pPr>
        <w:ind w:left="4680" w:hanging="360"/>
      </w:pPr>
      <w:rPr>
        <w:rFonts w:ascii="Wingdings" w:hAnsi="Wingdings" w:hint="default"/>
      </w:rPr>
    </w:lvl>
    <w:lvl w:ilvl="6" w:tplc="08180001" w:tentative="1">
      <w:start w:val="1"/>
      <w:numFmt w:val="bullet"/>
      <w:lvlText w:val=""/>
      <w:lvlJc w:val="left"/>
      <w:pPr>
        <w:ind w:left="5400" w:hanging="360"/>
      </w:pPr>
      <w:rPr>
        <w:rFonts w:ascii="Symbol" w:hAnsi="Symbol" w:hint="default"/>
      </w:rPr>
    </w:lvl>
    <w:lvl w:ilvl="7" w:tplc="08180003" w:tentative="1">
      <w:start w:val="1"/>
      <w:numFmt w:val="bullet"/>
      <w:lvlText w:val="o"/>
      <w:lvlJc w:val="left"/>
      <w:pPr>
        <w:ind w:left="6120" w:hanging="360"/>
      </w:pPr>
      <w:rPr>
        <w:rFonts w:ascii="Courier New" w:hAnsi="Courier New" w:cs="Courier New" w:hint="default"/>
      </w:rPr>
    </w:lvl>
    <w:lvl w:ilvl="8" w:tplc="08180005" w:tentative="1">
      <w:start w:val="1"/>
      <w:numFmt w:val="bullet"/>
      <w:lvlText w:val=""/>
      <w:lvlJc w:val="left"/>
      <w:pPr>
        <w:ind w:left="6840" w:hanging="360"/>
      </w:pPr>
      <w:rPr>
        <w:rFonts w:ascii="Wingdings" w:hAnsi="Wingdings" w:hint="default"/>
      </w:rPr>
    </w:lvl>
  </w:abstractNum>
  <w:abstractNum w:abstractNumId="5" w15:restartNumberingAfterBreak="0">
    <w:nsid w:val="0C391789"/>
    <w:multiLevelType w:val="hybridMultilevel"/>
    <w:tmpl w:val="15C451B2"/>
    <w:lvl w:ilvl="0" w:tplc="FFFFFFFF">
      <w:start w:val="1"/>
      <w:numFmt w:val="decimal"/>
      <w:lvlText w:val="%1."/>
      <w:lvlJc w:val="left"/>
      <w:pPr>
        <w:ind w:left="502" w:hanging="360"/>
      </w:pPr>
      <w:rPr>
        <w:rFonts w:hint="default"/>
        <w:b/>
        <w:bCs/>
        <w:lang w:val="ro-MD"/>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3F394A"/>
    <w:multiLevelType w:val="hybridMultilevel"/>
    <w:tmpl w:val="6E6CBAF4"/>
    <w:lvl w:ilvl="0" w:tplc="08180017">
      <w:start w:val="1"/>
      <w:numFmt w:val="lowerLetter"/>
      <w:lvlText w:val="%1)"/>
      <w:lvlJc w:val="left"/>
      <w:pPr>
        <w:ind w:left="720" w:hanging="360"/>
      </w:pPr>
      <w:rPr>
        <w:rFonts w:ascii="Times New Roman" w:hAnsi="Times New Roman"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7" w15:restartNumberingAfterBreak="0">
    <w:nsid w:val="121264B0"/>
    <w:multiLevelType w:val="hybridMultilevel"/>
    <w:tmpl w:val="899EEE38"/>
    <w:lvl w:ilvl="0" w:tplc="AED83BCC">
      <w:start w:val="1"/>
      <w:numFmt w:val="decimal"/>
      <w:lvlText w:val="%1."/>
      <w:lvlJc w:val="left"/>
      <w:pPr>
        <w:ind w:left="1068" w:hanging="360"/>
      </w:pPr>
      <w:rPr>
        <w:rFonts w:hint="default"/>
        <w:b/>
      </w:rPr>
    </w:lvl>
    <w:lvl w:ilvl="1" w:tplc="08180019" w:tentative="1">
      <w:start w:val="1"/>
      <w:numFmt w:val="lowerLetter"/>
      <w:lvlText w:val="%2."/>
      <w:lvlJc w:val="left"/>
      <w:pPr>
        <w:ind w:left="1788" w:hanging="360"/>
      </w:pPr>
    </w:lvl>
    <w:lvl w:ilvl="2" w:tplc="0818001B" w:tentative="1">
      <w:start w:val="1"/>
      <w:numFmt w:val="lowerRoman"/>
      <w:lvlText w:val="%3."/>
      <w:lvlJc w:val="right"/>
      <w:pPr>
        <w:ind w:left="2508" w:hanging="180"/>
      </w:pPr>
    </w:lvl>
    <w:lvl w:ilvl="3" w:tplc="0818000F" w:tentative="1">
      <w:start w:val="1"/>
      <w:numFmt w:val="decimal"/>
      <w:lvlText w:val="%4."/>
      <w:lvlJc w:val="left"/>
      <w:pPr>
        <w:ind w:left="3228" w:hanging="360"/>
      </w:pPr>
    </w:lvl>
    <w:lvl w:ilvl="4" w:tplc="08180019" w:tentative="1">
      <w:start w:val="1"/>
      <w:numFmt w:val="lowerLetter"/>
      <w:lvlText w:val="%5."/>
      <w:lvlJc w:val="left"/>
      <w:pPr>
        <w:ind w:left="3948" w:hanging="360"/>
      </w:pPr>
    </w:lvl>
    <w:lvl w:ilvl="5" w:tplc="0818001B" w:tentative="1">
      <w:start w:val="1"/>
      <w:numFmt w:val="lowerRoman"/>
      <w:lvlText w:val="%6."/>
      <w:lvlJc w:val="right"/>
      <w:pPr>
        <w:ind w:left="4668" w:hanging="180"/>
      </w:pPr>
    </w:lvl>
    <w:lvl w:ilvl="6" w:tplc="0818000F" w:tentative="1">
      <w:start w:val="1"/>
      <w:numFmt w:val="decimal"/>
      <w:lvlText w:val="%7."/>
      <w:lvlJc w:val="left"/>
      <w:pPr>
        <w:ind w:left="5388" w:hanging="360"/>
      </w:pPr>
    </w:lvl>
    <w:lvl w:ilvl="7" w:tplc="08180019" w:tentative="1">
      <w:start w:val="1"/>
      <w:numFmt w:val="lowerLetter"/>
      <w:lvlText w:val="%8."/>
      <w:lvlJc w:val="left"/>
      <w:pPr>
        <w:ind w:left="6108" w:hanging="360"/>
      </w:pPr>
    </w:lvl>
    <w:lvl w:ilvl="8" w:tplc="0818001B" w:tentative="1">
      <w:start w:val="1"/>
      <w:numFmt w:val="lowerRoman"/>
      <w:lvlText w:val="%9."/>
      <w:lvlJc w:val="right"/>
      <w:pPr>
        <w:ind w:left="6828" w:hanging="180"/>
      </w:pPr>
    </w:lvl>
  </w:abstractNum>
  <w:abstractNum w:abstractNumId="8" w15:restartNumberingAfterBreak="0">
    <w:nsid w:val="12434497"/>
    <w:multiLevelType w:val="hybridMultilevel"/>
    <w:tmpl w:val="0A524024"/>
    <w:lvl w:ilvl="0" w:tplc="219CE328">
      <w:start w:val="1"/>
      <w:numFmt w:val="decimal"/>
      <w:lvlText w:val="%1."/>
      <w:lvlJc w:val="left"/>
      <w:pPr>
        <w:ind w:left="720" w:hanging="36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 w15:restartNumberingAfterBreak="0">
    <w:nsid w:val="14DC7CC2"/>
    <w:multiLevelType w:val="hybridMultilevel"/>
    <w:tmpl w:val="D4401132"/>
    <w:lvl w:ilvl="0" w:tplc="A1E457FC">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10" w15:restartNumberingAfterBreak="0">
    <w:nsid w:val="159D5711"/>
    <w:multiLevelType w:val="hybridMultilevel"/>
    <w:tmpl w:val="DC288DDC"/>
    <w:lvl w:ilvl="0" w:tplc="FFFFFFFF">
      <w:start w:val="1"/>
      <w:numFmt w:val="decimal"/>
      <w:suff w:val="space"/>
      <w:lvlText w:val="%1."/>
      <w:lvlJc w:val="left"/>
      <w:pPr>
        <w:ind w:left="502" w:hanging="142"/>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1" w15:restartNumberingAfterBreak="0">
    <w:nsid w:val="198957D4"/>
    <w:multiLevelType w:val="hybridMultilevel"/>
    <w:tmpl w:val="DF066958"/>
    <w:lvl w:ilvl="0" w:tplc="FFFFFFFF">
      <w:start w:val="1"/>
      <w:numFmt w:val="decimal"/>
      <w:lvlText w:val="%1."/>
      <w:lvlJc w:val="left"/>
      <w:pPr>
        <w:ind w:left="142" w:hanging="14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2F59BA"/>
    <w:multiLevelType w:val="hybridMultilevel"/>
    <w:tmpl w:val="52C258EC"/>
    <w:lvl w:ilvl="0" w:tplc="9816F35A">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3" w15:restartNumberingAfterBreak="0">
    <w:nsid w:val="209418B2"/>
    <w:multiLevelType w:val="hybridMultilevel"/>
    <w:tmpl w:val="4DDAF328"/>
    <w:lvl w:ilvl="0" w:tplc="0818000F">
      <w:start w:val="1"/>
      <w:numFmt w:val="decimal"/>
      <w:lvlText w:val="%1."/>
      <w:lvlJc w:val="left"/>
      <w:pPr>
        <w:ind w:left="502" w:hanging="360"/>
      </w:pPr>
    </w:lvl>
    <w:lvl w:ilvl="1" w:tplc="08180019" w:tentative="1">
      <w:start w:val="1"/>
      <w:numFmt w:val="lowerLetter"/>
      <w:lvlText w:val="%2."/>
      <w:lvlJc w:val="left"/>
      <w:pPr>
        <w:ind w:left="1222" w:hanging="360"/>
      </w:pPr>
    </w:lvl>
    <w:lvl w:ilvl="2" w:tplc="0818001B" w:tentative="1">
      <w:start w:val="1"/>
      <w:numFmt w:val="lowerRoman"/>
      <w:lvlText w:val="%3."/>
      <w:lvlJc w:val="right"/>
      <w:pPr>
        <w:ind w:left="1942" w:hanging="180"/>
      </w:pPr>
    </w:lvl>
    <w:lvl w:ilvl="3" w:tplc="0818000F" w:tentative="1">
      <w:start w:val="1"/>
      <w:numFmt w:val="decimal"/>
      <w:lvlText w:val="%4."/>
      <w:lvlJc w:val="left"/>
      <w:pPr>
        <w:ind w:left="2662" w:hanging="360"/>
      </w:pPr>
    </w:lvl>
    <w:lvl w:ilvl="4" w:tplc="08180019" w:tentative="1">
      <w:start w:val="1"/>
      <w:numFmt w:val="lowerLetter"/>
      <w:lvlText w:val="%5."/>
      <w:lvlJc w:val="left"/>
      <w:pPr>
        <w:ind w:left="3382" w:hanging="360"/>
      </w:pPr>
    </w:lvl>
    <w:lvl w:ilvl="5" w:tplc="0818001B" w:tentative="1">
      <w:start w:val="1"/>
      <w:numFmt w:val="lowerRoman"/>
      <w:lvlText w:val="%6."/>
      <w:lvlJc w:val="right"/>
      <w:pPr>
        <w:ind w:left="4102" w:hanging="180"/>
      </w:pPr>
    </w:lvl>
    <w:lvl w:ilvl="6" w:tplc="0818000F" w:tentative="1">
      <w:start w:val="1"/>
      <w:numFmt w:val="decimal"/>
      <w:lvlText w:val="%7."/>
      <w:lvlJc w:val="left"/>
      <w:pPr>
        <w:ind w:left="4822" w:hanging="360"/>
      </w:pPr>
    </w:lvl>
    <w:lvl w:ilvl="7" w:tplc="08180019" w:tentative="1">
      <w:start w:val="1"/>
      <w:numFmt w:val="lowerLetter"/>
      <w:lvlText w:val="%8."/>
      <w:lvlJc w:val="left"/>
      <w:pPr>
        <w:ind w:left="5542" w:hanging="360"/>
      </w:pPr>
    </w:lvl>
    <w:lvl w:ilvl="8" w:tplc="0818001B" w:tentative="1">
      <w:start w:val="1"/>
      <w:numFmt w:val="lowerRoman"/>
      <w:lvlText w:val="%9."/>
      <w:lvlJc w:val="right"/>
      <w:pPr>
        <w:ind w:left="6262" w:hanging="180"/>
      </w:pPr>
    </w:lvl>
  </w:abstractNum>
  <w:abstractNum w:abstractNumId="14" w15:restartNumberingAfterBreak="0">
    <w:nsid w:val="20E22F60"/>
    <w:multiLevelType w:val="hybridMultilevel"/>
    <w:tmpl w:val="C02CD442"/>
    <w:lvl w:ilvl="0" w:tplc="0818000F">
      <w:start w:val="33"/>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5" w15:restartNumberingAfterBreak="0">
    <w:nsid w:val="21B02391"/>
    <w:multiLevelType w:val="hybridMultilevel"/>
    <w:tmpl w:val="20BC1D66"/>
    <w:lvl w:ilvl="0" w:tplc="45AE8F2A">
      <w:start w:val="1"/>
      <w:numFmt w:val="lowerLetter"/>
      <w:lvlText w:val="%1)"/>
      <w:lvlJc w:val="left"/>
      <w:pPr>
        <w:ind w:left="382" w:hanging="360"/>
      </w:pPr>
      <w:rPr>
        <w:rFonts w:hint="default"/>
        <w:lang w:val="en-US"/>
      </w:rPr>
    </w:lvl>
    <w:lvl w:ilvl="1" w:tplc="08180019" w:tentative="1">
      <w:start w:val="1"/>
      <w:numFmt w:val="lowerLetter"/>
      <w:lvlText w:val="%2."/>
      <w:lvlJc w:val="left"/>
      <w:pPr>
        <w:ind w:left="-4067" w:hanging="360"/>
      </w:pPr>
    </w:lvl>
    <w:lvl w:ilvl="2" w:tplc="0818001B" w:tentative="1">
      <w:start w:val="1"/>
      <w:numFmt w:val="lowerRoman"/>
      <w:lvlText w:val="%3."/>
      <w:lvlJc w:val="right"/>
      <w:pPr>
        <w:ind w:left="-3347" w:hanging="180"/>
      </w:pPr>
    </w:lvl>
    <w:lvl w:ilvl="3" w:tplc="0818000F" w:tentative="1">
      <w:start w:val="1"/>
      <w:numFmt w:val="decimal"/>
      <w:lvlText w:val="%4."/>
      <w:lvlJc w:val="left"/>
      <w:pPr>
        <w:ind w:left="-2627" w:hanging="360"/>
      </w:pPr>
    </w:lvl>
    <w:lvl w:ilvl="4" w:tplc="08180019" w:tentative="1">
      <w:start w:val="1"/>
      <w:numFmt w:val="lowerLetter"/>
      <w:lvlText w:val="%5."/>
      <w:lvlJc w:val="left"/>
      <w:pPr>
        <w:ind w:left="-1907" w:hanging="360"/>
      </w:pPr>
    </w:lvl>
    <w:lvl w:ilvl="5" w:tplc="0818001B" w:tentative="1">
      <w:start w:val="1"/>
      <w:numFmt w:val="lowerRoman"/>
      <w:lvlText w:val="%6."/>
      <w:lvlJc w:val="right"/>
      <w:pPr>
        <w:ind w:left="-1187" w:hanging="180"/>
      </w:pPr>
    </w:lvl>
    <w:lvl w:ilvl="6" w:tplc="0818000F" w:tentative="1">
      <w:start w:val="1"/>
      <w:numFmt w:val="decimal"/>
      <w:lvlText w:val="%7."/>
      <w:lvlJc w:val="left"/>
      <w:pPr>
        <w:ind w:left="-467" w:hanging="360"/>
      </w:pPr>
    </w:lvl>
    <w:lvl w:ilvl="7" w:tplc="08180019" w:tentative="1">
      <w:start w:val="1"/>
      <w:numFmt w:val="lowerLetter"/>
      <w:lvlText w:val="%8."/>
      <w:lvlJc w:val="left"/>
      <w:pPr>
        <w:ind w:left="253" w:hanging="360"/>
      </w:pPr>
    </w:lvl>
    <w:lvl w:ilvl="8" w:tplc="0818001B" w:tentative="1">
      <w:start w:val="1"/>
      <w:numFmt w:val="lowerRoman"/>
      <w:lvlText w:val="%9."/>
      <w:lvlJc w:val="right"/>
      <w:pPr>
        <w:ind w:left="973" w:hanging="180"/>
      </w:pPr>
    </w:lvl>
  </w:abstractNum>
  <w:abstractNum w:abstractNumId="16" w15:restartNumberingAfterBreak="0">
    <w:nsid w:val="240E57F7"/>
    <w:multiLevelType w:val="hybridMultilevel"/>
    <w:tmpl w:val="E0221324"/>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7" w15:restartNumberingAfterBreak="0">
    <w:nsid w:val="25A02B53"/>
    <w:multiLevelType w:val="hybridMultilevel"/>
    <w:tmpl w:val="A52AA87E"/>
    <w:lvl w:ilvl="0" w:tplc="FFFFFFFF">
      <w:start w:val="1"/>
      <w:numFmt w:val="decimal"/>
      <w:suff w:val="space"/>
      <w:lvlText w:val="%1."/>
      <w:lvlJc w:val="left"/>
      <w:pPr>
        <w:ind w:left="502" w:hanging="142"/>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8" w15:restartNumberingAfterBreak="0">
    <w:nsid w:val="2B150B89"/>
    <w:multiLevelType w:val="hybridMultilevel"/>
    <w:tmpl w:val="20A82D86"/>
    <w:lvl w:ilvl="0" w:tplc="966E78B4">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2B6F0500"/>
    <w:multiLevelType w:val="hybridMultilevel"/>
    <w:tmpl w:val="274CD1DE"/>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0" w15:restartNumberingAfterBreak="0">
    <w:nsid w:val="2BA808B7"/>
    <w:multiLevelType w:val="hybridMultilevel"/>
    <w:tmpl w:val="BB1C9492"/>
    <w:lvl w:ilvl="0" w:tplc="FFFFFFFF">
      <w:start w:val="1"/>
      <w:numFmt w:val="decimal"/>
      <w:suff w:val="space"/>
      <w:lvlText w:val="%1."/>
      <w:lvlJc w:val="left"/>
      <w:pPr>
        <w:ind w:left="142" w:hanging="14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BBD3651"/>
    <w:multiLevelType w:val="hybridMultilevel"/>
    <w:tmpl w:val="05ACE56E"/>
    <w:lvl w:ilvl="0" w:tplc="F1B0AEE6">
      <w:start w:val="1"/>
      <w:numFmt w:val="decimal"/>
      <w:lvlText w:val="%1."/>
      <w:lvlJc w:val="right"/>
      <w:pPr>
        <w:ind w:left="862" w:hanging="360"/>
      </w:pPr>
      <w:rPr>
        <w:rFonts w:hint="default"/>
      </w:rPr>
    </w:lvl>
    <w:lvl w:ilvl="1" w:tplc="08180019" w:tentative="1">
      <w:start w:val="1"/>
      <w:numFmt w:val="lowerLetter"/>
      <w:lvlText w:val="%2."/>
      <w:lvlJc w:val="left"/>
      <w:pPr>
        <w:ind w:left="1582" w:hanging="360"/>
      </w:pPr>
    </w:lvl>
    <w:lvl w:ilvl="2" w:tplc="0818001B" w:tentative="1">
      <w:start w:val="1"/>
      <w:numFmt w:val="lowerRoman"/>
      <w:lvlText w:val="%3."/>
      <w:lvlJc w:val="right"/>
      <w:pPr>
        <w:ind w:left="2302" w:hanging="180"/>
      </w:pPr>
    </w:lvl>
    <w:lvl w:ilvl="3" w:tplc="0818000F" w:tentative="1">
      <w:start w:val="1"/>
      <w:numFmt w:val="decimal"/>
      <w:lvlText w:val="%4."/>
      <w:lvlJc w:val="left"/>
      <w:pPr>
        <w:ind w:left="3022" w:hanging="360"/>
      </w:pPr>
    </w:lvl>
    <w:lvl w:ilvl="4" w:tplc="08180019" w:tentative="1">
      <w:start w:val="1"/>
      <w:numFmt w:val="lowerLetter"/>
      <w:lvlText w:val="%5."/>
      <w:lvlJc w:val="left"/>
      <w:pPr>
        <w:ind w:left="3742" w:hanging="360"/>
      </w:pPr>
    </w:lvl>
    <w:lvl w:ilvl="5" w:tplc="0818001B" w:tentative="1">
      <w:start w:val="1"/>
      <w:numFmt w:val="lowerRoman"/>
      <w:lvlText w:val="%6."/>
      <w:lvlJc w:val="right"/>
      <w:pPr>
        <w:ind w:left="4462" w:hanging="180"/>
      </w:pPr>
    </w:lvl>
    <w:lvl w:ilvl="6" w:tplc="0818000F" w:tentative="1">
      <w:start w:val="1"/>
      <w:numFmt w:val="decimal"/>
      <w:lvlText w:val="%7."/>
      <w:lvlJc w:val="left"/>
      <w:pPr>
        <w:ind w:left="5182" w:hanging="360"/>
      </w:pPr>
    </w:lvl>
    <w:lvl w:ilvl="7" w:tplc="08180019" w:tentative="1">
      <w:start w:val="1"/>
      <w:numFmt w:val="lowerLetter"/>
      <w:lvlText w:val="%8."/>
      <w:lvlJc w:val="left"/>
      <w:pPr>
        <w:ind w:left="5902" w:hanging="360"/>
      </w:pPr>
    </w:lvl>
    <w:lvl w:ilvl="8" w:tplc="0818001B" w:tentative="1">
      <w:start w:val="1"/>
      <w:numFmt w:val="lowerRoman"/>
      <w:lvlText w:val="%9."/>
      <w:lvlJc w:val="right"/>
      <w:pPr>
        <w:ind w:left="6622" w:hanging="180"/>
      </w:pPr>
    </w:lvl>
  </w:abstractNum>
  <w:abstractNum w:abstractNumId="22" w15:restartNumberingAfterBreak="0">
    <w:nsid w:val="306D7F6D"/>
    <w:multiLevelType w:val="hybridMultilevel"/>
    <w:tmpl w:val="74042E9E"/>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3" w15:restartNumberingAfterBreak="0">
    <w:nsid w:val="308E0059"/>
    <w:multiLevelType w:val="hybridMultilevel"/>
    <w:tmpl w:val="899EEE38"/>
    <w:lvl w:ilvl="0" w:tplc="FFFFFFFF">
      <w:start w:val="1"/>
      <w:numFmt w:val="decimal"/>
      <w:lvlText w:val="%1."/>
      <w:lvlJc w:val="left"/>
      <w:pPr>
        <w:ind w:left="1068" w:hanging="360"/>
      </w:pPr>
      <w:rPr>
        <w:rFonts w:hint="default"/>
        <w:b/>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311528C0"/>
    <w:multiLevelType w:val="hybridMultilevel"/>
    <w:tmpl w:val="15C451B2"/>
    <w:lvl w:ilvl="0" w:tplc="B4A21AD0">
      <w:start w:val="1"/>
      <w:numFmt w:val="decimal"/>
      <w:lvlText w:val="%1."/>
      <w:lvlJc w:val="left"/>
      <w:pPr>
        <w:ind w:left="502" w:hanging="360"/>
      </w:pPr>
      <w:rPr>
        <w:rFonts w:hint="default"/>
        <w:b/>
        <w:bCs/>
        <w:lang w:val="ro-MD"/>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5" w15:restartNumberingAfterBreak="0">
    <w:nsid w:val="31275370"/>
    <w:multiLevelType w:val="hybridMultilevel"/>
    <w:tmpl w:val="6A6C3844"/>
    <w:lvl w:ilvl="0" w:tplc="FFFFFFFF">
      <w:start w:val="1"/>
      <w:numFmt w:val="decimal"/>
      <w:suff w:val="space"/>
      <w:lvlText w:val="%1."/>
      <w:lvlJc w:val="left"/>
      <w:pPr>
        <w:ind w:left="142" w:hanging="142"/>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6" w15:restartNumberingAfterBreak="0">
    <w:nsid w:val="31540F9D"/>
    <w:multiLevelType w:val="hybridMultilevel"/>
    <w:tmpl w:val="BB1C9492"/>
    <w:lvl w:ilvl="0" w:tplc="EE9A3EF4">
      <w:start w:val="1"/>
      <w:numFmt w:val="decimal"/>
      <w:suff w:val="space"/>
      <w:lvlText w:val="%1."/>
      <w:lvlJc w:val="left"/>
      <w:pPr>
        <w:ind w:left="142" w:hanging="142"/>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7" w15:restartNumberingAfterBreak="0">
    <w:nsid w:val="36911D59"/>
    <w:multiLevelType w:val="hybridMultilevel"/>
    <w:tmpl w:val="C56E8AC8"/>
    <w:lvl w:ilvl="0" w:tplc="8A42AEC2">
      <w:start w:val="1"/>
      <w:numFmt w:val="lowerLetter"/>
      <w:lvlText w:val="%1)"/>
      <w:lvlJc w:val="left"/>
      <w:pPr>
        <w:ind w:left="720" w:hanging="360"/>
      </w:pPr>
      <w:rPr>
        <w:rFonts w:ascii="Times New Roman" w:eastAsiaTheme="minorHAnsi" w:hAnsi="Times New Roman" w:cs="Times New Roman"/>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8" w15:restartNumberingAfterBreak="0">
    <w:nsid w:val="38EF6766"/>
    <w:multiLevelType w:val="hybridMultilevel"/>
    <w:tmpl w:val="7CA43B46"/>
    <w:lvl w:ilvl="0" w:tplc="61022374">
      <w:start w:val="1"/>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9" w15:restartNumberingAfterBreak="0">
    <w:nsid w:val="3A0D3F41"/>
    <w:multiLevelType w:val="hybridMultilevel"/>
    <w:tmpl w:val="E530FFBA"/>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0" w15:restartNumberingAfterBreak="0">
    <w:nsid w:val="3F7D689F"/>
    <w:multiLevelType w:val="hybridMultilevel"/>
    <w:tmpl w:val="E5DEF5E2"/>
    <w:lvl w:ilvl="0" w:tplc="9D7653E0">
      <w:start w:val="1"/>
      <w:numFmt w:val="decimal"/>
      <w:lvlText w:val="%1."/>
      <w:lvlJc w:val="left"/>
      <w:pPr>
        <w:ind w:left="813" w:hanging="267"/>
        <w:jc w:val="right"/>
      </w:pPr>
      <w:rPr>
        <w:rFonts w:ascii="Times New Roman" w:eastAsia="Times New Roman" w:hAnsi="Times New Roman" w:cs="Times New Roman" w:hint="default"/>
        <w:b w:val="0"/>
        <w:bCs w:val="0"/>
        <w:i w:val="0"/>
        <w:iCs w:val="0"/>
        <w:spacing w:val="0"/>
        <w:w w:val="92"/>
        <w:sz w:val="24"/>
        <w:szCs w:val="24"/>
        <w:lang w:val="ro-RO" w:eastAsia="en-US" w:bidi="ar-SA"/>
      </w:rPr>
    </w:lvl>
    <w:lvl w:ilvl="1" w:tplc="13CA939E">
      <w:start w:val="1"/>
      <w:numFmt w:val="lowerLetter"/>
      <w:lvlText w:val="%2)"/>
      <w:lvlJc w:val="left"/>
      <w:pPr>
        <w:ind w:left="143" w:hanging="264"/>
        <w:jc w:val="right"/>
      </w:pPr>
      <w:rPr>
        <w:rFonts w:ascii="Times New Roman" w:eastAsia="Times New Roman" w:hAnsi="Times New Roman" w:cs="Times New Roman" w:hint="default"/>
        <w:b w:val="0"/>
        <w:bCs w:val="0"/>
        <w:i w:val="0"/>
        <w:iCs w:val="0"/>
        <w:spacing w:val="-1"/>
        <w:w w:val="100"/>
        <w:sz w:val="24"/>
        <w:szCs w:val="24"/>
        <w:lang w:val="ro-RO" w:eastAsia="en-US" w:bidi="ar-SA"/>
      </w:rPr>
    </w:lvl>
    <w:lvl w:ilvl="2" w:tplc="BFC81368">
      <w:numFmt w:val="bullet"/>
      <w:lvlText w:val="•"/>
      <w:lvlJc w:val="left"/>
      <w:pPr>
        <w:ind w:left="1799" w:hanging="264"/>
      </w:pPr>
      <w:rPr>
        <w:rFonts w:hint="default"/>
        <w:lang w:val="ro-RO" w:eastAsia="en-US" w:bidi="ar-SA"/>
      </w:rPr>
    </w:lvl>
    <w:lvl w:ilvl="3" w:tplc="C0A8A288">
      <w:numFmt w:val="bullet"/>
      <w:lvlText w:val="•"/>
      <w:lvlJc w:val="left"/>
      <w:pPr>
        <w:ind w:left="2779" w:hanging="264"/>
      </w:pPr>
      <w:rPr>
        <w:rFonts w:hint="default"/>
        <w:lang w:val="ro-RO" w:eastAsia="en-US" w:bidi="ar-SA"/>
      </w:rPr>
    </w:lvl>
    <w:lvl w:ilvl="4" w:tplc="A69A13C6">
      <w:numFmt w:val="bullet"/>
      <w:lvlText w:val="•"/>
      <w:lvlJc w:val="left"/>
      <w:pPr>
        <w:ind w:left="3759" w:hanging="264"/>
      </w:pPr>
      <w:rPr>
        <w:rFonts w:hint="default"/>
        <w:lang w:val="ro-RO" w:eastAsia="en-US" w:bidi="ar-SA"/>
      </w:rPr>
    </w:lvl>
    <w:lvl w:ilvl="5" w:tplc="F65017E6">
      <w:numFmt w:val="bullet"/>
      <w:lvlText w:val="•"/>
      <w:lvlJc w:val="left"/>
      <w:pPr>
        <w:ind w:left="4739" w:hanging="264"/>
      </w:pPr>
      <w:rPr>
        <w:rFonts w:hint="default"/>
        <w:lang w:val="ro-RO" w:eastAsia="en-US" w:bidi="ar-SA"/>
      </w:rPr>
    </w:lvl>
    <w:lvl w:ilvl="6" w:tplc="5C20A4FA">
      <w:numFmt w:val="bullet"/>
      <w:lvlText w:val="•"/>
      <w:lvlJc w:val="left"/>
      <w:pPr>
        <w:ind w:left="5719" w:hanging="264"/>
      </w:pPr>
      <w:rPr>
        <w:rFonts w:hint="default"/>
        <w:lang w:val="ro-RO" w:eastAsia="en-US" w:bidi="ar-SA"/>
      </w:rPr>
    </w:lvl>
    <w:lvl w:ilvl="7" w:tplc="810E56DC">
      <w:numFmt w:val="bullet"/>
      <w:lvlText w:val="•"/>
      <w:lvlJc w:val="left"/>
      <w:pPr>
        <w:ind w:left="6699" w:hanging="264"/>
      </w:pPr>
      <w:rPr>
        <w:rFonts w:hint="default"/>
        <w:lang w:val="ro-RO" w:eastAsia="en-US" w:bidi="ar-SA"/>
      </w:rPr>
    </w:lvl>
    <w:lvl w:ilvl="8" w:tplc="A2484430">
      <w:numFmt w:val="bullet"/>
      <w:lvlText w:val="•"/>
      <w:lvlJc w:val="left"/>
      <w:pPr>
        <w:ind w:left="7679" w:hanging="264"/>
      </w:pPr>
      <w:rPr>
        <w:rFonts w:hint="default"/>
        <w:lang w:val="ro-RO" w:eastAsia="en-US" w:bidi="ar-SA"/>
      </w:rPr>
    </w:lvl>
  </w:abstractNum>
  <w:abstractNum w:abstractNumId="31" w15:restartNumberingAfterBreak="0">
    <w:nsid w:val="42877C13"/>
    <w:multiLevelType w:val="hybridMultilevel"/>
    <w:tmpl w:val="887EB458"/>
    <w:lvl w:ilvl="0" w:tplc="FFFFFFFF">
      <w:start w:val="1"/>
      <w:numFmt w:val="decimal"/>
      <w:suff w:val="space"/>
      <w:lvlText w:val="%1."/>
      <w:lvlJc w:val="left"/>
      <w:pPr>
        <w:ind w:left="142" w:hanging="142"/>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2" w15:restartNumberingAfterBreak="0">
    <w:nsid w:val="43664F7C"/>
    <w:multiLevelType w:val="hybridMultilevel"/>
    <w:tmpl w:val="82FEC5B8"/>
    <w:lvl w:ilvl="0" w:tplc="08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57B37AC"/>
    <w:multiLevelType w:val="hybridMultilevel"/>
    <w:tmpl w:val="A9606FE0"/>
    <w:lvl w:ilvl="0" w:tplc="5D2E2382">
      <w:start w:val="1"/>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4" w15:restartNumberingAfterBreak="0">
    <w:nsid w:val="4D893734"/>
    <w:multiLevelType w:val="hybridMultilevel"/>
    <w:tmpl w:val="A7EED98A"/>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5" w15:restartNumberingAfterBreak="0">
    <w:nsid w:val="537D1D6D"/>
    <w:multiLevelType w:val="hybridMultilevel"/>
    <w:tmpl w:val="28386A5A"/>
    <w:lvl w:ilvl="0" w:tplc="FFFFFFFF">
      <w:start w:val="1"/>
      <w:numFmt w:val="decimal"/>
      <w:lvlText w:val="%1."/>
      <w:lvlJc w:val="left"/>
      <w:pPr>
        <w:ind w:left="284" w:hanging="142"/>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6" w15:restartNumberingAfterBreak="0">
    <w:nsid w:val="53900BE5"/>
    <w:multiLevelType w:val="hybridMultilevel"/>
    <w:tmpl w:val="FE861112"/>
    <w:lvl w:ilvl="0" w:tplc="FFFFFFFF">
      <w:start w:val="1"/>
      <w:numFmt w:val="decimal"/>
      <w:suff w:val="space"/>
      <w:lvlText w:val="%1."/>
      <w:lvlJc w:val="left"/>
      <w:pPr>
        <w:ind w:left="142" w:hanging="142"/>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7" w15:restartNumberingAfterBreak="0">
    <w:nsid w:val="61070511"/>
    <w:multiLevelType w:val="hybridMultilevel"/>
    <w:tmpl w:val="AF420F7E"/>
    <w:lvl w:ilvl="0" w:tplc="08180015">
      <w:start w:val="1"/>
      <w:numFmt w:val="upp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8" w15:restartNumberingAfterBreak="0">
    <w:nsid w:val="65761D3B"/>
    <w:multiLevelType w:val="hybridMultilevel"/>
    <w:tmpl w:val="A664BCC4"/>
    <w:lvl w:ilvl="0" w:tplc="84E4A612">
      <w:start w:val="1"/>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9" w15:restartNumberingAfterBreak="0">
    <w:nsid w:val="6CF23DE9"/>
    <w:multiLevelType w:val="hybridMultilevel"/>
    <w:tmpl w:val="A3CA2B12"/>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0" w15:restartNumberingAfterBreak="0">
    <w:nsid w:val="6F165E98"/>
    <w:multiLevelType w:val="hybridMultilevel"/>
    <w:tmpl w:val="9350EE92"/>
    <w:lvl w:ilvl="0" w:tplc="FFFFFFFF">
      <w:start w:val="1"/>
      <w:numFmt w:val="decimal"/>
      <w:suff w:val="space"/>
      <w:lvlText w:val="%1."/>
      <w:lvlJc w:val="left"/>
      <w:pPr>
        <w:ind w:left="142" w:hanging="142"/>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1" w15:restartNumberingAfterBreak="0">
    <w:nsid w:val="73A43395"/>
    <w:multiLevelType w:val="hybridMultilevel"/>
    <w:tmpl w:val="82FEE0B6"/>
    <w:lvl w:ilvl="0" w:tplc="FFFFFFFF">
      <w:start w:val="1"/>
      <w:numFmt w:val="decimal"/>
      <w:lvlText w:val="%1."/>
      <w:lvlJc w:val="left"/>
      <w:pPr>
        <w:ind w:left="142" w:hanging="14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6876B77"/>
    <w:multiLevelType w:val="hybridMultilevel"/>
    <w:tmpl w:val="E8546DD6"/>
    <w:lvl w:ilvl="0" w:tplc="AED83BCC">
      <w:start w:val="1"/>
      <w:numFmt w:val="decimal"/>
      <w:lvlText w:val="%1."/>
      <w:lvlJc w:val="left"/>
      <w:pPr>
        <w:ind w:left="1426" w:hanging="360"/>
      </w:pPr>
      <w:rPr>
        <w:rFonts w:hint="default"/>
        <w:b/>
      </w:rPr>
    </w:lvl>
    <w:lvl w:ilvl="1" w:tplc="FFFFFFFF" w:tentative="1">
      <w:start w:val="1"/>
      <w:numFmt w:val="lowerLetter"/>
      <w:lvlText w:val="%2."/>
      <w:lvlJc w:val="left"/>
      <w:pPr>
        <w:ind w:left="2146" w:hanging="360"/>
      </w:p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43" w15:restartNumberingAfterBreak="0">
    <w:nsid w:val="77A957A1"/>
    <w:multiLevelType w:val="hybridMultilevel"/>
    <w:tmpl w:val="28386A5A"/>
    <w:lvl w:ilvl="0" w:tplc="FFFFFFFF">
      <w:start w:val="1"/>
      <w:numFmt w:val="decimal"/>
      <w:lvlText w:val="%1."/>
      <w:lvlJc w:val="left"/>
      <w:pPr>
        <w:ind w:left="142" w:hanging="14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332E10"/>
    <w:multiLevelType w:val="hybridMultilevel"/>
    <w:tmpl w:val="A8B6C070"/>
    <w:lvl w:ilvl="0" w:tplc="5DE0F532">
      <w:start w:val="1"/>
      <w:numFmt w:val="decimal"/>
      <w:lvlText w:val="%1."/>
      <w:lvlJc w:val="center"/>
      <w:pPr>
        <w:ind w:left="1244" w:hanging="360"/>
      </w:pPr>
      <w:rPr>
        <w:rFonts w:hint="default"/>
      </w:rPr>
    </w:lvl>
    <w:lvl w:ilvl="1" w:tplc="08180019" w:tentative="1">
      <w:start w:val="1"/>
      <w:numFmt w:val="lowerLetter"/>
      <w:lvlText w:val="%2."/>
      <w:lvlJc w:val="left"/>
      <w:pPr>
        <w:ind w:left="1964" w:hanging="360"/>
      </w:pPr>
    </w:lvl>
    <w:lvl w:ilvl="2" w:tplc="0818001B" w:tentative="1">
      <w:start w:val="1"/>
      <w:numFmt w:val="lowerRoman"/>
      <w:lvlText w:val="%3."/>
      <w:lvlJc w:val="right"/>
      <w:pPr>
        <w:ind w:left="2684" w:hanging="180"/>
      </w:pPr>
    </w:lvl>
    <w:lvl w:ilvl="3" w:tplc="0818000F" w:tentative="1">
      <w:start w:val="1"/>
      <w:numFmt w:val="decimal"/>
      <w:lvlText w:val="%4."/>
      <w:lvlJc w:val="left"/>
      <w:pPr>
        <w:ind w:left="3404" w:hanging="360"/>
      </w:pPr>
    </w:lvl>
    <w:lvl w:ilvl="4" w:tplc="08180019" w:tentative="1">
      <w:start w:val="1"/>
      <w:numFmt w:val="lowerLetter"/>
      <w:lvlText w:val="%5."/>
      <w:lvlJc w:val="left"/>
      <w:pPr>
        <w:ind w:left="4124" w:hanging="360"/>
      </w:pPr>
    </w:lvl>
    <w:lvl w:ilvl="5" w:tplc="0818001B" w:tentative="1">
      <w:start w:val="1"/>
      <w:numFmt w:val="lowerRoman"/>
      <w:lvlText w:val="%6."/>
      <w:lvlJc w:val="right"/>
      <w:pPr>
        <w:ind w:left="4844" w:hanging="180"/>
      </w:pPr>
    </w:lvl>
    <w:lvl w:ilvl="6" w:tplc="0818000F" w:tentative="1">
      <w:start w:val="1"/>
      <w:numFmt w:val="decimal"/>
      <w:lvlText w:val="%7."/>
      <w:lvlJc w:val="left"/>
      <w:pPr>
        <w:ind w:left="5564" w:hanging="360"/>
      </w:pPr>
    </w:lvl>
    <w:lvl w:ilvl="7" w:tplc="08180019" w:tentative="1">
      <w:start w:val="1"/>
      <w:numFmt w:val="lowerLetter"/>
      <w:lvlText w:val="%8."/>
      <w:lvlJc w:val="left"/>
      <w:pPr>
        <w:ind w:left="6284" w:hanging="360"/>
      </w:pPr>
    </w:lvl>
    <w:lvl w:ilvl="8" w:tplc="0818001B" w:tentative="1">
      <w:start w:val="1"/>
      <w:numFmt w:val="lowerRoman"/>
      <w:lvlText w:val="%9."/>
      <w:lvlJc w:val="right"/>
      <w:pPr>
        <w:ind w:left="7004" w:hanging="180"/>
      </w:pPr>
    </w:lvl>
  </w:abstractNum>
  <w:abstractNum w:abstractNumId="45" w15:restartNumberingAfterBreak="0">
    <w:nsid w:val="7DC54383"/>
    <w:multiLevelType w:val="hybridMultilevel"/>
    <w:tmpl w:val="15C451B2"/>
    <w:lvl w:ilvl="0" w:tplc="FFFFFFFF">
      <w:start w:val="1"/>
      <w:numFmt w:val="decimal"/>
      <w:lvlText w:val="%1."/>
      <w:lvlJc w:val="left"/>
      <w:pPr>
        <w:ind w:left="360" w:hanging="360"/>
      </w:pPr>
      <w:rPr>
        <w:rFonts w:hint="default"/>
        <w:b/>
        <w:bCs/>
        <w:lang w:val="ro-MD"/>
      </w:rPr>
    </w:lvl>
    <w:lvl w:ilvl="1" w:tplc="FFFFFFFF">
      <w:start w:val="1"/>
      <w:numFmt w:val="lowerLetter"/>
      <w:lvlText w:val="%2."/>
      <w:lvlJc w:val="left"/>
      <w:pPr>
        <w:ind w:left="-3947" w:hanging="360"/>
      </w:pPr>
    </w:lvl>
    <w:lvl w:ilvl="2" w:tplc="FFFFFFFF" w:tentative="1">
      <w:start w:val="1"/>
      <w:numFmt w:val="lowerRoman"/>
      <w:lvlText w:val="%3."/>
      <w:lvlJc w:val="right"/>
      <w:pPr>
        <w:ind w:left="-3227" w:hanging="180"/>
      </w:pPr>
    </w:lvl>
    <w:lvl w:ilvl="3" w:tplc="FFFFFFFF" w:tentative="1">
      <w:start w:val="1"/>
      <w:numFmt w:val="decimal"/>
      <w:lvlText w:val="%4."/>
      <w:lvlJc w:val="left"/>
      <w:pPr>
        <w:ind w:left="-2507" w:hanging="360"/>
      </w:pPr>
    </w:lvl>
    <w:lvl w:ilvl="4" w:tplc="FFFFFFFF" w:tentative="1">
      <w:start w:val="1"/>
      <w:numFmt w:val="lowerLetter"/>
      <w:lvlText w:val="%5."/>
      <w:lvlJc w:val="left"/>
      <w:pPr>
        <w:ind w:left="-1787" w:hanging="360"/>
      </w:pPr>
    </w:lvl>
    <w:lvl w:ilvl="5" w:tplc="FFFFFFFF" w:tentative="1">
      <w:start w:val="1"/>
      <w:numFmt w:val="lowerRoman"/>
      <w:lvlText w:val="%6."/>
      <w:lvlJc w:val="right"/>
      <w:pPr>
        <w:ind w:left="-1067" w:hanging="180"/>
      </w:pPr>
    </w:lvl>
    <w:lvl w:ilvl="6" w:tplc="FFFFFFFF" w:tentative="1">
      <w:start w:val="1"/>
      <w:numFmt w:val="decimal"/>
      <w:lvlText w:val="%7."/>
      <w:lvlJc w:val="left"/>
      <w:pPr>
        <w:ind w:left="-347" w:hanging="360"/>
      </w:pPr>
    </w:lvl>
    <w:lvl w:ilvl="7" w:tplc="FFFFFFFF" w:tentative="1">
      <w:start w:val="1"/>
      <w:numFmt w:val="lowerLetter"/>
      <w:lvlText w:val="%8."/>
      <w:lvlJc w:val="left"/>
      <w:pPr>
        <w:ind w:left="373" w:hanging="360"/>
      </w:pPr>
    </w:lvl>
    <w:lvl w:ilvl="8" w:tplc="FFFFFFFF" w:tentative="1">
      <w:start w:val="1"/>
      <w:numFmt w:val="lowerRoman"/>
      <w:lvlText w:val="%9."/>
      <w:lvlJc w:val="right"/>
      <w:pPr>
        <w:ind w:left="1093" w:hanging="180"/>
      </w:pPr>
    </w:lvl>
  </w:abstractNum>
  <w:abstractNum w:abstractNumId="46" w15:restartNumberingAfterBreak="0">
    <w:nsid w:val="7DCB2982"/>
    <w:multiLevelType w:val="hybridMultilevel"/>
    <w:tmpl w:val="6A7CA456"/>
    <w:lvl w:ilvl="0" w:tplc="0818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F582CE3"/>
    <w:multiLevelType w:val="hybridMultilevel"/>
    <w:tmpl w:val="468E0E4A"/>
    <w:lvl w:ilvl="0" w:tplc="5B92449A">
      <w:start w:val="5"/>
      <w:numFmt w:val="decimal"/>
      <w:lvlText w:val="%1."/>
      <w:lvlJc w:val="left"/>
      <w:pPr>
        <w:ind w:left="502" w:hanging="360"/>
      </w:pPr>
      <w:rPr>
        <w:rFonts w:hint="default"/>
      </w:rPr>
    </w:lvl>
    <w:lvl w:ilvl="1" w:tplc="08180019" w:tentative="1">
      <w:start w:val="1"/>
      <w:numFmt w:val="lowerLetter"/>
      <w:lvlText w:val="%2."/>
      <w:lvlJc w:val="left"/>
      <w:pPr>
        <w:ind w:left="1222" w:hanging="360"/>
      </w:pPr>
    </w:lvl>
    <w:lvl w:ilvl="2" w:tplc="0818001B" w:tentative="1">
      <w:start w:val="1"/>
      <w:numFmt w:val="lowerRoman"/>
      <w:lvlText w:val="%3."/>
      <w:lvlJc w:val="right"/>
      <w:pPr>
        <w:ind w:left="1942" w:hanging="180"/>
      </w:pPr>
    </w:lvl>
    <w:lvl w:ilvl="3" w:tplc="0818000F" w:tentative="1">
      <w:start w:val="1"/>
      <w:numFmt w:val="decimal"/>
      <w:lvlText w:val="%4."/>
      <w:lvlJc w:val="left"/>
      <w:pPr>
        <w:ind w:left="2662" w:hanging="360"/>
      </w:pPr>
    </w:lvl>
    <w:lvl w:ilvl="4" w:tplc="08180019" w:tentative="1">
      <w:start w:val="1"/>
      <w:numFmt w:val="lowerLetter"/>
      <w:lvlText w:val="%5."/>
      <w:lvlJc w:val="left"/>
      <w:pPr>
        <w:ind w:left="3382" w:hanging="360"/>
      </w:pPr>
    </w:lvl>
    <w:lvl w:ilvl="5" w:tplc="0818001B" w:tentative="1">
      <w:start w:val="1"/>
      <w:numFmt w:val="lowerRoman"/>
      <w:lvlText w:val="%6."/>
      <w:lvlJc w:val="right"/>
      <w:pPr>
        <w:ind w:left="4102" w:hanging="180"/>
      </w:pPr>
    </w:lvl>
    <w:lvl w:ilvl="6" w:tplc="0818000F" w:tentative="1">
      <w:start w:val="1"/>
      <w:numFmt w:val="decimal"/>
      <w:lvlText w:val="%7."/>
      <w:lvlJc w:val="left"/>
      <w:pPr>
        <w:ind w:left="4822" w:hanging="360"/>
      </w:pPr>
    </w:lvl>
    <w:lvl w:ilvl="7" w:tplc="08180019" w:tentative="1">
      <w:start w:val="1"/>
      <w:numFmt w:val="lowerLetter"/>
      <w:lvlText w:val="%8."/>
      <w:lvlJc w:val="left"/>
      <w:pPr>
        <w:ind w:left="5542" w:hanging="360"/>
      </w:pPr>
    </w:lvl>
    <w:lvl w:ilvl="8" w:tplc="0818001B" w:tentative="1">
      <w:start w:val="1"/>
      <w:numFmt w:val="lowerRoman"/>
      <w:lvlText w:val="%9."/>
      <w:lvlJc w:val="right"/>
      <w:pPr>
        <w:ind w:left="6262" w:hanging="180"/>
      </w:pPr>
    </w:lvl>
  </w:abstractNum>
  <w:abstractNum w:abstractNumId="48" w15:restartNumberingAfterBreak="0">
    <w:nsid w:val="7FBD50DE"/>
    <w:multiLevelType w:val="hybridMultilevel"/>
    <w:tmpl w:val="A0CE9C2E"/>
    <w:lvl w:ilvl="0" w:tplc="4314CA90">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abstractNumId w:val="30"/>
  </w:num>
  <w:num w:numId="2">
    <w:abstractNumId w:val="37"/>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9"/>
  </w:num>
  <w:num w:numId="5">
    <w:abstractNumId w:val="48"/>
  </w:num>
  <w:num w:numId="6">
    <w:abstractNumId w:val="12"/>
  </w:num>
  <w:num w:numId="7">
    <w:abstractNumId w:val="8"/>
  </w:num>
  <w:num w:numId="8">
    <w:abstractNumId w:val="14"/>
  </w:num>
  <w:num w:numId="9">
    <w:abstractNumId w:val="24"/>
  </w:num>
  <w:num w:numId="10">
    <w:abstractNumId w:val="5"/>
  </w:num>
  <w:num w:numId="11">
    <w:abstractNumId w:val="16"/>
  </w:num>
  <w:num w:numId="12">
    <w:abstractNumId w:val="22"/>
  </w:num>
  <w:num w:numId="13">
    <w:abstractNumId w:val="26"/>
  </w:num>
  <w:num w:numId="14">
    <w:abstractNumId w:val="4"/>
  </w:num>
  <w:num w:numId="15">
    <w:abstractNumId w:val="34"/>
  </w:num>
  <w:num w:numId="16">
    <w:abstractNumId w:val="29"/>
  </w:num>
  <w:num w:numId="17">
    <w:abstractNumId w:val="9"/>
  </w:num>
  <w:num w:numId="18">
    <w:abstractNumId w:val="20"/>
  </w:num>
  <w:num w:numId="19">
    <w:abstractNumId w:val="40"/>
  </w:num>
  <w:num w:numId="20">
    <w:abstractNumId w:val="10"/>
  </w:num>
  <w:num w:numId="21">
    <w:abstractNumId w:val="17"/>
  </w:num>
  <w:num w:numId="22">
    <w:abstractNumId w:val="31"/>
  </w:num>
  <w:num w:numId="23">
    <w:abstractNumId w:val="25"/>
  </w:num>
  <w:num w:numId="24">
    <w:abstractNumId w:val="35"/>
  </w:num>
  <w:num w:numId="25">
    <w:abstractNumId w:val="36"/>
  </w:num>
  <w:num w:numId="26">
    <w:abstractNumId w:val="11"/>
  </w:num>
  <w:num w:numId="27">
    <w:abstractNumId w:val="41"/>
  </w:num>
  <w:num w:numId="28">
    <w:abstractNumId w:val="43"/>
  </w:num>
  <w:num w:numId="29">
    <w:abstractNumId w:val="0"/>
  </w:num>
  <w:num w:numId="30">
    <w:abstractNumId w:val="3"/>
  </w:num>
  <w:num w:numId="31">
    <w:abstractNumId w:val="46"/>
  </w:num>
  <w:num w:numId="32">
    <w:abstractNumId w:val="7"/>
  </w:num>
  <w:num w:numId="33">
    <w:abstractNumId w:val="1"/>
  </w:num>
  <w:num w:numId="34">
    <w:abstractNumId w:val="27"/>
  </w:num>
  <w:num w:numId="35">
    <w:abstractNumId w:val="47"/>
  </w:num>
  <w:num w:numId="36">
    <w:abstractNumId w:val="45"/>
  </w:num>
  <w:num w:numId="37">
    <w:abstractNumId w:val="15"/>
  </w:num>
  <w:num w:numId="38">
    <w:abstractNumId w:val="13"/>
  </w:num>
  <w:num w:numId="39">
    <w:abstractNumId w:val="2"/>
  </w:num>
  <w:num w:numId="40">
    <w:abstractNumId w:val="32"/>
  </w:num>
  <w:num w:numId="41">
    <w:abstractNumId w:val="42"/>
  </w:num>
  <w:num w:numId="42">
    <w:abstractNumId w:val="23"/>
  </w:num>
  <w:num w:numId="43">
    <w:abstractNumId w:val="33"/>
  </w:num>
  <w:num w:numId="44">
    <w:abstractNumId w:val="38"/>
  </w:num>
  <w:num w:numId="45">
    <w:abstractNumId w:val="28"/>
  </w:num>
  <w:num w:numId="46">
    <w:abstractNumId w:val="19"/>
  </w:num>
  <w:num w:numId="47">
    <w:abstractNumId w:val="6"/>
  </w:num>
  <w:num w:numId="48">
    <w:abstractNumId w:val="21"/>
  </w:num>
  <w:num w:numId="49">
    <w:abstractNumId w:val="44"/>
  </w:num>
  <w:num w:numId="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oNotTrackFormatting/>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089"/>
    <w:rsid w:val="00000192"/>
    <w:rsid w:val="000008B4"/>
    <w:rsid w:val="00000AD9"/>
    <w:rsid w:val="000013CD"/>
    <w:rsid w:val="0000399A"/>
    <w:rsid w:val="000039F6"/>
    <w:rsid w:val="000058C7"/>
    <w:rsid w:val="00006A22"/>
    <w:rsid w:val="00006B11"/>
    <w:rsid w:val="00007599"/>
    <w:rsid w:val="000077A3"/>
    <w:rsid w:val="000108D8"/>
    <w:rsid w:val="00010D5A"/>
    <w:rsid w:val="000133CC"/>
    <w:rsid w:val="00015E11"/>
    <w:rsid w:val="00017009"/>
    <w:rsid w:val="000171A2"/>
    <w:rsid w:val="00020091"/>
    <w:rsid w:val="0002127A"/>
    <w:rsid w:val="00021280"/>
    <w:rsid w:val="000214C3"/>
    <w:rsid w:val="0002191B"/>
    <w:rsid w:val="00021B10"/>
    <w:rsid w:val="00023BE5"/>
    <w:rsid w:val="000247FE"/>
    <w:rsid w:val="000250C8"/>
    <w:rsid w:val="000257A9"/>
    <w:rsid w:val="000259FA"/>
    <w:rsid w:val="00026AE8"/>
    <w:rsid w:val="000270CE"/>
    <w:rsid w:val="0003001C"/>
    <w:rsid w:val="00030374"/>
    <w:rsid w:val="00033283"/>
    <w:rsid w:val="0003547D"/>
    <w:rsid w:val="00037224"/>
    <w:rsid w:val="00037FB5"/>
    <w:rsid w:val="000406FB"/>
    <w:rsid w:val="00042A5C"/>
    <w:rsid w:val="00044AAF"/>
    <w:rsid w:val="000504F1"/>
    <w:rsid w:val="00050851"/>
    <w:rsid w:val="00051E9E"/>
    <w:rsid w:val="00051EB4"/>
    <w:rsid w:val="0005250C"/>
    <w:rsid w:val="00055754"/>
    <w:rsid w:val="000559FA"/>
    <w:rsid w:val="00060285"/>
    <w:rsid w:val="0006040E"/>
    <w:rsid w:val="00060D87"/>
    <w:rsid w:val="000623FA"/>
    <w:rsid w:val="0006306A"/>
    <w:rsid w:val="0006352C"/>
    <w:rsid w:val="00063845"/>
    <w:rsid w:val="00064229"/>
    <w:rsid w:val="00065189"/>
    <w:rsid w:val="000652D8"/>
    <w:rsid w:val="000652FA"/>
    <w:rsid w:val="00065814"/>
    <w:rsid w:val="00066186"/>
    <w:rsid w:val="0006662C"/>
    <w:rsid w:val="00066F43"/>
    <w:rsid w:val="00067617"/>
    <w:rsid w:val="00067832"/>
    <w:rsid w:val="00070509"/>
    <w:rsid w:val="00070C85"/>
    <w:rsid w:val="00070DA5"/>
    <w:rsid w:val="00071446"/>
    <w:rsid w:val="00071EF5"/>
    <w:rsid w:val="000732C7"/>
    <w:rsid w:val="00073AD1"/>
    <w:rsid w:val="00073C76"/>
    <w:rsid w:val="0007411A"/>
    <w:rsid w:val="00074CC9"/>
    <w:rsid w:val="000774B1"/>
    <w:rsid w:val="000779F4"/>
    <w:rsid w:val="00077A17"/>
    <w:rsid w:val="0008376B"/>
    <w:rsid w:val="000845A9"/>
    <w:rsid w:val="00086581"/>
    <w:rsid w:val="00086C84"/>
    <w:rsid w:val="0008751B"/>
    <w:rsid w:val="00087D23"/>
    <w:rsid w:val="0009037B"/>
    <w:rsid w:val="00090915"/>
    <w:rsid w:val="0009135B"/>
    <w:rsid w:val="000953F9"/>
    <w:rsid w:val="0009552D"/>
    <w:rsid w:val="000A04C4"/>
    <w:rsid w:val="000A26E3"/>
    <w:rsid w:val="000A2F48"/>
    <w:rsid w:val="000A3C2D"/>
    <w:rsid w:val="000A3DB4"/>
    <w:rsid w:val="000A4367"/>
    <w:rsid w:val="000A57DF"/>
    <w:rsid w:val="000A6500"/>
    <w:rsid w:val="000A6E41"/>
    <w:rsid w:val="000A7758"/>
    <w:rsid w:val="000B0559"/>
    <w:rsid w:val="000B0770"/>
    <w:rsid w:val="000B2D6D"/>
    <w:rsid w:val="000B4A5F"/>
    <w:rsid w:val="000B4D87"/>
    <w:rsid w:val="000B5526"/>
    <w:rsid w:val="000B589F"/>
    <w:rsid w:val="000B59E1"/>
    <w:rsid w:val="000B68A8"/>
    <w:rsid w:val="000B6E51"/>
    <w:rsid w:val="000B72E5"/>
    <w:rsid w:val="000B7768"/>
    <w:rsid w:val="000C0C0C"/>
    <w:rsid w:val="000C1628"/>
    <w:rsid w:val="000C16C9"/>
    <w:rsid w:val="000C4445"/>
    <w:rsid w:val="000C5AEE"/>
    <w:rsid w:val="000C6B83"/>
    <w:rsid w:val="000C7022"/>
    <w:rsid w:val="000D2399"/>
    <w:rsid w:val="000D2557"/>
    <w:rsid w:val="000D291D"/>
    <w:rsid w:val="000D3168"/>
    <w:rsid w:val="000D3F03"/>
    <w:rsid w:val="000D4BC4"/>
    <w:rsid w:val="000E05CE"/>
    <w:rsid w:val="000E07AE"/>
    <w:rsid w:val="000E0E71"/>
    <w:rsid w:val="000E36C7"/>
    <w:rsid w:val="000E3B11"/>
    <w:rsid w:val="000E3BD6"/>
    <w:rsid w:val="000E3DB4"/>
    <w:rsid w:val="000E466B"/>
    <w:rsid w:val="000E6047"/>
    <w:rsid w:val="000F29EC"/>
    <w:rsid w:val="000F29F0"/>
    <w:rsid w:val="000F2C3E"/>
    <w:rsid w:val="000F3CE2"/>
    <w:rsid w:val="000F3EDE"/>
    <w:rsid w:val="000F658B"/>
    <w:rsid w:val="000F7B0D"/>
    <w:rsid w:val="000F7D6C"/>
    <w:rsid w:val="00100182"/>
    <w:rsid w:val="00100B56"/>
    <w:rsid w:val="0010104A"/>
    <w:rsid w:val="001017E5"/>
    <w:rsid w:val="0010264F"/>
    <w:rsid w:val="00103495"/>
    <w:rsid w:val="00103CF7"/>
    <w:rsid w:val="00103E71"/>
    <w:rsid w:val="00103FA9"/>
    <w:rsid w:val="0010562F"/>
    <w:rsid w:val="00106506"/>
    <w:rsid w:val="001069EB"/>
    <w:rsid w:val="00107335"/>
    <w:rsid w:val="0010770F"/>
    <w:rsid w:val="0010791A"/>
    <w:rsid w:val="00107F08"/>
    <w:rsid w:val="00110167"/>
    <w:rsid w:val="0011020A"/>
    <w:rsid w:val="001104BF"/>
    <w:rsid w:val="00111C0D"/>
    <w:rsid w:val="001138F9"/>
    <w:rsid w:val="001140E2"/>
    <w:rsid w:val="001143FD"/>
    <w:rsid w:val="001159E0"/>
    <w:rsid w:val="001164E2"/>
    <w:rsid w:val="001210DF"/>
    <w:rsid w:val="00121560"/>
    <w:rsid w:val="001221C7"/>
    <w:rsid w:val="00123414"/>
    <w:rsid w:val="0012372A"/>
    <w:rsid w:val="00123F7F"/>
    <w:rsid w:val="00124018"/>
    <w:rsid w:val="00124147"/>
    <w:rsid w:val="001242A6"/>
    <w:rsid w:val="00124410"/>
    <w:rsid w:val="0012737A"/>
    <w:rsid w:val="001274C5"/>
    <w:rsid w:val="00130937"/>
    <w:rsid w:val="001311BA"/>
    <w:rsid w:val="00131239"/>
    <w:rsid w:val="00131D1C"/>
    <w:rsid w:val="00132267"/>
    <w:rsid w:val="00132CCE"/>
    <w:rsid w:val="00134D3E"/>
    <w:rsid w:val="00136775"/>
    <w:rsid w:val="00137E0B"/>
    <w:rsid w:val="0014019E"/>
    <w:rsid w:val="00140217"/>
    <w:rsid w:val="00142603"/>
    <w:rsid w:val="00142639"/>
    <w:rsid w:val="001432DB"/>
    <w:rsid w:val="0014399B"/>
    <w:rsid w:val="0014450A"/>
    <w:rsid w:val="001456D1"/>
    <w:rsid w:val="00147017"/>
    <w:rsid w:val="0014717E"/>
    <w:rsid w:val="0015021D"/>
    <w:rsid w:val="001504C8"/>
    <w:rsid w:val="001505C5"/>
    <w:rsid w:val="001508D3"/>
    <w:rsid w:val="00150FBD"/>
    <w:rsid w:val="00151312"/>
    <w:rsid w:val="00152E08"/>
    <w:rsid w:val="001534D6"/>
    <w:rsid w:val="001547C7"/>
    <w:rsid w:val="001552B0"/>
    <w:rsid w:val="00156452"/>
    <w:rsid w:val="001568D2"/>
    <w:rsid w:val="00156E57"/>
    <w:rsid w:val="0015742A"/>
    <w:rsid w:val="00157B6F"/>
    <w:rsid w:val="0016014B"/>
    <w:rsid w:val="001602B3"/>
    <w:rsid w:val="00160B48"/>
    <w:rsid w:val="001615C8"/>
    <w:rsid w:val="00161615"/>
    <w:rsid w:val="00161A3D"/>
    <w:rsid w:val="00162AC4"/>
    <w:rsid w:val="00162CD4"/>
    <w:rsid w:val="00162D7E"/>
    <w:rsid w:val="00162DC0"/>
    <w:rsid w:val="00162F66"/>
    <w:rsid w:val="001653DA"/>
    <w:rsid w:val="001653E2"/>
    <w:rsid w:val="00165461"/>
    <w:rsid w:val="00165882"/>
    <w:rsid w:val="00165AA3"/>
    <w:rsid w:val="0016660C"/>
    <w:rsid w:val="001714A7"/>
    <w:rsid w:val="00171590"/>
    <w:rsid w:val="00172F38"/>
    <w:rsid w:val="00174B68"/>
    <w:rsid w:val="001750EA"/>
    <w:rsid w:val="00176D98"/>
    <w:rsid w:val="0017753A"/>
    <w:rsid w:val="00177BA3"/>
    <w:rsid w:val="001836DB"/>
    <w:rsid w:val="001839F8"/>
    <w:rsid w:val="00185B73"/>
    <w:rsid w:val="00185C08"/>
    <w:rsid w:val="00186152"/>
    <w:rsid w:val="001867AE"/>
    <w:rsid w:val="001873FB"/>
    <w:rsid w:val="001913F8"/>
    <w:rsid w:val="00191520"/>
    <w:rsid w:val="00191885"/>
    <w:rsid w:val="001953D1"/>
    <w:rsid w:val="00195545"/>
    <w:rsid w:val="00196AAB"/>
    <w:rsid w:val="0019758D"/>
    <w:rsid w:val="001A109E"/>
    <w:rsid w:val="001A226B"/>
    <w:rsid w:val="001A2521"/>
    <w:rsid w:val="001A2C91"/>
    <w:rsid w:val="001A341E"/>
    <w:rsid w:val="001A35B2"/>
    <w:rsid w:val="001A39CD"/>
    <w:rsid w:val="001A4D00"/>
    <w:rsid w:val="001A6169"/>
    <w:rsid w:val="001A6544"/>
    <w:rsid w:val="001B038F"/>
    <w:rsid w:val="001B3458"/>
    <w:rsid w:val="001B3CC7"/>
    <w:rsid w:val="001B4DCB"/>
    <w:rsid w:val="001B51A7"/>
    <w:rsid w:val="001B54FF"/>
    <w:rsid w:val="001B605B"/>
    <w:rsid w:val="001B6508"/>
    <w:rsid w:val="001B6EC2"/>
    <w:rsid w:val="001B713D"/>
    <w:rsid w:val="001B7ED0"/>
    <w:rsid w:val="001C0DB8"/>
    <w:rsid w:val="001C15C7"/>
    <w:rsid w:val="001C56DE"/>
    <w:rsid w:val="001C62DE"/>
    <w:rsid w:val="001C6907"/>
    <w:rsid w:val="001C6ADD"/>
    <w:rsid w:val="001C72E9"/>
    <w:rsid w:val="001C7B9F"/>
    <w:rsid w:val="001D0F2C"/>
    <w:rsid w:val="001D1320"/>
    <w:rsid w:val="001D160D"/>
    <w:rsid w:val="001D2149"/>
    <w:rsid w:val="001D5D8D"/>
    <w:rsid w:val="001D5F3A"/>
    <w:rsid w:val="001D7426"/>
    <w:rsid w:val="001D77DD"/>
    <w:rsid w:val="001E0945"/>
    <w:rsid w:val="001E0C89"/>
    <w:rsid w:val="001E1DD4"/>
    <w:rsid w:val="001E2FEF"/>
    <w:rsid w:val="001E425F"/>
    <w:rsid w:val="001E4861"/>
    <w:rsid w:val="001E4B7C"/>
    <w:rsid w:val="001E7199"/>
    <w:rsid w:val="001E7201"/>
    <w:rsid w:val="001E73FA"/>
    <w:rsid w:val="001F127C"/>
    <w:rsid w:val="001F1871"/>
    <w:rsid w:val="001F2E19"/>
    <w:rsid w:val="001F460E"/>
    <w:rsid w:val="001F54B4"/>
    <w:rsid w:val="001F583F"/>
    <w:rsid w:val="001F7654"/>
    <w:rsid w:val="0020015F"/>
    <w:rsid w:val="002004A7"/>
    <w:rsid w:val="00201E32"/>
    <w:rsid w:val="00202AAE"/>
    <w:rsid w:val="0020373E"/>
    <w:rsid w:val="002057B6"/>
    <w:rsid w:val="0020668A"/>
    <w:rsid w:val="00210A27"/>
    <w:rsid w:val="00210CFC"/>
    <w:rsid w:val="00210F4D"/>
    <w:rsid w:val="002115AB"/>
    <w:rsid w:val="0021479F"/>
    <w:rsid w:val="00214DEE"/>
    <w:rsid w:val="00215048"/>
    <w:rsid w:val="0021608B"/>
    <w:rsid w:val="00216611"/>
    <w:rsid w:val="002172F8"/>
    <w:rsid w:val="00220821"/>
    <w:rsid w:val="00223E06"/>
    <w:rsid w:val="00225988"/>
    <w:rsid w:val="00225F76"/>
    <w:rsid w:val="00226DCC"/>
    <w:rsid w:val="0022794F"/>
    <w:rsid w:val="00230066"/>
    <w:rsid w:val="0023372C"/>
    <w:rsid w:val="002348DA"/>
    <w:rsid w:val="00236F68"/>
    <w:rsid w:val="00237403"/>
    <w:rsid w:val="00237E91"/>
    <w:rsid w:val="002405B3"/>
    <w:rsid w:val="00240B6E"/>
    <w:rsid w:val="00241634"/>
    <w:rsid w:val="00243832"/>
    <w:rsid w:val="00243E7A"/>
    <w:rsid w:val="00244DE3"/>
    <w:rsid w:val="002450DE"/>
    <w:rsid w:val="002507FA"/>
    <w:rsid w:val="002508EA"/>
    <w:rsid w:val="002533F3"/>
    <w:rsid w:val="00254253"/>
    <w:rsid w:val="0025478A"/>
    <w:rsid w:val="002550CD"/>
    <w:rsid w:val="00255BAE"/>
    <w:rsid w:val="00256F42"/>
    <w:rsid w:val="00256F88"/>
    <w:rsid w:val="00257117"/>
    <w:rsid w:val="00261AF3"/>
    <w:rsid w:val="00261BCA"/>
    <w:rsid w:val="002626AE"/>
    <w:rsid w:val="0026278F"/>
    <w:rsid w:val="0026318A"/>
    <w:rsid w:val="002634AF"/>
    <w:rsid w:val="002648EC"/>
    <w:rsid w:val="0026519D"/>
    <w:rsid w:val="0026599E"/>
    <w:rsid w:val="00266202"/>
    <w:rsid w:val="00266266"/>
    <w:rsid w:val="002670E8"/>
    <w:rsid w:val="00267B4F"/>
    <w:rsid w:val="00270E89"/>
    <w:rsid w:val="00271747"/>
    <w:rsid w:val="0027441F"/>
    <w:rsid w:val="002755B6"/>
    <w:rsid w:val="0027583F"/>
    <w:rsid w:val="00275E5C"/>
    <w:rsid w:val="00276D72"/>
    <w:rsid w:val="002811C2"/>
    <w:rsid w:val="002819CD"/>
    <w:rsid w:val="00283042"/>
    <w:rsid w:val="0028411A"/>
    <w:rsid w:val="002859EC"/>
    <w:rsid w:val="00290CA0"/>
    <w:rsid w:val="00291CEC"/>
    <w:rsid w:val="00291D44"/>
    <w:rsid w:val="0029273C"/>
    <w:rsid w:val="002930CB"/>
    <w:rsid w:val="002942E8"/>
    <w:rsid w:val="0029489A"/>
    <w:rsid w:val="00294E5C"/>
    <w:rsid w:val="0029510A"/>
    <w:rsid w:val="002956B2"/>
    <w:rsid w:val="00296444"/>
    <w:rsid w:val="002A1D51"/>
    <w:rsid w:val="002A262C"/>
    <w:rsid w:val="002A305B"/>
    <w:rsid w:val="002A34D1"/>
    <w:rsid w:val="002A4B6A"/>
    <w:rsid w:val="002A5FEF"/>
    <w:rsid w:val="002A7C2A"/>
    <w:rsid w:val="002A7F8B"/>
    <w:rsid w:val="002B0AF3"/>
    <w:rsid w:val="002B1EFC"/>
    <w:rsid w:val="002B2774"/>
    <w:rsid w:val="002B3995"/>
    <w:rsid w:val="002B591A"/>
    <w:rsid w:val="002B6564"/>
    <w:rsid w:val="002B6927"/>
    <w:rsid w:val="002B6D58"/>
    <w:rsid w:val="002B70D8"/>
    <w:rsid w:val="002B7C57"/>
    <w:rsid w:val="002B7D15"/>
    <w:rsid w:val="002C12E5"/>
    <w:rsid w:val="002C270D"/>
    <w:rsid w:val="002C29FE"/>
    <w:rsid w:val="002C3D30"/>
    <w:rsid w:val="002C504B"/>
    <w:rsid w:val="002C6681"/>
    <w:rsid w:val="002D0359"/>
    <w:rsid w:val="002D224C"/>
    <w:rsid w:val="002D3A56"/>
    <w:rsid w:val="002D5EB4"/>
    <w:rsid w:val="002D6AE6"/>
    <w:rsid w:val="002D7837"/>
    <w:rsid w:val="002E01A5"/>
    <w:rsid w:val="002E02A1"/>
    <w:rsid w:val="002E25EB"/>
    <w:rsid w:val="002E312C"/>
    <w:rsid w:val="002E3B3E"/>
    <w:rsid w:val="002E3FE7"/>
    <w:rsid w:val="002E4021"/>
    <w:rsid w:val="002E406C"/>
    <w:rsid w:val="002E474C"/>
    <w:rsid w:val="002E4B94"/>
    <w:rsid w:val="002E4FFA"/>
    <w:rsid w:val="002E6B95"/>
    <w:rsid w:val="002F1304"/>
    <w:rsid w:val="002F33B0"/>
    <w:rsid w:val="002F365F"/>
    <w:rsid w:val="002F4128"/>
    <w:rsid w:val="002F453E"/>
    <w:rsid w:val="002F569C"/>
    <w:rsid w:val="002F5EB0"/>
    <w:rsid w:val="002F63D9"/>
    <w:rsid w:val="0030037F"/>
    <w:rsid w:val="0030065C"/>
    <w:rsid w:val="00300B09"/>
    <w:rsid w:val="003026A4"/>
    <w:rsid w:val="00305889"/>
    <w:rsid w:val="00305FFF"/>
    <w:rsid w:val="003068EE"/>
    <w:rsid w:val="00306CF8"/>
    <w:rsid w:val="003147EB"/>
    <w:rsid w:val="00314828"/>
    <w:rsid w:val="00314907"/>
    <w:rsid w:val="00315F40"/>
    <w:rsid w:val="00316039"/>
    <w:rsid w:val="0031612B"/>
    <w:rsid w:val="0031702C"/>
    <w:rsid w:val="0031720F"/>
    <w:rsid w:val="00317897"/>
    <w:rsid w:val="003207A8"/>
    <w:rsid w:val="00320EE3"/>
    <w:rsid w:val="0032112C"/>
    <w:rsid w:val="00321E51"/>
    <w:rsid w:val="0032291F"/>
    <w:rsid w:val="00323736"/>
    <w:rsid w:val="00327F8B"/>
    <w:rsid w:val="00331A9B"/>
    <w:rsid w:val="00331EFC"/>
    <w:rsid w:val="003333E4"/>
    <w:rsid w:val="003339B3"/>
    <w:rsid w:val="00333CEE"/>
    <w:rsid w:val="0033492F"/>
    <w:rsid w:val="00335732"/>
    <w:rsid w:val="00336041"/>
    <w:rsid w:val="00336625"/>
    <w:rsid w:val="003402D1"/>
    <w:rsid w:val="00340C2C"/>
    <w:rsid w:val="003414AB"/>
    <w:rsid w:val="0034165A"/>
    <w:rsid w:val="00341D4C"/>
    <w:rsid w:val="00342473"/>
    <w:rsid w:val="00342882"/>
    <w:rsid w:val="003430B7"/>
    <w:rsid w:val="00344CA8"/>
    <w:rsid w:val="003452F0"/>
    <w:rsid w:val="00345486"/>
    <w:rsid w:val="003462C0"/>
    <w:rsid w:val="00346373"/>
    <w:rsid w:val="003466B6"/>
    <w:rsid w:val="00346AB1"/>
    <w:rsid w:val="00346E9D"/>
    <w:rsid w:val="003479A1"/>
    <w:rsid w:val="00350351"/>
    <w:rsid w:val="003505AE"/>
    <w:rsid w:val="00350ED0"/>
    <w:rsid w:val="0035128B"/>
    <w:rsid w:val="003515C8"/>
    <w:rsid w:val="003517B6"/>
    <w:rsid w:val="00352FA3"/>
    <w:rsid w:val="00353AE7"/>
    <w:rsid w:val="00354295"/>
    <w:rsid w:val="00354F2D"/>
    <w:rsid w:val="003550D6"/>
    <w:rsid w:val="0035569F"/>
    <w:rsid w:val="00355802"/>
    <w:rsid w:val="00355A1C"/>
    <w:rsid w:val="00356F52"/>
    <w:rsid w:val="00357455"/>
    <w:rsid w:val="00357D2E"/>
    <w:rsid w:val="00360889"/>
    <w:rsid w:val="00361BC7"/>
    <w:rsid w:val="0036299B"/>
    <w:rsid w:val="003645BB"/>
    <w:rsid w:val="00365EA6"/>
    <w:rsid w:val="00366DEA"/>
    <w:rsid w:val="00367841"/>
    <w:rsid w:val="003704F8"/>
    <w:rsid w:val="00370C42"/>
    <w:rsid w:val="00370E98"/>
    <w:rsid w:val="003719C7"/>
    <w:rsid w:val="0037227C"/>
    <w:rsid w:val="00372D9E"/>
    <w:rsid w:val="00374BBA"/>
    <w:rsid w:val="003751A9"/>
    <w:rsid w:val="003751B1"/>
    <w:rsid w:val="00377478"/>
    <w:rsid w:val="00380125"/>
    <w:rsid w:val="00380803"/>
    <w:rsid w:val="00380FF7"/>
    <w:rsid w:val="00381027"/>
    <w:rsid w:val="003823E1"/>
    <w:rsid w:val="00382629"/>
    <w:rsid w:val="00383CB1"/>
    <w:rsid w:val="003852DD"/>
    <w:rsid w:val="00385A61"/>
    <w:rsid w:val="003864D8"/>
    <w:rsid w:val="003866A0"/>
    <w:rsid w:val="0038789C"/>
    <w:rsid w:val="00387BCE"/>
    <w:rsid w:val="00392ECD"/>
    <w:rsid w:val="00393AEA"/>
    <w:rsid w:val="0039413A"/>
    <w:rsid w:val="00394DFB"/>
    <w:rsid w:val="0039541E"/>
    <w:rsid w:val="00395A56"/>
    <w:rsid w:val="00395F56"/>
    <w:rsid w:val="0039675B"/>
    <w:rsid w:val="00396ACE"/>
    <w:rsid w:val="00396D8D"/>
    <w:rsid w:val="003A0ADB"/>
    <w:rsid w:val="003A0B06"/>
    <w:rsid w:val="003A1C31"/>
    <w:rsid w:val="003A294D"/>
    <w:rsid w:val="003A2E2E"/>
    <w:rsid w:val="003A4B03"/>
    <w:rsid w:val="003A5830"/>
    <w:rsid w:val="003A5872"/>
    <w:rsid w:val="003A5AE8"/>
    <w:rsid w:val="003A651E"/>
    <w:rsid w:val="003A7356"/>
    <w:rsid w:val="003A7AA4"/>
    <w:rsid w:val="003B0F51"/>
    <w:rsid w:val="003B2F12"/>
    <w:rsid w:val="003B370A"/>
    <w:rsid w:val="003B4280"/>
    <w:rsid w:val="003B47C8"/>
    <w:rsid w:val="003B5FA8"/>
    <w:rsid w:val="003B6765"/>
    <w:rsid w:val="003B729E"/>
    <w:rsid w:val="003B7E91"/>
    <w:rsid w:val="003C07B0"/>
    <w:rsid w:val="003C0A07"/>
    <w:rsid w:val="003C1938"/>
    <w:rsid w:val="003C2BFF"/>
    <w:rsid w:val="003C3C9D"/>
    <w:rsid w:val="003C57AC"/>
    <w:rsid w:val="003C5F25"/>
    <w:rsid w:val="003C6442"/>
    <w:rsid w:val="003C7272"/>
    <w:rsid w:val="003C7277"/>
    <w:rsid w:val="003D0598"/>
    <w:rsid w:val="003D36E2"/>
    <w:rsid w:val="003D3E57"/>
    <w:rsid w:val="003D7C61"/>
    <w:rsid w:val="003D7E43"/>
    <w:rsid w:val="003E0957"/>
    <w:rsid w:val="003E3863"/>
    <w:rsid w:val="003E412A"/>
    <w:rsid w:val="003E4D27"/>
    <w:rsid w:val="003E5D63"/>
    <w:rsid w:val="003E6248"/>
    <w:rsid w:val="003E6489"/>
    <w:rsid w:val="003E6946"/>
    <w:rsid w:val="003E76E4"/>
    <w:rsid w:val="003F16C7"/>
    <w:rsid w:val="003F4659"/>
    <w:rsid w:val="003F5FD4"/>
    <w:rsid w:val="003F7F30"/>
    <w:rsid w:val="00403196"/>
    <w:rsid w:val="00403955"/>
    <w:rsid w:val="00404178"/>
    <w:rsid w:val="00404AAB"/>
    <w:rsid w:val="00404FA0"/>
    <w:rsid w:val="0040575F"/>
    <w:rsid w:val="00405B5D"/>
    <w:rsid w:val="00405E75"/>
    <w:rsid w:val="0040673A"/>
    <w:rsid w:val="00406A4E"/>
    <w:rsid w:val="0041100C"/>
    <w:rsid w:val="004114E7"/>
    <w:rsid w:val="004164A5"/>
    <w:rsid w:val="0042181B"/>
    <w:rsid w:val="00421F2B"/>
    <w:rsid w:val="0042237F"/>
    <w:rsid w:val="004246B5"/>
    <w:rsid w:val="004254D5"/>
    <w:rsid w:val="0042704F"/>
    <w:rsid w:val="0043038B"/>
    <w:rsid w:val="00430E4E"/>
    <w:rsid w:val="00431031"/>
    <w:rsid w:val="00431A4E"/>
    <w:rsid w:val="00431FC1"/>
    <w:rsid w:val="00433E73"/>
    <w:rsid w:val="00433FFE"/>
    <w:rsid w:val="00436274"/>
    <w:rsid w:val="00436E04"/>
    <w:rsid w:val="00437FAC"/>
    <w:rsid w:val="00440532"/>
    <w:rsid w:val="0044159D"/>
    <w:rsid w:val="00442AC2"/>
    <w:rsid w:val="004438EF"/>
    <w:rsid w:val="00443C83"/>
    <w:rsid w:val="00443CFB"/>
    <w:rsid w:val="00444249"/>
    <w:rsid w:val="00444988"/>
    <w:rsid w:val="004465F5"/>
    <w:rsid w:val="00446DD5"/>
    <w:rsid w:val="00450734"/>
    <w:rsid w:val="00450CEC"/>
    <w:rsid w:val="00450FA5"/>
    <w:rsid w:val="0045125A"/>
    <w:rsid w:val="00451C34"/>
    <w:rsid w:val="00452BAE"/>
    <w:rsid w:val="00453AA7"/>
    <w:rsid w:val="004541DF"/>
    <w:rsid w:val="004557EF"/>
    <w:rsid w:val="004564E9"/>
    <w:rsid w:val="00456F90"/>
    <w:rsid w:val="00457CAB"/>
    <w:rsid w:val="004601FD"/>
    <w:rsid w:val="00460347"/>
    <w:rsid w:val="004618DB"/>
    <w:rsid w:val="0046255D"/>
    <w:rsid w:val="00462F38"/>
    <w:rsid w:val="00463247"/>
    <w:rsid w:val="00463383"/>
    <w:rsid w:val="00464E61"/>
    <w:rsid w:val="0046598D"/>
    <w:rsid w:val="004678F5"/>
    <w:rsid w:val="00470517"/>
    <w:rsid w:val="0047176D"/>
    <w:rsid w:val="00471FFA"/>
    <w:rsid w:val="00472B9E"/>
    <w:rsid w:val="004735EA"/>
    <w:rsid w:val="00474F61"/>
    <w:rsid w:val="004768FA"/>
    <w:rsid w:val="00477268"/>
    <w:rsid w:val="0047734D"/>
    <w:rsid w:val="00480526"/>
    <w:rsid w:val="004805F8"/>
    <w:rsid w:val="00480942"/>
    <w:rsid w:val="00481732"/>
    <w:rsid w:val="00482FCA"/>
    <w:rsid w:val="004835F5"/>
    <w:rsid w:val="00483ADB"/>
    <w:rsid w:val="004854B9"/>
    <w:rsid w:val="0048559A"/>
    <w:rsid w:val="00486790"/>
    <w:rsid w:val="004870F4"/>
    <w:rsid w:val="00490881"/>
    <w:rsid w:val="00490B5F"/>
    <w:rsid w:val="004919D7"/>
    <w:rsid w:val="00492D29"/>
    <w:rsid w:val="0049324F"/>
    <w:rsid w:val="004937DE"/>
    <w:rsid w:val="00493D24"/>
    <w:rsid w:val="00494ACB"/>
    <w:rsid w:val="00494F7D"/>
    <w:rsid w:val="00496CBE"/>
    <w:rsid w:val="004976E4"/>
    <w:rsid w:val="004A01A0"/>
    <w:rsid w:val="004A0246"/>
    <w:rsid w:val="004A0A89"/>
    <w:rsid w:val="004A0B43"/>
    <w:rsid w:val="004A0CA6"/>
    <w:rsid w:val="004A208D"/>
    <w:rsid w:val="004A2A49"/>
    <w:rsid w:val="004A2F29"/>
    <w:rsid w:val="004A35D8"/>
    <w:rsid w:val="004A5C33"/>
    <w:rsid w:val="004A6BEC"/>
    <w:rsid w:val="004A7952"/>
    <w:rsid w:val="004B0007"/>
    <w:rsid w:val="004B0259"/>
    <w:rsid w:val="004B11EE"/>
    <w:rsid w:val="004B2289"/>
    <w:rsid w:val="004B264B"/>
    <w:rsid w:val="004B33B8"/>
    <w:rsid w:val="004B36B7"/>
    <w:rsid w:val="004C0B69"/>
    <w:rsid w:val="004C2541"/>
    <w:rsid w:val="004C40E9"/>
    <w:rsid w:val="004C5E43"/>
    <w:rsid w:val="004C6C0B"/>
    <w:rsid w:val="004C736F"/>
    <w:rsid w:val="004C7916"/>
    <w:rsid w:val="004D0026"/>
    <w:rsid w:val="004D07B4"/>
    <w:rsid w:val="004D09F9"/>
    <w:rsid w:val="004D0D77"/>
    <w:rsid w:val="004D18AD"/>
    <w:rsid w:val="004D34B7"/>
    <w:rsid w:val="004D3834"/>
    <w:rsid w:val="004D3F2B"/>
    <w:rsid w:val="004D45BE"/>
    <w:rsid w:val="004D667C"/>
    <w:rsid w:val="004D70B5"/>
    <w:rsid w:val="004D71BF"/>
    <w:rsid w:val="004D7D42"/>
    <w:rsid w:val="004E1421"/>
    <w:rsid w:val="004E1EEC"/>
    <w:rsid w:val="004E36CF"/>
    <w:rsid w:val="004E3B96"/>
    <w:rsid w:val="004E3EB2"/>
    <w:rsid w:val="004E61FD"/>
    <w:rsid w:val="004E67B2"/>
    <w:rsid w:val="004E67DD"/>
    <w:rsid w:val="004F1F82"/>
    <w:rsid w:val="004F310F"/>
    <w:rsid w:val="004F3140"/>
    <w:rsid w:val="004F3616"/>
    <w:rsid w:val="004F51DD"/>
    <w:rsid w:val="004F5AFD"/>
    <w:rsid w:val="004F6C61"/>
    <w:rsid w:val="004F7268"/>
    <w:rsid w:val="004F744B"/>
    <w:rsid w:val="004F7571"/>
    <w:rsid w:val="00500BF0"/>
    <w:rsid w:val="00500ED6"/>
    <w:rsid w:val="00501054"/>
    <w:rsid w:val="00502259"/>
    <w:rsid w:val="00502367"/>
    <w:rsid w:val="00502648"/>
    <w:rsid w:val="00502836"/>
    <w:rsid w:val="00503063"/>
    <w:rsid w:val="00504255"/>
    <w:rsid w:val="00504EFA"/>
    <w:rsid w:val="00504FBA"/>
    <w:rsid w:val="00506681"/>
    <w:rsid w:val="005067B1"/>
    <w:rsid w:val="00506C3C"/>
    <w:rsid w:val="00507059"/>
    <w:rsid w:val="00507237"/>
    <w:rsid w:val="0050753D"/>
    <w:rsid w:val="00507CF2"/>
    <w:rsid w:val="00507D6A"/>
    <w:rsid w:val="00510661"/>
    <w:rsid w:val="00511C3F"/>
    <w:rsid w:val="0051230E"/>
    <w:rsid w:val="00513EA0"/>
    <w:rsid w:val="00513EDC"/>
    <w:rsid w:val="00515D49"/>
    <w:rsid w:val="0051637D"/>
    <w:rsid w:val="005166E5"/>
    <w:rsid w:val="00516BD1"/>
    <w:rsid w:val="005207A6"/>
    <w:rsid w:val="005214E6"/>
    <w:rsid w:val="005270F5"/>
    <w:rsid w:val="005272A7"/>
    <w:rsid w:val="00527662"/>
    <w:rsid w:val="005279B2"/>
    <w:rsid w:val="0053013C"/>
    <w:rsid w:val="0053073C"/>
    <w:rsid w:val="0053129B"/>
    <w:rsid w:val="00532EAD"/>
    <w:rsid w:val="0053455A"/>
    <w:rsid w:val="00534E85"/>
    <w:rsid w:val="00534EA8"/>
    <w:rsid w:val="005363D8"/>
    <w:rsid w:val="00541935"/>
    <w:rsid w:val="00541DB9"/>
    <w:rsid w:val="005430BB"/>
    <w:rsid w:val="005442D7"/>
    <w:rsid w:val="005454A6"/>
    <w:rsid w:val="005455C5"/>
    <w:rsid w:val="00546984"/>
    <w:rsid w:val="005469A9"/>
    <w:rsid w:val="005473CA"/>
    <w:rsid w:val="0055015E"/>
    <w:rsid w:val="005501AD"/>
    <w:rsid w:val="00551706"/>
    <w:rsid w:val="00551EEC"/>
    <w:rsid w:val="00552888"/>
    <w:rsid w:val="005529EB"/>
    <w:rsid w:val="005531EA"/>
    <w:rsid w:val="005533FD"/>
    <w:rsid w:val="00553DAD"/>
    <w:rsid w:val="005567F1"/>
    <w:rsid w:val="00556E1D"/>
    <w:rsid w:val="00557866"/>
    <w:rsid w:val="00557A9F"/>
    <w:rsid w:val="005603B1"/>
    <w:rsid w:val="00560D49"/>
    <w:rsid w:val="0056137A"/>
    <w:rsid w:val="005617EF"/>
    <w:rsid w:val="005624AF"/>
    <w:rsid w:val="005626C2"/>
    <w:rsid w:val="00562D2F"/>
    <w:rsid w:val="00564498"/>
    <w:rsid w:val="0056548E"/>
    <w:rsid w:val="00565CF9"/>
    <w:rsid w:val="0056687E"/>
    <w:rsid w:val="005673AB"/>
    <w:rsid w:val="00570BD7"/>
    <w:rsid w:val="00571172"/>
    <w:rsid w:val="005716ED"/>
    <w:rsid w:val="005717C5"/>
    <w:rsid w:val="00572338"/>
    <w:rsid w:val="005751ED"/>
    <w:rsid w:val="00575EB4"/>
    <w:rsid w:val="00576850"/>
    <w:rsid w:val="0057731C"/>
    <w:rsid w:val="005779CE"/>
    <w:rsid w:val="00577D77"/>
    <w:rsid w:val="005843F2"/>
    <w:rsid w:val="00584572"/>
    <w:rsid w:val="00585C9F"/>
    <w:rsid w:val="00585FDA"/>
    <w:rsid w:val="00586EC3"/>
    <w:rsid w:val="00587BB8"/>
    <w:rsid w:val="005915AC"/>
    <w:rsid w:val="00591804"/>
    <w:rsid w:val="00592E61"/>
    <w:rsid w:val="00593678"/>
    <w:rsid w:val="0059572D"/>
    <w:rsid w:val="005A1DB4"/>
    <w:rsid w:val="005A3FDC"/>
    <w:rsid w:val="005A4428"/>
    <w:rsid w:val="005A49DA"/>
    <w:rsid w:val="005B10F0"/>
    <w:rsid w:val="005B1EF2"/>
    <w:rsid w:val="005B244B"/>
    <w:rsid w:val="005B2850"/>
    <w:rsid w:val="005B2D56"/>
    <w:rsid w:val="005B2E6E"/>
    <w:rsid w:val="005B4081"/>
    <w:rsid w:val="005B4A10"/>
    <w:rsid w:val="005B4B34"/>
    <w:rsid w:val="005B6CC1"/>
    <w:rsid w:val="005B716B"/>
    <w:rsid w:val="005B7F06"/>
    <w:rsid w:val="005C0304"/>
    <w:rsid w:val="005C46F0"/>
    <w:rsid w:val="005C6D91"/>
    <w:rsid w:val="005C722A"/>
    <w:rsid w:val="005C728E"/>
    <w:rsid w:val="005D0A97"/>
    <w:rsid w:val="005D39AE"/>
    <w:rsid w:val="005D490D"/>
    <w:rsid w:val="005D4FD2"/>
    <w:rsid w:val="005D53F3"/>
    <w:rsid w:val="005D605C"/>
    <w:rsid w:val="005D6506"/>
    <w:rsid w:val="005D6703"/>
    <w:rsid w:val="005D6998"/>
    <w:rsid w:val="005D769E"/>
    <w:rsid w:val="005D77B1"/>
    <w:rsid w:val="005D7B62"/>
    <w:rsid w:val="005E11AE"/>
    <w:rsid w:val="005E17C7"/>
    <w:rsid w:val="005E239D"/>
    <w:rsid w:val="005E2783"/>
    <w:rsid w:val="005E46CD"/>
    <w:rsid w:val="005E4A12"/>
    <w:rsid w:val="005E7570"/>
    <w:rsid w:val="005F0402"/>
    <w:rsid w:val="005F10FD"/>
    <w:rsid w:val="005F1850"/>
    <w:rsid w:val="005F1D19"/>
    <w:rsid w:val="005F2AA9"/>
    <w:rsid w:val="005F3423"/>
    <w:rsid w:val="005F55FE"/>
    <w:rsid w:val="005F613C"/>
    <w:rsid w:val="005F63D1"/>
    <w:rsid w:val="00600446"/>
    <w:rsid w:val="00600D89"/>
    <w:rsid w:val="00601958"/>
    <w:rsid w:val="006045DF"/>
    <w:rsid w:val="00604950"/>
    <w:rsid w:val="0060512F"/>
    <w:rsid w:val="00605F0B"/>
    <w:rsid w:val="00607063"/>
    <w:rsid w:val="00610797"/>
    <w:rsid w:val="00610929"/>
    <w:rsid w:val="00612102"/>
    <w:rsid w:val="006138D3"/>
    <w:rsid w:val="006170EE"/>
    <w:rsid w:val="00620249"/>
    <w:rsid w:val="0062171C"/>
    <w:rsid w:val="00621891"/>
    <w:rsid w:val="00621ECF"/>
    <w:rsid w:val="00621F8A"/>
    <w:rsid w:val="0062312A"/>
    <w:rsid w:val="0062323C"/>
    <w:rsid w:val="00623789"/>
    <w:rsid w:val="00623CD3"/>
    <w:rsid w:val="00624680"/>
    <w:rsid w:val="0062481B"/>
    <w:rsid w:val="00624FC1"/>
    <w:rsid w:val="00625325"/>
    <w:rsid w:val="006258D0"/>
    <w:rsid w:val="006301F7"/>
    <w:rsid w:val="00630367"/>
    <w:rsid w:val="00631E5F"/>
    <w:rsid w:val="00631F47"/>
    <w:rsid w:val="00631F9C"/>
    <w:rsid w:val="00633F1C"/>
    <w:rsid w:val="00635087"/>
    <w:rsid w:val="00635B8D"/>
    <w:rsid w:val="006370D7"/>
    <w:rsid w:val="00640ECA"/>
    <w:rsid w:val="00641EAC"/>
    <w:rsid w:val="00643B62"/>
    <w:rsid w:val="00644A4F"/>
    <w:rsid w:val="00644CDC"/>
    <w:rsid w:val="00646471"/>
    <w:rsid w:val="00647A77"/>
    <w:rsid w:val="00651614"/>
    <w:rsid w:val="00651F58"/>
    <w:rsid w:val="00653371"/>
    <w:rsid w:val="00654A29"/>
    <w:rsid w:val="00654D51"/>
    <w:rsid w:val="006550B1"/>
    <w:rsid w:val="006552FB"/>
    <w:rsid w:val="00656E90"/>
    <w:rsid w:val="0066129E"/>
    <w:rsid w:val="00661320"/>
    <w:rsid w:val="00662207"/>
    <w:rsid w:val="00662818"/>
    <w:rsid w:val="00662D5D"/>
    <w:rsid w:val="00663664"/>
    <w:rsid w:val="00664D2F"/>
    <w:rsid w:val="00665168"/>
    <w:rsid w:val="00665CC1"/>
    <w:rsid w:val="00665E6D"/>
    <w:rsid w:val="0066641E"/>
    <w:rsid w:val="00667A3C"/>
    <w:rsid w:val="00670997"/>
    <w:rsid w:val="00671D76"/>
    <w:rsid w:val="00673E0E"/>
    <w:rsid w:val="00674E51"/>
    <w:rsid w:val="006757D4"/>
    <w:rsid w:val="0067657A"/>
    <w:rsid w:val="006803A5"/>
    <w:rsid w:val="006807F1"/>
    <w:rsid w:val="00680D7D"/>
    <w:rsid w:val="00681335"/>
    <w:rsid w:val="006820E7"/>
    <w:rsid w:val="00682DFC"/>
    <w:rsid w:val="006844A8"/>
    <w:rsid w:val="00685BB9"/>
    <w:rsid w:val="0068787C"/>
    <w:rsid w:val="0069003C"/>
    <w:rsid w:val="00690EB8"/>
    <w:rsid w:val="00690F04"/>
    <w:rsid w:val="0069100E"/>
    <w:rsid w:val="006911C5"/>
    <w:rsid w:val="00691B63"/>
    <w:rsid w:val="00692A4C"/>
    <w:rsid w:val="00695F46"/>
    <w:rsid w:val="006967B5"/>
    <w:rsid w:val="00696E28"/>
    <w:rsid w:val="00697474"/>
    <w:rsid w:val="006A064A"/>
    <w:rsid w:val="006A1557"/>
    <w:rsid w:val="006A1E0C"/>
    <w:rsid w:val="006A1EB2"/>
    <w:rsid w:val="006A1FC2"/>
    <w:rsid w:val="006A212E"/>
    <w:rsid w:val="006A2935"/>
    <w:rsid w:val="006A4883"/>
    <w:rsid w:val="006A6123"/>
    <w:rsid w:val="006A6792"/>
    <w:rsid w:val="006A70DB"/>
    <w:rsid w:val="006B174D"/>
    <w:rsid w:val="006B2B2C"/>
    <w:rsid w:val="006B6804"/>
    <w:rsid w:val="006B77A6"/>
    <w:rsid w:val="006C06EE"/>
    <w:rsid w:val="006C18FC"/>
    <w:rsid w:val="006C1EA8"/>
    <w:rsid w:val="006C29A5"/>
    <w:rsid w:val="006C3AD2"/>
    <w:rsid w:val="006C4237"/>
    <w:rsid w:val="006C5BA2"/>
    <w:rsid w:val="006C620D"/>
    <w:rsid w:val="006C6CDD"/>
    <w:rsid w:val="006C7122"/>
    <w:rsid w:val="006C7165"/>
    <w:rsid w:val="006C7C93"/>
    <w:rsid w:val="006D0374"/>
    <w:rsid w:val="006D0EF1"/>
    <w:rsid w:val="006D10DA"/>
    <w:rsid w:val="006D1971"/>
    <w:rsid w:val="006D1A57"/>
    <w:rsid w:val="006D2ECE"/>
    <w:rsid w:val="006D4B8B"/>
    <w:rsid w:val="006D4CFD"/>
    <w:rsid w:val="006D4D09"/>
    <w:rsid w:val="006D4D1A"/>
    <w:rsid w:val="006D5948"/>
    <w:rsid w:val="006E196B"/>
    <w:rsid w:val="006E2FA2"/>
    <w:rsid w:val="006E316A"/>
    <w:rsid w:val="006E32CF"/>
    <w:rsid w:val="006E383F"/>
    <w:rsid w:val="006E5E6F"/>
    <w:rsid w:val="006E667C"/>
    <w:rsid w:val="006E67B2"/>
    <w:rsid w:val="006E6801"/>
    <w:rsid w:val="006E6925"/>
    <w:rsid w:val="006E7919"/>
    <w:rsid w:val="006E79D5"/>
    <w:rsid w:val="006F0F7B"/>
    <w:rsid w:val="006F428C"/>
    <w:rsid w:val="006F4AAA"/>
    <w:rsid w:val="006F5D54"/>
    <w:rsid w:val="006F73AB"/>
    <w:rsid w:val="00700175"/>
    <w:rsid w:val="00701157"/>
    <w:rsid w:val="00701E87"/>
    <w:rsid w:val="007020BB"/>
    <w:rsid w:val="0070222F"/>
    <w:rsid w:val="007036C1"/>
    <w:rsid w:val="0070484D"/>
    <w:rsid w:val="00707B9F"/>
    <w:rsid w:val="00707E87"/>
    <w:rsid w:val="00710C8B"/>
    <w:rsid w:val="00712C4A"/>
    <w:rsid w:val="007142B1"/>
    <w:rsid w:val="007143AE"/>
    <w:rsid w:val="0071482E"/>
    <w:rsid w:val="00714AD5"/>
    <w:rsid w:val="00716152"/>
    <w:rsid w:val="00716E81"/>
    <w:rsid w:val="0071777A"/>
    <w:rsid w:val="0072023E"/>
    <w:rsid w:val="007212CD"/>
    <w:rsid w:val="0072176E"/>
    <w:rsid w:val="007228BC"/>
    <w:rsid w:val="00722D13"/>
    <w:rsid w:val="00724930"/>
    <w:rsid w:val="00726B3F"/>
    <w:rsid w:val="00730323"/>
    <w:rsid w:val="00730B06"/>
    <w:rsid w:val="007315D4"/>
    <w:rsid w:val="007316AC"/>
    <w:rsid w:val="00731A45"/>
    <w:rsid w:val="007331BE"/>
    <w:rsid w:val="00733761"/>
    <w:rsid w:val="00733C5D"/>
    <w:rsid w:val="00734450"/>
    <w:rsid w:val="00734BB2"/>
    <w:rsid w:val="007355F3"/>
    <w:rsid w:val="007356C3"/>
    <w:rsid w:val="00736943"/>
    <w:rsid w:val="00736A9D"/>
    <w:rsid w:val="00736BAE"/>
    <w:rsid w:val="00736C0A"/>
    <w:rsid w:val="00737575"/>
    <w:rsid w:val="0073799F"/>
    <w:rsid w:val="007400F7"/>
    <w:rsid w:val="00740D2F"/>
    <w:rsid w:val="00741058"/>
    <w:rsid w:val="00741B7D"/>
    <w:rsid w:val="00741EC9"/>
    <w:rsid w:val="00743C48"/>
    <w:rsid w:val="007445E9"/>
    <w:rsid w:val="0074483F"/>
    <w:rsid w:val="00745D3D"/>
    <w:rsid w:val="00746181"/>
    <w:rsid w:val="00746ABE"/>
    <w:rsid w:val="00751EC1"/>
    <w:rsid w:val="00751F2E"/>
    <w:rsid w:val="0075295C"/>
    <w:rsid w:val="00752AD8"/>
    <w:rsid w:val="007541B6"/>
    <w:rsid w:val="007547E8"/>
    <w:rsid w:val="0075644E"/>
    <w:rsid w:val="0076126C"/>
    <w:rsid w:val="00762498"/>
    <w:rsid w:val="00762D11"/>
    <w:rsid w:val="0076583B"/>
    <w:rsid w:val="0076611E"/>
    <w:rsid w:val="00766A9E"/>
    <w:rsid w:val="007678EC"/>
    <w:rsid w:val="00770B66"/>
    <w:rsid w:val="00770E09"/>
    <w:rsid w:val="00773AD9"/>
    <w:rsid w:val="00773CA6"/>
    <w:rsid w:val="00774DAD"/>
    <w:rsid w:val="007752B5"/>
    <w:rsid w:val="007752C2"/>
    <w:rsid w:val="00775ADB"/>
    <w:rsid w:val="007778BF"/>
    <w:rsid w:val="00780E2F"/>
    <w:rsid w:val="00780E38"/>
    <w:rsid w:val="007816DD"/>
    <w:rsid w:val="007821CD"/>
    <w:rsid w:val="00782E94"/>
    <w:rsid w:val="0078483F"/>
    <w:rsid w:val="00784BAB"/>
    <w:rsid w:val="00785D04"/>
    <w:rsid w:val="00786C91"/>
    <w:rsid w:val="00787AA5"/>
    <w:rsid w:val="00787AAC"/>
    <w:rsid w:val="00787CFA"/>
    <w:rsid w:val="007908F5"/>
    <w:rsid w:val="00790D85"/>
    <w:rsid w:val="00790F62"/>
    <w:rsid w:val="007916A3"/>
    <w:rsid w:val="00791C16"/>
    <w:rsid w:val="00793C06"/>
    <w:rsid w:val="00794162"/>
    <w:rsid w:val="00794A9E"/>
    <w:rsid w:val="0079531C"/>
    <w:rsid w:val="00795A3E"/>
    <w:rsid w:val="00796E00"/>
    <w:rsid w:val="007A05B6"/>
    <w:rsid w:val="007A2620"/>
    <w:rsid w:val="007A3E1F"/>
    <w:rsid w:val="007A40BC"/>
    <w:rsid w:val="007A4132"/>
    <w:rsid w:val="007A433A"/>
    <w:rsid w:val="007A49DB"/>
    <w:rsid w:val="007A4B5E"/>
    <w:rsid w:val="007A545E"/>
    <w:rsid w:val="007A5E39"/>
    <w:rsid w:val="007A7873"/>
    <w:rsid w:val="007B1B30"/>
    <w:rsid w:val="007B2179"/>
    <w:rsid w:val="007B299D"/>
    <w:rsid w:val="007B2FB9"/>
    <w:rsid w:val="007B2FCC"/>
    <w:rsid w:val="007B329E"/>
    <w:rsid w:val="007B4589"/>
    <w:rsid w:val="007B4D3B"/>
    <w:rsid w:val="007B6D31"/>
    <w:rsid w:val="007B723E"/>
    <w:rsid w:val="007B7338"/>
    <w:rsid w:val="007C0D3A"/>
    <w:rsid w:val="007C0F2C"/>
    <w:rsid w:val="007C1B08"/>
    <w:rsid w:val="007C3005"/>
    <w:rsid w:val="007C38DB"/>
    <w:rsid w:val="007C427A"/>
    <w:rsid w:val="007C485C"/>
    <w:rsid w:val="007C63F0"/>
    <w:rsid w:val="007C7B08"/>
    <w:rsid w:val="007D19CA"/>
    <w:rsid w:val="007D1BF5"/>
    <w:rsid w:val="007D3404"/>
    <w:rsid w:val="007D3571"/>
    <w:rsid w:val="007D374F"/>
    <w:rsid w:val="007D40ED"/>
    <w:rsid w:val="007D5CDE"/>
    <w:rsid w:val="007D5DFD"/>
    <w:rsid w:val="007D7666"/>
    <w:rsid w:val="007D7D08"/>
    <w:rsid w:val="007E11EC"/>
    <w:rsid w:val="007E13A0"/>
    <w:rsid w:val="007E1811"/>
    <w:rsid w:val="007E25BE"/>
    <w:rsid w:val="007E34D2"/>
    <w:rsid w:val="007E3600"/>
    <w:rsid w:val="007E48D9"/>
    <w:rsid w:val="007F1C64"/>
    <w:rsid w:val="007F2993"/>
    <w:rsid w:val="007F2EA4"/>
    <w:rsid w:val="007F38A4"/>
    <w:rsid w:val="007F3A38"/>
    <w:rsid w:val="007F4116"/>
    <w:rsid w:val="007F4FA2"/>
    <w:rsid w:val="007F5A12"/>
    <w:rsid w:val="007F6850"/>
    <w:rsid w:val="007F6E47"/>
    <w:rsid w:val="007F7969"/>
    <w:rsid w:val="007F7AA4"/>
    <w:rsid w:val="008000C8"/>
    <w:rsid w:val="008014BD"/>
    <w:rsid w:val="00801B4A"/>
    <w:rsid w:val="0080305F"/>
    <w:rsid w:val="00803F8E"/>
    <w:rsid w:val="008055EF"/>
    <w:rsid w:val="008074DD"/>
    <w:rsid w:val="00810ED5"/>
    <w:rsid w:val="00811BB5"/>
    <w:rsid w:val="0081210B"/>
    <w:rsid w:val="008124E2"/>
    <w:rsid w:val="0081428F"/>
    <w:rsid w:val="008147A4"/>
    <w:rsid w:val="00814B5C"/>
    <w:rsid w:val="008154F5"/>
    <w:rsid w:val="00815D4E"/>
    <w:rsid w:val="00816E17"/>
    <w:rsid w:val="00822AA3"/>
    <w:rsid w:val="00822E26"/>
    <w:rsid w:val="00822EF6"/>
    <w:rsid w:val="008240D3"/>
    <w:rsid w:val="008246D7"/>
    <w:rsid w:val="0082502D"/>
    <w:rsid w:val="00826234"/>
    <w:rsid w:val="00826BAA"/>
    <w:rsid w:val="008274A9"/>
    <w:rsid w:val="008302E5"/>
    <w:rsid w:val="008310AB"/>
    <w:rsid w:val="00831653"/>
    <w:rsid w:val="00831E7F"/>
    <w:rsid w:val="0083238E"/>
    <w:rsid w:val="008328A0"/>
    <w:rsid w:val="00832A1A"/>
    <w:rsid w:val="00833869"/>
    <w:rsid w:val="00833CED"/>
    <w:rsid w:val="00833EFC"/>
    <w:rsid w:val="008343D2"/>
    <w:rsid w:val="00835A1B"/>
    <w:rsid w:val="00835AE6"/>
    <w:rsid w:val="00837A11"/>
    <w:rsid w:val="008425FA"/>
    <w:rsid w:val="00842BD4"/>
    <w:rsid w:val="00843195"/>
    <w:rsid w:val="00843CB2"/>
    <w:rsid w:val="0084580A"/>
    <w:rsid w:val="00847137"/>
    <w:rsid w:val="008501F2"/>
    <w:rsid w:val="00850829"/>
    <w:rsid w:val="00851D20"/>
    <w:rsid w:val="008529FF"/>
    <w:rsid w:val="00852CF2"/>
    <w:rsid w:val="00852D48"/>
    <w:rsid w:val="00853948"/>
    <w:rsid w:val="0085473E"/>
    <w:rsid w:val="008553CA"/>
    <w:rsid w:val="0085556F"/>
    <w:rsid w:val="00855737"/>
    <w:rsid w:val="00855AE2"/>
    <w:rsid w:val="00855C07"/>
    <w:rsid w:val="00855C87"/>
    <w:rsid w:val="008560B8"/>
    <w:rsid w:val="008570F5"/>
    <w:rsid w:val="008578AD"/>
    <w:rsid w:val="008604E0"/>
    <w:rsid w:val="00861CC0"/>
    <w:rsid w:val="00862A3F"/>
    <w:rsid w:val="00863CCF"/>
    <w:rsid w:val="00865CF2"/>
    <w:rsid w:val="00866606"/>
    <w:rsid w:val="008669AF"/>
    <w:rsid w:val="0086712A"/>
    <w:rsid w:val="00867BA3"/>
    <w:rsid w:val="00870698"/>
    <w:rsid w:val="008726F7"/>
    <w:rsid w:val="008728DD"/>
    <w:rsid w:val="00873D1F"/>
    <w:rsid w:val="00874B87"/>
    <w:rsid w:val="00874BBA"/>
    <w:rsid w:val="00874C1A"/>
    <w:rsid w:val="008762C3"/>
    <w:rsid w:val="008768C8"/>
    <w:rsid w:val="00876E62"/>
    <w:rsid w:val="0087706A"/>
    <w:rsid w:val="00877E3A"/>
    <w:rsid w:val="008807F4"/>
    <w:rsid w:val="008815F2"/>
    <w:rsid w:val="00882FEA"/>
    <w:rsid w:val="00884D01"/>
    <w:rsid w:val="0088616D"/>
    <w:rsid w:val="0088624F"/>
    <w:rsid w:val="008864E5"/>
    <w:rsid w:val="008872AD"/>
    <w:rsid w:val="00887C03"/>
    <w:rsid w:val="008901A5"/>
    <w:rsid w:val="0089028A"/>
    <w:rsid w:val="008927EC"/>
    <w:rsid w:val="00893996"/>
    <w:rsid w:val="008951BC"/>
    <w:rsid w:val="008953D0"/>
    <w:rsid w:val="00895641"/>
    <w:rsid w:val="0089603C"/>
    <w:rsid w:val="008961D6"/>
    <w:rsid w:val="008A0164"/>
    <w:rsid w:val="008A0D93"/>
    <w:rsid w:val="008A110A"/>
    <w:rsid w:val="008A131B"/>
    <w:rsid w:val="008A27F6"/>
    <w:rsid w:val="008A3266"/>
    <w:rsid w:val="008A539C"/>
    <w:rsid w:val="008A58A3"/>
    <w:rsid w:val="008A6AAB"/>
    <w:rsid w:val="008A719A"/>
    <w:rsid w:val="008A7C99"/>
    <w:rsid w:val="008B0E1B"/>
    <w:rsid w:val="008B135D"/>
    <w:rsid w:val="008B2528"/>
    <w:rsid w:val="008B2F93"/>
    <w:rsid w:val="008B5804"/>
    <w:rsid w:val="008B7E2F"/>
    <w:rsid w:val="008C0462"/>
    <w:rsid w:val="008C208C"/>
    <w:rsid w:val="008C2813"/>
    <w:rsid w:val="008C2F50"/>
    <w:rsid w:val="008C5354"/>
    <w:rsid w:val="008C54D8"/>
    <w:rsid w:val="008C5C36"/>
    <w:rsid w:val="008C6337"/>
    <w:rsid w:val="008C7691"/>
    <w:rsid w:val="008D2ABD"/>
    <w:rsid w:val="008D41E4"/>
    <w:rsid w:val="008D46C2"/>
    <w:rsid w:val="008D5AAF"/>
    <w:rsid w:val="008D5C3E"/>
    <w:rsid w:val="008D642E"/>
    <w:rsid w:val="008D65E8"/>
    <w:rsid w:val="008D695C"/>
    <w:rsid w:val="008D6EAE"/>
    <w:rsid w:val="008E00A8"/>
    <w:rsid w:val="008E3808"/>
    <w:rsid w:val="008E40D3"/>
    <w:rsid w:val="008E63EC"/>
    <w:rsid w:val="008E69F3"/>
    <w:rsid w:val="008E7C06"/>
    <w:rsid w:val="008E7DC7"/>
    <w:rsid w:val="008E7FBA"/>
    <w:rsid w:val="008F027B"/>
    <w:rsid w:val="008F0A59"/>
    <w:rsid w:val="008F1DCB"/>
    <w:rsid w:val="008F3577"/>
    <w:rsid w:val="008F62F8"/>
    <w:rsid w:val="008F6F61"/>
    <w:rsid w:val="008F72DB"/>
    <w:rsid w:val="008F72EA"/>
    <w:rsid w:val="009004CB"/>
    <w:rsid w:val="009007C0"/>
    <w:rsid w:val="009010B6"/>
    <w:rsid w:val="0090158F"/>
    <w:rsid w:val="00902025"/>
    <w:rsid w:val="009032F7"/>
    <w:rsid w:val="00904171"/>
    <w:rsid w:val="0090442F"/>
    <w:rsid w:val="00904795"/>
    <w:rsid w:val="00904C80"/>
    <w:rsid w:val="00904C81"/>
    <w:rsid w:val="0090777F"/>
    <w:rsid w:val="0091003C"/>
    <w:rsid w:val="0091113E"/>
    <w:rsid w:val="009121DA"/>
    <w:rsid w:val="00912596"/>
    <w:rsid w:val="00913473"/>
    <w:rsid w:val="00913C06"/>
    <w:rsid w:val="00913FEF"/>
    <w:rsid w:val="009148CD"/>
    <w:rsid w:val="009150CB"/>
    <w:rsid w:val="0091518F"/>
    <w:rsid w:val="00915802"/>
    <w:rsid w:val="00916437"/>
    <w:rsid w:val="00916D63"/>
    <w:rsid w:val="009226C5"/>
    <w:rsid w:val="009231A7"/>
    <w:rsid w:val="009231ED"/>
    <w:rsid w:val="00924D36"/>
    <w:rsid w:val="009274DD"/>
    <w:rsid w:val="00930D65"/>
    <w:rsid w:val="00930E5D"/>
    <w:rsid w:val="00931619"/>
    <w:rsid w:val="00931885"/>
    <w:rsid w:val="00932286"/>
    <w:rsid w:val="00933000"/>
    <w:rsid w:val="00933066"/>
    <w:rsid w:val="00934389"/>
    <w:rsid w:val="009346A0"/>
    <w:rsid w:val="00934E48"/>
    <w:rsid w:val="009357C5"/>
    <w:rsid w:val="00936304"/>
    <w:rsid w:val="00937AD9"/>
    <w:rsid w:val="00937CE7"/>
    <w:rsid w:val="00940B01"/>
    <w:rsid w:val="00941240"/>
    <w:rsid w:val="00942741"/>
    <w:rsid w:val="00943D09"/>
    <w:rsid w:val="0094566B"/>
    <w:rsid w:val="00946E59"/>
    <w:rsid w:val="00950007"/>
    <w:rsid w:val="00951BA3"/>
    <w:rsid w:val="00951D83"/>
    <w:rsid w:val="00951F11"/>
    <w:rsid w:val="00952225"/>
    <w:rsid w:val="00952299"/>
    <w:rsid w:val="00952709"/>
    <w:rsid w:val="00952ACF"/>
    <w:rsid w:val="00953523"/>
    <w:rsid w:val="009546BB"/>
    <w:rsid w:val="0095661A"/>
    <w:rsid w:val="00956956"/>
    <w:rsid w:val="009573C4"/>
    <w:rsid w:val="00961C89"/>
    <w:rsid w:val="00964129"/>
    <w:rsid w:val="00964248"/>
    <w:rsid w:val="00964B2E"/>
    <w:rsid w:val="00964D5B"/>
    <w:rsid w:val="009658FC"/>
    <w:rsid w:val="00966507"/>
    <w:rsid w:val="00966FB1"/>
    <w:rsid w:val="0096780F"/>
    <w:rsid w:val="00967F2F"/>
    <w:rsid w:val="009700EE"/>
    <w:rsid w:val="00970BEB"/>
    <w:rsid w:val="00972B36"/>
    <w:rsid w:val="009732ED"/>
    <w:rsid w:val="00973422"/>
    <w:rsid w:val="00973760"/>
    <w:rsid w:val="00973980"/>
    <w:rsid w:val="009743C2"/>
    <w:rsid w:val="00974B4E"/>
    <w:rsid w:val="0097610B"/>
    <w:rsid w:val="00976BD7"/>
    <w:rsid w:val="00980154"/>
    <w:rsid w:val="00980345"/>
    <w:rsid w:val="00980B0A"/>
    <w:rsid w:val="00980F0E"/>
    <w:rsid w:val="00982263"/>
    <w:rsid w:val="00982FB5"/>
    <w:rsid w:val="0098405B"/>
    <w:rsid w:val="00985750"/>
    <w:rsid w:val="0098636B"/>
    <w:rsid w:val="00987452"/>
    <w:rsid w:val="00990451"/>
    <w:rsid w:val="00990C37"/>
    <w:rsid w:val="0099108D"/>
    <w:rsid w:val="00992496"/>
    <w:rsid w:val="00993322"/>
    <w:rsid w:val="00993452"/>
    <w:rsid w:val="009946E9"/>
    <w:rsid w:val="009951DC"/>
    <w:rsid w:val="0099529B"/>
    <w:rsid w:val="00995B63"/>
    <w:rsid w:val="009974C0"/>
    <w:rsid w:val="00997EDA"/>
    <w:rsid w:val="009A0A0D"/>
    <w:rsid w:val="009A0B52"/>
    <w:rsid w:val="009A1E45"/>
    <w:rsid w:val="009A2FE8"/>
    <w:rsid w:val="009A40DB"/>
    <w:rsid w:val="009A5504"/>
    <w:rsid w:val="009A76BA"/>
    <w:rsid w:val="009A7742"/>
    <w:rsid w:val="009A7C7D"/>
    <w:rsid w:val="009B0CC3"/>
    <w:rsid w:val="009B2846"/>
    <w:rsid w:val="009B29BE"/>
    <w:rsid w:val="009B2D24"/>
    <w:rsid w:val="009B356B"/>
    <w:rsid w:val="009B56AD"/>
    <w:rsid w:val="009B576D"/>
    <w:rsid w:val="009B6BAA"/>
    <w:rsid w:val="009B6DE3"/>
    <w:rsid w:val="009C01CA"/>
    <w:rsid w:val="009C0CE5"/>
    <w:rsid w:val="009C1303"/>
    <w:rsid w:val="009C184E"/>
    <w:rsid w:val="009C25DB"/>
    <w:rsid w:val="009C55DC"/>
    <w:rsid w:val="009C5D29"/>
    <w:rsid w:val="009C6AC7"/>
    <w:rsid w:val="009C74D4"/>
    <w:rsid w:val="009D00FE"/>
    <w:rsid w:val="009D0D6E"/>
    <w:rsid w:val="009D17CD"/>
    <w:rsid w:val="009D2416"/>
    <w:rsid w:val="009D3189"/>
    <w:rsid w:val="009D31CF"/>
    <w:rsid w:val="009D3EB8"/>
    <w:rsid w:val="009D5241"/>
    <w:rsid w:val="009D5B89"/>
    <w:rsid w:val="009D65AC"/>
    <w:rsid w:val="009E064A"/>
    <w:rsid w:val="009E0E3A"/>
    <w:rsid w:val="009E17DF"/>
    <w:rsid w:val="009E1C81"/>
    <w:rsid w:val="009E33AC"/>
    <w:rsid w:val="009E41C1"/>
    <w:rsid w:val="009E5D24"/>
    <w:rsid w:val="009E5D4D"/>
    <w:rsid w:val="009E61BE"/>
    <w:rsid w:val="009E6523"/>
    <w:rsid w:val="009E6989"/>
    <w:rsid w:val="009E6E4F"/>
    <w:rsid w:val="009E7FF0"/>
    <w:rsid w:val="009F0D46"/>
    <w:rsid w:val="009F1687"/>
    <w:rsid w:val="009F241E"/>
    <w:rsid w:val="009F3BD0"/>
    <w:rsid w:val="009F4195"/>
    <w:rsid w:val="009F4584"/>
    <w:rsid w:val="009F4838"/>
    <w:rsid w:val="009F5441"/>
    <w:rsid w:val="009F575B"/>
    <w:rsid w:val="009F6B88"/>
    <w:rsid w:val="009F6FA6"/>
    <w:rsid w:val="009F73FD"/>
    <w:rsid w:val="009F7A0C"/>
    <w:rsid w:val="00A01440"/>
    <w:rsid w:val="00A0191D"/>
    <w:rsid w:val="00A0253F"/>
    <w:rsid w:val="00A03D34"/>
    <w:rsid w:val="00A05BA7"/>
    <w:rsid w:val="00A05BF5"/>
    <w:rsid w:val="00A07D05"/>
    <w:rsid w:val="00A1208A"/>
    <w:rsid w:val="00A120EB"/>
    <w:rsid w:val="00A12FC9"/>
    <w:rsid w:val="00A1348A"/>
    <w:rsid w:val="00A16808"/>
    <w:rsid w:val="00A17CD4"/>
    <w:rsid w:val="00A17E37"/>
    <w:rsid w:val="00A221B2"/>
    <w:rsid w:val="00A229C7"/>
    <w:rsid w:val="00A23F7E"/>
    <w:rsid w:val="00A25DF5"/>
    <w:rsid w:val="00A26A58"/>
    <w:rsid w:val="00A31C7A"/>
    <w:rsid w:val="00A32CA0"/>
    <w:rsid w:val="00A33401"/>
    <w:rsid w:val="00A3348E"/>
    <w:rsid w:val="00A339AC"/>
    <w:rsid w:val="00A34C8B"/>
    <w:rsid w:val="00A36E07"/>
    <w:rsid w:val="00A377DC"/>
    <w:rsid w:val="00A403AE"/>
    <w:rsid w:val="00A40D23"/>
    <w:rsid w:val="00A42649"/>
    <w:rsid w:val="00A42A73"/>
    <w:rsid w:val="00A42E81"/>
    <w:rsid w:val="00A43F5C"/>
    <w:rsid w:val="00A45ACB"/>
    <w:rsid w:val="00A46332"/>
    <w:rsid w:val="00A510A9"/>
    <w:rsid w:val="00A51174"/>
    <w:rsid w:val="00A51D90"/>
    <w:rsid w:val="00A51FED"/>
    <w:rsid w:val="00A52027"/>
    <w:rsid w:val="00A5388B"/>
    <w:rsid w:val="00A553CC"/>
    <w:rsid w:val="00A5561A"/>
    <w:rsid w:val="00A559CC"/>
    <w:rsid w:val="00A5652C"/>
    <w:rsid w:val="00A56632"/>
    <w:rsid w:val="00A567D6"/>
    <w:rsid w:val="00A57A35"/>
    <w:rsid w:val="00A60C57"/>
    <w:rsid w:val="00A60DA3"/>
    <w:rsid w:val="00A60E2C"/>
    <w:rsid w:val="00A61B78"/>
    <w:rsid w:val="00A65BBA"/>
    <w:rsid w:val="00A66794"/>
    <w:rsid w:val="00A66AA8"/>
    <w:rsid w:val="00A66C69"/>
    <w:rsid w:val="00A66DC6"/>
    <w:rsid w:val="00A67197"/>
    <w:rsid w:val="00A67289"/>
    <w:rsid w:val="00A67323"/>
    <w:rsid w:val="00A71DCA"/>
    <w:rsid w:val="00A7260E"/>
    <w:rsid w:val="00A73D7D"/>
    <w:rsid w:val="00A77019"/>
    <w:rsid w:val="00A801BF"/>
    <w:rsid w:val="00A80AFA"/>
    <w:rsid w:val="00A80EEC"/>
    <w:rsid w:val="00A80F28"/>
    <w:rsid w:val="00A81B60"/>
    <w:rsid w:val="00A81BC3"/>
    <w:rsid w:val="00A82EED"/>
    <w:rsid w:val="00A93151"/>
    <w:rsid w:val="00A933DB"/>
    <w:rsid w:val="00A93977"/>
    <w:rsid w:val="00A93FE3"/>
    <w:rsid w:val="00A942E3"/>
    <w:rsid w:val="00A946C5"/>
    <w:rsid w:val="00A94E86"/>
    <w:rsid w:val="00A94F54"/>
    <w:rsid w:val="00A9598B"/>
    <w:rsid w:val="00A96A2D"/>
    <w:rsid w:val="00A970F7"/>
    <w:rsid w:val="00AA07FB"/>
    <w:rsid w:val="00AA14F5"/>
    <w:rsid w:val="00AA1A3B"/>
    <w:rsid w:val="00AA1A44"/>
    <w:rsid w:val="00AA2E23"/>
    <w:rsid w:val="00AA69A4"/>
    <w:rsid w:val="00AA7143"/>
    <w:rsid w:val="00AA7CB9"/>
    <w:rsid w:val="00AB037D"/>
    <w:rsid w:val="00AB09CB"/>
    <w:rsid w:val="00AB11D7"/>
    <w:rsid w:val="00AB1FCE"/>
    <w:rsid w:val="00AB3A1B"/>
    <w:rsid w:val="00AB43E8"/>
    <w:rsid w:val="00AB6376"/>
    <w:rsid w:val="00AB7003"/>
    <w:rsid w:val="00AB7CBC"/>
    <w:rsid w:val="00AC0104"/>
    <w:rsid w:val="00AC16C1"/>
    <w:rsid w:val="00AC180B"/>
    <w:rsid w:val="00AC1F8D"/>
    <w:rsid w:val="00AC24EA"/>
    <w:rsid w:val="00AC3698"/>
    <w:rsid w:val="00AC40F9"/>
    <w:rsid w:val="00AC4BB4"/>
    <w:rsid w:val="00AC6963"/>
    <w:rsid w:val="00AC6FFF"/>
    <w:rsid w:val="00AD0630"/>
    <w:rsid w:val="00AD204B"/>
    <w:rsid w:val="00AD2F9A"/>
    <w:rsid w:val="00AD4278"/>
    <w:rsid w:val="00AD4F46"/>
    <w:rsid w:val="00AD63E2"/>
    <w:rsid w:val="00AD6DDF"/>
    <w:rsid w:val="00AD6F15"/>
    <w:rsid w:val="00AD7670"/>
    <w:rsid w:val="00AD7EEB"/>
    <w:rsid w:val="00AE0F7E"/>
    <w:rsid w:val="00AE1D72"/>
    <w:rsid w:val="00AE288E"/>
    <w:rsid w:val="00AE3375"/>
    <w:rsid w:val="00AE34E2"/>
    <w:rsid w:val="00AE45B2"/>
    <w:rsid w:val="00AE5863"/>
    <w:rsid w:val="00AE6CAC"/>
    <w:rsid w:val="00AE6E19"/>
    <w:rsid w:val="00AE764E"/>
    <w:rsid w:val="00AE7A43"/>
    <w:rsid w:val="00AF082E"/>
    <w:rsid w:val="00AF117B"/>
    <w:rsid w:val="00AF1F47"/>
    <w:rsid w:val="00AF23EB"/>
    <w:rsid w:val="00AF29A8"/>
    <w:rsid w:val="00AF3989"/>
    <w:rsid w:val="00AF3CDE"/>
    <w:rsid w:val="00AF4EBD"/>
    <w:rsid w:val="00AF5513"/>
    <w:rsid w:val="00AF5904"/>
    <w:rsid w:val="00AF599A"/>
    <w:rsid w:val="00AF5E62"/>
    <w:rsid w:val="00AF76E4"/>
    <w:rsid w:val="00B003B5"/>
    <w:rsid w:val="00B004ED"/>
    <w:rsid w:val="00B02774"/>
    <w:rsid w:val="00B030B5"/>
    <w:rsid w:val="00B03723"/>
    <w:rsid w:val="00B05886"/>
    <w:rsid w:val="00B059C2"/>
    <w:rsid w:val="00B05F50"/>
    <w:rsid w:val="00B06EF5"/>
    <w:rsid w:val="00B10261"/>
    <w:rsid w:val="00B11796"/>
    <w:rsid w:val="00B11EA8"/>
    <w:rsid w:val="00B12929"/>
    <w:rsid w:val="00B1301A"/>
    <w:rsid w:val="00B13F49"/>
    <w:rsid w:val="00B1427B"/>
    <w:rsid w:val="00B14FD0"/>
    <w:rsid w:val="00B1502F"/>
    <w:rsid w:val="00B1550C"/>
    <w:rsid w:val="00B16044"/>
    <w:rsid w:val="00B16FBB"/>
    <w:rsid w:val="00B17C06"/>
    <w:rsid w:val="00B20F24"/>
    <w:rsid w:val="00B21C9F"/>
    <w:rsid w:val="00B22234"/>
    <w:rsid w:val="00B24E70"/>
    <w:rsid w:val="00B25219"/>
    <w:rsid w:val="00B2596A"/>
    <w:rsid w:val="00B25DC5"/>
    <w:rsid w:val="00B262D2"/>
    <w:rsid w:val="00B26A73"/>
    <w:rsid w:val="00B27EAB"/>
    <w:rsid w:val="00B300A6"/>
    <w:rsid w:val="00B3016B"/>
    <w:rsid w:val="00B3088C"/>
    <w:rsid w:val="00B3094A"/>
    <w:rsid w:val="00B30E8F"/>
    <w:rsid w:val="00B314D6"/>
    <w:rsid w:val="00B315E1"/>
    <w:rsid w:val="00B317C4"/>
    <w:rsid w:val="00B3273D"/>
    <w:rsid w:val="00B3281A"/>
    <w:rsid w:val="00B32D07"/>
    <w:rsid w:val="00B32D70"/>
    <w:rsid w:val="00B3376B"/>
    <w:rsid w:val="00B3446F"/>
    <w:rsid w:val="00B34C53"/>
    <w:rsid w:val="00B35FCF"/>
    <w:rsid w:val="00B363D5"/>
    <w:rsid w:val="00B37840"/>
    <w:rsid w:val="00B37D60"/>
    <w:rsid w:val="00B40A5C"/>
    <w:rsid w:val="00B40A9A"/>
    <w:rsid w:val="00B414DE"/>
    <w:rsid w:val="00B42FF9"/>
    <w:rsid w:val="00B43B20"/>
    <w:rsid w:val="00B44D8A"/>
    <w:rsid w:val="00B451B7"/>
    <w:rsid w:val="00B45BA4"/>
    <w:rsid w:val="00B47660"/>
    <w:rsid w:val="00B5057B"/>
    <w:rsid w:val="00B507F2"/>
    <w:rsid w:val="00B50D70"/>
    <w:rsid w:val="00B515CE"/>
    <w:rsid w:val="00B5161D"/>
    <w:rsid w:val="00B517EB"/>
    <w:rsid w:val="00B51A44"/>
    <w:rsid w:val="00B52421"/>
    <w:rsid w:val="00B52D6B"/>
    <w:rsid w:val="00B534B4"/>
    <w:rsid w:val="00B54241"/>
    <w:rsid w:val="00B546F4"/>
    <w:rsid w:val="00B55BFA"/>
    <w:rsid w:val="00B5663F"/>
    <w:rsid w:val="00B570E8"/>
    <w:rsid w:val="00B575D8"/>
    <w:rsid w:val="00B610F7"/>
    <w:rsid w:val="00B61329"/>
    <w:rsid w:val="00B6142D"/>
    <w:rsid w:val="00B61FB5"/>
    <w:rsid w:val="00B6229E"/>
    <w:rsid w:val="00B62CAE"/>
    <w:rsid w:val="00B634EC"/>
    <w:rsid w:val="00B638FC"/>
    <w:rsid w:val="00B644CF"/>
    <w:rsid w:val="00B7133F"/>
    <w:rsid w:val="00B720AE"/>
    <w:rsid w:val="00B74294"/>
    <w:rsid w:val="00B76345"/>
    <w:rsid w:val="00B766DC"/>
    <w:rsid w:val="00B77A0D"/>
    <w:rsid w:val="00B80853"/>
    <w:rsid w:val="00B80A4C"/>
    <w:rsid w:val="00B81EEE"/>
    <w:rsid w:val="00B8315E"/>
    <w:rsid w:val="00B83F16"/>
    <w:rsid w:val="00B85066"/>
    <w:rsid w:val="00B856B9"/>
    <w:rsid w:val="00B85B77"/>
    <w:rsid w:val="00B85BB2"/>
    <w:rsid w:val="00B86412"/>
    <w:rsid w:val="00B8695A"/>
    <w:rsid w:val="00B87AFE"/>
    <w:rsid w:val="00B907A2"/>
    <w:rsid w:val="00B90AED"/>
    <w:rsid w:val="00B91FBF"/>
    <w:rsid w:val="00B934F7"/>
    <w:rsid w:val="00B93FB1"/>
    <w:rsid w:val="00B955C5"/>
    <w:rsid w:val="00B96AB0"/>
    <w:rsid w:val="00B9739A"/>
    <w:rsid w:val="00B97477"/>
    <w:rsid w:val="00B978E2"/>
    <w:rsid w:val="00B97DB9"/>
    <w:rsid w:val="00BA1AF8"/>
    <w:rsid w:val="00BA1C28"/>
    <w:rsid w:val="00BA1ECE"/>
    <w:rsid w:val="00BA2A77"/>
    <w:rsid w:val="00BA2EFF"/>
    <w:rsid w:val="00BA30B1"/>
    <w:rsid w:val="00BA3A22"/>
    <w:rsid w:val="00BA3AB7"/>
    <w:rsid w:val="00BA4E0A"/>
    <w:rsid w:val="00BA5735"/>
    <w:rsid w:val="00BA5E89"/>
    <w:rsid w:val="00BA6079"/>
    <w:rsid w:val="00BA6A1E"/>
    <w:rsid w:val="00BA7119"/>
    <w:rsid w:val="00BA7F5F"/>
    <w:rsid w:val="00BB0F38"/>
    <w:rsid w:val="00BB3236"/>
    <w:rsid w:val="00BB3A05"/>
    <w:rsid w:val="00BB69BA"/>
    <w:rsid w:val="00BB6A7E"/>
    <w:rsid w:val="00BB6C33"/>
    <w:rsid w:val="00BC00A8"/>
    <w:rsid w:val="00BC010E"/>
    <w:rsid w:val="00BC1814"/>
    <w:rsid w:val="00BC23AA"/>
    <w:rsid w:val="00BC2671"/>
    <w:rsid w:val="00BC2E10"/>
    <w:rsid w:val="00BC50AB"/>
    <w:rsid w:val="00BC5A1D"/>
    <w:rsid w:val="00BC6795"/>
    <w:rsid w:val="00BC709A"/>
    <w:rsid w:val="00BD07D9"/>
    <w:rsid w:val="00BD11D2"/>
    <w:rsid w:val="00BD17C6"/>
    <w:rsid w:val="00BD2DC1"/>
    <w:rsid w:val="00BD2E2B"/>
    <w:rsid w:val="00BD3012"/>
    <w:rsid w:val="00BD458B"/>
    <w:rsid w:val="00BD46CD"/>
    <w:rsid w:val="00BD4D0A"/>
    <w:rsid w:val="00BD5399"/>
    <w:rsid w:val="00BD5707"/>
    <w:rsid w:val="00BE04C3"/>
    <w:rsid w:val="00BE0B10"/>
    <w:rsid w:val="00BE0B94"/>
    <w:rsid w:val="00BE0D2C"/>
    <w:rsid w:val="00BE0FBC"/>
    <w:rsid w:val="00BE2841"/>
    <w:rsid w:val="00BE368A"/>
    <w:rsid w:val="00BE38FE"/>
    <w:rsid w:val="00BE3AE0"/>
    <w:rsid w:val="00BE54B6"/>
    <w:rsid w:val="00BE54C1"/>
    <w:rsid w:val="00BE59DB"/>
    <w:rsid w:val="00BE6474"/>
    <w:rsid w:val="00BE6C53"/>
    <w:rsid w:val="00BF0E4D"/>
    <w:rsid w:val="00BF251E"/>
    <w:rsid w:val="00BF2AF8"/>
    <w:rsid w:val="00BF2AFA"/>
    <w:rsid w:val="00BF34FA"/>
    <w:rsid w:val="00BF38E2"/>
    <w:rsid w:val="00BF5A39"/>
    <w:rsid w:val="00BF5F01"/>
    <w:rsid w:val="00BF691D"/>
    <w:rsid w:val="00BF77EC"/>
    <w:rsid w:val="00BF7826"/>
    <w:rsid w:val="00BF7C7C"/>
    <w:rsid w:val="00C02EFB"/>
    <w:rsid w:val="00C031F2"/>
    <w:rsid w:val="00C04130"/>
    <w:rsid w:val="00C10ACF"/>
    <w:rsid w:val="00C10B44"/>
    <w:rsid w:val="00C118FB"/>
    <w:rsid w:val="00C11EBF"/>
    <w:rsid w:val="00C12263"/>
    <w:rsid w:val="00C1228A"/>
    <w:rsid w:val="00C13304"/>
    <w:rsid w:val="00C13A23"/>
    <w:rsid w:val="00C141FD"/>
    <w:rsid w:val="00C14B8C"/>
    <w:rsid w:val="00C15FF2"/>
    <w:rsid w:val="00C16996"/>
    <w:rsid w:val="00C16B88"/>
    <w:rsid w:val="00C17598"/>
    <w:rsid w:val="00C20A5B"/>
    <w:rsid w:val="00C227DF"/>
    <w:rsid w:val="00C2351A"/>
    <w:rsid w:val="00C236D2"/>
    <w:rsid w:val="00C23AFE"/>
    <w:rsid w:val="00C2405C"/>
    <w:rsid w:val="00C258D9"/>
    <w:rsid w:val="00C25CCC"/>
    <w:rsid w:val="00C27F57"/>
    <w:rsid w:val="00C30113"/>
    <w:rsid w:val="00C30D5A"/>
    <w:rsid w:val="00C3174B"/>
    <w:rsid w:val="00C3296A"/>
    <w:rsid w:val="00C32A44"/>
    <w:rsid w:val="00C3339F"/>
    <w:rsid w:val="00C34981"/>
    <w:rsid w:val="00C350C2"/>
    <w:rsid w:val="00C3689D"/>
    <w:rsid w:val="00C36AD8"/>
    <w:rsid w:val="00C36FAC"/>
    <w:rsid w:val="00C3754C"/>
    <w:rsid w:val="00C37744"/>
    <w:rsid w:val="00C37F7D"/>
    <w:rsid w:val="00C40328"/>
    <w:rsid w:val="00C42FF3"/>
    <w:rsid w:val="00C4522D"/>
    <w:rsid w:val="00C454DB"/>
    <w:rsid w:val="00C460B0"/>
    <w:rsid w:val="00C4616E"/>
    <w:rsid w:val="00C46567"/>
    <w:rsid w:val="00C46C7C"/>
    <w:rsid w:val="00C46CF8"/>
    <w:rsid w:val="00C47245"/>
    <w:rsid w:val="00C5016E"/>
    <w:rsid w:val="00C51026"/>
    <w:rsid w:val="00C5190A"/>
    <w:rsid w:val="00C51C4C"/>
    <w:rsid w:val="00C54672"/>
    <w:rsid w:val="00C55702"/>
    <w:rsid w:val="00C55734"/>
    <w:rsid w:val="00C55EE9"/>
    <w:rsid w:val="00C5749D"/>
    <w:rsid w:val="00C5765F"/>
    <w:rsid w:val="00C57C75"/>
    <w:rsid w:val="00C60034"/>
    <w:rsid w:val="00C6020C"/>
    <w:rsid w:val="00C60AEA"/>
    <w:rsid w:val="00C6122F"/>
    <w:rsid w:val="00C615CA"/>
    <w:rsid w:val="00C6163A"/>
    <w:rsid w:val="00C61B3D"/>
    <w:rsid w:val="00C61B85"/>
    <w:rsid w:val="00C622CE"/>
    <w:rsid w:val="00C631FA"/>
    <w:rsid w:val="00C633B2"/>
    <w:rsid w:val="00C646F0"/>
    <w:rsid w:val="00C64BDB"/>
    <w:rsid w:val="00C6573B"/>
    <w:rsid w:val="00C65922"/>
    <w:rsid w:val="00C70C41"/>
    <w:rsid w:val="00C716AB"/>
    <w:rsid w:val="00C71747"/>
    <w:rsid w:val="00C71CEB"/>
    <w:rsid w:val="00C72173"/>
    <w:rsid w:val="00C7290B"/>
    <w:rsid w:val="00C73123"/>
    <w:rsid w:val="00C731EF"/>
    <w:rsid w:val="00C73339"/>
    <w:rsid w:val="00C73F51"/>
    <w:rsid w:val="00C75DC4"/>
    <w:rsid w:val="00C76858"/>
    <w:rsid w:val="00C80C64"/>
    <w:rsid w:val="00C80F7C"/>
    <w:rsid w:val="00C81114"/>
    <w:rsid w:val="00C8262D"/>
    <w:rsid w:val="00C83FCA"/>
    <w:rsid w:val="00C856F2"/>
    <w:rsid w:val="00C85DF7"/>
    <w:rsid w:val="00C87EFF"/>
    <w:rsid w:val="00C914FE"/>
    <w:rsid w:val="00C9330D"/>
    <w:rsid w:val="00C9339A"/>
    <w:rsid w:val="00C9569C"/>
    <w:rsid w:val="00C95D71"/>
    <w:rsid w:val="00CA1071"/>
    <w:rsid w:val="00CA11DA"/>
    <w:rsid w:val="00CA2D5D"/>
    <w:rsid w:val="00CA305C"/>
    <w:rsid w:val="00CA488D"/>
    <w:rsid w:val="00CA5192"/>
    <w:rsid w:val="00CA5CB2"/>
    <w:rsid w:val="00CA644C"/>
    <w:rsid w:val="00CA672F"/>
    <w:rsid w:val="00CA7A1F"/>
    <w:rsid w:val="00CB1328"/>
    <w:rsid w:val="00CB137F"/>
    <w:rsid w:val="00CB1A59"/>
    <w:rsid w:val="00CB1A75"/>
    <w:rsid w:val="00CB23A4"/>
    <w:rsid w:val="00CB334F"/>
    <w:rsid w:val="00CB507E"/>
    <w:rsid w:val="00CB5F5B"/>
    <w:rsid w:val="00CB69C7"/>
    <w:rsid w:val="00CB79A9"/>
    <w:rsid w:val="00CB7DD3"/>
    <w:rsid w:val="00CC0592"/>
    <w:rsid w:val="00CC1069"/>
    <w:rsid w:val="00CC1A62"/>
    <w:rsid w:val="00CC21B1"/>
    <w:rsid w:val="00CC21BF"/>
    <w:rsid w:val="00CC279B"/>
    <w:rsid w:val="00CC3419"/>
    <w:rsid w:val="00CC4412"/>
    <w:rsid w:val="00CC5461"/>
    <w:rsid w:val="00CC677F"/>
    <w:rsid w:val="00CC67EC"/>
    <w:rsid w:val="00CD04ED"/>
    <w:rsid w:val="00CD169D"/>
    <w:rsid w:val="00CD181E"/>
    <w:rsid w:val="00CD27D6"/>
    <w:rsid w:val="00CD29B9"/>
    <w:rsid w:val="00CD3E70"/>
    <w:rsid w:val="00CD45ED"/>
    <w:rsid w:val="00CD67DB"/>
    <w:rsid w:val="00CD6950"/>
    <w:rsid w:val="00CD6AB9"/>
    <w:rsid w:val="00CD6DF6"/>
    <w:rsid w:val="00CD74FA"/>
    <w:rsid w:val="00CD7555"/>
    <w:rsid w:val="00CD78BC"/>
    <w:rsid w:val="00CE1485"/>
    <w:rsid w:val="00CE1674"/>
    <w:rsid w:val="00CE21D4"/>
    <w:rsid w:val="00CE2EF9"/>
    <w:rsid w:val="00CE32E5"/>
    <w:rsid w:val="00CE3D41"/>
    <w:rsid w:val="00CE4A93"/>
    <w:rsid w:val="00CE5873"/>
    <w:rsid w:val="00CE59C2"/>
    <w:rsid w:val="00CE5C09"/>
    <w:rsid w:val="00CF0D88"/>
    <w:rsid w:val="00CF0E56"/>
    <w:rsid w:val="00CF2A81"/>
    <w:rsid w:val="00CF30AA"/>
    <w:rsid w:val="00CF4C92"/>
    <w:rsid w:val="00CF51AF"/>
    <w:rsid w:val="00CF5456"/>
    <w:rsid w:val="00CF6550"/>
    <w:rsid w:val="00CF6728"/>
    <w:rsid w:val="00CF7166"/>
    <w:rsid w:val="00CF7638"/>
    <w:rsid w:val="00CF7966"/>
    <w:rsid w:val="00D001D0"/>
    <w:rsid w:val="00D00D43"/>
    <w:rsid w:val="00D018B6"/>
    <w:rsid w:val="00D02A17"/>
    <w:rsid w:val="00D05971"/>
    <w:rsid w:val="00D0687D"/>
    <w:rsid w:val="00D10DA9"/>
    <w:rsid w:val="00D11CBA"/>
    <w:rsid w:val="00D1316C"/>
    <w:rsid w:val="00D13417"/>
    <w:rsid w:val="00D153E3"/>
    <w:rsid w:val="00D165E0"/>
    <w:rsid w:val="00D1661A"/>
    <w:rsid w:val="00D21FD4"/>
    <w:rsid w:val="00D24082"/>
    <w:rsid w:val="00D243ED"/>
    <w:rsid w:val="00D24A8A"/>
    <w:rsid w:val="00D24B78"/>
    <w:rsid w:val="00D261C7"/>
    <w:rsid w:val="00D26691"/>
    <w:rsid w:val="00D2773D"/>
    <w:rsid w:val="00D314C8"/>
    <w:rsid w:val="00D31E4E"/>
    <w:rsid w:val="00D32004"/>
    <w:rsid w:val="00D3361F"/>
    <w:rsid w:val="00D339BF"/>
    <w:rsid w:val="00D34ED8"/>
    <w:rsid w:val="00D35E53"/>
    <w:rsid w:val="00D35F65"/>
    <w:rsid w:val="00D37165"/>
    <w:rsid w:val="00D415CF"/>
    <w:rsid w:val="00D41D74"/>
    <w:rsid w:val="00D4243E"/>
    <w:rsid w:val="00D42623"/>
    <w:rsid w:val="00D42C5B"/>
    <w:rsid w:val="00D4356C"/>
    <w:rsid w:val="00D43B46"/>
    <w:rsid w:val="00D447EE"/>
    <w:rsid w:val="00D44A5B"/>
    <w:rsid w:val="00D44B5A"/>
    <w:rsid w:val="00D46520"/>
    <w:rsid w:val="00D50A2A"/>
    <w:rsid w:val="00D50F30"/>
    <w:rsid w:val="00D5345D"/>
    <w:rsid w:val="00D53D7F"/>
    <w:rsid w:val="00D54BC2"/>
    <w:rsid w:val="00D55854"/>
    <w:rsid w:val="00D55931"/>
    <w:rsid w:val="00D56E64"/>
    <w:rsid w:val="00D57B25"/>
    <w:rsid w:val="00D62F13"/>
    <w:rsid w:val="00D63120"/>
    <w:rsid w:val="00D63915"/>
    <w:rsid w:val="00D66009"/>
    <w:rsid w:val="00D66BA6"/>
    <w:rsid w:val="00D67405"/>
    <w:rsid w:val="00D6755F"/>
    <w:rsid w:val="00D703ED"/>
    <w:rsid w:val="00D7111F"/>
    <w:rsid w:val="00D711AD"/>
    <w:rsid w:val="00D7162E"/>
    <w:rsid w:val="00D71FEF"/>
    <w:rsid w:val="00D723B7"/>
    <w:rsid w:val="00D72681"/>
    <w:rsid w:val="00D72943"/>
    <w:rsid w:val="00D731D3"/>
    <w:rsid w:val="00D73365"/>
    <w:rsid w:val="00D75375"/>
    <w:rsid w:val="00D76B00"/>
    <w:rsid w:val="00D77988"/>
    <w:rsid w:val="00D779F0"/>
    <w:rsid w:val="00D77D68"/>
    <w:rsid w:val="00D8031E"/>
    <w:rsid w:val="00D80F4B"/>
    <w:rsid w:val="00D813FD"/>
    <w:rsid w:val="00D841DA"/>
    <w:rsid w:val="00D84326"/>
    <w:rsid w:val="00D84E5D"/>
    <w:rsid w:val="00D85356"/>
    <w:rsid w:val="00D86204"/>
    <w:rsid w:val="00D867C7"/>
    <w:rsid w:val="00D87313"/>
    <w:rsid w:val="00D87DB5"/>
    <w:rsid w:val="00D87EDE"/>
    <w:rsid w:val="00D9048C"/>
    <w:rsid w:val="00D910AE"/>
    <w:rsid w:val="00D919F9"/>
    <w:rsid w:val="00D91E0D"/>
    <w:rsid w:val="00D92D53"/>
    <w:rsid w:val="00D93169"/>
    <w:rsid w:val="00D93C92"/>
    <w:rsid w:val="00D94DCC"/>
    <w:rsid w:val="00D95386"/>
    <w:rsid w:val="00D95414"/>
    <w:rsid w:val="00D95FAE"/>
    <w:rsid w:val="00D97BD5"/>
    <w:rsid w:val="00DA01E2"/>
    <w:rsid w:val="00DA166B"/>
    <w:rsid w:val="00DA1904"/>
    <w:rsid w:val="00DA315B"/>
    <w:rsid w:val="00DA3957"/>
    <w:rsid w:val="00DA427F"/>
    <w:rsid w:val="00DA4336"/>
    <w:rsid w:val="00DA62F3"/>
    <w:rsid w:val="00DB0B05"/>
    <w:rsid w:val="00DB22D6"/>
    <w:rsid w:val="00DB2FB1"/>
    <w:rsid w:val="00DB477C"/>
    <w:rsid w:val="00DB4C5E"/>
    <w:rsid w:val="00DB4E57"/>
    <w:rsid w:val="00DB54C5"/>
    <w:rsid w:val="00DB5E6A"/>
    <w:rsid w:val="00DC0E74"/>
    <w:rsid w:val="00DC2201"/>
    <w:rsid w:val="00DC3224"/>
    <w:rsid w:val="00DC3DB5"/>
    <w:rsid w:val="00DC4721"/>
    <w:rsid w:val="00DC4C8F"/>
    <w:rsid w:val="00DC7E06"/>
    <w:rsid w:val="00DD2492"/>
    <w:rsid w:val="00DD263E"/>
    <w:rsid w:val="00DD2A59"/>
    <w:rsid w:val="00DD2AC1"/>
    <w:rsid w:val="00DD2F09"/>
    <w:rsid w:val="00DD68C8"/>
    <w:rsid w:val="00DD727A"/>
    <w:rsid w:val="00DD7BCC"/>
    <w:rsid w:val="00DE39E2"/>
    <w:rsid w:val="00DE3BB5"/>
    <w:rsid w:val="00DE4389"/>
    <w:rsid w:val="00DE46AB"/>
    <w:rsid w:val="00DE4ADF"/>
    <w:rsid w:val="00DE7729"/>
    <w:rsid w:val="00DE77EA"/>
    <w:rsid w:val="00DE7893"/>
    <w:rsid w:val="00DE78DB"/>
    <w:rsid w:val="00DE7AD0"/>
    <w:rsid w:val="00DF08E8"/>
    <w:rsid w:val="00DF0EE9"/>
    <w:rsid w:val="00DF16BA"/>
    <w:rsid w:val="00DF3314"/>
    <w:rsid w:val="00DF4A1F"/>
    <w:rsid w:val="00DF5851"/>
    <w:rsid w:val="00DF66D0"/>
    <w:rsid w:val="00DF756E"/>
    <w:rsid w:val="00E008C2"/>
    <w:rsid w:val="00E01089"/>
    <w:rsid w:val="00E01904"/>
    <w:rsid w:val="00E020B6"/>
    <w:rsid w:val="00E02893"/>
    <w:rsid w:val="00E03718"/>
    <w:rsid w:val="00E03764"/>
    <w:rsid w:val="00E03824"/>
    <w:rsid w:val="00E03A76"/>
    <w:rsid w:val="00E04A84"/>
    <w:rsid w:val="00E0518A"/>
    <w:rsid w:val="00E06041"/>
    <w:rsid w:val="00E06405"/>
    <w:rsid w:val="00E0722B"/>
    <w:rsid w:val="00E074C7"/>
    <w:rsid w:val="00E07C20"/>
    <w:rsid w:val="00E10613"/>
    <w:rsid w:val="00E12047"/>
    <w:rsid w:val="00E16183"/>
    <w:rsid w:val="00E164DD"/>
    <w:rsid w:val="00E16736"/>
    <w:rsid w:val="00E17B62"/>
    <w:rsid w:val="00E17ECF"/>
    <w:rsid w:val="00E20226"/>
    <w:rsid w:val="00E2077E"/>
    <w:rsid w:val="00E2164E"/>
    <w:rsid w:val="00E21AEC"/>
    <w:rsid w:val="00E22211"/>
    <w:rsid w:val="00E238BA"/>
    <w:rsid w:val="00E2422F"/>
    <w:rsid w:val="00E243B9"/>
    <w:rsid w:val="00E247EB"/>
    <w:rsid w:val="00E24E7F"/>
    <w:rsid w:val="00E255A5"/>
    <w:rsid w:val="00E25923"/>
    <w:rsid w:val="00E263CC"/>
    <w:rsid w:val="00E26A38"/>
    <w:rsid w:val="00E26D16"/>
    <w:rsid w:val="00E26E41"/>
    <w:rsid w:val="00E26F67"/>
    <w:rsid w:val="00E27D09"/>
    <w:rsid w:val="00E302C1"/>
    <w:rsid w:val="00E30C50"/>
    <w:rsid w:val="00E31116"/>
    <w:rsid w:val="00E35462"/>
    <w:rsid w:val="00E35D4F"/>
    <w:rsid w:val="00E364CC"/>
    <w:rsid w:val="00E37004"/>
    <w:rsid w:val="00E3719C"/>
    <w:rsid w:val="00E37300"/>
    <w:rsid w:val="00E37E81"/>
    <w:rsid w:val="00E406C5"/>
    <w:rsid w:val="00E41060"/>
    <w:rsid w:val="00E42BDE"/>
    <w:rsid w:val="00E42C4C"/>
    <w:rsid w:val="00E44452"/>
    <w:rsid w:val="00E454C8"/>
    <w:rsid w:val="00E46611"/>
    <w:rsid w:val="00E466F9"/>
    <w:rsid w:val="00E4757C"/>
    <w:rsid w:val="00E47EB4"/>
    <w:rsid w:val="00E47F71"/>
    <w:rsid w:val="00E50604"/>
    <w:rsid w:val="00E52323"/>
    <w:rsid w:val="00E526ED"/>
    <w:rsid w:val="00E52D77"/>
    <w:rsid w:val="00E54410"/>
    <w:rsid w:val="00E54417"/>
    <w:rsid w:val="00E54888"/>
    <w:rsid w:val="00E54BC2"/>
    <w:rsid w:val="00E55C2C"/>
    <w:rsid w:val="00E55C79"/>
    <w:rsid w:val="00E564FA"/>
    <w:rsid w:val="00E57A92"/>
    <w:rsid w:val="00E57F60"/>
    <w:rsid w:val="00E60BDE"/>
    <w:rsid w:val="00E61384"/>
    <w:rsid w:val="00E61612"/>
    <w:rsid w:val="00E61694"/>
    <w:rsid w:val="00E617A8"/>
    <w:rsid w:val="00E639E9"/>
    <w:rsid w:val="00E63F71"/>
    <w:rsid w:val="00E644EA"/>
    <w:rsid w:val="00E648AE"/>
    <w:rsid w:val="00E66ADA"/>
    <w:rsid w:val="00E66CC1"/>
    <w:rsid w:val="00E67433"/>
    <w:rsid w:val="00E70054"/>
    <w:rsid w:val="00E70778"/>
    <w:rsid w:val="00E71A82"/>
    <w:rsid w:val="00E71D85"/>
    <w:rsid w:val="00E72704"/>
    <w:rsid w:val="00E72929"/>
    <w:rsid w:val="00E742F5"/>
    <w:rsid w:val="00E75176"/>
    <w:rsid w:val="00E7792A"/>
    <w:rsid w:val="00E77C16"/>
    <w:rsid w:val="00E80EDC"/>
    <w:rsid w:val="00E811D3"/>
    <w:rsid w:val="00E844CC"/>
    <w:rsid w:val="00E85E9A"/>
    <w:rsid w:val="00E86B7C"/>
    <w:rsid w:val="00E87873"/>
    <w:rsid w:val="00E92256"/>
    <w:rsid w:val="00E92822"/>
    <w:rsid w:val="00E9349F"/>
    <w:rsid w:val="00E947B3"/>
    <w:rsid w:val="00E94D0D"/>
    <w:rsid w:val="00E9580E"/>
    <w:rsid w:val="00E9688E"/>
    <w:rsid w:val="00E9761F"/>
    <w:rsid w:val="00EA0190"/>
    <w:rsid w:val="00EA0379"/>
    <w:rsid w:val="00EA1917"/>
    <w:rsid w:val="00EA2AA1"/>
    <w:rsid w:val="00EA2AF1"/>
    <w:rsid w:val="00EA49FA"/>
    <w:rsid w:val="00EA4FB5"/>
    <w:rsid w:val="00EA561A"/>
    <w:rsid w:val="00EA5DB1"/>
    <w:rsid w:val="00EA64FF"/>
    <w:rsid w:val="00EA7873"/>
    <w:rsid w:val="00EB2C05"/>
    <w:rsid w:val="00EB33FE"/>
    <w:rsid w:val="00EB3403"/>
    <w:rsid w:val="00EB6258"/>
    <w:rsid w:val="00EB6500"/>
    <w:rsid w:val="00EB736B"/>
    <w:rsid w:val="00EC0043"/>
    <w:rsid w:val="00EC0A34"/>
    <w:rsid w:val="00EC0D2F"/>
    <w:rsid w:val="00EC0DC9"/>
    <w:rsid w:val="00EC122C"/>
    <w:rsid w:val="00EC27A2"/>
    <w:rsid w:val="00EC32B8"/>
    <w:rsid w:val="00EC4C89"/>
    <w:rsid w:val="00EC56A5"/>
    <w:rsid w:val="00EC5B2A"/>
    <w:rsid w:val="00EC60BC"/>
    <w:rsid w:val="00EC6D93"/>
    <w:rsid w:val="00ED0559"/>
    <w:rsid w:val="00ED08A8"/>
    <w:rsid w:val="00ED0EB3"/>
    <w:rsid w:val="00ED0FDC"/>
    <w:rsid w:val="00ED1C1D"/>
    <w:rsid w:val="00ED3252"/>
    <w:rsid w:val="00ED6DFD"/>
    <w:rsid w:val="00ED7D82"/>
    <w:rsid w:val="00EE02C0"/>
    <w:rsid w:val="00EE062A"/>
    <w:rsid w:val="00EE167B"/>
    <w:rsid w:val="00EE2008"/>
    <w:rsid w:val="00EE2C8D"/>
    <w:rsid w:val="00EE4C0A"/>
    <w:rsid w:val="00EE4D09"/>
    <w:rsid w:val="00EE61A7"/>
    <w:rsid w:val="00EE63E8"/>
    <w:rsid w:val="00EF0CCC"/>
    <w:rsid w:val="00EF1F3C"/>
    <w:rsid w:val="00EF34AA"/>
    <w:rsid w:val="00EF4976"/>
    <w:rsid w:val="00EF4D06"/>
    <w:rsid w:val="00EF60D0"/>
    <w:rsid w:val="00EF60DD"/>
    <w:rsid w:val="00EF659B"/>
    <w:rsid w:val="00EF66D3"/>
    <w:rsid w:val="00EF6979"/>
    <w:rsid w:val="00EF7B7C"/>
    <w:rsid w:val="00EF7D7E"/>
    <w:rsid w:val="00F01356"/>
    <w:rsid w:val="00F015CC"/>
    <w:rsid w:val="00F0184A"/>
    <w:rsid w:val="00F01CBE"/>
    <w:rsid w:val="00F03DA2"/>
    <w:rsid w:val="00F0561C"/>
    <w:rsid w:val="00F06B5A"/>
    <w:rsid w:val="00F06C8D"/>
    <w:rsid w:val="00F06E5F"/>
    <w:rsid w:val="00F06EEA"/>
    <w:rsid w:val="00F10F40"/>
    <w:rsid w:val="00F12C4A"/>
    <w:rsid w:val="00F13AED"/>
    <w:rsid w:val="00F13BCD"/>
    <w:rsid w:val="00F151A4"/>
    <w:rsid w:val="00F16FB4"/>
    <w:rsid w:val="00F17B20"/>
    <w:rsid w:val="00F17D0E"/>
    <w:rsid w:val="00F20C4A"/>
    <w:rsid w:val="00F21879"/>
    <w:rsid w:val="00F218BB"/>
    <w:rsid w:val="00F23543"/>
    <w:rsid w:val="00F24388"/>
    <w:rsid w:val="00F25496"/>
    <w:rsid w:val="00F255C4"/>
    <w:rsid w:val="00F2610E"/>
    <w:rsid w:val="00F27872"/>
    <w:rsid w:val="00F305F7"/>
    <w:rsid w:val="00F31721"/>
    <w:rsid w:val="00F31DE9"/>
    <w:rsid w:val="00F3232B"/>
    <w:rsid w:val="00F3248E"/>
    <w:rsid w:val="00F32AA5"/>
    <w:rsid w:val="00F33D46"/>
    <w:rsid w:val="00F33E6B"/>
    <w:rsid w:val="00F34DDD"/>
    <w:rsid w:val="00F34F01"/>
    <w:rsid w:val="00F34FE0"/>
    <w:rsid w:val="00F3519F"/>
    <w:rsid w:val="00F360E9"/>
    <w:rsid w:val="00F3682F"/>
    <w:rsid w:val="00F36B5D"/>
    <w:rsid w:val="00F401D4"/>
    <w:rsid w:val="00F40341"/>
    <w:rsid w:val="00F40369"/>
    <w:rsid w:val="00F40985"/>
    <w:rsid w:val="00F41E01"/>
    <w:rsid w:val="00F432B1"/>
    <w:rsid w:val="00F43E8B"/>
    <w:rsid w:val="00F43F40"/>
    <w:rsid w:val="00F44247"/>
    <w:rsid w:val="00F44D0C"/>
    <w:rsid w:val="00F44E07"/>
    <w:rsid w:val="00F457A9"/>
    <w:rsid w:val="00F47287"/>
    <w:rsid w:val="00F47400"/>
    <w:rsid w:val="00F47784"/>
    <w:rsid w:val="00F4798E"/>
    <w:rsid w:val="00F50778"/>
    <w:rsid w:val="00F511CA"/>
    <w:rsid w:val="00F52664"/>
    <w:rsid w:val="00F52E9C"/>
    <w:rsid w:val="00F548F6"/>
    <w:rsid w:val="00F54DDC"/>
    <w:rsid w:val="00F56D35"/>
    <w:rsid w:val="00F571FB"/>
    <w:rsid w:val="00F5743D"/>
    <w:rsid w:val="00F57BAD"/>
    <w:rsid w:val="00F61A18"/>
    <w:rsid w:val="00F621AE"/>
    <w:rsid w:val="00F6276A"/>
    <w:rsid w:val="00F62CE3"/>
    <w:rsid w:val="00F633BB"/>
    <w:rsid w:val="00F64C50"/>
    <w:rsid w:val="00F64FC1"/>
    <w:rsid w:val="00F65312"/>
    <w:rsid w:val="00F665A4"/>
    <w:rsid w:val="00F6708A"/>
    <w:rsid w:val="00F7434B"/>
    <w:rsid w:val="00F749F5"/>
    <w:rsid w:val="00F75CE2"/>
    <w:rsid w:val="00F76F89"/>
    <w:rsid w:val="00F77118"/>
    <w:rsid w:val="00F806AB"/>
    <w:rsid w:val="00F82D65"/>
    <w:rsid w:val="00F8396C"/>
    <w:rsid w:val="00F84CE4"/>
    <w:rsid w:val="00F86075"/>
    <w:rsid w:val="00F86442"/>
    <w:rsid w:val="00F86B32"/>
    <w:rsid w:val="00F876AD"/>
    <w:rsid w:val="00F8796E"/>
    <w:rsid w:val="00F87C7E"/>
    <w:rsid w:val="00F907B8"/>
    <w:rsid w:val="00F90BDF"/>
    <w:rsid w:val="00F922E9"/>
    <w:rsid w:val="00F94063"/>
    <w:rsid w:val="00F94936"/>
    <w:rsid w:val="00F94D76"/>
    <w:rsid w:val="00F951B7"/>
    <w:rsid w:val="00F95D63"/>
    <w:rsid w:val="00F9613B"/>
    <w:rsid w:val="00F9696B"/>
    <w:rsid w:val="00F96A98"/>
    <w:rsid w:val="00F97D8F"/>
    <w:rsid w:val="00F97FF5"/>
    <w:rsid w:val="00FA00E1"/>
    <w:rsid w:val="00FA0A84"/>
    <w:rsid w:val="00FA26B8"/>
    <w:rsid w:val="00FA456A"/>
    <w:rsid w:val="00FA5999"/>
    <w:rsid w:val="00FA64ED"/>
    <w:rsid w:val="00FA7262"/>
    <w:rsid w:val="00FA7B03"/>
    <w:rsid w:val="00FA7D11"/>
    <w:rsid w:val="00FB0944"/>
    <w:rsid w:val="00FB0A27"/>
    <w:rsid w:val="00FB21BC"/>
    <w:rsid w:val="00FB2802"/>
    <w:rsid w:val="00FB382B"/>
    <w:rsid w:val="00FB3889"/>
    <w:rsid w:val="00FB4018"/>
    <w:rsid w:val="00FB41C0"/>
    <w:rsid w:val="00FB5200"/>
    <w:rsid w:val="00FB55D6"/>
    <w:rsid w:val="00FB58C6"/>
    <w:rsid w:val="00FB6805"/>
    <w:rsid w:val="00FB7230"/>
    <w:rsid w:val="00FC00C5"/>
    <w:rsid w:val="00FC056A"/>
    <w:rsid w:val="00FC0872"/>
    <w:rsid w:val="00FC3204"/>
    <w:rsid w:val="00FC3714"/>
    <w:rsid w:val="00FC375C"/>
    <w:rsid w:val="00FC41C8"/>
    <w:rsid w:val="00FC430F"/>
    <w:rsid w:val="00FC4639"/>
    <w:rsid w:val="00FC648C"/>
    <w:rsid w:val="00FC749A"/>
    <w:rsid w:val="00FC7CF8"/>
    <w:rsid w:val="00FD0105"/>
    <w:rsid w:val="00FD07F0"/>
    <w:rsid w:val="00FD09DF"/>
    <w:rsid w:val="00FD286A"/>
    <w:rsid w:val="00FD4193"/>
    <w:rsid w:val="00FD452E"/>
    <w:rsid w:val="00FD53DF"/>
    <w:rsid w:val="00FD6B31"/>
    <w:rsid w:val="00FD7352"/>
    <w:rsid w:val="00FE0B57"/>
    <w:rsid w:val="00FE1557"/>
    <w:rsid w:val="00FE1FBC"/>
    <w:rsid w:val="00FE2506"/>
    <w:rsid w:val="00FE34D9"/>
    <w:rsid w:val="00FE51BD"/>
    <w:rsid w:val="00FE5F36"/>
    <w:rsid w:val="00FE67F2"/>
    <w:rsid w:val="00FF075F"/>
    <w:rsid w:val="00FF11A6"/>
    <w:rsid w:val="00FF1459"/>
    <w:rsid w:val="00FF1870"/>
    <w:rsid w:val="00FF29B9"/>
    <w:rsid w:val="00FF36BB"/>
    <w:rsid w:val="00FF4DA2"/>
    <w:rsid w:val="00FF7415"/>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03C84"/>
  <w15:chartTrackingRefBased/>
  <w15:docId w15:val="{5910CF56-5007-4856-A82F-11499E47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M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AF3"/>
    <w:pPr>
      <w:spacing w:after="200" w:line="276" w:lineRule="auto"/>
    </w:pPr>
    <w:rPr>
      <w:rFonts w:ascii="Calibri" w:eastAsia="Times New Roman" w:hAnsi="Calibri" w:cs="Times New Roman"/>
      <w:kern w:val="0"/>
      <w:sz w:val="22"/>
      <w:szCs w:val="22"/>
      <w:lang w:val="ro-RO" w:eastAsia="ru-RU"/>
      <w14:ligatures w14:val="none"/>
    </w:rPr>
  </w:style>
  <w:style w:type="paragraph" w:styleId="1">
    <w:name w:val="heading 1"/>
    <w:basedOn w:val="a"/>
    <w:next w:val="a"/>
    <w:link w:val="10"/>
    <w:uiPriority w:val="9"/>
    <w:qFormat/>
    <w:rsid w:val="00E01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01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0108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0108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0108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010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010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010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010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108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0108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0108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0108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0108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010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01089"/>
    <w:rPr>
      <w:rFonts w:eastAsiaTheme="majorEastAsia" w:cstheme="majorBidi"/>
      <w:color w:val="595959" w:themeColor="text1" w:themeTint="A6"/>
    </w:rPr>
  </w:style>
  <w:style w:type="character" w:customStyle="1" w:styleId="80">
    <w:name w:val="Заголовок 8 Знак"/>
    <w:basedOn w:val="a0"/>
    <w:link w:val="8"/>
    <w:uiPriority w:val="9"/>
    <w:semiHidden/>
    <w:rsid w:val="00E010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01089"/>
    <w:rPr>
      <w:rFonts w:eastAsiaTheme="majorEastAsia" w:cstheme="majorBidi"/>
      <w:color w:val="272727" w:themeColor="text1" w:themeTint="D8"/>
    </w:rPr>
  </w:style>
  <w:style w:type="paragraph" w:styleId="a3">
    <w:name w:val="Title"/>
    <w:basedOn w:val="a"/>
    <w:next w:val="a"/>
    <w:link w:val="a4"/>
    <w:uiPriority w:val="10"/>
    <w:qFormat/>
    <w:rsid w:val="00E01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010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10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010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01089"/>
    <w:pPr>
      <w:spacing w:before="160"/>
      <w:jc w:val="center"/>
    </w:pPr>
    <w:rPr>
      <w:i/>
      <w:iCs/>
      <w:color w:val="404040" w:themeColor="text1" w:themeTint="BF"/>
    </w:rPr>
  </w:style>
  <w:style w:type="character" w:customStyle="1" w:styleId="22">
    <w:name w:val="Цитата 2 Знак"/>
    <w:basedOn w:val="a0"/>
    <w:link w:val="21"/>
    <w:uiPriority w:val="29"/>
    <w:rsid w:val="00E01089"/>
    <w:rPr>
      <w:i/>
      <w:iCs/>
      <w:color w:val="404040" w:themeColor="text1" w:themeTint="BF"/>
    </w:rPr>
  </w:style>
  <w:style w:type="paragraph" w:styleId="a7">
    <w:name w:val="List Paragraph"/>
    <w:basedOn w:val="a"/>
    <w:link w:val="a8"/>
    <w:uiPriority w:val="34"/>
    <w:qFormat/>
    <w:rsid w:val="00E01089"/>
    <w:pPr>
      <w:ind w:left="720"/>
      <w:contextualSpacing/>
    </w:pPr>
  </w:style>
  <w:style w:type="character" w:styleId="a9">
    <w:name w:val="Intense Emphasis"/>
    <w:basedOn w:val="a0"/>
    <w:uiPriority w:val="21"/>
    <w:qFormat/>
    <w:rsid w:val="00E01089"/>
    <w:rPr>
      <w:i/>
      <w:iCs/>
      <w:color w:val="0F4761" w:themeColor="accent1" w:themeShade="BF"/>
    </w:rPr>
  </w:style>
  <w:style w:type="paragraph" w:styleId="aa">
    <w:name w:val="Intense Quote"/>
    <w:basedOn w:val="a"/>
    <w:next w:val="a"/>
    <w:link w:val="ab"/>
    <w:uiPriority w:val="30"/>
    <w:qFormat/>
    <w:rsid w:val="00E01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E01089"/>
    <w:rPr>
      <w:i/>
      <w:iCs/>
      <w:color w:val="0F4761" w:themeColor="accent1" w:themeShade="BF"/>
    </w:rPr>
  </w:style>
  <w:style w:type="character" w:styleId="ac">
    <w:name w:val="Intense Reference"/>
    <w:basedOn w:val="a0"/>
    <w:uiPriority w:val="32"/>
    <w:qFormat/>
    <w:rsid w:val="00E01089"/>
    <w:rPr>
      <w:b/>
      <w:bCs/>
      <w:smallCaps/>
      <w:color w:val="0F4761" w:themeColor="accent1" w:themeShade="BF"/>
      <w:spacing w:val="5"/>
    </w:rPr>
  </w:style>
  <w:style w:type="paragraph" w:styleId="ad">
    <w:name w:val="header"/>
    <w:basedOn w:val="a"/>
    <w:link w:val="ae"/>
    <w:uiPriority w:val="99"/>
    <w:unhideWhenUsed/>
    <w:rsid w:val="0073757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37575"/>
  </w:style>
  <w:style w:type="paragraph" w:styleId="af">
    <w:name w:val="footer"/>
    <w:basedOn w:val="a"/>
    <w:link w:val="af0"/>
    <w:uiPriority w:val="99"/>
    <w:unhideWhenUsed/>
    <w:rsid w:val="0073757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37575"/>
  </w:style>
  <w:style w:type="character" w:customStyle="1" w:styleId="a8">
    <w:name w:val="Абзац списка Знак"/>
    <w:link w:val="a7"/>
    <w:uiPriority w:val="34"/>
    <w:locked/>
    <w:rsid w:val="00974B4E"/>
  </w:style>
  <w:style w:type="paragraph" w:styleId="af1">
    <w:name w:val="Body Text"/>
    <w:basedOn w:val="a"/>
    <w:link w:val="af2"/>
    <w:uiPriority w:val="1"/>
    <w:qFormat/>
    <w:rsid w:val="00974B4E"/>
    <w:pPr>
      <w:widowControl w:val="0"/>
      <w:autoSpaceDE w:val="0"/>
      <w:autoSpaceDN w:val="0"/>
      <w:spacing w:after="0" w:line="240" w:lineRule="auto"/>
    </w:pPr>
    <w:rPr>
      <w:rFonts w:ascii="Tahoma" w:eastAsia="Tahoma" w:hAnsi="Tahoma" w:cs="Tahoma"/>
      <w:sz w:val="23"/>
      <w:szCs w:val="23"/>
      <w:lang w:val="en-US" w:eastAsia="en-US"/>
    </w:rPr>
  </w:style>
  <w:style w:type="character" w:customStyle="1" w:styleId="af2">
    <w:name w:val="Основной текст Знак"/>
    <w:basedOn w:val="a0"/>
    <w:link w:val="af1"/>
    <w:uiPriority w:val="1"/>
    <w:rsid w:val="00974B4E"/>
    <w:rPr>
      <w:rFonts w:ascii="Tahoma" w:eastAsia="Tahoma" w:hAnsi="Tahoma" w:cs="Tahoma"/>
      <w:kern w:val="0"/>
      <w:sz w:val="23"/>
      <w:szCs w:val="23"/>
      <w:lang w:val="en-US"/>
      <w14:ligatures w14:val="none"/>
    </w:rPr>
  </w:style>
  <w:style w:type="character" w:styleId="af3">
    <w:name w:val="annotation reference"/>
    <w:basedOn w:val="a0"/>
    <w:uiPriority w:val="99"/>
    <w:unhideWhenUsed/>
    <w:rsid w:val="00DC3DB5"/>
    <w:rPr>
      <w:sz w:val="16"/>
      <w:szCs w:val="16"/>
    </w:rPr>
  </w:style>
  <w:style w:type="paragraph" w:styleId="af4">
    <w:name w:val="annotation text"/>
    <w:basedOn w:val="a"/>
    <w:link w:val="af5"/>
    <w:uiPriority w:val="99"/>
    <w:unhideWhenUsed/>
    <w:rsid w:val="00DC3DB5"/>
    <w:pPr>
      <w:spacing w:line="240" w:lineRule="auto"/>
    </w:pPr>
    <w:rPr>
      <w:sz w:val="20"/>
      <w:szCs w:val="20"/>
    </w:rPr>
  </w:style>
  <w:style w:type="character" w:customStyle="1" w:styleId="af5">
    <w:name w:val="Текст примечания Знак"/>
    <w:basedOn w:val="a0"/>
    <w:link w:val="af4"/>
    <w:uiPriority w:val="99"/>
    <w:rsid w:val="00DC3DB5"/>
    <w:rPr>
      <w:rFonts w:ascii="Calibri" w:eastAsia="Times New Roman" w:hAnsi="Calibri" w:cs="Times New Roman"/>
      <w:kern w:val="0"/>
      <w:sz w:val="20"/>
      <w:szCs w:val="20"/>
      <w:lang w:val="ro-RO" w:eastAsia="ru-RU"/>
      <w14:ligatures w14:val="none"/>
    </w:rPr>
  </w:style>
  <w:style w:type="paragraph" w:styleId="af6">
    <w:name w:val="annotation subject"/>
    <w:basedOn w:val="af4"/>
    <w:next w:val="af4"/>
    <w:link w:val="af7"/>
    <w:uiPriority w:val="99"/>
    <w:semiHidden/>
    <w:unhideWhenUsed/>
    <w:rsid w:val="00DC3DB5"/>
    <w:rPr>
      <w:b/>
      <w:bCs/>
    </w:rPr>
  </w:style>
  <w:style w:type="character" w:customStyle="1" w:styleId="af7">
    <w:name w:val="Тема примечания Знак"/>
    <w:basedOn w:val="af5"/>
    <w:link w:val="af6"/>
    <w:uiPriority w:val="99"/>
    <w:semiHidden/>
    <w:rsid w:val="00DC3DB5"/>
    <w:rPr>
      <w:rFonts w:ascii="Calibri" w:eastAsia="Times New Roman" w:hAnsi="Calibri" w:cs="Times New Roman"/>
      <w:b/>
      <w:bCs/>
      <w:kern w:val="0"/>
      <w:sz w:val="20"/>
      <w:szCs w:val="20"/>
      <w:lang w:val="ro-RO" w:eastAsia="ru-RU"/>
      <w14:ligatures w14:val="none"/>
    </w:rPr>
  </w:style>
  <w:style w:type="paragraph" w:styleId="af8">
    <w:name w:val="footnote text"/>
    <w:basedOn w:val="a"/>
    <w:link w:val="af9"/>
    <w:uiPriority w:val="99"/>
    <w:semiHidden/>
    <w:unhideWhenUsed/>
    <w:rsid w:val="00B5161D"/>
    <w:pPr>
      <w:spacing w:after="0" w:line="240" w:lineRule="auto"/>
    </w:pPr>
    <w:rPr>
      <w:sz w:val="20"/>
      <w:szCs w:val="20"/>
    </w:rPr>
  </w:style>
  <w:style w:type="character" w:customStyle="1" w:styleId="af9">
    <w:name w:val="Текст сноски Знак"/>
    <w:basedOn w:val="a0"/>
    <w:link w:val="af8"/>
    <w:uiPriority w:val="99"/>
    <w:semiHidden/>
    <w:rsid w:val="00B5161D"/>
    <w:rPr>
      <w:rFonts w:ascii="Calibri" w:eastAsia="Times New Roman" w:hAnsi="Calibri" w:cs="Times New Roman"/>
      <w:kern w:val="0"/>
      <w:sz w:val="20"/>
      <w:szCs w:val="20"/>
      <w:lang w:val="ro-RO" w:eastAsia="ru-RU"/>
      <w14:ligatures w14:val="none"/>
    </w:rPr>
  </w:style>
  <w:style w:type="character" w:styleId="afa">
    <w:name w:val="footnote reference"/>
    <w:basedOn w:val="a0"/>
    <w:uiPriority w:val="99"/>
    <w:semiHidden/>
    <w:unhideWhenUsed/>
    <w:rsid w:val="00B5161D"/>
    <w:rPr>
      <w:vertAlign w:val="superscript"/>
    </w:rPr>
  </w:style>
  <w:style w:type="character" w:styleId="afb">
    <w:name w:val="Hyperlink"/>
    <w:basedOn w:val="a0"/>
    <w:uiPriority w:val="99"/>
    <w:unhideWhenUsed/>
    <w:rsid w:val="00E06041"/>
    <w:rPr>
      <w:color w:val="467886" w:themeColor="hyperlink"/>
      <w:u w:val="single"/>
    </w:rPr>
  </w:style>
  <w:style w:type="character" w:customStyle="1" w:styleId="UnresolvedMention1">
    <w:name w:val="Unresolved Mention1"/>
    <w:basedOn w:val="a0"/>
    <w:uiPriority w:val="99"/>
    <w:semiHidden/>
    <w:unhideWhenUsed/>
    <w:rsid w:val="00E06041"/>
    <w:rPr>
      <w:color w:val="605E5C"/>
      <w:shd w:val="clear" w:color="auto" w:fill="E1DFDD"/>
    </w:rPr>
  </w:style>
  <w:style w:type="paragraph" w:styleId="afc">
    <w:name w:val="Revision"/>
    <w:hidden/>
    <w:uiPriority w:val="99"/>
    <w:semiHidden/>
    <w:rsid w:val="007D5CDE"/>
    <w:pPr>
      <w:spacing w:after="0" w:line="240" w:lineRule="auto"/>
    </w:pPr>
    <w:rPr>
      <w:rFonts w:ascii="Calibri" w:eastAsia="Times New Roman" w:hAnsi="Calibri" w:cs="Times New Roman"/>
      <w:kern w:val="0"/>
      <w:sz w:val="22"/>
      <w:szCs w:val="22"/>
      <w:lang w:val="ro-RO" w:eastAsia="ru-RU"/>
      <w14:ligatures w14:val="none"/>
    </w:rPr>
  </w:style>
  <w:style w:type="paragraph" w:styleId="afd">
    <w:name w:val="Balloon Text"/>
    <w:basedOn w:val="a"/>
    <w:link w:val="afe"/>
    <w:uiPriority w:val="99"/>
    <w:semiHidden/>
    <w:unhideWhenUsed/>
    <w:rsid w:val="008074DD"/>
    <w:pPr>
      <w:spacing w:after="0" w:line="240" w:lineRule="auto"/>
    </w:pPr>
    <w:rPr>
      <w:rFonts w:ascii="Segoe UI" w:hAnsi="Segoe UI" w:cs="Segoe UI"/>
      <w:sz w:val="18"/>
      <w:szCs w:val="18"/>
    </w:rPr>
  </w:style>
  <w:style w:type="character" w:customStyle="1" w:styleId="afe">
    <w:name w:val="Текст выноски Знак"/>
    <w:basedOn w:val="a0"/>
    <w:link w:val="afd"/>
    <w:uiPriority w:val="99"/>
    <w:semiHidden/>
    <w:rsid w:val="008074DD"/>
    <w:rPr>
      <w:rFonts w:ascii="Segoe UI" w:eastAsia="Times New Roman" w:hAnsi="Segoe UI" w:cs="Segoe UI"/>
      <w:kern w:val="0"/>
      <w:sz w:val="18"/>
      <w:szCs w:val="18"/>
      <w:lang w:val="ro-RO" w:eastAsia="ru-RU"/>
      <w14:ligatures w14:val="none"/>
    </w:rPr>
  </w:style>
  <w:style w:type="paragraph" w:customStyle="1" w:styleId="Default">
    <w:name w:val="Default"/>
    <w:rsid w:val="00A17E37"/>
    <w:pPr>
      <w:autoSpaceDE w:val="0"/>
      <w:autoSpaceDN w:val="0"/>
      <w:adjustRightInd w:val="0"/>
      <w:spacing w:after="0" w:line="240" w:lineRule="auto"/>
    </w:pPr>
    <w:rPr>
      <w:rFonts w:ascii="Times New Roman" w:hAnsi="Times New Roman" w:cs="Times New Roman"/>
      <w:color w:val="000000"/>
      <w:kern w:val="0"/>
    </w:rPr>
  </w:style>
  <w:style w:type="character" w:customStyle="1" w:styleId="salnbdy">
    <w:name w:val="s_aln_bdy"/>
    <w:basedOn w:val="a0"/>
    <w:rsid w:val="004246B5"/>
  </w:style>
  <w:style w:type="character" w:customStyle="1" w:styleId="slgi">
    <w:name w:val="s_lgi"/>
    <w:basedOn w:val="a0"/>
    <w:rsid w:val="004246B5"/>
  </w:style>
  <w:style w:type="character" w:customStyle="1" w:styleId="salnttl">
    <w:name w:val="s_aln_ttl"/>
    <w:basedOn w:val="a0"/>
    <w:rsid w:val="004246B5"/>
  </w:style>
  <w:style w:type="character" w:customStyle="1" w:styleId="saln">
    <w:name w:val="s_aln"/>
    <w:basedOn w:val="a0"/>
    <w:rsid w:val="004246B5"/>
  </w:style>
  <w:style w:type="character" w:customStyle="1" w:styleId="sartttl">
    <w:name w:val="s_art_ttl"/>
    <w:basedOn w:val="a0"/>
    <w:rsid w:val="004246B5"/>
  </w:style>
  <w:style w:type="character" w:customStyle="1" w:styleId="slit">
    <w:name w:val="s_lit"/>
    <w:basedOn w:val="a0"/>
    <w:rsid w:val="004246B5"/>
  </w:style>
  <w:style w:type="character" w:customStyle="1" w:styleId="slitttl">
    <w:name w:val="s_lit_ttl"/>
    <w:basedOn w:val="a0"/>
    <w:rsid w:val="004246B5"/>
  </w:style>
  <w:style w:type="character" w:customStyle="1" w:styleId="slitbdy">
    <w:name w:val="s_lit_bdy"/>
    <w:basedOn w:val="a0"/>
    <w:rsid w:val="004246B5"/>
  </w:style>
  <w:style w:type="character" w:customStyle="1" w:styleId="spar">
    <w:name w:val="s_par"/>
    <w:basedOn w:val="a0"/>
    <w:rsid w:val="004246B5"/>
  </w:style>
  <w:style w:type="character" w:customStyle="1" w:styleId="UnresolvedMention">
    <w:name w:val="Unresolved Mention"/>
    <w:basedOn w:val="a0"/>
    <w:uiPriority w:val="99"/>
    <w:semiHidden/>
    <w:unhideWhenUsed/>
    <w:rsid w:val="00D153E3"/>
    <w:rPr>
      <w:color w:val="605E5C"/>
      <w:shd w:val="clear" w:color="auto" w:fill="E1DFDD"/>
    </w:rPr>
  </w:style>
  <w:style w:type="paragraph" w:styleId="aff">
    <w:name w:val="Normal (Web)"/>
    <w:basedOn w:val="a"/>
    <w:uiPriority w:val="99"/>
    <w:semiHidden/>
    <w:unhideWhenUsed/>
    <w:rsid w:val="00E24E7F"/>
    <w:rPr>
      <w:rFonts w:ascii="Times New Roman" w:hAnsi="Times New Roman"/>
      <w:sz w:val="24"/>
      <w:szCs w:val="24"/>
    </w:rPr>
  </w:style>
  <w:style w:type="character" w:styleId="aff0">
    <w:name w:val="FollowedHyperlink"/>
    <w:basedOn w:val="a0"/>
    <w:uiPriority w:val="99"/>
    <w:semiHidden/>
    <w:unhideWhenUsed/>
    <w:rsid w:val="0027441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978">
      <w:bodyDiv w:val="1"/>
      <w:marLeft w:val="0"/>
      <w:marRight w:val="0"/>
      <w:marTop w:val="0"/>
      <w:marBottom w:val="0"/>
      <w:divBdr>
        <w:top w:val="none" w:sz="0" w:space="0" w:color="auto"/>
        <w:left w:val="none" w:sz="0" w:space="0" w:color="auto"/>
        <w:bottom w:val="none" w:sz="0" w:space="0" w:color="auto"/>
        <w:right w:val="none" w:sz="0" w:space="0" w:color="auto"/>
      </w:divBdr>
    </w:div>
    <w:div w:id="6908969">
      <w:bodyDiv w:val="1"/>
      <w:marLeft w:val="0"/>
      <w:marRight w:val="0"/>
      <w:marTop w:val="0"/>
      <w:marBottom w:val="0"/>
      <w:divBdr>
        <w:top w:val="none" w:sz="0" w:space="0" w:color="auto"/>
        <w:left w:val="none" w:sz="0" w:space="0" w:color="auto"/>
        <w:bottom w:val="none" w:sz="0" w:space="0" w:color="auto"/>
        <w:right w:val="none" w:sz="0" w:space="0" w:color="auto"/>
      </w:divBdr>
    </w:div>
    <w:div w:id="7105051">
      <w:bodyDiv w:val="1"/>
      <w:marLeft w:val="0"/>
      <w:marRight w:val="0"/>
      <w:marTop w:val="0"/>
      <w:marBottom w:val="0"/>
      <w:divBdr>
        <w:top w:val="none" w:sz="0" w:space="0" w:color="auto"/>
        <w:left w:val="none" w:sz="0" w:space="0" w:color="auto"/>
        <w:bottom w:val="none" w:sz="0" w:space="0" w:color="auto"/>
        <w:right w:val="none" w:sz="0" w:space="0" w:color="auto"/>
      </w:divBdr>
      <w:divsChild>
        <w:div w:id="292566550">
          <w:marLeft w:val="0"/>
          <w:marRight w:val="0"/>
          <w:marTop w:val="0"/>
          <w:marBottom w:val="0"/>
          <w:divBdr>
            <w:top w:val="none" w:sz="0" w:space="0" w:color="auto"/>
            <w:left w:val="none" w:sz="0" w:space="0" w:color="auto"/>
            <w:bottom w:val="none" w:sz="0" w:space="0" w:color="auto"/>
            <w:right w:val="none" w:sz="0" w:space="0" w:color="auto"/>
          </w:divBdr>
        </w:div>
      </w:divsChild>
    </w:div>
    <w:div w:id="11037977">
      <w:bodyDiv w:val="1"/>
      <w:marLeft w:val="0"/>
      <w:marRight w:val="0"/>
      <w:marTop w:val="0"/>
      <w:marBottom w:val="0"/>
      <w:divBdr>
        <w:top w:val="none" w:sz="0" w:space="0" w:color="auto"/>
        <w:left w:val="none" w:sz="0" w:space="0" w:color="auto"/>
        <w:bottom w:val="none" w:sz="0" w:space="0" w:color="auto"/>
        <w:right w:val="none" w:sz="0" w:space="0" w:color="auto"/>
      </w:divBdr>
      <w:divsChild>
        <w:div w:id="2090495984">
          <w:marLeft w:val="0"/>
          <w:marRight w:val="0"/>
          <w:marTop w:val="0"/>
          <w:marBottom w:val="0"/>
          <w:divBdr>
            <w:top w:val="none" w:sz="0" w:space="0" w:color="auto"/>
            <w:left w:val="none" w:sz="0" w:space="0" w:color="auto"/>
            <w:bottom w:val="none" w:sz="0" w:space="0" w:color="auto"/>
            <w:right w:val="none" w:sz="0" w:space="0" w:color="auto"/>
          </w:divBdr>
        </w:div>
      </w:divsChild>
    </w:div>
    <w:div w:id="23674312">
      <w:bodyDiv w:val="1"/>
      <w:marLeft w:val="0"/>
      <w:marRight w:val="0"/>
      <w:marTop w:val="0"/>
      <w:marBottom w:val="0"/>
      <w:divBdr>
        <w:top w:val="none" w:sz="0" w:space="0" w:color="auto"/>
        <w:left w:val="none" w:sz="0" w:space="0" w:color="auto"/>
        <w:bottom w:val="none" w:sz="0" w:space="0" w:color="auto"/>
        <w:right w:val="none" w:sz="0" w:space="0" w:color="auto"/>
      </w:divBdr>
    </w:div>
    <w:div w:id="32734815">
      <w:bodyDiv w:val="1"/>
      <w:marLeft w:val="0"/>
      <w:marRight w:val="0"/>
      <w:marTop w:val="0"/>
      <w:marBottom w:val="0"/>
      <w:divBdr>
        <w:top w:val="none" w:sz="0" w:space="0" w:color="auto"/>
        <w:left w:val="none" w:sz="0" w:space="0" w:color="auto"/>
        <w:bottom w:val="none" w:sz="0" w:space="0" w:color="auto"/>
        <w:right w:val="none" w:sz="0" w:space="0" w:color="auto"/>
      </w:divBdr>
      <w:divsChild>
        <w:div w:id="546063995">
          <w:marLeft w:val="0"/>
          <w:marRight w:val="0"/>
          <w:marTop w:val="0"/>
          <w:marBottom w:val="0"/>
          <w:divBdr>
            <w:top w:val="none" w:sz="0" w:space="0" w:color="auto"/>
            <w:left w:val="none" w:sz="0" w:space="0" w:color="auto"/>
            <w:bottom w:val="none" w:sz="0" w:space="0" w:color="auto"/>
            <w:right w:val="none" w:sz="0" w:space="0" w:color="auto"/>
          </w:divBdr>
        </w:div>
      </w:divsChild>
    </w:div>
    <w:div w:id="47656202">
      <w:bodyDiv w:val="1"/>
      <w:marLeft w:val="0"/>
      <w:marRight w:val="0"/>
      <w:marTop w:val="0"/>
      <w:marBottom w:val="0"/>
      <w:divBdr>
        <w:top w:val="none" w:sz="0" w:space="0" w:color="auto"/>
        <w:left w:val="none" w:sz="0" w:space="0" w:color="auto"/>
        <w:bottom w:val="none" w:sz="0" w:space="0" w:color="auto"/>
        <w:right w:val="none" w:sz="0" w:space="0" w:color="auto"/>
      </w:divBdr>
      <w:divsChild>
        <w:div w:id="756442199">
          <w:marLeft w:val="0"/>
          <w:marRight w:val="0"/>
          <w:marTop w:val="0"/>
          <w:marBottom w:val="0"/>
          <w:divBdr>
            <w:top w:val="none" w:sz="0" w:space="0" w:color="auto"/>
            <w:left w:val="none" w:sz="0" w:space="0" w:color="auto"/>
            <w:bottom w:val="none" w:sz="0" w:space="0" w:color="auto"/>
            <w:right w:val="none" w:sz="0" w:space="0" w:color="auto"/>
          </w:divBdr>
        </w:div>
      </w:divsChild>
    </w:div>
    <w:div w:id="50883805">
      <w:bodyDiv w:val="1"/>
      <w:marLeft w:val="0"/>
      <w:marRight w:val="0"/>
      <w:marTop w:val="0"/>
      <w:marBottom w:val="0"/>
      <w:divBdr>
        <w:top w:val="none" w:sz="0" w:space="0" w:color="auto"/>
        <w:left w:val="none" w:sz="0" w:space="0" w:color="auto"/>
        <w:bottom w:val="none" w:sz="0" w:space="0" w:color="auto"/>
        <w:right w:val="none" w:sz="0" w:space="0" w:color="auto"/>
      </w:divBdr>
    </w:div>
    <w:div w:id="64690559">
      <w:bodyDiv w:val="1"/>
      <w:marLeft w:val="0"/>
      <w:marRight w:val="0"/>
      <w:marTop w:val="0"/>
      <w:marBottom w:val="0"/>
      <w:divBdr>
        <w:top w:val="none" w:sz="0" w:space="0" w:color="auto"/>
        <w:left w:val="none" w:sz="0" w:space="0" w:color="auto"/>
        <w:bottom w:val="none" w:sz="0" w:space="0" w:color="auto"/>
        <w:right w:val="none" w:sz="0" w:space="0" w:color="auto"/>
      </w:divBdr>
    </w:div>
    <w:div w:id="142895616">
      <w:bodyDiv w:val="1"/>
      <w:marLeft w:val="0"/>
      <w:marRight w:val="0"/>
      <w:marTop w:val="0"/>
      <w:marBottom w:val="0"/>
      <w:divBdr>
        <w:top w:val="none" w:sz="0" w:space="0" w:color="auto"/>
        <w:left w:val="none" w:sz="0" w:space="0" w:color="auto"/>
        <w:bottom w:val="none" w:sz="0" w:space="0" w:color="auto"/>
        <w:right w:val="none" w:sz="0" w:space="0" w:color="auto"/>
      </w:divBdr>
    </w:div>
    <w:div w:id="152721970">
      <w:bodyDiv w:val="1"/>
      <w:marLeft w:val="0"/>
      <w:marRight w:val="0"/>
      <w:marTop w:val="0"/>
      <w:marBottom w:val="0"/>
      <w:divBdr>
        <w:top w:val="none" w:sz="0" w:space="0" w:color="auto"/>
        <w:left w:val="none" w:sz="0" w:space="0" w:color="auto"/>
        <w:bottom w:val="none" w:sz="0" w:space="0" w:color="auto"/>
        <w:right w:val="none" w:sz="0" w:space="0" w:color="auto"/>
      </w:divBdr>
      <w:divsChild>
        <w:div w:id="1476147694">
          <w:marLeft w:val="0"/>
          <w:marRight w:val="0"/>
          <w:marTop w:val="0"/>
          <w:marBottom w:val="0"/>
          <w:divBdr>
            <w:top w:val="none" w:sz="0" w:space="0" w:color="auto"/>
            <w:left w:val="none" w:sz="0" w:space="0" w:color="auto"/>
            <w:bottom w:val="none" w:sz="0" w:space="0" w:color="auto"/>
            <w:right w:val="none" w:sz="0" w:space="0" w:color="auto"/>
          </w:divBdr>
        </w:div>
      </w:divsChild>
    </w:div>
    <w:div w:id="155607597">
      <w:bodyDiv w:val="1"/>
      <w:marLeft w:val="0"/>
      <w:marRight w:val="0"/>
      <w:marTop w:val="0"/>
      <w:marBottom w:val="0"/>
      <w:divBdr>
        <w:top w:val="none" w:sz="0" w:space="0" w:color="auto"/>
        <w:left w:val="none" w:sz="0" w:space="0" w:color="auto"/>
        <w:bottom w:val="none" w:sz="0" w:space="0" w:color="auto"/>
        <w:right w:val="none" w:sz="0" w:space="0" w:color="auto"/>
      </w:divBdr>
    </w:div>
    <w:div w:id="156384637">
      <w:bodyDiv w:val="1"/>
      <w:marLeft w:val="0"/>
      <w:marRight w:val="0"/>
      <w:marTop w:val="0"/>
      <w:marBottom w:val="0"/>
      <w:divBdr>
        <w:top w:val="none" w:sz="0" w:space="0" w:color="auto"/>
        <w:left w:val="none" w:sz="0" w:space="0" w:color="auto"/>
        <w:bottom w:val="none" w:sz="0" w:space="0" w:color="auto"/>
        <w:right w:val="none" w:sz="0" w:space="0" w:color="auto"/>
      </w:divBdr>
    </w:div>
    <w:div w:id="169178511">
      <w:bodyDiv w:val="1"/>
      <w:marLeft w:val="0"/>
      <w:marRight w:val="0"/>
      <w:marTop w:val="0"/>
      <w:marBottom w:val="0"/>
      <w:divBdr>
        <w:top w:val="none" w:sz="0" w:space="0" w:color="auto"/>
        <w:left w:val="none" w:sz="0" w:space="0" w:color="auto"/>
        <w:bottom w:val="none" w:sz="0" w:space="0" w:color="auto"/>
        <w:right w:val="none" w:sz="0" w:space="0" w:color="auto"/>
      </w:divBdr>
    </w:div>
    <w:div w:id="185870048">
      <w:bodyDiv w:val="1"/>
      <w:marLeft w:val="0"/>
      <w:marRight w:val="0"/>
      <w:marTop w:val="0"/>
      <w:marBottom w:val="0"/>
      <w:divBdr>
        <w:top w:val="none" w:sz="0" w:space="0" w:color="auto"/>
        <w:left w:val="none" w:sz="0" w:space="0" w:color="auto"/>
        <w:bottom w:val="none" w:sz="0" w:space="0" w:color="auto"/>
        <w:right w:val="none" w:sz="0" w:space="0" w:color="auto"/>
      </w:divBdr>
    </w:div>
    <w:div w:id="193276031">
      <w:bodyDiv w:val="1"/>
      <w:marLeft w:val="0"/>
      <w:marRight w:val="0"/>
      <w:marTop w:val="0"/>
      <w:marBottom w:val="0"/>
      <w:divBdr>
        <w:top w:val="none" w:sz="0" w:space="0" w:color="auto"/>
        <w:left w:val="none" w:sz="0" w:space="0" w:color="auto"/>
        <w:bottom w:val="none" w:sz="0" w:space="0" w:color="auto"/>
        <w:right w:val="none" w:sz="0" w:space="0" w:color="auto"/>
      </w:divBdr>
    </w:div>
    <w:div w:id="195587935">
      <w:bodyDiv w:val="1"/>
      <w:marLeft w:val="0"/>
      <w:marRight w:val="0"/>
      <w:marTop w:val="0"/>
      <w:marBottom w:val="0"/>
      <w:divBdr>
        <w:top w:val="none" w:sz="0" w:space="0" w:color="auto"/>
        <w:left w:val="none" w:sz="0" w:space="0" w:color="auto"/>
        <w:bottom w:val="none" w:sz="0" w:space="0" w:color="auto"/>
        <w:right w:val="none" w:sz="0" w:space="0" w:color="auto"/>
      </w:divBdr>
      <w:divsChild>
        <w:div w:id="181865857">
          <w:marLeft w:val="0"/>
          <w:marRight w:val="0"/>
          <w:marTop w:val="0"/>
          <w:marBottom w:val="0"/>
          <w:divBdr>
            <w:top w:val="none" w:sz="0" w:space="0" w:color="auto"/>
            <w:left w:val="none" w:sz="0" w:space="0" w:color="auto"/>
            <w:bottom w:val="none" w:sz="0" w:space="0" w:color="auto"/>
            <w:right w:val="none" w:sz="0" w:space="0" w:color="auto"/>
          </w:divBdr>
          <w:divsChild>
            <w:div w:id="1092117751">
              <w:marLeft w:val="0"/>
              <w:marRight w:val="0"/>
              <w:marTop w:val="0"/>
              <w:marBottom w:val="0"/>
              <w:divBdr>
                <w:top w:val="none" w:sz="0" w:space="0" w:color="auto"/>
                <w:left w:val="none" w:sz="0" w:space="0" w:color="auto"/>
                <w:bottom w:val="none" w:sz="0" w:space="0" w:color="auto"/>
                <w:right w:val="none" w:sz="0" w:space="0" w:color="auto"/>
              </w:divBdr>
              <w:divsChild>
                <w:div w:id="566846276">
                  <w:marLeft w:val="0"/>
                  <w:marRight w:val="0"/>
                  <w:marTop w:val="0"/>
                  <w:marBottom w:val="0"/>
                  <w:divBdr>
                    <w:top w:val="none" w:sz="0" w:space="0" w:color="auto"/>
                    <w:left w:val="none" w:sz="0" w:space="0" w:color="auto"/>
                    <w:bottom w:val="none" w:sz="0" w:space="0" w:color="auto"/>
                    <w:right w:val="none" w:sz="0" w:space="0" w:color="auto"/>
                  </w:divBdr>
                  <w:divsChild>
                    <w:div w:id="1749182375">
                      <w:marLeft w:val="0"/>
                      <w:marRight w:val="0"/>
                      <w:marTop w:val="0"/>
                      <w:marBottom w:val="0"/>
                      <w:divBdr>
                        <w:top w:val="none" w:sz="0" w:space="0" w:color="auto"/>
                        <w:left w:val="none" w:sz="0" w:space="0" w:color="auto"/>
                        <w:bottom w:val="none" w:sz="0" w:space="0" w:color="auto"/>
                        <w:right w:val="none" w:sz="0" w:space="0" w:color="auto"/>
                      </w:divBdr>
                      <w:divsChild>
                        <w:div w:id="269539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7864508">
      <w:bodyDiv w:val="1"/>
      <w:marLeft w:val="0"/>
      <w:marRight w:val="0"/>
      <w:marTop w:val="0"/>
      <w:marBottom w:val="0"/>
      <w:divBdr>
        <w:top w:val="none" w:sz="0" w:space="0" w:color="auto"/>
        <w:left w:val="none" w:sz="0" w:space="0" w:color="auto"/>
        <w:bottom w:val="none" w:sz="0" w:space="0" w:color="auto"/>
        <w:right w:val="none" w:sz="0" w:space="0" w:color="auto"/>
      </w:divBdr>
      <w:divsChild>
        <w:div w:id="827406754">
          <w:marLeft w:val="0"/>
          <w:marRight w:val="0"/>
          <w:marTop w:val="0"/>
          <w:marBottom w:val="0"/>
          <w:divBdr>
            <w:top w:val="none" w:sz="0" w:space="0" w:color="auto"/>
            <w:left w:val="none" w:sz="0" w:space="0" w:color="auto"/>
            <w:bottom w:val="none" w:sz="0" w:space="0" w:color="auto"/>
            <w:right w:val="none" w:sz="0" w:space="0" w:color="auto"/>
          </w:divBdr>
        </w:div>
      </w:divsChild>
    </w:div>
    <w:div w:id="200552750">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6">
          <w:marLeft w:val="0"/>
          <w:marRight w:val="0"/>
          <w:marTop w:val="0"/>
          <w:marBottom w:val="0"/>
          <w:divBdr>
            <w:top w:val="none" w:sz="0" w:space="0" w:color="auto"/>
            <w:left w:val="none" w:sz="0" w:space="0" w:color="auto"/>
            <w:bottom w:val="none" w:sz="0" w:space="0" w:color="auto"/>
            <w:right w:val="none" w:sz="0" w:space="0" w:color="auto"/>
          </w:divBdr>
        </w:div>
      </w:divsChild>
    </w:div>
    <w:div w:id="208802561">
      <w:bodyDiv w:val="1"/>
      <w:marLeft w:val="0"/>
      <w:marRight w:val="0"/>
      <w:marTop w:val="0"/>
      <w:marBottom w:val="0"/>
      <w:divBdr>
        <w:top w:val="none" w:sz="0" w:space="0" w:color="auto"/>
        <w:left w:val="none" w:sz="0" w:space="0" w:color="auto"/>
        <w:bottom w:val="none" w:sz="0" w:space="0" w:color="auto"/>
        <w:right w:val="none" w:sz="0" w:space="0" w:color="auto"/>
      </w:divBdr>
      <w:divsChild>
        <w:div w:id="1838306303">
          <w:marLeft w:val="0"/>
          <w:marRight w:val="0"/>
          <w:marTop w:val="0"/>
          <w:marBottom w:val="0"/>
          <w:divBdr>
            <w:top w:val="none" w:sz="0" w:space="0" w:color="auto"/>
            <w:left w:val="none" w:sz="0" w:space="0" w:color="auto"/>
            <w:bottom w:val="none" w:sz="0" w:space="0" w:color="auto"/>
            <w:right w:val="none" w:sz="0" w:space="0" w:color="auto"/>
          </w:divBdr>
        </w:div>
      </w:divsChild>
    </w:div>
    <w:div w:id="222256037">
      <w:bodyDiv w:val="1"/>
      <w:marLeft w:val="0"/>
      <w:marRight w:val="0"/>
      <w:marTop w:val="0"/>
      <w:marBottom w:val="0"/>
      <w:divBdr>
        <w:top w:val="none" w:sz="0" w:space="0" w:color="auto"/>
        <w:left w:val="none" w:sz="0" w:space="0" w:color="auto"/>
        <w:bottom w:val="none" w:sz="0" w:space="0" w:color="auto"/>
        <w:right w:val="none" w:sz="0" w:space="0" w:color="auto"/>
      </w:divBdr>
      <w:divsChild>
        <w:div w:id="10686092">
          <w:marLeft w:val="0"/>
          <w:marRight w:val="0"/>
          <w:marTop w:val="0"/>
          <w:marBottom w:val="0"/>
          <w:divBdr>
            <w:top w:val="none" w:sz="0" w:space="0" w:color="auto"/>
            <w:left w:val="none" w:sz="0" w:space="0" w:color="auto"/>
            <w:bottom w:val="none" w:sz="0" w:space="0" w:color="auto"/>
            <w:right w:val="none" w:sz="0" w:space="0" w:color="auto"/>
          </w:divBdr>
        </w:div>
      </w:divsChild>
    </w:div>
    <w:div w:id="243994000">
      <w:bodyDiv w:val="1"/>
      <w:marLeft w:val="0"/>
      <w:marRight w:val="0"/>
      <w:marTop w:val="0"/>
      <w:marBottom w:val="0"/>
      <w:divBdr>
        <w:top w:val="none" w:sz="0" w:space="0" w:color="auto"/>
        <w:left w:val="none" w:sz="0" w:space="0" w:color="auto"/>
        <w:bottom w:val="none" w:sz="0" w:space="0" w:color="auto"/>
        <w:right w:val="none" w:sz="0" w:space="0" w:color="auto"/>
      </w:divBdr>
    </w:div>
    <w:div w:id="260337044">
      <w:bodyDiv w:val="1"/>
      <w:marLeft w:val="0"/>
      <w:marRight w:val="0"/>
      <w:marTop w:val="0"/>
      <w:marBottom w:val="0"/>
      <w:divBdr>
        <w:top w:val="none" w:sz="0" w:space="0" w:color="auto"/>
        <w:left w:val="none" w:sz="0" w:space="0" w:color="auto"/>
        <w:bottom w:val="none" w:sz="0" w:space="0" w:color="auto"/>
        <w:right w:val="none" w:sz="0" w:space="0" w:color="auto"/>
      </w:divBdr>
      <w:divsChild>
        <w:div w:id="37318744">
          <w:marLeft w:val="0"/>
          <w:marRight w:val="0"/>
          <w:marTop w:val="0"/>
          <w:marBottom w:val="0"/>
          <w:divBdr>
            <w:top w:val="none" w:sz="0" w:space="0" w:color="auto"/>
            <w:left w:val="none" w:sz="0" w:space="0" w:color="auto"/>
            <w:bottom w:val="none" w:sz="0" w:space="0" w:color="auto"/>
            <w:right w:val="none" w:sz="0" w:space="0" w:color="auto"/>
          </w:divBdr>
        </w:div>
      </w:divsChild>
    </w:div>
    <w:div w:id="277374783">
      <w:bodyDiv w:val="1"/>
      <w:marLeft w:val="0"/>
      <w:marRight w:val="0"/>
      <w:marTop w:val="0"/>
      <w:marBottom w:val="0"/>
      <w:divBdr>
        <w:top w:val="none" w:sz="0" w:space="0" w:color="auto"/>
        <w:left w:val="none" w:sz="0" w:space="0" w:color="auto"/>
        <w:bottom w:val="none" w:sz="0" w:space="0" w:color="auto"/>
        <w:right w:val="none" w:sz="0" w:space="0" w:color="auto"/>
      </w:divBdr>
    </w:div>
    <w:div w:id="299892799">
      <w:bodyDiv w:val="1"/>
      <w:marLeft w:val="0"/>
      <w:marRight w:val="0"/>
      <w:marTop w:val="0"/>
      <w:marBottom w:val="0"/>
      <w:divBdr>
        <w:top w:val="none" w:sz="0" w:space="0" w:color="auto"/>
        <w:left w:val="none" w:sz="0" w:space="0" w:color="auto"/>
        <w:bottom w:val="none" w:sz="0" w:space="0" w:color="auto"/>
        <w:right w:val="none" w:sz="0" w:space="0" w:color="auto"/>
      </w:divBdr>
      <w:divsChild>
        <w:div w:id="234366866">
          <w:marLeft w:val="0"/>
          <w:marRight w:val="0"/>
          <w:marTop w:val="0"/>
          <w:marBottom w:val="0"/>
          <w:divBdr>
            <w:top w:val="none" w:sz="0" w:space="0" w:color="auto"/>
            <w:left w:val="none" w:sz="0" w:space="0" w:color="auto"/>
            <w:bottom w:val="none" w:sz="0" w:space="0" w:color="auto"/>
            <w:right w:val="none" w:sz="0" w:space="0" w:color="auto"/>
          </w:divBdr>
        </w:div>
      </w:divsChild>
    </w:div>
    <w:div w:id="310406796">
      <w:bodyDiv w:val="1"/>
      <w:marLeft w:val="0"/>
      <w:marRight w:val="0"/>
      <w:marTop w:val="0"/>
      <w:marBottom w:val="0"/>
      <w:divBdr>
        <w:top w:val="none" w:sz="0" w:space="0" w:color="auto"/>
        <w:left w:val="none" w:sz="0" w:space="0" w:color="auto"/>
        <w:bottom w:val="none" w:sz="0" w:space="0" w:color="auto"/>
        <w:right w:val="none" w:sz="0" w:space="0" w:color="auto"/>
      </w:divBdr>
      <w:divsChild>
        <w:div w:id="447433490">
          <w:marLeft w:val="0"/>
          <w:marRight w:val="0"/>
          <w:marTop w:val="0"/>
          <w:marBottom w:val="0"/>
          <w:divBdr>
            <w:top w:val="none" w:sz="0" w:space="0" w:color="auto"/>
            <w:left w:val="none" w:sz="0" w:space="0" w:color="auto"/>
            <w:bottom w:val="none" w:sz="0" w:space="0" w:color="auto"/>
            <w:right w:val="none" w:sz="0" w:space="0" w:color="auto"/>
          </w:divBdr>
        </w:div>
      </w:divsChild>
    </w:div>
    <w:div w:id="328020260">
      <w:bodyDiv w:val="1"/>
      <w:marLeft w:val="0"/>
      <w:marRight w:val="0"/>
      <w:marTop w:val="0"/>
      <w:marBottom w:val="0"/>
      <w:divBdr>
        <w:top w:val="none" w:sz="0" w:space="0" w:color="auto"/>
        <w:left w:val="none" w:sz="0" w:space="0" w:color="auto"/>
        <w:bottom w:val="none" w:sz="0" w:space="0" w:color="auto"/>
        <w:right w:val="none" w:sz="0" w:space="0" w:color="auto"/>
      </w:divBdr>
    </w:div>
    <w:div w:id="369301389">
      <w:bodyDiv w:val="1"/>
      <w:marLeft w:val="0"/>
      <w:marRight w:val="0"/>
      <w:marTop w:val="0"/>
      <w:marBottom w:val="0"/>
      <w:divBdr>
        <w:top w:val="none" w:sz="0" w:space="0" w:color="auto"/>
        <w:left w:val="none" w:sz="0" w:space="0" w:color="auto"/>
        <w:bottom w:val="none" w:sz="0" w:space="0" w:color="auto"/>
        <w:right w:val="none" w:sz="0" w:space="0" w:color="auto"/>
      </w:divBdr>
    </w:div>
    <w:div w:id="370308019">
      <w:bodyDiv w:val="1"/>
      <w:marLeft w:val="0"/>
      <w:marRight w:val="0"/>
      <w:marTop w:val="0"/>
      <w:marBottom w:val="0"/>
      <w:divBdr>
        <w:top w:val="none" w:sz="0" w:space="0" w:color="auto"/>
        <w:left w:val="none" w:sz="0" w:space="0" w:color="auto"/>
        <w:bottom w:val="none" w:sz="0" w:space="0" w:color="auto"/>
        <w:right w:val="none" w:sz="0" w:space="0" w:color="auto"/>
      </w:divBdr>
    </w:div>
    <w:div w:id="373967692">
      <w:bodyDiv w:val="1"/>
      <w:marLeft w:val="0"/>
      <w:marRight w:val="0"/>
      <w:marTop w:val="0"/>
      <w:marBottom w:val="0"/>
      <w:divBdr>
        <w:top w:val="none" w:sz="0" w:space="0" w:color="auto"/>
        <w:left w:val="none" w:sz="0" w:space="0" w:color="auto"/>
        <w:bottom w:val="none" w:sz="0" w:space="0" w:color="auto"/>
        <w:right w:val="none" w:sz="0" w:space="0" w:color="auto"/>
      </w:divBdr>
      <w:divsChild>
        <w:div w:id="782307336">
          <w:marLeft w:val="0"/>
          <w:marRight w:val="0"/>
          <w:marTop w:val="0"/>
          <w:marBottom w:val="0"/>
          <w:divBdr>
            <w:top w:val="none" w:sz="0" w:space="0" w:color="auto"/>
            <w:left w:val="none" w:sz="0" w:space="0" w:color="auto"/>
            <w:bottom w:val="none" w:sz="0" w:space="0" w:color="auto"/>
            <w:right w:val="none" w:sz="0" w:space="0" w:color="auto"/>
          </w:divBdr>
        </w:div>
      </w:divsChild>
    </w:div>
    <w:div w:id="378211685">
      <w:bodyDiv w:val="1"/>
      <w:marLeft w:val="0"/>
      <w:marRight w:val="0"/>
      <w:marTop w:val="0"/>
      <w:marBottom w:val="0"/>
      <w:divBdr>
        <w:top w:val="none" w:sz="0" w:space="0" w:color="auto"/>
        <w:left w:val="none" w:sz="0" w:space="0" w:color="auto"/>
        <w:bottom w:val="none" w:sz="0" w:space="0" w:color="auto"/>
        <w:right w:val="none" w:sz="0" w:space="0" w:color="auto"/>
      </w:divBdr>
    </w:div>
    <w:div w:id="398209157">
      <w:bodyDiv w:val="1"/>
      <w:marLeft w:val="0"/>
      <w:marRight w:val="0"/>
      <w:marTop w:val="0"/>
      <w:marBottom w:val="0"/>
      <w:divBdr>
        <w:top w:val="none" w:sz="0" w:space="0" w:color="auto"/>
        <w:left w:val="none" w:sz="0" w:space="0" w:color="auto"/>
        <w:bottom w:val="none" w:sz="0" w:space="0" w:color="auto"/>
        <w:right w:val="none" w:sz="0" w:space="0" w:color="auto"/>
      </w:divBdr>
    </w:div>
    <w:div w:id="413089233">
      <w:bodyDiv w:val="1"/>
      <w:marLeft w:val="0"/>
      <w:marRight w:val="0"/>
      <w:marTop w:val="0"/>
      <w:marBottom w:val="0"/>
      <w:divBdr>
        <w:top w:val="none" w:sz="0" w:space="0" w:color="auto"/>
        <w:left w:val="none" w:sz="0" w:space="0" w:color="auto"/>
        <w:bottom w:val="none" w:sz="0" w:space="0" w:color="auto"/>
        <w:right w:val="none" w:sz="0" w:space="0" w:color="auto"/>
      </w:divBdr>
      <w:divsChild>
        <w:div w:id="1808473821">
          <w:marLeft w:val="0"/>
          <w:marRight w:val="0"/>
          <w:marTop w:val="0"/>
          <w:marBottom w:val="0"/>
          <w:divBdr>
            <w:top w:val="none" w:sz="0" w:space="0" w:color="auto"/>
            <w:left w:val="none" w:sz="0" w:space="0" w:color="auto"/>
            <w:bottom w:val="none" w:sz="0" w:space="0" w:color="auto"/>
            <w:right w:val="none" w:sz="0" w:space="0" w:color="auto"/>
          </w:divBdr>
        </w:div>
      </w:divsChild>
    </w:div>
    <w:div w:id="437604026">
      <w:bodyDiv w:val="1"/>
      <w:marLeft w:val="0"/>
      <w:marRight w:val="0"/>
      <w:marTop w:val="0"/>
      <w:marBottom w:val="0"/>
      <w:divBdr>
        <w:top w:val="none" w:sz="0" w:space="0" w:color="auto"/>
        <w:left w:val="none" w:sz="0" w:space="0" w:color="auto"/>
        <w:bottom w:val="none" w:sz="0" w:space="0" w:color="auto"/>
        <w:right w:val="none" w:sz="0" w:space="0" w:color="auto"/>
      </w:divBdr>
      <w:divsChild>
        <w:div w:id="223299052">
          <w:marLeft w:val="0"/>
          <w:marRight w:val="0"/>
          <w:marTop w:val="0"/>
          <w:marBottom w:val="0"/>
          <w:divBdr>
            <w:top w:val="none" w:sz="0" w:space="0" w:color="auto"/>
            <w:left w:val="none" w:sz="0" w:space="0" w:color="auto"/>
            <w:bottom w:val="none" w:sz="0" w:space="0" w:color="auto"/>
            <w:right w:val="none" w:sz="0" w:space="0" w:color="auto"/>
          </w:divBdr>
        </w:div>
      </w:divsChild>
    </w:div>
    <w:div w:id="505176236">
      <w:bodyDiv w:val="1"/>
      <w:marLeft w:val="0"/>
      <w:marRight w:val="0"/>
      <w:marTop w:val="0"/>
      <w:marBottom w:val="0"/>
      <w:divBdr>
        <w:top w:val="none" w:sz="0" w:space="0" w:color="auto"/>
        <w:left w:val="none" w:sz="0" w:space="0" w:color="auto"/>
        <w:bottom w:val="none" w:sz="0" w:space="0" w:color="auto"/>
        <w:right w:val="none" w:sz="0" w:space="0" w:color="auto"/>
      </w:divBdr>
      <w:divsChild>
        <w:div w:id="1341857975">
          <w:marLeft w:val="0"/>
          <w:marRight w:val="0"/>
          <w:marTop w:val="0"/>
          <w:marBottom w:val="0"/>
          <w:divBdr>
            <w:top w:val="none" w:sz="0" w:space="0" w:color="auto"/>
            <w:left w:val="none" w:sz="0" w:space="0" w:color="auto"/>
            <w:bottom w:val="none" w:sz="0" w:space="0" w:color="auto"/>
            <w:right w:val="none" w:sz="0" w:space="0" w:color="auto"/>
          </w:divBdr>
        </w:div>
      </w:divsChild>
    </w:div>
    <w:div w:id="524489039">
      <w:bodyDiv w:val="1"/>
      <w:marLeft w:val="0"/>
      <w:marRight w:val="0"/>
      <w:marTop w:val="0"/>
      <w:marBottom w:val="0"/>
      <w:divBdr>
        <w:top w:val="none" w:sz="0" w:space="0" w:color="auto"/>
        <w:left w:val="none" w:sz="0" w:space="0" w:color="auto"/>
        <w:bottom w:val="none" w:sz="0" w:space="0" w:color="auto"/>
        <w:right w:val="none" w:sz="0" w:space="0" w:color="auto"/>
      </w:divBdr>
      <w:divsChild>
        <w:div w:id="1573857073">
          <w:marLeft w:val="0"/>
          <w:marRight w:val="0"/>
          <w:marTop w:val="0"/>
          <w:marBottom w:val="0"/>
          <w:divBdr>
            <w:top w:val="none" w:sz="0" w:space="0" w:color="auto"/>
            <w:left w:val="none" w:sz="0" w:space="0" w:color="auto"/>
            <w:bottom w:val="none" w:sz="0" w:space="0" w:color="auto"/>
            <w:right w:val="none" w:sz="0" w:space="0" w:color="auto"/>
          </w:divBdr>
        </w:div>
      </w:divsChild>
    </w:div>
    <w:div w:id="534971389">
      <w:bodyDiv w:val="1"/>
      <w:marLeft w:val="0"/>
      <w:marRight w:val="0"/>
      <w:marTop w:val="0"/>
      <w:marBottom w:val="0"/>
      <w:divBdr>
        <w:top w:val="none" w:sz="0" w:space="0" w:color="auto"/>
        <w:left w:val="none" w:sz="0" w:space="0" w:color="auto"/>
        <w:bottom w:val="none" w:sz="0" w:space="0" w:color="auto"/>
        <w:right w:val="none" w:sz="0" w:space="0" w:color="auto"/>
      </w:divBdr>
    </w:div>
    <w:div w:id="538784922">
      <w:bodyDiv w:val="1"/>
      <w:marLeft w:val="0"/>
      <w:marRight w:val="0"/>
      <w:marTop w:val="0"/>
      <w:marBottom w:val="0"/>
      <w:divBdr>
        <w:top w:val="none" w:sz="0" w:space="0" w:color="auto"/>
        <w:left w:val="none" w:sz="0" w:space="0" w:color="auto"/>
        <w:bottom w:val="none" w:sz="0" w:space="0" w:color="auto"/>
        <w:right w:val="none" w:sz="0" w:space="0" w:color="auto"/>
      </w:divBdr>
    </w:div>
    <w:div w:id="543293829">
      <w:bodyDiv w:val="1"/>
      <w:marLeft w:val="0"/>
      <w:marRight w:val="0"/>
      <w:marTop w:val="0"/>
      <w:marBottom w:val="0"/>
      <w:divBdr>
        <w:top w:val="none" w:sz="0" w:space="0" w:color="auto"/>
        <w:left w:val="none" w:sz="0" w:space="0" w:color="auto"/>
        <w:bottom w:val="none" w:sz="0" w:space="0" w:color="auto"/>
        <w:right w:val="none" w:sz="0" w:space="0" w:color="auto"/>
      </w:divBdr>
      <w:divsChild>
        <w:div w:id="2145387121">
          <w:marLeft w:val="0"/>
          <w:marRight w:val="0"/>
          <w:marTop w:val="0"/>
          <w:marBottom w:val="0"/>
          <w:divBdr>
            <w:top w:val="none" w:sz="0" w:space="0" w:color="auto"/>
            <w:left w:val="none" w:sz="0" w:space="0" w:color="auto"/>
            <w:bottom w:val="none" w:sz="0" w:space="0" w:color="auto"/>
            <w:right w:val="none" w:sz="0" w:space="0" w:color="auto"/>
          </w:divBdr>
          <w:divsChild>
            <w:div w:id="469907240">
              <w:marLeft w:val="0"/>
              <w:marRight w:val="0"/>
              <w:marTop w:val="0"/>
              <w:marBottom w:val="0"/>
              <w:divBdr>
                <w:top w:val="none" w:sz="0" w:space="0" w:color="auto"/>
                <w:left w:val="none" w:sz="0" w:space="0" w:color="auto"/>
                <w:bottom w:val="none" w:sz="0" w:space="0" w:color="auto"/>
                <w:right w:val="none" w:sz="0" w:space="0" w:color="auto"/>
              </w:divBdr>
              <w:divsChild>
                <w:div w:id="219437413">
                  <w:marLeft w:val="0"/>
                  <w:marRight w:val="0"/>
                  <w:marTop w:val="0"/>
                  <w:marBottom w:val="0"/>
                  <w:divBdr>
                    <w:top w:val="none" w:sz="0" w:space="0" w:color="auto"/>
                    <w:left w:val="none" w:sz="0" w:space="0" w:color="auto"/>
                    <w:bottom w:val="none" w:sz="0" w:space="0" w:color="auto"/>
                    <w:right w:val="none" w:sz="0" w:space="0" w:color="auto"/>
                  </w:divBdr>
                  <w:divsChild>
                    <w:div w:id="1288898611">
                      <w:marLeft w:val="0"/>
                      <w:marRight w:val="0"/>
                      <w:marTop w:val="0"/>
                      <w:marBottom w:val="0"/>
                      <w:divBdr>
                        <w:top w:val="none" w:sz="0" w:space="0" w:color="auto"/>
                        <w:left w:val="none" w:sz="0" w:space="0" w:color="auto"/>
                        <w:bottom w:val="none" w:sz="0" w:space="0" w:color="auto"/>
                        <w:right w:val="none" w:sz="0" w:space="0" w:color="auto"/>
                      </w:divBdr>
                      <w:divsChild>
                        <w:div w:id="825098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553811746">
      <w:bodyDiv w:val="1"/>
      <w:marLeft w:val="0"/>
      <w:marRight w:val="0"/>
      <w:marTop w:val="0"/>
      <w:marBottom w:val="0"/>
      <w:divBdr>
        <w:top w:val="none" w:sz="0" w:space="0" w:color="auto"/>
        <w:left w:val="none" w:sz="0" w:space="0" w:color="auto"/>
        <w:bottom w:val="none" w:sz="0" w:space="0" w:color="auto"/>
        <w:right w:val="none" w:sz="0" w:space="0" w:color="auto"/>
      </w:divBdr>
      <w:divsChild>
        <w:div w:id="915432462">
          <w:marLeft w:val="0"/>
          <w:marRight w:val="0"/>
          <w:marTop w:val="0"/>
          <w:marBottom w:val="0"/>
          <w:divBdr>
            <w:top w:val="none" w:sz="0" w:space="0" w:color="auto"/>
            <w:left w:val="none" w:sz="0" w:space="0" w:color="auto"/>
            <w:bottom w:val="none" w:sz="0" w:space="0" w:color="auto"/>
            <w:right w:val="none" w:sz="0" w:space="0" w:color="auto"/>
          </w:divBdr>
        </w:div>
      </w:divsChild>
    </w:div>
    <w:div w:id="571693608">
      <w:bodyDiv w:val="1"/>
      <w:marLeft w:val="0"/>
      <w:marRight w:val="0"/>
      <w:marTop w:val="0"/>
      <w:marBottom w:val="0"/>
      <w:divBdr>
        <w:top w:val="none" w:sz="0" w:space="0" w:color="auto"/>
        <w:left w:val="none" w:sz="0" w:space="0" w:color="auto"/>
        <w:bottom w:val="none" w:sz="0" w:space="0" w:color="auto"/>
        <w:right w:val="none" w:sz="0" w:space="0" w:color="auto"/>
      </w:divBdr>
      <w:divsChild>
        <w:div w:id="808940316">
          <w:marLeft w:val="0"/>
          <w:marRight w:val="0"/>
          <w:marTop w:val="0"/>
          <w:marBottom w:val="0"/>
          <w:divBdr>
            <w:top w:val="none" w:sz="0" w:space="0" w:color="auto"/>
            <w:left w:val="none" w:sz="0" w:space="0" w:color="auto"/>
            <w:bottom w:val="none" w:sz="0" w:space="0" w:color="auto"/>
            <w:right w:val="none" w:sz="0" w:space="0" w:color="auto"/>
          </w:divBdr>
        </w:div>
      </w:divsChild>
    </w:div>
    <w:div w:id="572936628">
      <w:bodyDiv w:val="1"/>
      <w:marLeft w:val="0"/>
      <w:marRight w:val="0"/>
      <w:marTop w:val="0"/>
      <w:marBottom w:val="0"/>
      <w:divBdr>
        <w:top w:val="none" w:sz="0" w:space="0" w:color="auto"/>
        <w:left w:val="none" w:sz="0" w:space="0" w:color="auto"/>
        <w:bottom w:val="none" w:sz="0" w:space="0" w:color="auto"/>
        <w:right w:val="none" w:sz="0" w:space="0" w:color="auto"/>
      </w:divBdr>
    </w:div>
    <w:div w:id="574436740">
      <w:bodyDiv w:val="1"/>
      <w:marLeft w:val="0"/>
      <w:marRight w:val="0"/>
      <w:marTop w:val="0"/>
      <w:marBottom w:val="0"/>
      <w:divBdr>
        <w:top w:val="none" w:sz="0" w:space="0" w:color="auto"/>
        <w:left w:val="none" w:sz="0" w:space="0" w:color="auto"/>
        <w:bottom w:val="none" w:sz="0" w:space="0" w:color="auto"/>
        <w:right w:val="none" w:sz="0" w:space="0" w:color="auto"/>
      </w:divBdr>
      <w:divsChild>
        <w:div w:id="1747992932">
          <w:marLeft w:val="0"/>
          <w:marRight w:val="0"/>
          <w:marTop w:val="0"/>
          <w:marBottom w:val="0"/>
          <w:divBdr>
            <w:top w:val="none" w:sz="0" w:space="0" w:color="auto"/>
            <w:left w:val="none" w:sz="0" w:space="0" w:color="auto"/>
            <w:bottom w:val="none" w:sz="0" w:space="0" w:color="auto"/>
            <w:right w:val="none" w:sz="0" w:space="0" w:color="auto"/>
          </w:divBdr>
        </w:div>
      </w:divsChild>
    </w:div>
    <w:div w:id="592327121">
      <w:bodyDiv w:val="1"/>
      <w:marLeft w:val="0"/>
      <w:marRight w:val="0"/>
      <w:marTop w:val="0"/>
      <w:marBottom w:val="0"/>
      <w:divBdr>
        <w:top w:val="none" w:sz="0" w:space="0" w:color="auto"/>
        <w:left w:val="none" w:sz="0" w:space="0" w:color="auto"/>
        <w:bottom w:val="none" w:sz="0" w:space="0" w:color="auto"/>
        <w:right w:val="none" w:sz="0" w:space="0" w:color="auto"/>
      </w:divBdr>
    </w:div>
    <w:div w:id="618948475">
      <w:bodyDiv w:val="1"/>
      <w:marLeft w:val="0"/>
      <w:marRight w:val="0"/>
      <w:marTop w:val="0"/>
      <w:marBottom w:val="0"/>
      <w:divBdr>
        <w:top w:val="none" w:sz="0" w:space="0" w:color="auto"/>
        <w:left w:val="none" w:sz="0" w:space="0" w:color="auto"/>
        <w:bottom w:val="none" w:sz="0" w:space="0" w:color="auto"/>
        <w:right w:val="none" w:sz="0" w:space="0" w:color="auto"/>
      </w:divBdr>
    </w:div>
    <w:div w:id="651447882">
      <w:bodyDiv w:val="1"/>
      <w:marLeft w:val="0"/>
      <w:marRight w:val="0"/>
      <w:marTop w:val="0"/>
      <w:marBottom w:val="0"/>
      <w:divBdr>
        <w:top w:val="none" w:sz="0" w:space="0" w:color="auto"/>
        <w:left w:val="none" w:sz="0" w:space="0" w:color="auto"/>
        <w:bottom w:val="none" w:sz="0" w:space="0" w:color="auto"/>
        <w:right w:val="none" w:sz="0" w:space="0" w:color="auto"/>
      </w:divBdr>
      <w:divsChild>
        <w:div w:id="876046111">
          <w:marLeft w:val="0"/>
          <w:marRight w:val="0"/>
          <w:marTop w:val="0"/>
          <w:marBottom w:val="0"/>
          <w:divBdr>
            <w:top w:val="none" w:sz="0" w:space="0" w:color="auto"/>
            <w:left w:val="none" w:sz="0" w:space="0" w:color="auto"/>
            <w:bottom w:val="none" w:sz="0" w:space="0" w:color="auto"/>
            <w:right w:val="none" w:sz="0" w:space="0" w:color="auto"/>
          </w:divBdr>
        </w:div>
      </w:divsChild>
    </w:div>
    <w:div w:id="671185248">
      <w:bodyDiv w:val="1"/>
      <w:marLeft w:val="0"/>
      <w:marRight w:val="0"/>
      <w:marTop w:val="0"/>
      <w:marBottom w:val="0"/>
      <w:divBdr>
        <w:top w:val="none" w:sz="0" w:space="0" w:color="auto"/>
        <w:left w:val="none" w:sz="0" w:space="0" w:color="auto"/>
        <w:bottom w:val="none" w:sz="0" w:space="0" w:color="auto"/>
        <w:right w:val="none" w:sz="0" w:space="0" w:color="auto"/>
      </w:divBdr>
    </w:div>
    <w:div w:id="729112444">
      <w:bodyDiv w:val="1"/>
      <w:marLeft w:val="0"/>
      <w:marRight w:val="0"/>
      <w:marTop w:val="0"/>
      <w:marBottom w:val="0"/>
      <w:divBdr>
        <w:top w:val="none" w:sz="0" w:space="0" w:color="auto"/>
        <w:left w:val="none" w:sz="0" w:space="0" w:color="auto"/>
        <w:bottom w:val="none" w:sz="0" w:space="0" w:color="auto"/>
        <w:right w:val="none" w:sz="0" w:space="0" w:color="auto"/>
      </w:divBdr>
    </w:div>
    <w:div w:id="751781730">
      <w:bodyDiv w:val="1"/>
      <w:marLeft w:val="0"/>
      <w:marRight w:val="0"/>
      <w:marTop w:val="0"/>
      <w:marBottom w:val="0"/>
      <w:divBdr>
        <w:top w:val="none" w:sz="0" w:space="0" w:color="auto"/>
        <w:left w:val="none" w:sz="0" w:space="0" w:color="auto"/>
        <w:bottom w:val="none" w:sz="0" w:space="0" w:color="auto"/>
        <w:right w:val="none" w:sz="0" w:space="0" w:color="auto"/>
      </w:divBdr>
    </w:div>
    <w:div w:id="761026242">
      <w:bodyDiv w:val="1"/>
      <w:marLeft w:val="0"/>
      <w:marRight w:val="0"/>
      <w:marTop w:val="0"/>
      <w:marBottom w:val="0"/>
      <w:divBdr>
        <w:top w:val="none" w:sz="0" w:space="0" w:color="auto"/>
        <w:left w:val="none" w:sz="0" w:space="0" w:color="auto"/>
        <w:bottom w:val="none" w:sz="0" w:space="0" w:color="auto"/>
        <w:right w:val="none" w:sz="0" w:space="0" w:color="auto"/>
      </w:divBdr>
    </w:div>
    <w:div w:id="771903810">
      <w:bodyDiv w:val="1"/>
      <w:marLeft w:val="0"/>
      <w:marRight w:val="0"/>
      <w:marTop w:val="0"/>
      <w:marBottom w:val="0"/>
      <w:divBdr>
        <w:top w:val="none" w:sz="0" w:space="0" w:color="auto"/>
        <w:left w:val="none" w:sz="0" w:space="0" w:color="auto"/>
        <w:bottom w:val="none" w:sz="0" w:space="0" w:color="auto"/>
        <w:right w:val="none" w:sz="0" w:space="0" w:color="auto"/>
      </w:divBdr>
    </w:div>
    <w:div w:id="780880308">
      <w:bodyDiv w:val="1"/>
      <w:marLeft w:val="0"/>
      <w:marRight w:val="0"/>
      <w:marTop w:val="0"/>
      <w:marBottom w:val="0"/>
      <w:divBdr>
        <w:top w:val="none" w:sz="0" w:space="0" w:color="auto"/>
        <w:left w:val="none" w:sz="0" w:space="0" w:color="auto"/>
        <w:bottom w:val="none" w:sz="0" w:space="0" w:color="auto"/>
        <w:right w:val="none" w:sz="0" w:space="0" w:color="auto"/>
      </w:divBdr>
    </w:div>
    <w:div w:id="795830907">
      <w:bodyDiv w:val="1"/>
      <w:marLeft w:val="0"/>
      <w:marRight w:val="0"/>
      <w:marTop w:val="0"/>
      <w:marBottom w:val="0"/>
      <w:divBdr>
        <w:top w:val="none" w:sz="0" w:space="0" w:color="auto"/>
        <w:left w:val="none" w:sz="0" w:space="0" w:color="auto"/>
        <w:bottom w:val="none" w:sz="0" w:space="0" w:color="auto"/>
        <w:right w:val="none" w:sz="0" w:space="0" w:color="auto"/>
      </w:divBdr>
    </w:div>
    <w:div w:id="812523511">
      <w:bodyDiv w:val="1"/>
      <w:marLeft w:val="0"/>
      <w:marRight w:val="0"/>
      <w:marTop w:val="0"/>
      <w:marBottom w:val="0"/>
      <w:divBdr>
        <w:top w:val="none" w:sz="0" w:space="0" w:color="auto"/>
        <w:left w:val="none" w:sz="0" w:space="0" w:color="auto"/>
        <w:bottom w:val="none" w:sz="0" w:space="0" w:color="auto"/>
        <w:right w:val="none" w:sz="0" w:space="0" w:color="auto"/>
      </w:divBdr>
    </w:div>
    <w:div w:id="821312380">
      <w:bodyDiv w:val="1"/>
      <w:marLeft w:val="0"/>
      <w:marRight w:val="0"/>
      <w:marTop w:val="0"/>
      <w:marBottom w:val="0"/>
      <w:divBdr>
        <w:top w:val="none" w:sz="0" w:space="0" w:color="auto"/>
        <w:left w:val="none" w:sz="0" w:space="0" w:color="auto"/>
        <w:bottom w:val="none" w:sz="0" w:space="0" w:color="auto"/>
        <w:right w:val="none" w:sz="0" w:space="0" w:color="auto"/>
      </w:divBdr>
    </w:div>
    <w:div w:id="821315926">
      <w:bodyDiv w:val="1"/>
      <w:marLeft w:val="0"/>
      <w:marRight w:val="0"/>
      <w:marTop w:val="0"/>
      <w:marBottom w:val="0"/>
      <w:divBdr>
        <w:top w:val="none" w:sz="0" w:space="0" w:color="auto"/>
        <w:left w:val="none" w:sz="0" w:space="0" w:color="auto"/>
        <w:bottom w:val="none" w:sz="0" w:space="0" w:color="auto"/>
        <w:right w:val="none" w:sz="0" w:space="0" w:color="auto"/>
      </w:divBdr>
      <w:divsChild>
        <w:div w:id="871259360">
          <w:marLeft w:val="0"/>
          <w:marRight w:val="0"/>
          <w:marTop w:val="0"/>
          <w:marBottom w:val="0"/>
          <w:divBdr>
            <w:top w:val="none" w:sz="0" w:space="0" w:color="auto"/>
            <w:left w:val="none" w:sz="0" w:space="0" w:color="auto"/>
            <w:bottom w:val="none" w:sz="0" w:space="0" w:color="auto"/>
            <w:right w:val="none" w:sz="0" w:space="0" w:color="auto"/>
          </w:divBdr>
        </w:div>
      </w:divsChild>
    </w:div>
    <w:div w:id="844323119">
      <w:bodyDiv w:val="1"/>
      <w:marLeft w:val="0"/>
      <w:marRight w:val="0"/>
      <w:marTop w:val="0"/>
      <w:marBottom w:val="0"/>
      <w:divBdr>
        <w:top w:val="none" w:sz="0" w:space="0" w:color="auto"/>
        <w:left w:val="none" w:sz="0" w:space="0" w:color="auto"/>
        <w:bottom w:val="none" w:sz="0" w:space="0" w:color="auto"/>
        <w:right w:val="none" w:sz="0" w:space="0" w:color="auto"/>
      </w:divBdr>
      <w:divsChild>
        <w:div w:id="1706830702">
          <w:marLeft w:val="0"/>
          <w:marRight w:val="0"/>
          <w:marTop w:val="0"/>
          <w:marBottom w:val="0"/>
          <w:divBdr>
            <w:top w:val="none" w:sz="0" w:space="0" w:color="auto"/>
            <w:left w:val="none" w:sz="0" w:space="0" w:color="auto"/>
            <w:bottom w:val="none" w:sz="0" w:space="0" w:color="auto"/>
            <w:right w:val="none" w:sz="0" w:space="0" w:color="auto"/>
          </w:divBdr>
        </w:div>
      </w:divsChild>
    </w:div>
    <w:div w:id="879561099">
      <w:bodyDiv w:val="1"/>
      <w:marLeft w:val="0"/>
      <w:marRight w:val="0"/>
      <w:marTop w:val="0"/>
      <w:marBottom w:val="0"/>
      <w:divBdr>
        <w:top w:val="none" w:sz="0" w:space="0" w:color="auto"/>
        <w:left w:val="none" w:sz="0" w:space="0" w:color="auto"/>
        <w:bottom w:val="none" w:sz="0" w:space="0" w:color="auto"/>
        <w:right w:val="none" w:sz="0" w:space="0" w:color="auto"/>
      </w:divBdr>
    </w:div>
    <w:div w:id="887378701">
      <w:bodyDiv w:val="1"/>
      <w:marLeft w:val="0"/>
      <w:marRight w:val="0"/>
      <w:marTop w:val="0"/>
      <w:marBottom w:val="0"/>
      <w:divBdr>
        <w:top w:val="none" w:sz="0" w:space="0" w:color="auto"/>
        <w:left w:val="none" w:sz="0" w:space="0" w:color="auto"/>
        <w:bottom w:val="none" w:sz="0" w:space="0" w:color="auto"/>
        <w:right w:val="none" w:sz="0" w:space="0" w:color="auto"/>
      </w:divBdr>
      <w:divsChild>
        <w:div w:id="1535461192">
          <w:marLeft w:val="0"/>
          <w:marRight w:val="0"/>
          <w:marTop w:val="0"/>
          <w:marBottom w:val="0"/>
          <w:divBdr>
            <w:top w:val="none" w:sz="0" w:space="0" w:color="auto"/>
            <w:left w:val="none" w:sz="0" w:space="0" w:color="auto"/>
            <w:bottom w:val="none" w:sz="0" w:space="0" w:color="auto"/>
            <w:right w:val="none" w:sz="0" w:space="0" w:color="auto"/>
          </w:divBdr>
        </w:div>
      </w:divsChild>
    </w:div>
    <w:div w:id="929386424">
      <w:bodyDiv w:val="1"/>
      <w:marLeft w:val="0"/>
      <w:marRight w:val="0"/>
      <w:marTop w:val="0"/>
      <w:marBottom w:val="0"/>
      <w:divBdr>
        <w:top w:val="none" w:sz="0" w:space="0" w:color="auto"/>
        <w:left w:val="none" w:sz="0" w:space="0" w:color="auto"/>
        <w:bottom w:val="none" w:sz="0" w:space="0" w:color="auto"/>
        <w:right w:val="none" w:sz="0" w:space="0" w:color="auto"/>
      </w:divBdr>
      <w:divsChild>
        <w:div w:id="902831718">
          <w:marLeft w:val="0"/>
          <w:marRight w:val="0"/>
          <w:marTop w:val="0"/>
          <w:marBottom w:val="0"/>
          <w:divBdr>
            <w:top w:val="none" w:sz="0" w:space="0" w:color="auto"/>
            <w:left w:val="none" w:sz="0" w:space="0" w:color="auto"/>
            <w:bottom w:val="none" w:sz="0" w:space="0" w:color="auto"/>
            <w:right w:val="none" w:sz="0" w:space="0" w:color="auto"/>
          </w:divBdr>
        </w:div>
      </w:divsChild>
    </w:div>
    <w:div w:id="940646435">
      <w:bodyDiv w:val="1"/>
      <w:marLeft w:val="0"/>
      <w:marRight w:val="0"/>
      <w:marTop w:val="0"/>
      <w:marBottom w:val="0"/>
      <w:divBdr>
        <w:top w:val="none" w:sz="0" w:space="0" w:color="auto"/>
        <w:left w:val="none" w:sz="0" w:space="0" w:color="auto"/>
        <w:bottom w:val="none" w:sz="0" w:space="0" w:color="auto"/>
        <w:right w:val="none" w:sz="0" w:space="0" w:color="auto"/>
      </w:divBdr>
    </w:div>
    <w:div w:id="971835659">
      <w:bodyDiv w:val="1"/>
      <w:marLeft w:val="0"/>
      <w:marRight w:val="0"/>
      <w:marTop w:val="0"/>
      <w:marBottom w:val="0"/>
      <w:divBdr>
        <w:top w:val="none" w:sz="0" w:space="0" w:color="auto"/>
        <w:left w:val="none" w:sz="0" w:space="0" w:color="auto"/>
        <w:bottom w:val="none" w:sz="0" w:space="0" w:color="auto"/>
        <w:right w:val="none" w:sz="0" w:space="0" w:color="auto"/>
      </w:divBdr>
    </w:div>
    <w:div w:id="976566400">
      <w:bodyDiv w:val="1"/>
      <w:marLeft w:val="0"/>
      <w:marRight w:val="0"/>
      <w:marTop w:val="0"/>
      <w:marBottom w:val="0"/>
      <w:divBdr>
        <w:top w:val="none" w:sz="0" w:space="0" w:color="auto"/>
        <w:left w:val="none" w:sz="0" w:space="0" w:color="auto"/>
        <w:bottom w:val="none" w:sz="0" w:space="0" w:color="auto"/>
        <w:right w:val="none" w:sz="0" w:space="0" w:color="auto"/>
      </w:divBdr>
    </w:div>
    <w:div w:id="986085997">
      <w:bodyDiv w:val="1"/>
      <w:marLeft w:val="0"/>
      <w:marRight w:val="0"/>
      <w:marTop w:val="0"/>
      <w:marBottom w:val="0"/>
      <w:divBdr>
        <w:top w:val="none" w:sz="0" w:space="0" w:color="auto"/>
        <w:left w:val="none" w:sz="0" w:space="0" w:color="auto"/>
        <w:bottom w:val="none" w:sz="0" w:space="0" w:color="auto"/>
        <w:right w:val="none" w:sz="0" w:space="0" w:color="auto"/>
      </w:divBdr>
      <w:divsChild>
        <w:div w:id="1560936950">
          <w:marLeft w:val="0"/>
          <w:marRight w:val="0"/>
          <w:marTop w:val="0"/>
          <w:marBottom w:val="0"/>
          <w:divBdr>
            <w:top w:val="none" w:sz="0" w:space="0" w:color="auto"/>
            <w:left w:val="none" w:sz="0" w:space="0" w:color="auto"/>
            <w:bottom w:val="none" w:sz="0" w:space="0" w:color="auto"/>
            <w:right w:val="none" w:sz="0" w:space="0" w:color="auto"/>
          </w:divBdr>
        </w:div>
      </w:divsChild>
    </w:div>
    <w:div w:id="1019353630">
      <w:bodyDiv w:val="1"/>
      <w:marLeft w:val="0"/>
      <w:marRight w:val="0"/>
      <w:marTop w:val="0"/>
      <w:marBottom w:val="0"/>
      <w:divBdr>
        <w:top w:val="none" w:sz="0" w:space="0" w:color="auto"/>
        <w:left w:val="none" w:sz="0" w:space="0" w:color="auto"/>
        <w:bottom w:val="none" w:sz="0" w:space="0" w:color="auto"/>
        <w:right w:val="none" w:sz="0" w:space="0" w:color="auto"/>
      </w:divBdr>
    </w:div>
    <w:div w:id="1027949687">
      <w:bodyDiv w:val="1"/>
      <w:marLeft w:val="0"/>
      <w:marRight w:val="0"/>
      <w:marTop w:val="0"/>
      <w:marBottom w:val="0"/>
      <w:divBdr>
        <w:top w:val="none" w:sz="0" w:space="0" w:color="auto"/>
        <w:left w:val="none" w:sz="0" w:space="0" w:color="auto"/>
        <w:bottom w:val="none" w:sz="0" w:space="0" w:color="auto"/>
        <w:right w:val="none" w:sz="0" w:space="0" w:color="auto"/>
      </w:divBdr>
    </w:div>
    <w:div w:id="1038360779">
      <w:bodyDiv w:val="1"/>
      <w:marLeft w:val="0"/>
      <w:marRight w:val="0"/>
      <w:marTop w:val="0"/>
      <w:marBottom w:val="0"/>
      <w:divBdr>
        <w:top w:val="none" w:sz="0" w:space="0" w:color="auto"/>
        <w:left w:val="none" w:sz="0" w:space="0" w:color="auto"/>
        <w:bottom w:val="none" w:sz="0" w:space="0" w:color="auto"/>
        <w:right w:val="none" w:sz="0" w:space="0" w:color="auto"/>
      </w:divBdr>
      <w:divsChild>
        <w:div w:id="1032460251">
          <w:marLeft w:val="0"/>
          <w:marRight w:val="0"/>
          <w:marTop w:val="0"/>
          <w:marBottom w:val="0"/>
          <w:divBdr>
            <w:top w:val="none" w:sz="0" w:space="0" w:color="auto"/>
            <w:left w:val="none" w:sz="0" w:space="0" w:color="auto"/>
            <w:bottom w:val="none" w:sz="0" w:space="0" w:color="auto"/>
            <w:right w:val="none" w:sz="0" w:space="0" w:color="auto"/>
          </w:divBdr>
        </w:div>
      </w:divsChild>
    </w:div>
    <w:div w:id="1041978479">
      <w:bodyDiv w:val="1"/>
      <w:marLeft w:val="0"/>
      <w:marRight w:val="0"/>
      <w:marTop w:val="0"/>
      <w:marBottom w:val="0"/>
      <w:divBdr>
        <w:top w:val="none" w:sz="0" w:space="0" w:color="auto"/>
        <w:left w:val="none" w:sz="0" w:space="0" w:color="auto"/>
        <w:bottom w:val="none" w:sz="0" w:space="0" w:color="auto"/>
        <w:right w:val="none" w:sz="0" w:space="0" w:color="auto"/>
      </w:divBdr>
      <w:divsChild>
        <w:div w:id="1879583468">
          <w:marLeft w:val="0"/>
          <w:marRight w:val="0"/>
          <w:marTop w:val="0"/>
          <w:marBottom w:val="0"/>
          <w:divBdr>
            <w:top w:val="none" w:sz="0" w:space="0" w:color="auto"/>
            <w:left w:val="none" w:sz="0" w:space="0" w:color="auto"/>
            <w:bottom w:val="none" w:sz="0" w:space="0" w:color="auto"/>
            <w:right w:val="none" w:sz="0" w:space="0" w:color="auto"/>
          </w:divBdr>
        </w:div>
      </w:divsChild>
    </w:div>
    <w:div w:id="1043674364">
      <w:bodyDiv w:val="1"/>
      <w:marLeft w:val="0"/>
      <w:marRight w:val="0"/>
      <w:marTop w:val="0"/>
      <w:marBottom w:val="0"/>
      <w:divBdr>
        <w:top w:val="none" w:sz="0" w:space="0" w:color="auto"/>
        <w:left w:val="none" w:sz="0" w:space="0" w:color="auto"/>
        <w:bottom w:val="none" w:sz="0" w:space="0" w:color="auto"/>
        <w:right w:val="none" w:sz="0" w:space="0" w:color="auto"/>
      </w:divBdr>
    </w:div>
    <w:div w:id="1067924952">
      <w:bodyDiv w:val="1"/>
      <w:marLeft w:val="0"/>
      <w:marRight w:val="0"/>
      <w:marTop w:val="0"/>
      <w:marBottom w:val="0"/>
      <w:divBdr>
        <w:top w:val="none" w:sz="0" w:space="0" w:color="auto"/>
        <w:left w:val="none" w:sz="0" w:space="0" w:color="auto"/>
        <w:bottom w:val="none" w:sz="0" w:space="0" w:color="auto"/>
        <w:right w:val="none" w:sz="0" w:space="0" w:color="auto"/>
      </w:divBdr>
    </w:div>
    <w:div w:id="1069499539">
      <w:bodyDiv w:val="1"/>
      <w:marLeft w:val="0"/>
      <w:marRight w:val="0"/>
      <w:marTop w:val="0"/>
      <w:marBottom w:val="0"/>
      <w:divBdr>
        <w:top w:val="none" w:sz="0" w:space="0" w:color="auto"/>
        <w:left w:val="none" w:sz="0" w:space="0" w:color="auto"/>
        <w:bottom w:val="none" w:sz="0" w:space="0" w:color="auto"/>
        <w:right w:val="none" w:sz="0" w:space="0" w:color="auto"/>
      </w:divBdr>
    </w:div>
    <w:div w:id="1078408811">
      <w:bodyDiv w:val="1"/>
      <w:marLeft w:val="0"/>
      <w:marRight w:val="0"/>
      <w:marTop w:val="0"/>
      <w:marBottom w:val="0"/>
      <w:divBdr>
        <w:top w:val="none" w:sz="0" w:space="0" w:color="auto"/>
        <w:left w:val="none" w:sz="0" w:space="0" w:color="auto"/>
        <w:bottom w:val="none" w:sz="0" w:space="0" w:color="auto"/>
        <w:right w:val="none" w:sz="0" w:space="0" w:color="auto"/>
      </w:divBdr>
      <w:divsChild>
        <w:div w:id="821897687">
          <w:marLeft w:val="0"/>
          <w:marRight w:val="0"/>
          <w:marTop w:val="0"/>
          <w:marBottom w:val="0"/>
          <w:divBdr>
            <w:top w:val="none" w:sz="0" w:space="0" w:color="auto"/>
            <w:left w:val="none" w:sz="0" w:space="0" w:color="auto"/>
            <w:bottom w:val="none" w:sz="0" w:space="0" w:color="auto"/>
            <w:right w:val="none" w:sz="0" w:space="0" w:color="auto"/>
          </w:divBdr>
        </w:div>
      </w:divsChild>
    </w:div>
    <w:div w:id="1079979498">
      <w:bodyDiv w:val="1"/>
      <w:marLeft w:val="0"/>
      <w:marRight w:val="0"/>
      <w:marTop w:val="0"/>
      <w:marBottom w:val="0"/>
      <w:divBdr>
        <w:top w:val="none" w:sz="0" w:space="0" w:color="auto"/>
        <w:left w:val="none" w:sz="0" w:space="0" w:color="auto"/>
        <w:bottom w:val="none" w:sz="0" w:space="0" w:color="auto"/>
        <w:right w:val="none" w:sz="0" w:space="0" w:color="auto"/>
      </w:divBdr>
    </w:div>
    <w:div w:id="1095055219">
      <w:bodyDiv w:val="1"/>
      <w:marLeft w:val="0"/>
      <w:marRight w:val="0"/>
      <w:marTop w:val="0"/>
      <w:marBottom w:val="0"/>
      <w:divBdr>
        <w:top w:val="none" w:sz="0" w:space="0" w:color="auto"/>
        <w:left w:val="none" w:sz="0" w:space="0" w:color="auto"/>
        <w:bottom w:val="none" w:sz="0" w:space="0" w:color="auto"/>
        <w:right w:val="none" w:sz="0" w:space="0" w:color="auto"/>
      </w:divBdr>
      <w:divsChild>
        <w:div w:id="739640919">
          <w:marLeft w:val="0"/>
          <w:marRight w:val="0"/>
          <w:marTop w:val="0"/>
          <w:marBottom w:val="0"/>
          <w:divBdr>
            <w:top w:val="none" w:sz="0" w:space="0" w:color="auto"/>
            <w:left w:val="none" w:sz="0" w:space="0" w:color="auto"/>
            <w:bottom w:val="none" w:sz="0" w:space="0" w:color="auto"/>
            <w:right w:val="none" w:sz="0" w:space="0" w:color="auto"/>
          </w:divBdr>
        </w:div>
      </w:divsChild>
    </w:div>
    <w:div w:id="1104106117">
      <w:bodyDiv w:val="1"/>
      <w:marLeft w:val="0"/>
      <w:marRight w:val="0"/>
      <w:marTop w:val="0"/>
      <w:marBottom w:val="0"/>
      <w:divBdr>
        <w:top w:val="none" w:sz="0" w:space="0" w:color="auto"/>
        <w:left w:val="none" w:sz="0" w:space="0" w:color="auto"/>
        <w:bottom w:val="none" w:sz="0" w:space="0" w:color="auto"/>
        <w:right w:val="none" w:sz="0" w:space="0" w:color="auto"/>
      </w:divBdr>
      <w:divsChild>
        <w:div w:id="1893494850">
          <w:marLeft w:val="0"/>
          <w:marRight w:val="0"/>
          <w:marTop w:val="0"/>
          <w:marBottom w:val="0"/>
          <w:divBdr>
            <w:top w:val="none" w:sz="0" w:space="0" w:color="auto"/>
            <w:left w:val="none" w:sz="0" w:space="0" w:color="auto"/>
            <w:bottom w:val="none" w:sz="0" w:space="0" w:color="auto"/>
            <w:right w:val="none" w:sz="0" w:space="0" w:color="auto"/>
          </w:divBdr>
        </w:div>
      </w:divsChild>
    </w:div>
    <w:div w:id="1129057040">
      <w:bodyDiv w:val="1"/>
      <w:marLeft w:val="0"/>
      <w:marRight w:val="0"/>
      <w:marTop w:val="0"/>
      <w:marBottom w:val="0"/>
      <w:divBdr>
        <w:top w:val="none" w:sz="0" w:space="0" w:color="auto"/>
        <w:left w:val="none" w:sz="0" w:space="0" w:color="auto"/>
        <w:bottom w:val="none" w:sz="0" w:space="0" w:color="auto"/>
        <w:right w:val="none" w:sz="0" w:space="0" w:color="auto"/>
      </w:divBdr>
    </w:div>
    <w:div w:id="1140877482">
      <w:bodyDiv w:val="1"/>
      <w:marLeft w:val="0"/>
      <w:marRight w:val="0"/>
      <w:marTop w:val="0"/>
      <w:marBottom w:val="0"/>
      <w:divBdr>
        <w:top w:val="none" w:sz="0" w:space="0" w:color="auto"/>
        <w:left w:val="none" w:sz="0" w:space="0" w:color="auto"/>
        <w:bottom w:val="none" w:sz="0" w:space="0" w:color="auto"/>
        <w:right w:val="none" w:sz="0" w:space="0" w:color="auto"/>
      </w:divBdr>
      <w:divsChild>
        <w:div w:id="1142574808">
          <w:marLeft w:val="0"/>
          <w:marRight w:val="0"/>
          <w:marTop w:val="0"/>
          <w:marBottom w:val="0"/>
          <w:divBdr>
            <w:top w:val="none" w:sz="0" w:space="0" w:color="auto"/>
            <w:left w:val="none" w:sz="0" w:space="0" w:color="auto"/>
            <w:bottom w:val="none" w:sz="0" w:space="0" w:color="auto"/>
            <w:right w:val="none" w:sz="0" w:space="0" w:color="auto"/>
          </w:divBdr>
        </w:div>
      </w:divsChild>
    </w:div>
    <w:div w:id="1163469213">
      <w:bodyDiv w:val="1"/>
      <w:marLeft w:val="0"/>
      <w:marRight w:val="0"/>
      <w:marTop w:val="0"/>
      <w:marBottom w:val="0"/>
      <w:divBdr>
        <w:top w:val="none" w:sz="0" w:space="0" w:color="auto"/>
        <w:left w:val="none" w:sz="0" w:space="0" w:color="auto"/>
        <w:bottom w:val="none" w:sz="0" w:space="0" w:color="auto"/>
        <w:right w:val="none" w:sz="0" w:space="0" w:color="auto"/>
      </w:divBdr>
    </w:div>
    <w:div w:id="1166937274">
      <w:bodyDiv w:val="1"/>
      <w:marLeft w:val="0"/>
      <w:marRight w:val="0"/>
      <w:marTop w:val="0"/>
      <w:marBottom w:val="0"/>
      <w:divBdr>
        <w:top w:val="none" w:sz="0" w:space="0" w:color="auto"/>
        <w:left w:val="none" w:sz="0" w:space="0" w:color="auto"/>
        <w:bottom w:val="none" w:sz="0" w:space="0" w:color="auto"/>
        <w:right w:val="none" w:sz="0" w:space="0" w:color="auto"/>
      </w:divBdr>
      <w:divsChild>
        <w:div w:id="1430733473">
          <w:marLeft w:val="0"/>
          <w:marRight w:val="0"/>
          <w:marTop w:val="0"/>
          <w:marBottom w:val="0"/>
          <w:divBdr>
            <w:top w:val="none" w:sz="0" w:space="0" w:color="auto"/>
            <w:left w:val="none" w:sz="0" w:space="0" w:color="auto"/>
            <w:bottom w:val="none" w:sz="0" w:space="0" w:color="auto"/>
            <w:right w:val="none" w:sz="0" w:space="0" w:color="auto"/>
          </w:divBdr>
        </w:div>
      </w:divsChild>
    </w:div>
    <w:div w:id="1169637303">
      <w:bodyDiv w:val="1"/>
      <w:marLeft w:val="0"/>
      <w:marRight w:val="0"/>
      <w:marTop w:val="0"/>
      <w:marBottom w:val="0"/>
      <w:divBdr>
        <w:top w:val="none" w:sz="0" w:space="0" w:color="auto"/>
        <w:left w:val="none" w:sz="0" w:space="0" w:color="auto"/>
        <w:bottom w:val="none" w:sz="0" w:space="0" w:color="auto"/>
        <w:right w:val="none" w:sz="0" w:space="0" w:color="auto"/>
      </w:divBdr>
    </w:div>
    <w:div w:id="1179275276">
      <w:bodyDiv w:val="1"/>
      <w:marLeft w:val="0"/>
      <w:marRight w:val="0"/>
      <w:marTop w:val="0"/>
      <w:marBottom w:val="0"/>
      <w:divBdr>
        <w:top w:val="none" w:sz="0" w:space="0" w:color="auto"/>
        <w:left w:val="none" w:sz="0" w:space="0" w:color="auto"/>
        <w:bottom w:val="none" w:sz="0" w:space="0" w:color="auto"/>
        <w:right w:val="none" w:sz="0" w:space="0" w:color="auto"/>
      </w:divBdr>
    </w:div>
    <w:div w:id="1180587944">
      <w:bodyDiv w:val="1"/>
      <w:marLeft w:val="0"/>
      <w:marRight w:val="0"/>
      <w:marTop w:val="0"/>
      <w:marBottom w:val="0"/>
      <w:divBdr>
        <w:top w:val="none" w:sz="0" w:space="0" w:color="auto"/>
        <w:left w:val="none" w:sz="0" w:space="0" w:color="auto"/>
        <w:bottom w:val="none" w:sz="0" w:space="0" w:color="auto"/>
        <w:right w:val="none" w:sz="0" w:space="0" w:color="auto"/>
      </w:divBdr>
      <w:divsChild>
        <w:div w:id="658459038">
          <w:marLeft w:val="0"/>
          <w:marRight w:val="0"/>
          <w:marTop w:val="0"/>
          <w:marBottom w:val="0"/>
          <w:divBdr>
            <w:top w:val="none" w:sz="0" w:space="0" w:color="auto"/>
            <w:left w:val="none" w:sz="0" w:space="0" w:color="auto"/>
            <w:bottom w:val="none" w:sz="0" w:space="0" w:color="auto"/>
            <w:right w:val="none" w:sz="0" w:space="0" w:color="auto"/>
          </w:divBdr>
        </w:div>
      </w:divsChild>
    </w:div>
    <w:div w:id="1188566198">
      <w:bodyDiv w:val="1"/>
      <w:marLeft w:val="0"/>
      <w:marRight w:val="0"/>
      <w:marTop w:val="0"/>
      <w:marBottom w:val="0"/>
      <w:divBdr>
        <w:top w:val="none" w:sz="0" w:space="0" w:color="auto"/>
        <w:left w:val="none" w:sz="0" w:space="0" w:color="auto"/>
        <w:bottom w:val="none" w:sz="0" w:space="0" w:color="auto"/>
        <w:right w:val="none" w:sz="0" w:space="0" w:color="auto"/>
      </w:divBdr>
      <w:divsChild>
        <w:div w:id="457919922">
          <w:marLeft w:val="0"/>
          <w:marRight w:val="0"/>
          <w:marTop w:val="0"/>
          <w:marBottom w:val="0"/>
          <w:divBdr>
            <w:top w:val="none" w:sz="0" w:space="0" w:color="auto"/>
            <w:left w:val="none" w:sz="0" w:space="0" w:color="auto"/>
            <w:bottom w:val="none" w:sz="0" w:space="0" w:color="auto"/>
            <w:right w:val="none" w:sz="0" w:space="0" w:color="auto"/>
          </w:divBdr>
        </w:div>
      </w:divsChild>
    </w:div>
    <w:div w:id="1225139118">
      <w:bodyDiv w:val="1"/>
      <w:marLeft w:val="0"/>
      <w:marRight w:val="0"/>
      <w:marTop w:val="0"/>
      <w:marBottom w:val="0"/>
      <w:divBdr>
        <w:top w:val="none" w:sz="0" w:space="0" w:color="auto"/>
        <w:left w:val="none" w:sz="0" w:space="0" w:color="auto"/>
        <w:bottom w:val="none" w:sz="0" w:space="0" w:color="auto"/>
        <w:right w:val="none" w:sz="0" w:space="0" w:color="auto"/>
      </w:divBdr>
      <w:divsChild>
        <w:div w:id="1610238906">
          <w:marLeft w:val="0"/>
          <w:marRight w:val="0"/>
          <w:marTop w:val="0"/>
          <w:marBottom w:val="0"/>
          <w:divBdr>
            <w:top w:val="none" w:sz="0" w:space="0" w:color="auto"/>
            <w:left w:val="none" w:sz="0" w:space="0" w:color="auto"/>
            <w:bottom w:val="none" w:sz="0" w:space="0" w:color="auto"/>
            <w:right w:val="none" w:sz="0" w:space="0" w:color="auto"/>
          </w:divBdr>
        </w:div>
      </w:divsChild>
    </w:div>
    <w:div w:id="1242258727">
      <w:bodyDiv w:val="1"/>
      <w:marLeft w:val="0"/>
      <w:marRight w:val="0"/>
      <w:marTop w:val="0"/>
      <w:marBottom w:val="0"/>
      <w:divBdr>
        <w:top w:val="none" w:sz="0" w:space="0" w:color="auto"/>
        <w:left w:val="none" w:sz="0" w:space="0" w:color="auto"/>
        <w:bottom w:val="none" w:sz="0" w:space="0" w:color="auto"/>
        <w:right w:val="none" w:sz="0" w:space="0" w:color="auto"/>
      </w:divBdr>
    </w:div>
    <w:div w:id="1256086462">
      <w:bodyDiv w:val="1"/>
      <w:marLeft w:val="0"/>
      <w:marRight w:val="0"/>
      <w:marTop w:val="0"/>
      <w:marBottom w:val="0"/>
      <w:divBdr>
        <w:top w:val="none" w:sz="0" w:space="0" w:color="auto"/>
        <w:left w:val="none" w:sz="0" w:space="0" w:color="auto"/>
        <w:bottom w:val="none" w:sz="0" w:space="0" w:color="auto"/>
        <w:right w:val="none" w:sz="0" w:space="0" w:color="auto"/>
      </w:divBdr>
      <w:divsChild>
        <w:div w:id="2061245267">
          <w:marLeft w:val="0"/>
          <w:marRight w:val="0"/>
          <w:marTop w:val="0"/>
          <w:marBottom w:val="0"/>
          <w:divBdr>
            <w:top w:val="none" w:sz="0" w:space="0" w:color="auto"/>
            <w:left w:val="none" w:sz="0" w:space="0" w:color="auto"/>
            <w:bottom w:val="none" w:sz="0" w:space="0" w:color="auto"/>
            <w:right w:val="none" w:sz="0" w:space="0" w:color="auto"/>
          </w:divBdr>
        </w:div>
      </w:divsChild>
    </w:div>
    <w:div w:id="1272712469">
      <w:bodyDiv w:val="1"/>
      <w:marLeft w:val="0"/>
      <w:marRight w:val="0"/>
      <w:marTop w:val="0"/>
      <w:marBottom w:val="0"/>
      <w:divBdr>
        <w:top w:val="none" w:sz="0" w:space="0" w:color="auto"/>
        <w:left w:val="none" w:sz="0" w:space="0" w:color="auto"/>
        <w:bottom w:val="none" w:sz="0" w:space="0" w:color="auto"/>
        <w:right w:val="none" w:sz="0" w:space="0" w:color="auto"/>
      </w:divBdr>
    </w:div>
    <w:div w:id="1274048562">
      <w:bodyDiv w:val="1"/>
      <w:marLeft w:val="0"/>
      <w:marRight w:val="0"/>
      <w:marTop w:val="0"/>
      <w:marBottom w:val="0"/>
      <w:divBdr>
        <w:top w:val="none" w:sz="0" w:space="0" w:color="auto"/>
        <w:left w:val="none" w:sz="0" w:space="0" w:color="auto"/>
        <w:bottom w:val="none" w:sz="0" w:space="0" w:color="auto"/>
        <w:right w:val="none" w:sz="0" w:space="0" w:color="auto"/>
      </w:divBdr>
      <w:divsChild>
        <w:div w:id="170146251">
          <w:marLeft w:val="0"/>
          <w:marRight w:val="0"/>
          <w:marTop w:val="0"/>
          <w:marBottom w:val="0"/>
          <w:divBdr>
            <w:top w:val="none" w:sz="0" w:space="0" w:color="auto"/>
            <w:left w:val="none" w:sz="0" w:space="0" w:color="auto"/>
            <w:bottom w:val="none" w:sz="0" w:space="0" w:color="auto"/>
            <w:right w:val="none" w:sz="0" w:space="0" w:color="auto"/>
          </w:divBdr>
        </w:div>
      </w:divsChild>
    </w:div>
    <w:div w:id="1280794135">
      <w:bodyDiv w:val="1"/>
      <w:marLeft w:val="0"/>
      <w:marRight w:val="0"/>
      <w:marTop w:val="0"/>
      <w:marBottom w:val="0"/>
      <w:divBdr>
        <w:top w:val="none" w:sz="0" w:space="0" w:color="auto"/>
        <w:left w:val="none" w:sz="0" w:space="0" w:color="auto"/>
        <w:bottom w:val="none" w:sz="0" w:space="0" w:color="auto"/>
        <w:right w:val="none" w:sz="0" w:space="0" w:color="auto"/>
      </w:divBdr>
    </w:div>
    <w:div w:id="1283609473">
      <w:bodyDiv w:val="1"/>
      <w:marLeft w:val="0"/>
      <w:marRight w:val="0"/>
      <w:marTop w:val="0"/>
      <w:marBottom w:val="0"/>
      <w:divBdr>
        <w:top w:val="none" w:sz="0" w:space="0" w:color="auto"/>
        <w:left w:val="none" w:sz="0" w:space="0" w:color="auto"/>
        <w:bottom w:val="none" w:sz="0" w:space="0" w:color="auto"/>
        <w:right w:val="none" w:sz="0" w:space="0" w:color="auto"/>
      </w:divBdr>
    </w:div>
    <w:div w:id="1287783041">
      <w:bodyDiv w:val="1"/>
      <w:marLeft w:val="0"/>
      <w:marRight w:val="0"/>
      <w:marTop w:val="0"/>
      <w:marBottom w:val="0"/>
      <w:divBdr>
        <w:top w:val="none" w:sz="0" w:space="0" w:color="auto"/>
        <w:left w:val="none" w:sz="0" w:space="0" w:color="auto"/>
        <w:bottom w:val="none" w:sz="0" w:space="0" w:color="auto"/>
        <w:right w:val="none" w:sz="0" w:space="0" w:color="auto"/>
      </w:divBdr>
      <w:divsChild>
        <w:div w:id="993534630">
          <w:marLeft w:val="0"/>
          <w:marRight w:val="0"/>
          <w:marTop w:val="0"/>
          <w:marBottom w:val="0"/>
          <w:divBdr>
            <w:top w:val="none" w:sz="0" w:space="0" w:color="auto"/>
            <w:left w:val="none" w:sz="0" w:space="0" w:color="auto"/>
            <w:bottom w:val="none" w:sz="0" w:space="0" w:color="auto"/>
            <w:right w:val="none" w:sz="0" w:space="0" w:color="auto"/>
          </w:divBdr>
        </w:div>
      </w:divsChild>
    </w:div>
    <w:div w:id="1291934493">
      <w:bodyDiv w:val="1"/>
      <w:marLeft w:val="0"/>
      <w:marRight w:val="0"/>
      <w:marTop w:val="0"/>
      <w:marBottom w:val="0"/>
      <w:divBdr>
        <w:top w:val="none" w:sz="0" w:space="0" w:color="auto"/>
        <w:left w:val="none" w:sz="0" w:space="0" w:color="auto"/>
        <w:bottom w:val="none" w:sz="0" w:space="0" w:color="auto"/>
        <w:right w:val="none" w:sz="0" w:space="0" w:color="auto"/>
      </w:divBdr>
    </w:div>
    <w:div w:id="1306356223">
      <w:bodyDiv w:val="1"/>
      <w:marLeft w:val="0"/>
      <w:marRight w:val="0"/>
      <w:marTop w:val="0"/>
      <w:marBottom w:val="0"/>
      <w:divBdr>
        <w:top w:val="none" w:sz="0" w:space="0" w:color="auto"/>
        <w:left w:val="none" w:sz="0" w:space="0" w:color="auto"/>
        <w:bottom w:val="none" w:sz="0" w:space="0" w:color="auto"/>
        <w:right w:val="none" w:sz="0" w:space="0" w:color="auto"/>
      </w:divBdr>
      <w:divsChild>
        <w:div w:id="830295975">
          <w:marLeft w:val="0"/>
          <w:marRight w:val="0"/>
          <w:marTop w:val="0"/>
          <w:marBottom w:val="0"/>
          <w:divBdr>
            <w:top w:val="none" w:sz="0" w:space="0" w:color="auto"/>
            <w:left w:val="none" w:sz="0" w:space="0" w:color="auto"/>
            <w:bottom w:val="none" w:sz="0" w:space="0" w:color="auto"/>
            <w:right w:val="none" w:sz="0" w:space="0" w:color="auto"/>
          </w:divBdr>
        </w:div>
      </w:divsChild>
    </w:div>
    <w:div w:id="1324309055">
      <w:bodyDiv w:val="1"/>
      <w:marLeft w:val="0"/>
      <w:marRight w:val="0"/>
      <w:marTop w:val="0"/>
      <w:marBottom w:val="0"/>
      <w:divBdr>
        <w:top w:val="none" w:sz="0" w:space="0" w:color="auto"/>
        <w:left w:val="none" w:sz="0" w:space="0" w:color="auto"/>
        <w:bottom w:val="none" w:sz="0" w:space="0" w:color="auto"/>
        <w:right w:val="none" w:sz="0" w:space="0" w:color="auto"/>
      </w:divBdr>
      <w:divsChild>
        <w:div w:id="164782943">
          <w:marLeft w:val="0"/>
          <w:marRight w:val="0"/>
          <w:marTop w:val="0"/>
          <w:marBottom w:val="0"/>
          <w:divBdr>
            <w:top w:val="none" w:sz="0" w:space="0" w:color="auto"/>
            <w:left w:val="none" w:sz="0" w:space="0" w:color="auto"/>
            <w:bottom w:val="none" w:sz="0" w:space="0" w:color="auto"/>
            <w:right w:val="none" w:sz="0" w:space="0" w:color="auto"/>
          </w:divBdr>
        </w:div>
      </w:divsChild>
    </w:div>
    <w:div w:id="1331981821">
      <w:bodyDiv w:val="1"/>
      <w:marLeft w:val="0"/>
      <w:marRight w:val="0"/>
      <w:marTop w:val="0"/>
      <w:marBottom w:val="0"/>
      <w:divBdr>
        <w:top w:val="none" w:sz="0" w:space="0" w:color="auto"/>
        <w:left w:val="none" w:sz="0" w:space="0" w:color="auto"/>
        <w:bottom w:val="none" w:sz="0" w:space="0" w:color="auto"/>
        <w:right w:val="none" w:sz="0" w:space="0" w:color="auto"/>
      </w:divBdr>
    </w:div>
    <w:div w:id="1343045969">
      <w:bodyDiv w:val="1"/>
      <w:marLeft w:val="0"/>
      <w:marRight w:val="0"/>
      <w:marTop w:val="0"/>
      <w:marBottom w:val="0"/>
      <w:divBdr>
        <w:top w:val="none" w:sz="0" w:space="0" w:color="auto"/>
        <w:left w:val="none" w:sz="0" w:space="0" w:color="auto"/>
        <w:bottom w:val="none" w:sz="0" w:space="0" w:color="auto"/>
        <w:right w:val="none" w:sz="0" w:space="0" w:color="auto"/>
      </w:divBdr>
      <w:divsChild>
        <w:div w:id="588662417">
          <w:marLeft w:val="0"/>
          <w:marRight w:val="0"/>
          <w:marTop w:val="0"/>
          <w:marBottom w:val="0"/>
          <w:divBdr>
            <w:top w:val="none" w:sz="0" w:space="0" w:color="auto"/>
            <w:left w:val="none" w:sz="0" w:space="0" w:color="auto"/>
            <w:bottom w:val="none" w:sz="0" w:space="0" w:color="auto"/>
            <w:right w:val="none" w:sz="0" w:space="0" w:color="auto"/>
          </w:divBdr>
        </w:div>
      </w:divsChild>
    </w:div>
    <w:div w:id="1383140789">
      <w:bodyDiv w:val="1"/>
      <w:marLeft w:val="0"/>
      <w:marRight w:val="0"/>
      <w:marTop w:val="0"/>
      <w:marBottom w:val="0"/>
      <w:divBdr>
        <w:top w:val="none" w:sz="0" w:space="0" w:color="auto"/>
        <w:left w:val="none" w:sz="0" w:space="0" w:color="auto"/>
        <w:bottom w:val="none" w:sz="0" w:space="0" w:color="auto"/>
        <w:right w:val="none" w:sz="0" w:space="0" w:color="auto"/>
      </w:divBdr>
      <w:divsChild>
        <w:div w:id="623928673">
          <w:marLeft w:val="0"/>
          <w:marRight w:val="0"/>
          <w:marTop w:val="0"/>
          <w:marBottom w:val="0"/>
          <w:divBdr>
            <w:top w:val="none" w:sz="0" w:space="0" w:color="auto"/>
            <w:left w:val="none" w:sz="0" w:space="0" w:color="auto"/>
            <w:bottom w:val="none" w:sz="0" w:space="0" w:color="auto"/>
            <w:right w:val="none" w:sz="0" w:space="0" w:color="auto"/>
          </w:divBdr>
        </w:div>
      </w:divsChild>
    </w:div>
    <w:div w:id="1383284578">
      <w:bodyDiv w:val="1"/>
      <w:marLeft w:val="0"/>
      <w:marRight w:val="0"/>
      <w:marTop w:val="0"/>
      <w:marBottom w:val="0"/>
      <w:divBdr>
        <w:top w:val="none" w:sz="0" w:space="0" w:color="auto"/>
        <w:left w:val="none" w:sz="0" w:space="0" w:color="auto"/>
        <w:bottom w:val="none" w:sz="0" w:space="0" w:color="auto"/>
        <w:right w:val="none" w:sz="0" w:space="0" w:color="auto"/>
      </w:divBdr>
      <w:divsChild>
        <w:div w:id="192619248">
          <w:marLeft w:val="0"/>
          <w:marRight w:val="0"/>
          <w:marTop w:val="0"/>
          <w:marBottom w:val="0"/>
          <w:divBdr>
            <w:top w:val="none" w:sz="0" w:space="0" w:color="auto"/>
            <w:left w:val="none" w:sz="0" w:space="0" w:color="auto"/>
            <w:bottom w:val="none" w:sz="0" w:space="0" w:color="auto"/>
            <w:right w:val="none" w:sz="0" w:space="0" w:color="auto"/>
          </w:divBdr>
        </w:div>
      </w:divsChild>
    </w:div>
    <w:div w:id="1400716317">
      <w:bodyDiv w:val="1"/>
      <w:marLeft w:val="0"/>
      <w:marRight w:val="0"/>
      <w:marTop w:val="0"/>
      <w:marBottom w:val="0"/>
      <w:divBdr>
        <w:top w:val="none" w:sz="0" w:space="0" w:color="auto"/>
        <w:left w:val="none" w:sz="0" w:space="0" w:color="auto"/>
        <w:bottom w:val="none" w:sz="0" w:space="0" w:color="auto"/>
        <w:right w:val="none" w:sz="0" w:space="0" w:color="auto"/>
      </w:divBdr>
      <w:divsChild>
        <w:div w:id="1468353774">
          <w:marLeft w:val="0"/>
          <w:marRight w:val="0"/>
          <w:marTop w:val="0"/>
          <w:marBottom w:val="0"/>
          <w:divBdr>
            <w:top w:val="none" w:sz="0" w:space="0" w:color="auto"/>
            <w:left w:val="none" w:sz="0" w:space="0" w:color="auto"/>
            <w:bottom w:val="none" w:sz="0" w:space="0" w:color="auto"/>
            <w:right w:val="none" w:sz="0" w:space="0" w:color="auto"/>
          </w:divBdr>
        </w:div>
      </w:divsChild>
    </w:div>
    <w:div w:id="1412778934">
      <w:bodyDiv w:val="1"/>
      <w:marLeft w:val="0"/>
      <w:marRight w:val="0"/>
      <w:marTop w:val="0"/>
      <w:marBottom w:val="0"/>
      <w:divBdr>
        <w:top w:val="none" w:sz="0" w:space="0" w:color="auto"/>
        <w:left w:val="none" w:sz="0" w:space="0" w:color="auto"/>
        <w:bottom w:val="none" w:sz="0" w:space="0" w:color="auto"/>
        <w:right w:val="none" w:sz="0" w:space="0" w:color="auto"/>
      </w:divBdr>
    </w:div>
    <w:div w:id="1440098964">
      <w:bodyDiv w:val="1"/>
      <w:marLeft w:val="0"/>
      <w:marRight w:val="0"/>
      <w:marTop w:val="0"/>
      <w:marBottom w:val="0"/>
      <w:divBdr>
        <w:top w:val="none" w:sz="0" w:space="0" w:color="auto"/>
        <w:left w:val="none" w:sz="0" w:space="0" w:color="auto"/>
        <w:bottom w:val="none" w:sz="0" w:space="0" w:color="auto"/>
        <w:right w:val="none" w:sz="0" w:space="0" w:color="auto"/>
      </w:divBdr>
    </w:div>
    <w:div w:id="1442144978">
      <w:bodyDiv w:val="1"/>
      <w:marLeft w:val="0"/>
      <w:marRight w:val="0"/>
      <w:marTop w:val="0"/>
      <w:marBottom w:val="0"/>
      <w:divBdr>
        <w:top w:val="none" w:sz="0" w:space="0" w:color="auto"/>
        <w:left w:val="none" w:sz="0" w:space="0" w:color="auto"/>
        <w:bottom w:val="none" w:sz="0" w:space="0" w:color="auto"/>
        <w:right w:val="none" w:sz="0" w:space="0" w:color="auto"/>
      </w:divBdr>
      <w:divsChild>
        <w:div w:id="403533490">
          <w:marLeft w:val="0"/>
          <w:marRight w:val="0"/>
          <w:marTop w:val="0"/>
          <w:marBottom w:val="0"/>
          <w:divBdr>
            <w:top w:val="none" w:sz="0" w:space="0" w:color="auto"/>
            <w:left w:val="none" w:sz="0" w:space="0" w:color="auto"/>
            <w:bottom w:val="none" w:sz="0" w:space="0" w:color="auto"/>
            <w:right w:val="none" w:sz="0" w:space="0" w:color="auto"/>
          </w:divBdr>
        </w:div>
      </w:divsChild>
    </w:div>
    <w:div w:id="1447852044">
      <w:bodyDiv w:val="1"/>
      <w:marLeft w:val="0"/>
      <w:marRight w:val="0"/>
      <w:marTop w:val="0"/>
      <w:marBottom w:val="0"/>
      <w:divBdr>
        <w:top w:val="none" w:sz="0" w:space="0" w:color="auto"/>
        <w:left w:val="none" w:sz="0" w:space="0" w:color="auto"/>
        <w:bottom w:val="none" w:sz="0" w:space="0" w:color="auto"/>
        <w:right w:val="none" w:sz="0" w:space="0" w:color="auto"/>
      </w:divBdr>
    </w:div>
    <w:div w:id="1457718284">
      <w:bodyDiv w:val="1"/>
      <w:marLeft w:val="0"/>
      <w:marRight w:val="0"/>
      <w:marTop w:val="0"/>
      <w:marBottom w:val="0"/>
      <w:divBdr>
        <w:top w:val="none" w:sz="0" w:space="0" w:color="auto"/>
        <w:left w:val="none" w:sz="0" w:space="0" w:color="auto"/>
        <w:bottom w:val="none" w:sz="0" w:space="0" w:color="auto"/>
        <w:right w:val="none" w:sz="0" w:space="0" w:color="auto"/>
      </w:divBdr>
      <w:divsChild>
        <w:div w:id="886066023">
          <w:marLeft w:val="0"/>
          <w:marRight w:val="0"/>
          <w:marTop w:val="0"/>
          <w:marBottom w:val="0"/>
          <w:divBdr>
            <w:top w:val="none" w:sz="0" w:space="0" w:color="auto"/>
            <w:left w:val="none" w:sz="0" w:space="0" w:color="auto"/>
            <w:bottom w:val="none" w:sz="0" w:space="0" w:color="auto"/>
            <w:right w:val="none" w:sz="0" w:space="0" w:color="auto"/>
          </w:divBdr>
        </w:div>
      </w:divsChild>
    </w:div>
    <w:div w:id="1495343476">
      <w:bodyDiv w:val="1"/>
      <w:marLeft w:val="0"/>
      <w:marRight w:val="0"/>
      <w:marTop w:val="0"/>
      <w:marBottom w:val="0"/>
      <w:divBdr>
        <w:top w:val="none" w:sz="0" w:space="0" w:color="auto"/>
        <w:left w:val="none" w:sz="0" w:space="0" w:color="auto"/>
        <w:bottom w:val="none" w:sz="0" w:space="0" w:color="auto"/>
        <w:right w:val="none" w:sz="0" w:space="0" w:color="auto"/>
      </w:divBdr>
      <w:divsChild>
        <w:div w:id="982201186">
          <w:marLeft w:val="0"/>
          <w:marRight w:val="0"/>
          <w:marTop w:val="0"/>
          <w:marBottom w:val="0"/>
          <w:divBdr>
            <w:top w:val="none" w:sz="0" w:space="0" w:color="auto"/>
            <w:left w:val="none" w:sz="0" w:space="0" w:color="auto"/>
            <w:bottom w:val="none" w:sz="0" w:space="0" w:color="auto"/>
            <w:right w:val="none" w:sz="0" w:space="0" w:color="auto"/>
          </w:divBdr>
        </w:div>
      </w:divsChild>
    </w:div>
    <w:div w:id="1542284264">
      <w:bodyDiv w:val="1"/>
      <w:marLeft w:val="0"/>
      <w:marRight w:val="0"/>
      <w:marTop w:val="0"/>
      <w:marBottom w:val="0"/>
      <w:divBdr>
        <w:top w:val="none" w:sz="0" w:space="0" w:color="auto"/>
        <w:left w:val="none" w:sz="0" w:space="0" w:color="auto"/>
        <w:bottom w:val="none" w:sz="0" w:space="0" w:color="auto"/>
        <w:right w:val="none" w:sz="0" w:space="0" w:color="auto"/>
      </w:divBdr>
      <w:divsChild>
        <w:div w:id="1081877228">
          <w:marLeft w:val="0"/>
          <w:marRight w:val="0"/>
          <w:marTop w:val="0"/>
          <w:marBottom w:val="0"/>
          <w:divBdr>
            <w:top w:val="none" w:sz="0" w:space="0" w:color="auto"/>
            <w:left w:val="none" w:sz="0" w:space="0" w:color="auto"/>
            <w:bottom w:val="none" w:sz="0" w:space="0" w:color="auto"/>
            <w:right w:val="none" w:sz="0" w:space="0" w:color="auto"/>
          </w:divBdr>
        </w:div>
      </w:divsChild>
    </w:div>
    <w:div w:id="1548684677">
      <w:bodyDiv w:val="1"/>
      <w:marLeft w:val="0"/>
      <w:marRight w:val="0"/>
      <w:marTop w:val="0"/>
      <w:marBottom w:val="0"/>
      <w:divBdr>
        <w:top w:val="none" w:sz="0" w:space="0" w:color="auto"/>
        <w:left w:val="none" w:sz="0" w:space="0" w:color="auto"/>
        <w:bottom w:val="none" w:sz="0" w:space="0" w:color="auto"/>
        <w:right w:val="none" w:sz="0" w:space="0" w:color="auto"/>
      </w:divBdr>
      <w:divsChild>
        <w:div w:id="1121999971">
          <w:marLeft w:val="0"/>
          <w:marRight w:val="0"/>
          <w:marTop w:val="0"/>
          <w:marBottom w:val="0"/>
          <w:divBdr>
            <w:top w:val="none" w:sz="0" w:space="0" w:color="auto"/>
            <w:left w:val="none" w:sz="0" w:space="0" w:color="auto"/>
            <w:bottom w:val="none" w:sz="0" w:space="0" w:color="auto"/>
            <w:right w:val="none" w:sz="0" w:space="0" w:color="auto"/>
          </w:divBdr>
        </w:div>
      </w:divsChild>
    </w:div>
    <w:div w:id="1567450238">
      <w:bodyDiv w:val="1"/>
      <w:marLeft w:val="0"/>
      <w:marRight w:val="0"/>
      <w:marTop w:val="0"/>
      <w:marBottom w:val="0"/>
      <w:divBdr>
        <w:top w:val="none" w:sz="0" w:space="0" w:color="auto"/>
        <w:left w:val="none" w:sz="0" w:space="0" w:color="auto"/>
        <w:bottom w:val="none" w:sz="0" w:space="0" w:color="auto"/>
        <w:right w:val="none" w:sz="0" w:space="0" w:color="auto"/>
      </w:divBdr>
      <w:divsChild>
        <w:div w:id="1262445304">
          <w:marLeft w:val="0"/>
          <w:marRight w:val="0"/>
          <w:marTop w:val="0"/>
          <w:marBottom w:val="0"/>
          <w:divBdr>
            <w:top w:val="none" w:sz="0" w:space="0" w:color="auto"/>
            <w:left w:val="none" w:sz="0" w:space="0" w:color="auto"/>
            <w:bottom w:val="none" w:sz="0" w:space="0" w:color="auto"/>
            <w:right w:val="none" w:sz="0" w:space="0" w:color="auto"/>
          </w:divBdr>
        </w:div>
      </w:divsChild>
    </w:div>
    <w:div w:id="1598441671">
      <w:bodyDiv w:val="1"/>
      <w:marLeft w:val="0"/>
      <w:marRight w:val="0"/>
      <w:marTop w:val="0"/>
      <w:marBottom w:val="0"/>
      <w:divBdr>
        <w:top w:val="none" w:sz="0" w:space="0" w:color="auto"/>
        <w:left w:val="none" w:sz="0" w:space="0" w:color="auto"/>
        <w:bottom w:val="none" w:sz="0" w:space="0" w:color="auto"/>
        <w:right w:val="none" w:sz="0" w:space="0" w:color="auto"/>
      </w:divBdr>
    </w:div>
    <w:div w:id="1621105359">
      <w:bodyDiv w:val="1"/>
      <w:marLeft w:val="0"/>
      <w:marRight w:val="0"/>
      <w:marTop w:val="0"/>
      <w:marBottom w:val="0"/>
      <w:divBdr>
        <w:top w:val="none" w:sz="0" w:space="0" w:color="auto"/>
        <w:left w:val="none" w:sz="0" w:space="0" w:color="auto"/>
        <w:bottom w:val="none" w:sz="0" w:space="0" w:color="auto"/>
        <w:right w:val="none" w:sz="0" w:space="0" w:color="auto"/>
      </w:divBdr>
      <w:divsChild>
        <w:div w:id="364477715">
          <w:marLeft w:val="0"/>
          <w:marRight w:val="0"/>
          <w:marTop w:val="0"/>
          <w:marBottom w:val="0"/>
          <w:divBdr>
            <w:top w:val="none" w:sz="0" w:space="0" w:color="auto"/>
            <w:left w:val="none" w:sz="0" w:space="0" w:color="auto"/>
            <w:bottom w:val="none" w:sz="0" w:space="0" w:color="auto"/>
            <w:right w:val="none" w:sz="0" w:space="0" w:color="auto"/>
          </w:divBdr>
        </w:div>
      </w:divsChild>
    </w:div>
    <w:div w:id="1644194431">
      <w:bodyDiv w:val="1"/>
      <w:marLeft w:val="0"/>
      <w:marRight w:val="0"/>
      <w:marTop w:val="0"/>
      <w:marBottom w:val="0"/>
      <w:divBdr>
        <w:top w:val="none" w:sz="0" w:space="0" w:color="auto"/>
        <w:left w:val="none" w:sz="0" w:space="0" w:color="auto"/>
        <w:bottom w:val="none" w:sz="0" w:space="0" w:color="auto"/>
        <w:right w:val="none" w:sz="0" w:space="0" w:color="auto"/>
      </w:divBdr>
      <w:divsChild>
        <w:div w:id="168372900">
          <w:marLeft w:val="0"/>
          <w:marRight w:val="0"/>
          <w:marTop w:val="0"/>
          <w:marBottom w:val="0"/>
          <w:divBdr>
            <w:top w:val="none" w:sz="0" w:space="0" w:color="auto"/>
            <w:left w:val="none" w:sz="0" w:space="0" w:color="auto"/>
            <w:bottom w:val="none" w:sz="0" w:space="0" w:color="auto"/>
            <w:right w:val="none" w:sz="0" w:space="0" w:color="auto"/>
          </w:divBdr>
        </w:div>
      </w:divsChild>
    </w:div>
    <w:div w:id="1659528394">
      <w:bodyDiv w:val="1"/>
      <w:marLeft w:val="0"/>
      <w:marRight w:val="0"/>
      <w:marTop w:val="0"/>
      <w:marBottom w:val="0"/>
      <w:divBdr>
        <w:top w:val="none" w:sz="0" w:space="0" w:color="auto"/>
        <w:left w:val="none" w:sz="0" w:space="0" w:color="auto"/>
        <w:bottom w:val="none" w:sz="0" w:space="0" w:color="auto"/>
        <w:right w:val="none" w:sz="0" w:space="0" w:color="auto"/>
      </w:divBdr>
      <w:divsChild>
        <w:div w:id="1733037573">
          <w:marLeft w:val="0"/>
          <w:marRight w:val="0"/>
          <w:marTop w:val="0"/>
          <w:marBottom w:val="0"/>
          <w:divBdr>
            <w:top w:val="none" w:sz="0" w:space="0" w:color="auto"/>
            <w:left w:val="none" w:sz="0" w:space="0" w:color="auto"/>
            <w:bottom w:val="none" w:sz="0" w:space="0" w:color="auto"/>
            <w:right w:val="none" w:sz="0" w:space="0" w:color="auto"/>
          </w:divBdr>
        </w:div>
      </w:divsChild>
    </w:div>
    <w:div w:id="1663583434">
      <w:bodyDiv w:val="1"/>
      <w:marLeft w:val="0"/>
      <w:marRight w:val="0"/>
      <w:marTop w:val="0"/>
      <w:marBottom w:val="0"/>
      <w:divBdr>
        <w:top w:val="none" w:sz="0" w:space="0" w:color="auto"/>
        <w:left w:val="none" w:sz="0" w:space="0" w:color="auto"/>
        <w:bottom w:val="none" w:sz="0" w:space="0" w:color="auto"/>
        <w:right w:val="none" w:sz="0" w:space="0" w:color="auto"/>
      </w:divBdr>
    </w:div>
    <w:div w:id="1681463276">
      <w:bodyDiv w:val="1"/>
      <w:marLeft w:val="0"/>
      <w:marRight w:val="0"/>
      <w:marTop w:val="0"/>
      <w:marBottom w:val="0"/>
      <w:divBdr>
        <w:top w:val="none" w:sz="0" w:space="0" w:color="auto"/>
        <w:left w:val="none" w:sz="0" w:space="0" w:color="auto"/>
        <w:bottom w:val="none" w:sz="0" w:space="0" w:color="auto"/>
        <w:right w:val="none" w:sz="0" w:space="0" w:color="auto"/>
      </w:divBdr>
      <w:divsChild>
        <w:div w:id="825753899">
          <w:marLeft w:val="0"/>
          <w:marRight w:val="0"/>
          <w:marTop w:val="0"/>
          <w:marBottom w:val="0"/>
          <w:divBdr>
            <w:top w:val="none" w:sz="0" w:space="0" w:color="auto"/>
            <w:left w:val="none" w:sz="0" w:space="0" w:color="auto"/>
            <w:bottom w:val="none" w:sz="0" w:space="0" w:color="auto"/>
            <w:right w:val="none" w:sz="0" w:space="0" w:color="auto"/>
          </w:divBdr>
        </w:div>
      </w:divsChild>
    </w:div>
    <w:div w:id="1686974859">
      <w:bodyDiv w:val="1"/>
      <w:marLeft w:val="0"/>
      <w:marRight w:val="0"/>
      <w:marTop w:val="0"/>
      <w:marBottom w:val="0"/>
      <w:divBdr>
        <w:top w:val="none" w:sz="0" w:space="0" w:color="auto"/>
        <w:left w:val="none" w:sz="0" w:space="0" w:color="auto"/>
        <w:bottom w:val="none" w:sz="0" w:space="0" w:color="auto"/>
        <w:right w:val="none" w:sz="0" w:space="0" w:color="auto"/>
      </w:divBdr>
    </w:div>
    <w:div w:id="1708874480">
      <w:bodyDiv w:val="1"/>
      <w:marLeft w:val="0"/>
      <w:marRight w:val="0"/>
      <w:marTop w:val="0"/>
      <w:marBottom w:val="0"/>
      <w:divBdr>
        <w:top w:val="none" w:sz="0" w:space="0" w:color="auto"/>
        <w:left w:val="none" w:sz="0" w:space="0" w:color="auto"/>
        <w:bottom w:val="none" w:sz="0" w:space="0" w:color="auto"/>
        <w:right w:val="none" w:sz="0" w:space="0" w:color="auto"/>
      </w:divBdr>
      <w:divsChild>
        <w:div w:id="301006944">
          <w:marLeft w:val="0"/>
          <w:marRight w:val="0"/>
          <w:marTop w:val="0"/>
          <w:marBottom w:val="0"/>
          <w:divBdr>
            <w:top w:val="none" w:sz="0" w:space="0" w:color="auto"/>
            <w:left w:val="none" w:sz="0" w:space="0" w:color="auto"/>
            <w:bottom w:val="none" w:sz="0" w:space="0" w:color="auto"/>
            <w:right w:val="none" w:sz="0" w:space="0" w:color="auto"/>
          </w:divBdr>
        </w:div>
      </w:divsChild>
    </w:div>
    <w:div w:id="1710643240">
      <w:bodyDiv w:val="1"/>
      <w:marLeft w:val="0"/>
      <w:marRight w:val="0"/>
      <w:marTop w:val="0"/>
      <w:marBottom w:val="0"/>
      <w:divBdr>
        <w:top w:val="none" w:sz="0" w:space="0" w:color="auto"/>
        <w:left w:val="none" w:sz="0" w:space="0" w:color="auto"/>
        <w:bottom w:val="none" w:sz="0" w:space="0" w:color="auto"/>
        <w:right w:val="none" w:sz="0" w:space="0" w:color="auto"/>
      </w:divBdr>
      <w:divsChild>
        <w:div w:id="2072994936">
          <w:marLeft w:val="0"/>
          <w:marRight w:val="0"/>
          <w:marTop w:val="0"/>
          <w:marBottom w:val="0"/>
          <w:divBdr>
            <w:top w:val="none" w:sz="0" w:space="0" w:color="auto"/>
            <w:left w:val="none" w:sz="0" w:space="0" w:color="auto"/>
            <w:bottom w:val="none" w:sz="0" w:space="0" w:color="auto"/>
            <w:right w:val="none" w:sz="0" w:space="0" w:color="auto"/>
          </w:divBdr>
        </w:div>
      </w:divsChild>
    </w:div>
    <w:div w:id="1717661643">
      <w:bodyDiv w:val="1"/>
      <w:marLeft w:val="0"/>
      <w:marRight w:val="0"/>
      <w:marTop w:val="0"/>
      <w:marBottom w:val="0"/>
      <w:divBdr>
        <w:top w:val="none" w:sz="0" w:space="0" w:color="auto"/>
        <w:left w:val="none" w:sz="0" w:space="0" w:color="auto"/>
        <w:bottom w:val="none" w:sz="0" w:space="0" w:color="auto"/>
        <w:right w:val="none" w:sz="0" w:space="0" w:color="auto"/>
      </w:divBdr>
      <w:divsChild>
        <w:div w:id="1526402145">
          <w:marLeft w:val="0"/>
          <w:marRight w:val="0"/>
          <w:marTop w:val="0"/>
          <w:marBottom w:val="0"/>
          <w:divBdr>
            <w:top w:val="none" w:sz="0" w:space="0" w:color="auto"/>
            <w:left w:val="none" w:sz="0" w:space="0" w:color="auto"/>
            <w:bottom w:val="none" w:sz="0" w:space="0" w:color="auto"/>
            <w:right w:val="none" w:sz="0" w:space="0" w:color="auto"/>
          </w:divBdr>
        </w:div>
      </w:divsChild>
    </w:div>
    <w:div w:id="1719351748">
      <w:bodyDiv w:val="1"/>
      <w:marLeft w:val="0"/>
      <w:marRight w:val="0"/>
      <w:marTop w:val="0"/>
      <w:marBottom w:val="0"/>
      <w:divBdr>
        <w:top w:val="none" w:sz="0" w:space="0" w:color="auto"/>
        <w:left w:val="none" w:sz="0" w:space="0" w:color="auto"/>
        <w:bottom w:val="none" w:sz="0" w:space="0" w:color="auto"/>
        <w:right w:val="none" w:sz="0" w:space="0" w:color="auto"/>
      </w:divBdr>
      <w:divsChild>
        <w:div w:id="1380933221">
          <w:marLeft w:val="0"/>
          <w:marRight w:val="0"/>
          <w:marTop w:val="0"/>
          <w:marBottom w:val="0"/>
          <w:divBdr>
            <w:top w:val="none" w:sz="0" w:space="0" w:color="auto"/>
            <w:left w:val="none" w:sz="0" w:space="0" w:color="auto"/>
            <w:bottom w:val="none" w:sz="0" w:space="0" w:color="auto"/>
            <w:right w:val="none" w:sz="0" w:space="0" w:color="auto"/>
          </w:divBdr>
        </w:div>
      </w:divsChild>
    </w:div>
    <w:div w:id="1726105549">
      <w:bodyDiv w:val="1"/>
      <w:marLeft w:val="0"/>
      <w:marRight w:val="0"/>
      <w:marTop w:val="0"/>
      <w:marBottom w:val="0"/>
      <w:divBdr>
        <w:top w:val="none" w:sz="0" w:space="0" w:color="auto"/>
        <w:left w:val="none" w:sz="0" w:space="0" w:color="auto"/>
        <w:bottom w:val="none" w:sz="0" w:space="0" w:color="auto"/>
        <w:right w:val="none" w:sz="0" w:space="0" w:color="auto"/>
      </w:divBdr>
    </w:div>
    <w:div w:id="1740906219">
      <w:bodyDiv w:val="1"/>
      <w:marLeft w:val="0"/>
      <w:marRight w:val="0"/>
      <w:marTop w:val="0"/>
      <w:marBottom w:val="0"/>
      <w:divBdr>
        <w:top w:val="none" w:sz="0" w:space="0" w:color="auto"/>
        <w:left w:val="none" w:sz="0" w:space="0" w:color="auto"/>
        <w:bottom w:val="none" w:sz="0" w:space="0" w:color="auto"/>
        <w:right w:val="none" w:sz="0" w:space="0" w:color="auto"/>
      </w:divBdr>
      <w:divsChild>
        <w:div w:id="1870872233">
          <w:marLeft w:val="0"/>
          <w:marRight w:val="0"/>
          <w:marTop w:val="0"/>
          <w:marBottom w:val="0"/>
          <w:divBdr>
            <w:top w:val="none" w:sz="0" w:space="0" w:color="auto"/>
            <w:left w:val="none" w:sz="0" w:space="0" w:color="auto"/>
            <w:bottom w:val="none" w:sz="0" w:space="0" w:color="auto"/>
            <w:right w:val="none" w:sz="0" w:space="0" w:color="auto"/>
          </w:divBdr>
        </w:div>
      </w:divsChild>
    </w:div>
    <w:div w:id="1742871180">
      <w:bodyDiv w:val="1"/>
      <w:marLeft w:val="0"/>
      <w:marRight w:val="0"/>
      <w:marTop w:val="0"/>
      <w:marBottom w:val="0"/>
      <w:divBdr>
        <w:top w:val="none" w:sz="0" w:space="0" w:color="auto"/>
        <w:left w:val="none" w:sz="0" w:space="0" w:color="auto"/>
        <w:bottom w:val="none" w:sz="0" w:space="0" w:color="auto"/>
        <w:right w:val="none" w:sz="0" w:space="0" w:color="auto"/>
      </w:divBdr>
      <w:divsChild>
        <w:div w:id="1148009579">
          <w:marLeft w:val="0"/>
          <w:marRight w:val="0"/>
          <w:marTop w:val="0"/>
          <w:marBottom w:val="0"/>
          <w:divBdr>
            <w:top w:val="none" w:sz="0" w:space="0" w:color="auto"/>
            <w:left w:val="none" w:sz="0" w:space="0" w:color="auto"/>
            <w:bottom w:val="none" w:sz="0" w:space="0" w:color="auto"/>
            <w:right w:val="none" w:sz="0" w:space="0" w:color="auto"/>
          </w:divBdr>
        </w:div>
      </w:divsChild>
    </w:div>
    <w:div w:id="1752044952">
      <w:bodyDiv w:val="1"/>
      <w:marLeft w:val="0"/>
      <w:marRight w:val="0"/>
      <w:marTop w:val="0"/>
      <w:marBottom w:val="0"/>
      <w:divBdr>
        <w:top w:val="none" w:sz="0" w:space="0" w:color="auto"/>
        <w:left w:val="none" w:sz="0" w:space="0" w:color="auto"/>
        <w:bottom w:val="none" w:sz="0" w:space="0" w:color="auto"/>
        <w:right w:val="none" w:sz="0" w:space="0" w:color="auto"/>
      </w:divBdr>
    </w:div>
    <w:div w:id="1773546886">
      <w:bodyDiv w:val="1"/>
      <w:marLeft w:val="0"/>
      <w:marRight w:val="0"/>
      <w:marTop w:val="0"/>
      <w:marBottom w:val="0"/>
      <w:divBdr>
        <w:top w:val="none" w:sz="0" w:space="0" w:color="auto"/>
        <w:left w:val="none" w:sz="0" w:space="0" w:color="auto"/>
        <w:bottom w:val="none" w:sz="0" w:space="0" w:color="auto"/>
        <w:right w:val="none" w:sz="0" w:space="0" w:color="auto"/>
      </w:divBdr>
    </w:div>
    <w:div w:id="1778912162">
      <w:bodyDiv w:val="1"/>
      <w:marLeft w:val="0"/>
      <w:marRight w:val="0"/>
      <w:marTop w:val="0"/>
      <w:marBottom w:val="0"/>
      <w:divBdr>
        <w:top w:val="none" w:sz="0" w:space="0" w:color="auto"/>
        <w:left w:val="none" w:sz="0" w:space="0" w:color="auto"/>
        <w:bottom w:val="none" w:sz="0" w:space="0" w:color="auto"/>
        <w:right w:val="none" w:sz="0" w:space="0" w:color="auto"/>
      </w:divBdr>
      <w:divsChild>
        <w:div w:id="1303003777">
          <w:marLeft w:val="0"/>
          <w:marRight w:val="0"/>
          <w:marTop w:val="0"/>
          <w:marBottom w:val="0"/>
          <w:divBdr>
            <w:top w:val="none" w:sz="0" w:space="0" w:color="auto"/>
            <w:left w:val="none" w:sz="0" w:space="0" w:color="auto"/>
            <w:bottom w:val="none" w:sz="0" w:space="0" w:color="auto"/>
            <w:right w:val="none" w:sz="0" w:space="0" w:color="auto"/>
          </w:divBdr>
        </w:div>
      </w:divsChild>
    </w:div>
    <w:div w:id="1780836274">
      <w:bodyDiv w:val="1"/>
      <w:marLeft w:val="0"/>
      <w:marRight w:val="0"/>
      <w:marTop w:val="0"/>
      <w:marBottom w:val="0"/>
      <w:divBdr>
        <w:top w:val="none" w:sz="0" w:space="0" w:color="auto"/>
        <w:left w:val="none" w:sz="0" w:space="0" w:color="auto"/>
        <w:bottom w:val="none" w:sz="0" w:space="0" w:color="auto"/>
        <w:right w:val="none" w:sz="0" w:space="0" w:color="auto"/>
      </w:divBdr>
      <w:divsChild>
        <w:div w:id="504829139">
          <w:marLeft w:val="0"/>
          <w:marRight w:val="0"/>
          <w:marTop w:val="0"/>
          <w:marBottom w:val="0"/>
          <w:divBdr>
            <w:top w:val="none" w:sz="0" w:space="0" w:color="auto"/>
            <w:left w:val="none" w:sz="0" w:space="0" w:color="auto"/>
            <w:bottom w:val="none" w:sz="0" w:space="0" w:color="auto"/>
            <w:right w:val="none" w:sz="0" w:space="0" w:color="auto"/>
          </w:divBdr>
        </w:div>
      </w:divsChild>
    </w:div>
    <w:div w:id="1786003626">
      <w:bodyDiv w:val="1"/>
      <w:marLeft w:val="0"/>
      <w:marRight w:val="0"/>
      <w:marTop w:val="0"/>
      <w:marBottom w:val="0"/>
      <w:divBdr>
        <w:top w:val="none" w:sz="0" w:space="0" w:color="auto"/>
        <w:left w:val="none" w:sz="0" w:space="0" w:color="auto"/>
        <w:bottom w:val="none" w:sz="0" w:space="0" w:color="auto"/>
        <w:right w:val="none" w:sz="0" w:space="0" w:color="auto"/>
      </w:divBdr>
      <w:divsChild>
        <w:div w:id="1535726851">
          <w:marLeft w:val="0"/>
          <w:marRight w:val="0"/>
          <w:marTop w:val="0"/>
          <w:marBottom w:val="0"/>
          <w:divBdr>
            <w:top w:val="none" w:sz="0" w:space="0" w:color="auto"/>
            <w:left w:val="none" w:sz="0" w:space="0" w:color="auto"/>
            <w:bottom w:val="none" w:sz="0" w:space="0" w:color="auto"/>
            <w:right w:val="none" w:sz="0" w:space="0" w:color="auto"/>
          </w:divBdr>
        </w:div>
      </w:divsChild>
    </w:div>
    <w:div w:id="1788937067">
      <w:bodyDiv w:val="1"/>
      <w:marLeft w:val="0"/>
      <w:marRight w:val="0"/>
      <w:marTop w:val="0"/>
      <w:marBottom w:val="0"/>
      <w:divBdr>
        <w:top w:val="none" w:sz="0" w:space="0" w:color="auto"/>
        <w:left w:val="none" w:sz="0" w:space="0" w:color="auto"/>
        <w:bottom w:val="none" w:sz="0" w:space="0" w:color="auto"/>
        <w:right w:val="none" w:sz="0" w:space="0" w:color="auto"/>
      </w:divBdr>
    </w:div>
    <w:div w:id="1789591725">
      <w:bodyDiv w:val="1"/>
      <w:marLeft w:val="0"/>
      <w:marRight w:val="0"/>
      <w:marTop w:val="0"/>
      <w:marBottom w:val="0"/>
      <w:divBdr>
        <w:top w:val="none" w:sz="0" w:space="0" w:color="auto"/>
        <w:left w:val="none" w:sz="0" w:space="0" w:color="auto"/>
        <w:bottom w:val="none" w:sz="0" w:space="0" w:color="auto"/>
        <w:right w:val="none" w:sz="0" w:space="0" w:color="auto"/>
      </w:divBdr>
    </w:div>
    <w:div w:id="1803881194">
      <w:bodyDiv w:val="1"/>
      <w:marLeft w:val="0"/>
      <w:marRight w:val="0"/>
      <w:marTop w:val="0"/>
      <w:marBottom w:val="0"/>
      <w:divBdr>
        <w:top w:val="none" w:sz="0" w:space="0" w:color="auto"/>
        <w:left w:val="none" w:sz="0" w:space="0" w:color="auto"/>
        <w:bottom w:val="none" w:sz="0" w:space="0" w:color="auto"/>
        <w:right w:val="none" w:sz="0" w:space="0" w:color="auto"/>
      </w:divBdr>
    </w:div>
    <w:div w:id="1826313141">
      <w:bodyDiv w:val="1"/>
      <w:marLeft w:val="0"/>
      <w:marRight w:val="0"/>
      <w:marTop w:val="0"/>
      <w:marBottom w:val="0"/>
      <w:divBdr>
        <w:top w:val="none" w:sz="0" w:space="0" w:color="auto"/>
        <w:left w:val="none" w:sz="0" w:space="0" w:color="auto"/>
        <w:bottom w:val="none" w:sz="0" w:space="0" w:color="auto"/>
        <w:right w:val="none" w:sz="0" w:space="0" w:color="auto"/>
      </w:divBdr>
      <w:divsChild>
        <w:div w:id="1340304711">
          <w:marLeft w:val="0"/>
          <w:marRight w:val="0"/>
          <w:marTop w:val="0"/>
          <w:marBottom w:val="0"/>
          <w:divBdr>
            <w:top w:val="none" w:sz="0" w:space="0" w:color="auto"/>
            <w:left w:val="none" w:sz="0" w:space="0" w:color="auto"/>
            <w:bottom w:val="none" w:sz="0" w:space="0" w:color="auto"/>
            <w:right w:val="none" w:sz="0" w:space="0" w:color="auto"/>
          </w:divBdr>
        </w:div>
      </w:divsChild>
    </w:div>
    <w:div w:id="1842962654">
      <w:bodyDiv w:val="1"/>
      <w:marLeft w:val="0"/>
      <w:marRight w:val="0"/>
      <w:marTop w:val="0"/>
      <w:marBottom w:val="0"/>
      <w:divBdr>
        <w:top w:val="none" w:sz="0" w:space="0" w:color="auto"/>
        <w:left w:val="none" w:sz="0" w:space="0" w:color="auto"/>
        <w:bottom w:val="none" w:sz="0" w:space="0" w:color="auto"/>
        <w:right w:val="none" w:sz="0" w:space="0" w:color="auto"/>
      </w:divBdr>
      <w:divsChild>
        <w:div w:id="316570946">
          <w:marLeft w:val="0"/>
          <w:marRight w:val="0"/>
          <w:marTop w:val="0"/>
          <w:marBottom w:val="0"/>
          <w:divBdr>
            <w:top w:val="none" w:sz="0" w:space="0" w:color="auto"/>
            <w:left w:val="none" w:sz="0" w:space="0" w:color="auto"/>
            <w:bottom w:val="none" w:sz="0" w:space="0" w:color="auto"/>
            <w:right w:val="none" w:sz="0" w:space="0" w:color="auto"/>
          </w:divBdr>
        </w:div>
      </w:divsChild>
    </w:div>
    <w:div w:id="1876654629">
      <w:bodyDiv w:val="1"/>
      <w:marLeft w:val="0"/>
      <w:marRight w:val="0"/>
      <w:marTop w:val="0"/>
      <w:marBottom w:val="0"/>
      <w:divBdr>
        <w:top w:val="none" w:sz="0" w:space="0" w:color="auto"/>
        <w:left w:val="none" w:sz="0" w:space="0" w:color="auto"/>
        <w:bottom w:val="none" w:sz="0" w:space="0" w:color="auto"/>
        <w:right w:val="none" w:sz="0" w:space="0" w:color="auto"/>
      </w:divBdr>
      <w:divsChild>
        <w:div w:id="408577691">
          <w:marLeft w:val="0"/>
          <w:marRight w:val="0"/>
          <w:marTop w:val="0"/>
          <w:marBottom w:val="0"/>
          <w:divBdr>
            <w:top w:val="none" w:sz="0" w:space="0" w:color="auto"/>
            <w:left w:val="none" w:sz="0" w:space="0" w:color="auto"/>
            <w:bottom w:val="none" w:sz="0" w:space="0" w:color="auto"/>
            <w:right w:val="none" w:sz="0" w:space="0" w:color="auto"/>
          </w:divBdr>
        </w:div>
      </w:divsChild>
    </w:div>
    <w:div w:id="1880819636">
      <w:bodyDiv w:val="1"/>
      <w:marLeft w:val="0"/>
      <w:marRight w:val="0"/>
      <w:marTop w:val="0"/>
      <w:marBottom w:val="0"/>
      <w:divBdr>
        <w:top w:val="none" w:sz="0" w:space="0" w:color="auto"/>
        <w:left w:val="none" w:sz="0" w:space="0" w:color="auto"/>
        <w:bottom w:val="none" w:sz="0" w:space="0" w:color="auto"/>
        <w:right w:val="none" w:sz="0" w:space="0" w:color="auto"/>
      </w:divBdr>
      <w:divsChild>
        <w:div w:id="1113400245">
          <w:marLeft w:val="0"/>
          <w:marRight w:val="0"/>
          <w:marTop w:val="0"/>
          <w:marBottom w:val="0"/>
          <w:divBdr>
            <w:top w:val="none" w:sz="0" w:space="0" w:color="auto"/>
            <w:left w:val="none" w:sz="0" w:space="0" w:color="auto"/>
            <w:bottom w:val="none" w:sz="0" w:space="0" w:color="auto"/>
            <w:right w:val="none" w:sz="0" w:space="0" w:color="auto"/>
          </w:divBdr>
        </w:div>
      </w:divsChild>
    </w:div>
    <w:div w:id="1884902597">
      <w:bodyDiv w:val="1"/>
      <w:marLeft w:val="0"/>
      <w:marRight w:val="0"/>
      <w:marTop w:val="0"/>
      <w:marBottom w:val="0"/>
      <w:divBdr>
        <w:top w:val="none" w:sz="0" w:space="0" w:color="auto"/>
        <w:left w:val="none" w:sz="0" w:space="0" w:color="auto"/>
        <w:bottom w:val="none" w:sz="0" w:space="0" w:color="auto"/>
        <w:right w:val="none" w:sz="0" w:space="0" w:color="auto"/>
      </w:divBdr>
    </w:div>
    <w:div w:id="1886024159">
      <w:bodyDiv w:val="1"/>
      <w:marLeft w:val="0"/>
      <w:marRight w:val="0"/>
      <w:marTop w:val="0"/>
      <w:marBottom w:val="0"/>
      <w:divBdr>
        <w:top w:val="none" w:sz="0" w:space="0" w:color="auto"/>
        <w:left w:val="none" w:sz="0" w:space="0" w:color="auto"/>
        <w:bottom w:val="none" w:sz="0" w:space="0" w:color="auto"/>
        <w:right w:val="none" w:sz="0" w:space="0" w:color="auto"/>
      </w:divBdr>
    </w:div>
    <w:div w:id="1886595494">
      <w:bodyDiv w:val="1"/>
      <w:marLeft w:val="0"/>
      <w:marRight w:val="0"/>
      <w:marTop w:val="0"/>
      <w:marBottom w:val="0"/>
      <w:divBdr>
        <w:top w:val="none" w:sz="0" w:space="0" w:color="auto"/>
        <w:left w:val="none" w:sz="0" w:space="0" w:color="auto"/>
        <w:bottom w:val="none" w:sz="0" w:space="0" w:color="auto"/>
        <w:right w:val="none" w:sz="0" w:space="0" w:color="auto"/>
      </w:divBdr>
    </w:div>
    <w:div w:id="1934849298">
      <w:bodyDiv w:val="1"/>
      <w:marLeft w:val="0"/>
      <w:marRight w:val="0"/>
      <w:marTop w:val="0"/>
      <w:marBottom w:val="0"/>
      <w:divBdr>
        <w:top w:val="none" w:sz="0" w:space="0" w:color="auto"/>
        <w:left w:val="none" w:sz="0" w:space="0" w:color="auto"/>
        <w:bottom w:val="none" w:sz="0" w:space="0" w:color="auto"/>
        <w:right w:val="none" w:sz="0" w:space="0" w:color="auto"/>
      </w:divBdr>
      <w:divsChild>
        <w:div w:id="156776592">
          <w:marLeft w:val="0"/>
          <w:marRight w:val="0"/>
          <w:marTop w:val="0"/>
          <w:marBottom w:val="0"/>
          <w:divBdr>
            <w:top w:val="none" w:sz="0" w:space="0" w:color="auto"/>
            <w:left w:val="none" w:sz="0" w:space="0" w:color="auto"/>
            <w:bottom w:val="none" w:sz="0" w:space="0" w:color="auto"/>
            <w:right w:val="none" w:sz="0" w:space="0" w:color="auto"/>
          </w:divBdr>
        </w:div>
      </w:divsChild>
    </w:div>
    <w:div w:id="1941643305">
      <w:bodyDiv w:val="1"/>
      <w:marLeft w:val="0"/>
      <w:marRight w:val="0"/>
      <w:marTop w:val="0"/>
      <w:marBottom w:val="0"/>
      <w:divBdr>
        <w:top w:val="none" w:sz="0" w:space="0" w:color="auto"/>
        <w:left w:val="none" w:sz="0" w:space="0" w:color="auto"/>
        <w:bottom w:val="none" w:sz="0" w:space="0" w:color="auto"/>
        <w:right w:val="none" w:sz="0" w:space="0" w:color="auto"/>
      </w:divBdr>
    </w:div>
    <w:div w:id="1944414333">
      <w:bodyDiv w:val="1"/>
      <w:marLeft w:val="0"/>
      <w:marRight w:val="0"/>
      <w:marTop w:val="0"/>
      <w:marBottom w:val="0"/>
      <w:divBdr>
        <w:top w:val="none" w:sz="0" w:space="0" w:color="auto"/>
        <w:left w:val="none" w:sz="0" w:space="0" w:color="auto"/>
        <w:bottom w:val="none" w:sz="0" w:space="0" w:color="auto"/>
        <w:right w:val="none" w:sz="0" w:space="0" w:color="auto"/>
      </w:divBdr>
    </w:div>
    <w:div w:id="1961104024">
      <w:bodyDiv w:val="1"/>
      <w:marLeft w:val="0"/>
      <w:marRight w:val="0"/>
      <w:marTop w:val="0"/>
      <w:marBottom w:val="0"/>
      <w:divBdr>
        <w:top w:val="none" w:sz="0" w:space="0" w:color="auto"/>
        <w:left w:val="none" w:sz="0" w:space="0" w:color="auto"/>
        <w:bottom w:val="none" w:sz="0" w:space="0" w:color="auto"/>
        <w:right w:val="none" w:sz="0" w:space="0" w:color="auto"/>
      </w:divBdr>
      <w:divsChild>
        <w:div w:id="943347130">
          <w:marLeft w:val="0"/>
          <w:marRight w:val="0"/>
          <w:marTop w:val="0"/>
          <w:marBottom w:val="0"/>
          <w:divBdr>
            <w:top w:val="none" w:sz="0" w:space="0" w:color="auto"/>
            <w:left w:val="none" w:sz="0" w:space="0" w:color="auto"/>
            <w:bottom w:val="none" w:sz="0" w:space="0" w:color="auto"/>
            <w:right w:val="none" w:sz="0" w:space="0" w:color="auto"/>
          </w:divBdr>
        </w:div>
      </w:divsChild>
    </w:div>
    <w:div w:id="1962221877">
      <w:bodyDiv w:val="1"/>
      <w:marLeft w:val="0"/>
      <w:marRight w:val="0"/>
      <w:marTop w:val="0"/>
      <w:marBottom w:val="0"/>
      <w:divBdr>
        <w:top w:val="none" w:sz="0" w:space="0" w:color="auto"/>
        <w:left w:val="none" w:sz="0" w:space="0" w:color="auto"/>
        <w:bottom w:val="none" w:sz="0" w:space="0" w:color="auto"/>
        <w:right w:val="none" w:sz="0" w:space="0" w:color="auto"/>
      </w:divBdr>
    </w:div>
    <w:div w:id="1988779668">
      <w:bodyDiv w:val="1"/>
      <w:marLeft w:val="0"/>
      <w:marRight w:val="0"/>
      <w:marTop w:val="0"/>
      <w:marBottom w:val="0"/>
      <w:divBdr>
        <w:top w:val="none" w:sz="0" w:space="0" w:color="auto"/>
        <w:left w:val="none" w:sz="0" w:space="0" w:color="auto"/>
        <w:bottom w:val="none" w:sz="0" w:space="0" w:color="auto"/>
        <w:right w:val="none" w:sz="0" w:space="0" w:color="auto"/>
      </w:divBdr>
      <w:divsChild>
        <w:div w:id="713848533">
          <w:marLeft w:val="0"/>
          <w:marRight w:val="0"/>
          <w:marTop w:val="0"/>
          <w:marBottom w:val="0"/>
          <w:divBdr>
            <w:top w:val="none" w:sz="0" w:space="0" w:color="auto"/>
            <w:left w:val="none" w:sz="0" w:space="0" w:color="auto"/>
            <w:bottom w:val="none" w:sz="0" w:space="0" w:color="auto"/>
            <w:right w:val="none" w:sz="0" w:space="0" w:color="auto"/>
          </w:divBdr>
        </w:div>
      </w:divsChild>
    </w:div>
    <w:div w:id="1991128496">
      <w:bodyDiv w:val="1"/>
      <w:marLeft w:val="0"/>
      <w:marRight w:val="0"/>
      <w:marTop w:val="0"/>
      <w:marBottom w:val="0"/>
      <w:divBdr>
        <w:top w:val="none" w:sz="0" w:space="0" w:color="auto"/>
        <w:left w:val="none" w:sz="0" w:space="0" w:color="auto"/>
        <w:bottom w:val="none" w:sz="0" w:space="0" w:color="auto"/>
        <w:right w:val="none" w:sz="0" w:space="0" w:color="auto"/>
      </w:divBdr>
      <w:divsChild>
        <w:div w:id="1777407831">
          <w:marLeft w:val="0"/>
          <w:marRight w:val="0"/>
          <w:marTop w:val="0"/>
          <w:marBottom w:val="0"/>
          <w:divBdr>
            <w:top w:val="none" w:sz="0" w:space="0" w:color="auto"/>
            <w:left w:val="none" w:sz="0" w:space="0" w:color="auto"/>
            <w:bottom w:val="none" w:sz="0" w:space="0" w:color="auto"/>
            <w:right w:val="none" w:sz="0" w:space="0" w:color="auto"/>
          </w:divBdr>
        </w:div>
      </w:divsChild>
    </w:div>
    <w:div w:id="2000768956">
      <w:bodyDiv w:val="1"/>
      <w:marLeft w:val="0"/>
      <w:marRight w:val="0"/>
      <w:marTop w:val="0"/>
      <w:marBottom w:val="0"/>
      <w:divBdr>
        <w:top w:val="none" w:sz="0" w:space="0" w:color="auto"/>
        <w:left w:val="none" w:sz="0" w:space="0" w:color="auto"/>
        <w:bottom w:val="none" w:sz="0" w:space="0" w:color="auto"/>
        <w:right w:val="none" w:sz="0" w:space="0" w:color="auto"/>
      </w:divBdr>
      <w:divsChild>
        <w:div w:id="1850171031">
          <w:marLeft w:val="0"/>
          <w:marRight w:val="0"/>
          <w:marTop w:val="0"/>
          <w:marBottom w:val="0"/>
          <w:divBdr>
            <w:top w:val="none" w:sz="0" w:space="0" w:color="auto"/>
            <w:left w:val="none" w:sz="0" w:space="0" w:color="auto"/>
            <w:bottom w:val="none" w:sz="0" w:space="0" w:color="auto"/>
            <w:right w:val="none" w:sz="0" w:space="0" w:color="auto"/>
          </w:divBdr>
        </w:div>
      </w:divsChild>
    </w:div>
    <w:div w:id="2003701374">
      <w:bodyDiv w:val="1"/>
      <w:marLeft w:val="0"/>
      <w:marRight w:val="0"/>
      <w:marTop w:val="0"/>
      <w:marBottom w:val="0"/>
      <w:divBdr>
        <w:top w:val="none" w:sz="0" w:space="0" w:color="auto"/>
        <w:left w:val="none" w:sz="0" w:space="0" w:color="auto"/>
        <w:bottom w:val="none" w:sz="0" w:space="0" w:color="auto"/>
        <w:right w:val="none" w:sz="0" w:space="0" w:color="auto"/>
      </w:divBdr>
      <w:divsChild>
        <w:div w:id="2006779961">
          <w:marLeft w:val="0"/>
          <w:marRight w:val="0"/>
          <w:marTop w:val="0"/>
          <w:marBottom w:val="0"/>
          <w:divBdr>
            <w:top w:val="none" w:sz="0" w:space="0" w:color="auto"/>
            <w:left w:val="none" w:sz="0" w:space="0" w:color="auto"/>
            <w:bottom w:val="none" w:sz="0" w:space="0" w:color="auto"/>
            <w:right w:val="none" w:sz="0" w:space="0" w:color="auto"/>
          </w:divBdr>
        </w:div>
      </w:divsChild>
    </w:div>
    <w:div w:id="2005235333">
      <w:bodyDiv w:val="1"/>
      <w:marLeft w:val="0"/>
      <w:marRight w:val="0"/>
      <w:marTop w:val="0"/>
      <w:marBottom w:val="0"/>
      <w:divBdr>
        <w:top w:val="none" w:sz="0" w:space="0" w:color="auto"/>
        <w:left w:val="none" w:sz="0" w:space="0" w:color="auto"/>
        <w:bottom w:val="none" w:sz="0" w:space="0" w:color="auto"/>
        <w:right w:val="none" w:sz="0" w:space="0" w:color="auto"/>
      </w:divBdr>
    </w:div>
    <w:div w:id="2005433670">
      <w:bodyDiv w:val="1"/>
      <w:marLeft w:val="0"/>
      <w:marRight w:val="0"/>
      <w:marTop w:val="0"/>
      <w:marBottom w:val="0"/>
      <w:divBdr>
        <w:top w:val="none" w:sz="0" w:space="0" w:color="auto"/>
        <w:left w:val="none" w:sz="0" w:space="0" w:color="auto"/>
        <w:bottom w:val="none" w:sz="0" w:space="0" w:color="auto"/>
        <w:right w:val="none" w:sz="0" w:space="0" w:color="auto"/>
      </w:divBdr>
    </w:div>
    <w:div w:id="2016571523">
      <w:bodyDiv w:val="1"/>
      <w:marLeft w:val="0"/>
      <w:marRight w:val="0"/>
      <w:marTop w:val="0"/>
      <w:marBottom w:val="0"/>
      <w:divBdr>
        <w:top w:val="none" w:sz="0" w:space="0" w:color="auto"/>
        <w:left w:val="none" w:sz="0" w:space="0" w:color="auto"/>
        <w:bottom w:val="none" w:sz="0" w:space="0" w:color="auto"/>
        <w:right w:val="none" w:sz="0" w:space="0" w:color="auto"/>
      </w:divBdr>
      <w:divsChild>
        <w:div w:id="656959738">
          <w:marLeft w:val="0"/>
          <w:marRight w:val="0"/>
          <w:marTop w:val="0"/>
          <w:marBottom w:val="0"/>
          <w:divBdr>
            <w:top w:val="none" w:sz="0" w:space="0" w:color="auto"/>
            <w:left w:val="none" w:sz="0" w:space="0" w:color="auto"/>
            <w:bottom w:val="none" w:sz="0" w:space="0" w:color="auto"/>
            <w:right w:val="none" w:sz="0" w:space="0" w:color="auto"/>
          </w:divBdr>
        </w:div>
      </w:divsChild>
    </w:div>
    <w:div w:id="2046245478">
      <w:bodyDiv w:val="1"/>
      <w:marLeft w:val="0"/>
      <w:marRight w:val="0"/>
      <w:marTop w:val="0"/>
      <w:marBottom w:val="0"/>
      <w:divBdr>
        <w:top w:val="none" w:sz="0" w:space="0" w:color="auto"/>
        <w:left w:val="none" w:sz="0" w:space="0" w:color="auto"/>
        <w:bottom w:val="none" w:sz="0" w:space="0" w:color="auto"/>
        <w:right w:val="none" w:sz="0" w:space="0" w:color="auto"/>
      </w:divBdr>
      <w:divsChild>
        <w:div w:id="204754879">
          <w:marLeft w:val="0"/>
          <w:marRight w:val="0"/>
          <w:marTop w:val="0"/>
          <w:marBottom w:val="0"/>
          <w:divBdr>
            <w:top w:val="none" w:sz="0" w:space="0" w:color="auto"/>
            <w:left w:val="none" w:sz="0" w:space="0" w:color="auto"/>
            <w:bottom w:val="none" w:sz="0" w:space="0" w:color="auto"/>
            <w:right w:val="none" w:sz="0" w:space="0" w:color="auto"/>
          </w:divBdr>
        </w:div>
      </w:divsChild>
    </w:div>
    <w:div w:id="2058241013">
      <w:bodyDiv w:val="1"/>
      <w:marLeft w:val="0"/>
      <w:marRight w:val="0"/>
      <w:marTop w:val="0"/>
      <w:marBottom w:val="0"/>
      <w:divBdr>
        <w:top w:val="none" w:sz="0" w:space="0" w:color="auto"/>
        <w:left w:val="none" w:sz="0" w:space="0" w:color="auto"/>
        <w:bottom w:val="none" w:sz="0" w:space="0" w:color="auto"/>
        <w:right w:val="none" w:sz="0" w:space="0" w:color="auto"/>
      </w:divBdr>
      <w:divsChild>
        <w:div w:id="1596086048">
          <w:marLeft w:val="0"/>
          <w:marRight w:val="0"/>
          <w:marTop w:val="0"/>
          <w:marBottom w:val="0"/>
          <w:divBdr>
            <w:top w:val="none" w:sz="0" w:space="0" w:color="auto"/>
            <w:left w:val="none" w:sz="0" w:space="0" w:color="auto"/>
            <w:bottom w:val="none" w:sz="0" w:space="0" w:color="auto"/>
            <w:right w:val="none" w:sz="0" w:space="0" w:color="auto"/>
          </w:divBdr>
        </w:div>
      </w:divsChild>
    </w:div>
    <w:div w:id="2076002379">
      <w:bodyDiv w:val="1"/>
      <w:marLeft w:val="0"/>
      <w:marRight w:val="0"/>
      <w:marTop w:val="0"/>
      <w:marBottom w:val="0"/>
      <w:divBdr>
        <w:top w:val="none" w:sz="0" w:space="0" w:color="auto"/>
        <w:left w:val="none" w:sz="0" w:space="0" w:color="auto"/>
        <w:bottom w:val="none" w:sz="0" w:space="0" w:color="auto"/>
        <w:right w:val="none" w:sz="0" w:space="0" w:color="auto"/>
      </w:divBdr>
    </w:div>
    <w:div w:id="2076315644">
      <w:bodyDiv w:val="1"/>
      <w:marLeft w:val="0"/>
      <w:marRight w:val="0"/>
      <w:marTop w:val="0"/>
      <w:marBottom w:val="0"/>
      <w:divBdr>
        <w:top w:val="none" w:sz="0" w:space="0" w:color="auto"/>
        <w:left w:val="none" w:sz="0" w:space="0" w:color="auto"/>
        <w:bottom w:val="none" w:sz="0" w:space="0" w:color="auto"/>
        <w:right w:val="none" w:sz="0" w:space="0" w:color="auto"/>
      </w:divBdr>
    </w:div>
    <w:div w:id="2086877647">
      <w:bodyDiv w:val="1"/>
      <w:marLeft w:val="0"/>
      <w:marRight w:val="0"/>
      <w:marTop w:val="0"/>
      <w:marBottom w:val="0"/>
      <w:divBdr>
        <w:top w:val="none" w:sz="0" w:space="0" w:color="auto"/>
        <w:left w:val="none" w:sz="0" w:space="0" w:color="auto"/>
        <w:bottom w:val="none" w:sz="0" w:space="0" w:color="auto"/>
        <w:right w:val="none" w:sz="0" w:space="0" w:color="auto"/>
      </w:divBdr>
      <w:divsChild>
        <w:div w:id="789784895">
          <w:marLeft w:val="0"/>
          <w:marRight w:val="0"/>
          <w:marTop w:val="0"/>
          <w:marBottom w:val="0"/>
          <w:divBdr>
            <w:top w:val="none" w:sz="0" w:space="0" w:color="auto"/>
            <w:left w:val="none" w:sz="0" w:space="0" w:color="auto"/>
            <w:bottom w:val="none" w:sz="0" w:space="0" w:color="auto"/>
            <w:right w:val="none" w:sz="0" w:space="0" w:color="auto"/>
          </w:divBdr>
        </w:div>
      </w:divsChild>
    </w:div>
    <w:div w:id="2087068448">
      <w:bodyDiv w:val="1"/>
      <w:marLeft w:val="0"/>
      <w:marRight w:val="0"/>
      <w:marTop w:val="0"/>
      <w:marBottom w:val="0"/>
      <w:divBdr>
        <w:top w:val="none" w:sz="0" w:space="0" w:color="auto"/>
        <w:left w:val="none" w:sz="0" w:space="0" w:color="auto"/>
        <w:bottom w:val="none" w:sz="0" w:space="0" w:color="auto"/>
        <w:right w:val="none" w:sz="0" w:space="0" w:color="auto"/>
      </w:divBdr>
    </w:div>
    <w:div w:id="2090493177">
      <w:bodyDiv w:val="1"/>
      <w:marLeft w:val="0"/>
      <w:marRight w:val="0"/>
      <w:marTop w:val="0"/>
      <w:marBottom w:val="0"/>
      <w:divBdr>
        <w:top w:val="none" w:sz="0" w:space="0" w:color="auto"/>
        <w:left w:val="none" w:sz="0" w:space="0" w:color="auto"/>
        <w:bottom w:val="none" w:sz="0" w:space="0" w:color="auto"/>
        <w:right w:val="none" w:sz="0" w:space="0" w:color="auto"/>
      </w:divBdr>
    </w:div>
    <w:div w:id="2095852703">
      <w:bodyDiv w:val="1"/>
      <w:marLeft w:val="0"/>
      <w:marRight w:val="0"/>
      <w:marTop w:val="0"/>
      <w:marBottom w:val="0"/>
      <w:divBdr>
        <w:top w:val="none" w:sz="0" w:space="0" w:color="auto"/>
        <w:left w:val="none" w:sz="0" w:space="0" w:color="auto"/>
        <w:bottom w:val="none" w:sz="0" w:space="0" w:color="auto"/>
        <w:right w:val="none" w:sz="0" w:space="0" w:color="auto"/>
      </w:divBdr>
    </w:div>
    <w:div w:id="2113739793">
      <w:bodyDiv w:val="1"/>
      <w:marLeft w:val="0"/>
      <w:marRight w:val="0"/>
      <w:marTop w:val="0"/>
      <w:marBottom w:val="0"/>
      <w:divBdr>
        <w:top w:val="none" w:sz="0" w:space="0" w:color="auto"/>
        <w:left w:val="none" w:sz="0" w:space="0" w:color="auto"/>
        <w:bottom w:val="none" w:sz="0" w:space="0" w:color="auto"/>
        <w:right w:val="none" w:sz="0" w:space="0" w:color="auto"/>
      </w:divBdr>
      <w:divsChild>
        <w:div w:id="656299721">
          <w:marLeft w:val="0"/>
          <w:marRight w:val="0"/>
          <w:marTop w:val="0"/>
          <w:marBottom w:val="0"/>
          <w:divBdr>
            <w:top w:val="none" w:sz="0" w:space="0" w:color="auto"/>
            <w:left w:val="none" w:sz="0" w:space="0" w:color="auto"/>
            <w:bottom w:val="none" w:sz="0" w:space="0" w:color="auto"/>
            <w:right w:val="none" w:sz="0" w:space="0" w:color="auto"/>
          </w:divBdr>
        </w:div>
      </w:divsChild>
    </w:div>
    <w:div w:id="2140174770">
      <w:bodyDiv w:val="1"/>
      <w:marLeft w:val="0"/>
      <w:marRight w:val="0"/>
      <w:marTop w:val="0"/>
      <w:marBottom w:val="0"/>
      <w:divBdr>
        <w:top w:val="none" w:sz="0" w:space="0" w:color="auto"/>
        <w:left w:val="none" w:sz="0" w:space="0" w:color="auto"/>
        <w:bottom w:val="none" w:sz="0" w:space="0" w:color="auto"/>
        <w:right w:val="none" w:sz="0" w:space="0" w:color="auto"/>
      </w:divBdr>
      <w:divsChild>
        <w:div w:id="797341224">
          <w:marLeft w:val="0"/>
          <w:marRight w:val="0"/>
          <w:marTop w:val="0"/>
          <w:marBottom w:val="0"/>
          <w:divBdr>
            <w:top w:val="none" w:sz="0" w:space="0" w:color="auto"/>
            <w:left w:val="none" w:sz="0" w:space="0" w:color="auto"/>
            <w:bottom w:val="none" w:sz="0" w:space="0" w:color="auto"/>
            <w:right w:val="none" w:sz="0" w:space="0" w:color="auto"/>
          </w:divBdr>
        </w:div>
      </w:divsChild>
    </w:div>
    <w:div w:id="214068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s.org/publ/bcbs113.pdf" TargetMode="External"/><Relationship Id="rId18" Type="http://schemas.openxmlformats.org/officeDocument/2006/relationships/hyperlink" Target="https://www.eba.europa.eu/sites/default/files/2026-07/7e51bdcd-7c73-4f94-b31c-03375fe53359/Final%20Report%20on%20Guidelines%20on%20the%20authorisation%20of%20third-country%20branches%20.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eba.europa.eu/single-rule-book-qa/qna/view/publicId/2025_7665" TargetMode="External"/><Relationship Id="rId17" Type="http://schemas.openxmlformats.org/officeDocument/2006/relationships/hyperlink" Target="https://particip.gov.md/ro/document/stages/proiect-de-lege-privind-pietele-instrumentelor-financiare-si-activitatile-de-investitii-numar-unic/16371"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esma.europa.eu/sites/default/files/library/jc_gl_2016_01_joint_guidelines_on_prudential_assessment_of_acquisitions_and_increases_of_qualifying_holdings_-_final.pdf?download=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ba.europa.eu/documents/10180/2126653/8187ee70-9918-425b-b9ad-12581728639f/Guidelines%20on%20supervision%20of%20significant%20branches%20(EBA-GL-2017-14)_RO.pdf"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particip.gov.md/ro/document/stages/proiect-de-lege-privind-pietele-instrumentelor-financiare-si-activitatile-de-investitii-numar-unic/16371"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particip.gov.md/ro/document/stages/proiect-de-lege-privind-emisiunea-de-obligatiuni-garantate-si-supravegherea-publica-a-obligatiunilor/1702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ba.europa.eu/sites/default/files/document_library/Publications/Guidelines/2021/EBA-GL-2021-04%20Guidelines%20on%20sound%20remuneration%20policies/Translations/1023121/GL%20on%20remuneration%20policies%20under%20CRD_RO.pdf"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CC8FD9FC602D47942046F00E7457D2" ma:contentTypeVersion="2" ma:contentTypeDescription="Create a new document." ma:contentTypeScope="" ma:versionID="7bb9469473fdfa3e37bd109cebc79a60">
  <xsd:schema xmlns:xsd="http://www.w3.org/2001/XMLSchema" xmlns:xs="http://www.w3.org/2001/XMLSchema" xmlns:p="http://schemas.microsoft.com/office/2006/metadata/properties" xmlns:ns2="ab897e66-8555-453e-a498-d234c2d9a514" targetNamespace="http://schemas.microsoft.com/office/2006/metadata/properties" ma:root="true" ma:fieldsID="144fd311a1cd95615ace5cd8c6cfd62e" ns2:_="">
    <xsd:import namespace="ab897e66-8555-453e-a498-d234c2d9a51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97e66-8555-453e-a498-d234c2d9a5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F643E-E0FF-4B47-9A35-497A3B0AA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97e66-8555-453e-a498-d234c2d9a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98E8C9-40DF-4FD3-8DAE-40B07CF604F1}">
  <ds:schemaRefs>
    <ds:schemaRef ds:uri="http://schemas.microsoft.com/sharepoint/v3/contenttype/forms"/>
  </ds:schemaRefs>
</ds:datastoreItem>
</file>

<file path=customXml/itemProps3.xml><?xml version="1.0" encoding="utf-8"?>
<ds:datastoreItem xmlns:ds="http://schemas.openxmlformats.org/officeDocument/2006/customXml" ds:itemID="{FE51F8C5-D533-41BE-B1A9-CD6E682852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051BDC-8C31-4CD9-8801-9CE0DEAE5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212</Pages>
  <Words>83142</Words>
  <Characters>473913</Characters>
  <Application>Microsoft Office Word</Application>
  <DocSecurity>0</DocSecurity>
  <Lines>3949</Lines>
  <Paragraphs>1111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 Caragia-Gabura</dc:creator>
  <cp:keywords/>
  <dc:description/>
  <cp:lastModifiedBy>Sorina, Hiznicenco</cp:lastModifiedBy>
  <cp:revision>10</cp:revision>
  <dcterms:created xsi:type="dcterms:W3CDTF">2026-09-21T13:50:00Z</dcterms:created>
  <dcterms:modified xsi:type="dcterms:W3CDTF">2026-09-24T05:45:00Z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3b6b87a,424a888f,5143d80c</vt:lpwstr>
  </property>
  <property fmtid="{D5CDD505-2E9C-101B-9397-08002B2CF9AE}" pid="3" name="ClassificationContentMarkingHeaderFontProps">
    <vt:lpwstr>#000000,12,Calibri</vt:lpwstr>
  </property>
  <property fmtid="{D5CDD505-2E9C-101B-9397-08002B2CF9AE}" pid="4" name="ClassificationContentMarkingHeaderText">
    <vt:lpwstr>Public</vt:lpwstr>
  </property>
  <property fmtid="{D5CDD505-2E9C-101B-9397-08002B2CF9AE}" pid="5" name="ClassificationContentMarkingFooterShapeIds">
    <vt:lpwstr>2a36f1dd,5e26a103,464a2b66</vt:lpwstr>
  </property>
  <property fmtid="{D5CDD505-2E9C-101B-9397-08002B2CF9AE}" pid="6" name="ClassificationContentMarkingFooterFontProps">
    <vt:lpwstr>#000000,8,Calibri</vt:lpwstr>
  </property>
  <property fmtid="{D5CDD505-2E9C-101B-9397-08002B2CF9AE}" pid="7" name="ClassificationContentMarkingFooterText">
    <vt:lpwstr>Informaţie Publică – Document creat în cadrul BNM.</vt:lpwstr>
  </property>
  <property fmtid="{D5CDD505-2E9C-101B-9397-08002B2CF9AE}" pid="8" name="MSIP_Label_3b98f9fa-866f-4492-8aff-7c726f5dd5b1_Enabled">
    <vt:lpwstr>true</vt:lpwstr>
  </property>
  <property fmtid="{D5CDD505-2E9C-101B-9397-08002B2CF9AE}" pid="9" name="MSIP_Label_3b98f9fa-866f-4492-8aff-7c726f5dd5b1_SetDate">
    <vt:lpwstr>2026-06-19T04:35:40Z</vt:lpwstr>
  </property>
  <property fmtid="{D5CDD505-2E9C-101B-9397-08002B2CF9AE}" pid="10" name="MSIP_Label_3b98f9fa-866f-4492-8aff-7c726f5dd5b1_Method">
    <vt:lpwstr>Privileged</vt:lpwstr>
  </property>
  <property fmtid="{D5CDD505-2E9C-101B-9397-08002B2CF9AE}" pid="11" name="MSIP_Label_3b98f9fa-866f-4492-8aff-7c726f5dd5b1_Name">
    <vt:lpwstr>Public</vt:lpwstr>
  </property>
  <property fmtid="{D5CDD505-2E9C-101B-9397-08002B2CF9AE}" pid="12" name="MSIP_Label_3b98f9fa-866f-4492-8aff-7c726f5dd5b1_SiteId">
    <vt:lpwstr>5887d430-0034-4561-b771-12c77faf2fa0</vt:lpwstr>
  </property>
  <property fmtid="{D5CDD505-2E9C-101B-9397-08002B2CF9AE}" pid="13" name="MSIP_Label_3b98f9fa-866f-4492-8aff-7c726f5dd5b1_ActionId">
    <vt:lpwstr>3e5ce730-897a-4041-94b3-5b0fd0fff350</vt:lpwstr>
  </property>
  <property fmtid="{D5CDD505-2E9C-101B-9397-08002B2CF9AE}" pid="14" name="MSIP_Label_3b98f9fa-866f-4492-8aff-7c726f5dd5b1_ContentBits">
    <vt:lpwstr>3</vt:lpwstr>
  </property>
  <property fmtid="{D5CDD505-2E9C-101B-9397-08002B2CF9AE}" pid="15" name="MSIP_Label_3b98f9fa-866f-4492-8aff-7c726f5dd5b1_Tag">
    <vt:lpwstr>10, 0, 1, 1</vt:lpwstr>
  </property>
  <property fmtid="{D5CDD505-2E9C-101B-9397-08002B2CF9AE}" pid="16" name="ContentTypeId">
    <vt:lpwstr>0x01010041CC8FD9FC602D47942046F00E7457D2</vt:lpwstr>
  </property>
</Properties>
</file>